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32473F" w:rsidRPr="00296462" w14:paraId="05E08447" w14:textId="77777777" w:rsidTr="009555C0">
        <w:trPr>
          <w:cantSplit/>
          <w:trHeight w:val="288"/>
        </w:trPr>
        <w:tc>
          <w:tcPr>
            <w:tcW w:w="1399" w:type="dxa"/>
            <w:vMerge w:val="restart"/>
          </w:tcPr>
          <w:p w14:paraId="5B375A71" w14:textId="77777777" w:rsidR="0032473F" w:rsidRPr="00296462" w:rsidRDefault="0032473F" w:rsidP="009555C0">
            <w:pPr>
              <w:widowControl w:val="0"/>
              <w:wordWrap w:val="0"/>
              <w:jc w:val="both"/>
              <w:rPr>
                <w:kern w:val="2"/>
                <w:lang w:eastAsia="ko-KR"/>
              </w:rPr>
            </w:pPr>
            <w:r w:rsidRPr="00296462">
              <w:rPr>
                <w:noProof/>
                <w:kern w:val="2"/>
                <w:lang w:bidi="bn-IN"/>
              </w:rPr>
              <w:drawing>
                <wp:inline distT="0" distB="0" distL="0" distR="0" wp14:anchorId="6435B202" wp14:editId="7AFAEC70">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5959616" w14:textId="77777777" w:rsidR="0032473F" w:rsidRPr="00296462" w:rsidRDefault="0032473F" w:rsidP="009555C0">
            <w:r w:rsidRPr="00296462">
              <w:t>ASIA-PACIFIC TELECOMMUNITY</w:t>
            </w:r>
          </w:p>
        </w:tc>
        <w:tc>
          <w:tcPr>
            <w:tcW w:w="2160" w:type="dxa"/>
          </w:tcPr>
          <w:p w14:paraId="06ABBF8F" w14:textId="77777777" w:rsidR="0032473F" w:rsidRPr="00296462" w:rsidRDefault="0032473F" w:rsidP="009555C0">
            <w:pPr>
              <w:keepNext/>
              <w:widowControl w:val="0"/>
              <w:wordWrap w:val="0"/>
              <w:jc w:val="both"/>
              <w:outlineLvl w:val="7"/>
              <w:rPr>
                <w:b/>
                <w:bCs/>
                <w:kern w:val="2"/>
                <w:lang w:eastAsia="ko-KR"/>
              </w:rPr>
            </w:pPr>
            <w:r w:rsidRPr="00296462">
              <w:rPr>
                <w:b/>
                <w:bCs/>
                <w:kern w:val="2"/>
                <w:lang w:eastAsia="ko-KR"/>
              </w:rPr>
              <w:t>Document No:</w:t>
            </w:r>
          </w:p>
        </w:tc>
      </w:tr>
      <w:tr w:rsidR="0032473F" w:rsidRPr="00296462" w14:paraId="4DC0141A" w14:textId="77777777" w:rsidTr="009555C0">
        <w:trPr>
          <w:cantSplit/>
          <w:trHeight w:val="504"/>
        </w:trPr>
        <w:tc>
          <w:tcPr>
            <w:tcW w:w="1399" w:type="dxa"/>
            <w:vMerge/>
          </w:tcPr>
          <w:p w14:paraId="113F5B88" w14:textId="77777777" w:rsidR="0032473F" w:rsidRPr="00296462" w:rsidRDefault="0032473F" w:rsidP="009555C0"/>
        </w:tc>
        <w:tc>
          <w:tcPr>
            <w:tcW w:w="5760" w:type="dxa"/>
            <w:vAlign w:val="center"/>
          </w:tcPr>
          <w:p w14:paraId="46A72BAD" w14:textId="77777777" w:rsidR="0032473F" w:rsidRPr="00296462" w:rsidRDefault="0032473F" w:rsidP="009555C0">
            <w:pPr>
              <w:rPr>
                <w:b/>
              </w:rPr>
            </w:pPr>
            <w:r w:rsidRPr="00296462">
              <w:rPr>
                <w:b/>
              </w:rPr>
              <w:t xml:space="preserve">The Meeting of the SATRC Working Group on </w:t>
            </w:r>
          </w:p>
          <w:p w14:paraId="16435954" w14:textId="77777777" w:rsidR="0032473F" w:rsidRPr="00296462" w:rsidRDefault="0032473F" w:rsidP="009555C0">
            <w:r w:rsidRPr="00296462">
              <w:rPr>
                <w:b/>
              </w:rPr>
              <w:t>Policy, Regulation and Services</w:t>
            </w:r>
          </w:p>
        </w:tc>
        <w:tc>
          <w:tcPr>
            <w:tcW w:w="2160" w:type="dxa"/>
          </w:tcPr>
          <w:p w14:paraId="30C697F3" w14:textId="57367A89" w:rsidR="0032473F" w:rsidRPr="00081DEE" w:rsidRDefault="0032473F" w:rsidP="009555C0">
            <w:pPr>
              <w:rPr>
                <w:b/>
                <w:bCs/>
                <w:szCs w:val="30"/>
                <w:lang w:bidi="th-TH"/>
              </w:rPr>
            </w:pPr>
            <w:r w:rsidRPr="00296462">
              <w:rPr>
                <w:b/>
                <w:bCs/>
                <w:lang w:val="en-GB"/>
              </w:rPr>
              <w:t xml:space="preserve">SAPVIII-PRS1/ </w:t>
            </w:r>
            <w:r w:rsidR="00B412C5">
              <w:rPr>
                <w:b/>
                <w:bCs/>
                <w:lang w:val="en-GB"/>
              </w:rPr>
              <w:t>OUT</w:t>
            </w:r>
            <w:r w:rsidRPr="00296462">
              <w:rPr>
                <w:b/>
                <w:bCs/>
                <w:lang w:val="en-GB"/>
              </w:rPr>
              <w:t>-</w:t>
            </w:r>
            <w:r w:rsidR="00B412C5">
              <w:rPr>
                <w:b/>
                <w:bCs/>
                <w:lang w:val="en-GB"/>
              </w:rPr>
              <w:t>0</w:t>
            </w:r>
            <w:r w:rsidR="00955D94">
              <w:rPr>
                <w:b/>
                <w:bCs/>
                <w:lang w:val="en-GB"/>
              </w:rPr>
              <w:t>2</w:t>
            </w:r>
          </w:p>
        </w:tc>
      </w:tr>
      <w:tr w:rsidR="0032473F" w:rsidRPr="00296462" w14:paraId="5B171CF2" w14:textId="77777777" w:rsidTr="009555C0">
        <w:trPr>
          <w:cantSplit/>
          <w:trHeight w:val="288"/>
        </w:trPr>
        <w:tc>
          <w:tcPr>
            <w:tcW w:w="1399" w:type="dxa"/>
            <w:vMerge/>
          </w:tcPr>
          <w:p w14:paraId="5CD00694" w14:textId="77777777" w:rsidR="0032473F" w:rsidRPr="00296462" w:rsidRDefault="0032473F" w:rsidP="009555C0">
            <w:pPr>
              <w:rPr>
                <w:lang w:val="en-GB"/>
              </w:rPr>
            </w:pPr>
          </w:p>
        </w:tc>
        <w:tc>
          <w:tcPr>
            <w:tcW w:w="5760" w:type="dxa"/>
            <w:vAlign w:val="bottom"/>
          </w:tcPr>
          <w:p w14:paraId="33995381" w14:textId="77777777" w:rsidR="0032473F" w:rsidRPr="00296462" w:rsidRDefault="0032473F" w:rsidP="009555C0">
            <w:pPr>
              <w:rPr>
                <w:b/>
              </w:rPr>
            </w:pPr>
            <w:r w:rsidRPr="00296462">
              <w:t>25 – 26 May 2022, Dhaka, Bangladesh</w:t>
            </w:r>
          </w:p>
        </w:tc>
        <w:tc>
          <w:tcPr>
            <w:tcW w:w="2160" w:type="dxa"/>
            <w:vAlign w:val="bottom"/>
          </w:tcPr>
          <w:p w14:paraId="1C253962" w14:textId="00A9BE0B" w:rsidR="0032473F" w:rsidRPr="00296462" w:rsidRDefault="0032473F" w:rsidP="009555C0">
            <w:r w:rsidRPr="00296462">
              <w:t>2</w:t>
            </w:r>
            <w:r w:rsidR="006F63E3">
              <w:t>6</w:t>
            </w:r>
            <w:r w:rsidRPr="00296462">
              <w:t xml:space="preserve"> May 2022</w:t>
            </w:r>
          </w:p>
        </w:tc>
      </w:tr>
    </w:tbl>
    <w:p w14:paraId="20BE6089" w14:textId="77777777" w:rsidR="0032473F" w:rsidRPr="00296462" w:rsidRDefault="0032473F" w:rsidP="0032473F">
      <w:pPr>
        <w:rPr>
          <w:lang w:eastAsia="ko-KR"/>
        </w:rPr>
      </w:pPr>
    </w:p>
    <w:p w14:paraId="428A1B78" w14:textId="77777777" w:rsidR="0032473F" w:rsidRPr="00296462" w:rsidRDefault="0032473F" w:rsidP="0032473F">
      <w:pPr>
        <w:jc w:val="center"/>
        <w:rPr>
          <w:sz w:val="16"/>
          <w:szCs w:val="16"/>
          <w:lang w:eastAsia="ko-KR"/>
        </w:rPr>
      </w:pPr>
    </w:p>
    <w:p w14:paraId="1DF25782" w14:textId="3B2E406F" w:rsidR="00503B95" w:rsidRDefault="00B412C5" w:rsidP="00B412C5">
      <w:pPr>
        <w:jc w:val="center"/>
        <w:rPr>
          <w:lang w:eastAsia="ko-KR"/>
        </w:rPr>
      </w:pPr>
      <w:r>
        <w:rPr>
          <w:lang w:eastAsia="ko-KR"/>
        </w:rPr>
        <w:t>Working Group on Policy, Regulation and Services</w:t>
      </w:r>
    </w:p>
    <w:p w14:paraId="20BDCA53" w14:textId="7D7994DC" w:rsidR="0032473F" w:rsidRDefault="0032473F" w:rsidP="00503B95">
      <w:pPr>
        <w:jc w:val="center"/>
        <w:rPr>
          <w:lang w:eastAsia="ko-KR"/>
        </w:rPr>
      </w:pPr>
    </w:p>
    <w:p w14:paraId="3C50AE1D" w14:textId="77777777" w:rsidR="009D2B01" w:rsidRPr="00BC76D8" w:rsidRDefault="009D2B01" w:rsidP="00503B95">
      <w:pPr>
        <w:jc w:val="center"/>
        <w:rPr>
          <w:lang w:eastAsia="ko-KR"/>
        </w:rPr>
      </w:pPr>
    </w:p>
    <w:p w14:paraId="14644219" w14:textId="14C3F4E9" w:rsidR="00503B95" w:rsidRPr="0032473F" w:rsidRDefault="00503B95" w:rsidP="0032473F">
      <w:pPr>
        <w:jc w:val="center"/>
        <w:rPr>
          <w:rFonts w:eastAsia="Batang"/>
          <w:b/>
          <w:bCs/>
          <w:lang w:eastAsia="ko-KR"/>
        </w:rPr>
      </w:pPr>
      <w:r w:rsidRPr="00EA7A23">
        <w:rPr>
          <w:rFonts w:eastAsia="Batang"/>
          <w:b/>
          <w:bCs/>
          <w:lang w:eastAsia="ko-KR"/>
        </w:rPr>
        <w:t xml:space="preserve">QUESTIONNAIRE ON </w:t>
      </w:r>
      <w:r w:rsidR="00290B47" w:rsidRPr="00DB3A08">
        <w:rPr>
          <w:b/>
          <w:bCs/>
        </w:rPr>
        <w:t>DEVELOPMENT OF ENABLING POLICY AND REGULATORY ENVIRONMENTS, IN THE CONTEXT OF SATRC, TO EMBRACE THE NEW ECOSYSTEM BROUGHT BY 5G</w:t>
      </w:r>
    </w:p>
    <w:p w14:paraId="65487B8B" w14:textId="77777777" w:rsidR="00503B95" w:rsidRPr="002526C3" w:rsidRDefault="00503B95" w:rsidP="00503B95"/>
    <w:p w14:paraId="28B861C2" w14:textId="77777777" w:rsidR="00503B95" w:rsidRPr="00EA7A23" w:rsidRDefault="00503B95" w:rsidP="00503B95">
      <w:pPr>
        <w:spacing w:line="259" w:lineRule="auto"/>
        <w:rPr>
          <w:rFonts w:eastAsiaTheme="minorHAnsi"/>
        </w:rPr>
      </w:pPr>
    </w:p>
    <w:p w14:paraId="448B1649" w14:textId="0A39F2E9" w:rsidR="00503B95" w:rsidRPr="00540915" w:rsidRDefault="00540915" w:rsidP="00540915">
      <w:pPr>
        <w:tabs>
          <w:tab w:val="left" w:pos="567"/>
        </w:tabs>
        <w:spacing w:line="360" w:lineRule="auto"/>
        <w:jc w:val="both"/>
        <w:rPr>
          <w:b/>
        </w:rPr>
      </w:pPr>
      <w:r w:rsidRPr="00540915">
        <w:rPr>
          <w:b/>
        </w:rPr>
        <w:t>1.</w:t>
      </w:r>
      <w:r>
        <w:rPr>
          <w:b/>
        </w:rPr>
        <w:t xml:space="preserve"> </w:t>
      </w:r>
      <w:r w:rsidR="00503B95" w:rsidRPr="00540915">
        <w:rPr>
          <w:b/>
        </w:rPr>
        <w:t>BACKGROUND AND PURPOSE</w:t>
      </w:r>
    </w:p>
    <w:p w14:paraId="10F2F80A" w14:textId="77777777" w:rsidR="001811E0" w:rsidRDefault="001811E0" w:rsidP="00540915">
      <w:pPr>
        <w:jc w:val="both"/>
      </w:pPr>
      <w:r w:rsidRPr="00D9199C">
        <w:t>The overall objective of the Strategic Plan of the APT for 2021-2023 is to accelerate the digital transformation of the economy and society in the Asia-Pacific region. Enabling conducive environments and harnessing the benefits of telecommunication/ICT is necessary to achieve the objective</w:t>
      </w:r>
      <w:r>
        <w:t xml:space="preserve"> of</w:t>
      </w:r>
      <w:r w:rsidRPr="00D9199C">
        <w:t xml:space="preserve"> digital transformation</w:t>
      </w:r>
      <w:r>
        <w:t xml:space="preserve">. </w:t>
      </w:r>
    </w:p>
    <w:p w14:paraId="54224C88" w14:textId="77777777" w:rsidR="001811E0" w:rsidRDefault="001811E0" w:rsidP="001811E0">
      <w:pPr>
        <w:ind w:left="567"/>
        <w:jc w:val="both"/>
      </w:pPr>
    </w:p>
    <w:p w14:paraId="52DDCA42" w14:textId="746FBBB6" w:rsidR="00BF5A4C" w:rsidRDefault="00BF5A4C" w:rsidP="00BF5A4C">
      <w:pPr>
        <w:jc w:val="both"/>
      </w:pPr>
      <w:r>
        <w:t>According to studies, 5G is expected to enable significant economic and social value by improving economic growth, enhancing citizen’s life experiences and creating new business opportunities for many industries embarking on their digital transformations. 5G provides several potential use cases across industry verticals and will cater to diverse service requirements. It is also suggested that 5G deployment may</w:t>
      </w:r>
      <w:r w:rsidDel="00DD33B0">
        <w:t xml:space="preserve"> </w:t>
      </w:r>
      <w:r>
        <w:t>help</w:t>
      </w:r>
      <w:r>
        <w:t xml:space="preserve"> </w:t>
      </w:r>
      <w:r>
        <w:t xml:space="preserve">countries to meet sustainable development goals in areas of high societal impact like manufacturing, agriculture, energy, education, healthcare, transport, public security and banking. </w:t>
      </w:r>
    </w:p>
    <w:p w14:paraId="7B530DC7" w14:textId="77777777" w:rsidR="001811E0" w:rsidRDefault="001811E0" w:rsidP="001811E0">
      <w:pPr>
        <w:ind w:left="567"/>
        <w:jc w:val="both"/>
      </w:pPr>
    </w:p>
    <w:p w14:paraId="3C448700" w14:textId="77777777" w:rsidR="001811E0" w:rsidRDefault="001811E0" w:rsidP="00540915">
      <w:pPr>
        <w:spacing w:line="276" w:lineRule="auto"/>
        <w:jc w:val="both"/>
      </w:pPr>
      <w:r>
        <w:t xml:space="preserve">Adoption of anticipated use cases and management of 5G ecosystem would require coordinated efforts with cross-sectoral involvement. </w:t>
      </w:r>
      <w:r w:rsidRPr="00D9199C">
        <w:t>Development in enabling policy and regulatory environments is the key to foster an open and competitive economy in th</w:t>
      </w:r>
      <w:r>
        <w:t>is</w:t>
      </w:r>
      <w:r w:rsidRPr="00D9199C">
        <w:t xml:space="preserve"> new ecosystem brought by 5G. The main purpose of this work item is to identify such enabling policy and regulatory approaches in the context of SATRC</w:t>
      </w:r>
      <w:r>
        <w:t>.</w:t>
      </w:r>
    </w:p>
    <w:p w14:paraId="2844FF5F" w14:textId="77777777" w:rsidR="0065648E" w:rsidRPr="00EA7A23" w:rsidRDefault="0065648E" w:rsidP="00503B95">
      <w:pPr>
        <w:tabs>
          <w:tab w:val="left" w:pos="567"/>
        </w:tabs>
        <w:spacing w:after="160"/>
        <w:contextualSpacing/>
        <w:jc w:val="both"/>
        <w:rPr>
          <w:rFonts w:eastAsia="Batang"/>
          <w:b/>
          <w:lang w:eastAsia="ko-KR"/>
        </w:rPr>
      </w:pPr>
    </w:p>
    <w:p w14:paraId="05608FD9" w14:textId="33C63FD4" w:rsidR="00503B95" w:rsidRPr="00EA7A23" w:rsidRDefault="00503B95" w:rsidP="00503B95">
      <w:pPr>
        <w:tabs>
          <w:tab w:val="left" w:pos="567"/>
        </w:tabs>
        <w:spacing w:after="160" w:line="360" w:lineRule="auto"/>
        <w:contextualSpacing/>
        <w:jc w:val="both"/>
        <w:rPr>
          <w:rFonts w:eastAsia="Batang"/>
          <w:b/>
          <w:lang w:eastAsia="ko-KR"/>
        </w:rPr>
      </w:pPr>
      <w:r w:rsidRPr="00EA7A23">
        <w:rPr>
          <w:rFonts w:eastAsia="Batang"/>
          <w:b/>
          <w:lang w:eastAsia="ko-KR"/>
        </w:rPr>
        <w:t>2.</w:t>
      </w:r>
      <w:r w:rsidR="00540915">
        <w:rPr>
          <w:rFonts w:eastAsia="Batang"/>
          <w:b/>
          <w:lang w:eastAsia="ko-KR"/>
        </w:rPr>
        <w:t xml:space="preserve"> </w:t>
      </w:r>
      <w:r w:rsidRPr="00EA7A23">
        <w:rPr>
          <w:rFonts w:eastAsia="Batang"/>
          <w:b/>
          <w:lang w:eastAsia="ko-KR"/>
        </w:rPr>
        <w:t>SCOPE</w:t>
      </w:r>
    </w:p>
    <w:p w14:paraId="7BEE14E5" w14:textId="117EB1C1" w:rsidR="001811E0" w:rsidRDefault="001811E0" w:rsidP="00540915">
      <w:pPr>
        <w:autoSpaceDE w:val="0"/>
        <w:autoSpaceDN w:val="0"/>
        <w:adjustRightInd w:val="0"/>
        <w:jc w:val="both"/>
      </w:pPr>
      <w:r>
        <w:t xml:space="preserve">Regulators need to support and facilitate the proliferation of new services and new use cases. There is a need to remove regulatory barriers and align on various aspects such as standards, technology, spectrum, security and RoW for timely roll out of the services and further growth. </w:t>
      </w:r>
    </w:p>
    <w:p w14:paraId="77A48727" w14:textId="77777777" w:rsidR="001811E0" w:rsidRDefault="001811E0" w:rsidP="001811E0">
      <w:pPr>
        <w:autoSpaceDE w:val="0"/>
        <w:autoSpaceDN w:val="0"/>
        <w:adjustRightInd w:val="0"/>
        <w:ind w:left="709" w:hanging="141"/>
        <w:jc w:val="both"/>
      </w:pPr>
    </w:p>
    <w:p w14:paraId="7DE1EE02" w14:textId="68FBCCE2" w:rsidR="001811E0" w:rsidRDefault="001811E0" w:rsidP="00540915">
      <w:pPr>
        <w:autoSpaceDE w:val="0"/>
        <w:autoSpaceDN w:val="0"/>
        <w:adjustRightInd w:val="0"/>
        <w:jc w:val="both"/>
      </w:pPr>
      <w:r>
        <w:t xml:space="preserve">The scope of this report </w:t>
      </w:r>
      <w:r w:rsidR="00B412C5">
        <w:t>is</w:t>
      </w:r>
      <w:r>
        <w:t xml:space="preserve"> to explore the possible policy and regulatory framework in areas such as:</w:t>
      </w:r>
    </w:p>
    <w:p w14:paraId="54355677" w14:textId="1D42F2FE" w:rsidR="001811E0" w:rsidRDefault="001811E0" w:rsidP="001811E0">
      <w:pPr>
        <w:autoSpaceDE w:val="0"/>
        <w:autoSpaceDN w:val="0"/>
        <w:adjustRightInd w:val="0"/>
        <w:ind w:left="567"/>
        <w:jc w:val="both"/>
      </w:pPr>
    </w:p>
    <w:p w14:paraId="5AE9C23A" w14:textId="77777777" w:rsidR="001811E0" w:rsidRPr="001811E0" w:rsidRDefault="001811E0" w:rsidP="001811E0">
      <w:pPr>
        <w:pStyle w:val="ListParagraph"/>
        <w:numPr>
          <w:ilvl w:val="0"/>
          <w:numId w:val="2"/>
        </w:numPr>
        <w:adjustRightInd w:val="0"/>
        <w:ind w:left="993"/>
        <w:jc w:val="both"/>
        <w:rPr>
          <w:b/>
          <w:bCs/>
        </w:rPr>
      </w:pPr>
      <w:r w:rsidRPr="001811E0">
        <w:rPr>
          <w:b/>
          <w:bCs/>
        </w:rPr>
        <w:t xml:space="preserve">Spectrum </w:t>
      </w:r>
    </w:p>
    <w:p w14:paraId="54CD14CB" w14:textId="77777777" w:rsidR="001811E0" w:rsidRDefault="001811E0" w:rsidP="001811E0">
      <w:pPr>
        <w:pStyle w:val="ListParagraph"/>
        <w:numPr>
          <w:ilvl w:val="0"/>
          <w:numId w:val="3"/>
        </w:numPr>
        <w:adjustRightInd w:val="0"/>
        <w:jc w:val="both"/>
      </w:pPr>
      <w:r>
        <w:t>Roadmap</w:t>
      </w:r>
    </w:p>
    <w:p w14:paraId="5AA394E6" w14:textId="77777777" w:rsidR="001811E0" w:rsidRDefault="001811E0" w:rsidP="001811E0">
      <w:pPr>
        <w:pStyle w:val="ListParagraph"/>
        <w:numPr>
          <w:ilvl w:val="0"/>
          <w:numId w:val="3"/>
        </w:numPr>
        <w:adjustRightInd w:val="0"/>
        <w:jc w:val="both"/>
      </w:pPr>
      <w:r>
        <w:t>Allocation</w:t>
      </w:r>
    </w:p>
    <w:p w14:paraId="50941DA3" w14:textId="77777777" w:rsidR="001811E0" w:rsidRDefault="001811E0" w:rsidP="001811E0">
      <w:pPr>
        <w:pStyle w:val="ListParagraph"/>
        <w:numPr>
          <w:ilvl w:val="0"/>
          <w:numId w:val="3"/>
        </w:numPr>
        <w:adjustRightInd w:val="0"/>
        <w:jc w:val="both"/>
      </w:pPr>
      <w:r>
        <w:t>Sharing</w:t>
      </w:r>
    </w:p>
    <w:p w14:paraId="5D41C723" w14:textId="7E34617A" w:rsidR="001811E0" w:rsidRDefault="001811E0" w:rsidP="001811E0">
      <w:pPr>
        <w:pStyle w:val="ListParagraph"/>
        <w:numPr>
          <w:ilvl w:val="0"/>
          <w:numId w:val="3"/>
        </w:numPr>
        <w:adjustRightInd w:val="0"/>
        <w:jc w:val="both"/>
      </w:pPr>
      <w:r>
        <w:t>Harmonization</w:t>
      </w:r>
    </w:p>
    <w:p w14:paraId="3A8C8872" w14:textId="77777777" w:rsidR="009D2B01" w:rsidRDefault="009D2B01" w:rsidP="009D2B01">
      <w:pPr>
        <w:pStyle w:val="ListParagraph"/>
        <w:adjustRightInd w:val="0"/>
        <w:ind w:left="1440"/>
        <w:jc w:val="both"/>
      </w:pPr>
    </w:p>
    <w:p w14:paraId="3F816A26" w14:textId="77777777" w:rsidR="001811E0" w:rsidRPr="001811E0" w:rsidRDefault="001811E0" w:rsidP="001811E0">
      <w:pPr>
        <w:pStyle w:val="ListParagraph"/>
        <w:numPr>
          <w:ilvl w:val="0"/>
          <w:numId w:val="2"/>
        </w:numPr>
        <w:adjustRightInd w:val="0"/>
        <w:ind w:left="1134" w:hanging="425"/>
        <w:jc w:val="both"/>
        <w:rPr>
          <w:b/>
          <w:bCs/>
        </w:rPr>
      </w:pPr>
      <w:r w:rsidRPr="001811E0">
        <w:rPr>
          <w:b/>
          <w:bCs/>
        </w:rPr>
        <w:t>Rollout</w:t>
      </w:r>
    </w:p>
    <w:p w14:paraId="62D204E0" w14:textId="739DE733" w:rsidR="001811E0" w:rsidRDefault="009D2B01" w:rsidP="001811E0">
      <w:pPr>
        <w:pStyle w:val="ListParagraph"/>
        <w:numPr>
          <w:ilvl w:val="0"/>
          <w:numId w:val="4"/>
        </w:numPr>
        <w:adjustRightInd w:val="0"/>
        <w:jc w:val="both"/>
      </w:pPr>
      <w:r>
        <w:t>Fiber</w:t>
      </w:r>
      <w:r w:rsidR="001811E0">
        <w:t xml:space="preserve"> Backhaul</w:t>
      </w:r>
      <w:r w:rsidR="00E838DA">
        <w:t>/ Microwave Backhaul</w:t>
      </w:r>
    </w:p>
    <w:p w14:paraId="01C0AF39" w14:textId="5BD9FB6D" w:rsidR="001811E0" w:rsidRDefault="001811E0" w:rsidP="00B06E19">
      <w:pPr>
        <w:pStyle w:val="ListParagraph"/>
        <w:numPr>
          <w:ilvl w:val="0"/>
          <w:numId w:val="4"/>
        </w:numPr>
        <w:adjustRightInd w:val="0"/>
        <w:jc w:val="both"/>
      </w:pPr>
      <w:r>
        <w:lastRenderedPageBreak/>
        <w:t>Infrastructure</w:t>
      </w:r>
    </w:p>
    <w:p w14:paraId="1D40482E" w14:textId="77777777" w:rsidR="005E0987" w:rsidRDefault="005E0987" w:rsidP="005E0987">
      <w:pPr>
        <w:pStyle w:val="ListParagraph"/>
        <w:numPr>
          <w:ilvl w:val="0"/>
          <w:numId w:val="4"/>
        </w:numPr>
        <w:adjustRightInd w:val="0"/>
        <w:jc w:val="both"/>
      </w:pPr>
      <w:r>
        <w:t xml:space="preserve">Cross-sector infrastructure sharing </w:t>
      </w:r>
    </w:p>
    <w:p w14:paraId="580EC019" w14:textId="0E3134A6" w:rsidR="001811E0" w:rsidRDefault="001811E0" w:rsidP="001811E0">
      <w:pPr>
        <w:pStyle w:val="ListParagraph"/>
        <w:numPr>
          <w:ilvl w:val="0"/>
          <w:numId w:val="4"/>
        </w:numPr>
        <w:adjustRightInd w:val="0"/>
        <w:jc w:val="both"/>
      </w:pPr>
      <w:r>
        <w:t>Access to site locations</w:t>
      </w:r>
    </w:p>
    <w:p w14:paraId="10BD75FC" w14:textId="77777777" w:rsidR="006F63E3" w:rsidRDefault="006F63E3" w:rsidP="006F63E3">
      <w:pPr>
        <w:pStyle w:val="ListParagraph"/>
        <w:adjustRightInd w:val="0"/>
        <w:ind w:left="1440"/>
        <w:jc w:val="both"/>
      </w:pPr>
    </w:p>
    <w:p w14:paraId="48EC673C" w14:textId="77777777" w:rsidR="001811E0" w:rsidRPr="001811E0" w:rsidRDefault="001811E0" w:rsidP="001811E0">
      <w:pPr>
        <w:pStyle w:val="ListParagraph"/>
        <w:numPr>
          <w:ilvl w:val="0"/>
          <w:numId w:val="2"/>
        </w:numPr>
        <w:adjustRightInd w:val="0"/>
        <w:ind w:left="1134" w:hanging="425"/>
        <w:jc w:val="both"/>
        <w:rPr>
          <w:b/>
          <w:bCs/>
        </w:rPr>
      </w:pPr>
      <w:r w:rsidRPr="001811E0">
        <w:rPr>
          <w:b/>
          <w:bCs/>
        </w:rPr>
        <w:t>Pro-active tasks</w:t>
      </w:r>
    </w:p>
    <w:p w14:paraId="304145B6" w14:textId="77777777" w:rsidR="001811E0" w:rsidRDefault="001811E0" w:rsidP="001811E0">
      <w:pPr>
        <w:pStyle w:val="ListParagraph"/>
        <w:numPr>
          <w:ilvl w:val="0"/>
          <w:numId w:val="5"/>
        </w:numPr>
        <w:adjustRightInd w:val="0"/>
        <w:jc w:val="both"/>
      </w:pPr>
      <w:r>
        <w:t>5G testbeds</w:t>
      </w:r>
    </w:p>
    <w:p w14:paraId="531C1395" w14:textId="77777777" w:rsidR="001811E0" w:rsidRDefault="001811E0" w:rsidP="001811E0">
      <w:pPr>
        <w:pStyle w:val="ListParagraph"/>
        <w:numPr>
          <w:ilvl w:val="0"/>
          <w:numId w:val="5"/>
        </w:numPr>
        <w:adjustRightInd w:val="0"/>
        <w:jc w:val="both"/>
      </w:pPr>
      <w:r>
        <w:t>Identification of 5G use cases and developing roadmaps for their phased launch (current, short term and long term)</w:t>
      </w:r>
    </w:p>
    <w:p w14:paraId="77282B5E" w14:textId="4F64086E" w:rsidR="001811E0" w:rsidRDefault="001811E0" w:rsidP="001811E0">
      <w:pPr>
        <w:pStyle w:val="ListParagraph"/>
        <w:numPr>
          <w:ilvl w:val="0"/>
          <w:numId w:val="5"/>
        </w:numPr>
        <w:adjustRightInd w:val="0"/>
        <w:jc w:val="both"/>
      </w:pPr>
      <w:r>
        <w:t>Enabling adoption of the use cases in vertical industries</w:t>
      </w:r>
      <w:r w:rsidR="00E838DA">
        <w:t xml:space="preserve"> (Institutional mechanism)</w:t>
      </w:r>
    </w:p>
    <w:p w14:paraId="4BA45387" w14:textId="77777777" w:rsidR="006F63E3" w:rsidRDefault="006F63E3" w:rsidP="006F63E3">
      <w:pPr>
        <w:pStyle w:val="ListParagraph"/>
        <w:adjustRightInd w:val="0"/>
        <w:ind w:left="1440"/>
        <w:jc w:val="both"/>
      </w:pPr>
    </w:p>
    <w:p w14:paraId="5B14B919" w14:textId="77777777" w:rsidR="001811E0" w:rsidRPr="001811E0" w:rsidRDefault="001811E0" w:rsidP="001811E0">
      <w:pPr>
        <w:pStyle w:val="ListParagraph"/>
        <w:numPr>
          <w:ilvl w:val="0"/>
          <w:numId w:val="2"/>
        </w:numPr>
        <w:adjustRightInd w:val="0"/>
        <w:ind w:left="1134" w:hanging="425"/>
        <w:jc w:val="both"/>
        <w:rPr>
          <w:b/>
          <w:bCs/>
        </w:rPr>
      </w:pPr>
      <w:r w:rsidRPr="001811E0">
        <w:rPr>
          <w:b/>
          <w:bCs/>
        </w:rPr>
        <w:t>Other regulatory aspects</w:t>
      </w:r>
    </w:p>
    <w:p w14:paraId="450DC8FA" w14:textId="77777777" w:rsidR="001811E0" w:rsidRDefault="001811E0" w:rsidP="001811E0">
      <w:pPr>
        <w:pStyle w:val="ListParagraph"/>
        <w:numPr>
          <w:ilvl w:val="0"/>
          <w:numId w:val="6"/>
        </w:numPr>
        <w:adjustRightInd w:val="0"/>
        <w:jc w:val="both"/>
      </w:pPr>
      <w:r>
        <w:t>Engagement with international standardization process</w:t>
      </w:r>
    </w:p>
    <w:p w14:paraId="3CE3F0F1" w14:textId="77777777" w:rsidR="001811E0" w:rsidRDefault="001811E0" w:rsidP="001811E0">
      <w:pPr>
        <w:pStyle w:val="ListParagraph"/>
        <w:numPr>
          <w:ilvl w:val="0"/>
          <w:numId w:val="6"/>
        </w:numPr>
        <w:adjustRightInd w:val="0"/>
        <w:jc w:val="both"/>
      </w:pPr>
      <w:r>
        <w:t>Data and Device security</w:t>
      </w:r>
    </w:p>
    <w:p w14:paraId="0F9F2A64" w14:textId="77777777" w:rsidR="001811E0" w:rsidRDefault="001811E0" w:rsidP="001811E0">
      <w:pPr>
        <w:pStyle w:val="ListParagraph"/>
        <w:numPr>
          <w:ilvl w:val="0"/>
          <w:numId w:val="6"/>
        </w:numPr>
        <w:adjustRightInd w:val="0"/>
        <w:jc w:val="both"/>
      </w:pPr>
      <w:r>
        <w:t>Addressing Digital divide</w:t>
      </w:r>
    </w:p>
    <w:p w14:paraId="6829F3D3" w14:textId="77777777" w:rsidR="001811E0" w:rsidRDefault="001811E0" w:rsidP="001811E0">
      <w:pPr>
        <w:pStyle w:val="ListParagraph"/>
        <w:numPr>
          <w:ilvl w:val="0"/>
          <w:numId w:val="6"/>
        </w:numPr>
        <w:adjustRightInd w:val="0"/>
        <w:jc w:val="both"/>
      </w:pPr>
      <w:r>
        <w:t>Formulating measures to increase 5G coverage</w:t>
      </w:r>
    </w:p>
    <w:p w14:paraId="2C7BDA04" w14:textId="75B78C3B" w:rsidR="001811E0" w:rsidRDefault="001811E0" w:rsidP="001811E0">
      <w:pPr>
        <w:pStyle w:val="ListParagraph"/>
        <w:numPr>
          <w:ilvl w:val="0"/>
          <w:numId w:val="6"/>
        </w:numPr>
        <w:adjustRightInd w:val="0"/>
        <w:jc w:val="both"/>
      </w:pPr>
      <w:r>
        <w:t>Experimentations and investment in R&amp;D</w:t>
      </w:r>
    </w:p>
    <w:p w14:paraId="1D8BB450" w14:textId="139124BA" w:rsidR="00631A9D" w:rsidRDefault="00631A9D" w:rsidP="001811E0">
      <w:pPr>
        <w:pStyle w:val="ListParagraph"/>
        <w:numPr>
          <w:ilvl w:val="0"/>
          <w:numId w:val="6"/>
        </w:numPr>
        <w:adjustRightInd w:val="0"/>
        <w:jc w:val="both"/>
      </w:pPr>
      <w:r>
        <w:t>Cross sector collaboration</w:t>
      </w:r>
    </w:p>
    <w:p w14:paraId="2C70B2FF" w14:textId="77777777" w:rsidR="001811E0" w:rsidRDefault="001811E0" w:rsidP="00E802A4">
      <w:pPr>
        <w:autoSpaceDE w:val="0"/>
        <w:autoSpaceDN w:val="0"/>
        <w:adjustRightInd w:val="0"/>
        <w:jc w:val="both"/>
      </w:pPr>
    </w:p>
    <w:p w14:paraId="29CA59C8" w14:textId="23F0EB0E" w:rsidR="00503B95" w:rsidRDefault="00503B95" w:rsidP="00503B95">
      <w:pPr>
        <w:jc w:val="both"/>
        <w:rPr>
          <w:rFonts w:eastAsia="Batang"/>
          <w:b/>
          <w:lang w:eastAsia="ko-KR"/>
        </w:rPr>
      </w:pPr>
      <w:r w:rsidRPr="00EA7A23">
        <w:rPr>
          <w:rFonts w:eastAsia="Batang"/>
          <w:b/>
          <w:lang w:eastAsia="ko-KR"/>
        </w:rPr>
        <w:t>3.</w:t>
      </w:r>
      <w:r w:rsidR="00540915">
        <w:rPr>
          <w:rFonts w:eastAsia="Batang"/>
          <w:b/>
          <w:lang w:eastAsia="ko-KR"/>
        </w:rPr>
        <w:t xml:space="preserve"> </w:t>
      </w:r>
      <w:r w:rsidRPr="00EA7A23">
        <w:rPr>
          <w:rFonts w:eastAsia="Batang"/>
          <w:b/>
          <w:lang w:eastAsia="ko-KR"/>
        </w:rPr>
        <w:t>METHODOLOGY FOR CARRYING OUT THE STUDY</w:t>
      </w:r>
    </w:p>
    <w:p w14:paraId="52E31450" w14:textId="77777777" w:rsidR="00503B95" w:rsidRPr="00EA7A23" w:rsidRDefault="00503B95" w:rsidP="00503B95">
      <w:pPr>
        <w:jc w:val="both"/>
        <w:rPr>
          <w:rFonts w:eastAsia="Batang"/>
          <w:b/>
          <w:lang w:eastAsia="ko-KR"/>
        </w:rPr>
      </w:pPr>
    </w:p>
    <w:p w14:paraId="6C8F25EA" w14:textId="2FD7810F" w:rsidR="00503B95" w:rsidRPr="00EA7A23" w:rsidRDefault="00503B95" w:rsidP="00540915">
      <w:pPr>
        <w:contextualSpacing/>
        <w:jc w:val="both"/>
        <w:rPr>
          <w:rFonts w:eastAsia="Batang"/>
          <w:lang w:eastAsia="ko-KR"/>
        </w:rPr>
      </w:pPr>
      <w:r w:rsidRPr="00EA7A23">
        <w:rPr>
          <w:rFonts w:eastAsia="Batang"/>
          <w:lang w:eastAsia="ko-KR"/>
        </w:rPr>
        <w:t xml:space="preserve">The study will be carried out by the Lead Expert in consultation with the other Experts from Member countries on the subject. Therefore, in order to pursue the study, the following questions are prepared to obtain input (information) on the subject. Based on the inputs, the lead expert will compile and generate report for the SATRC regions. </w:t>
      </w:r>
    </w:p>
    <w:p w14:paraId="4AAE6E94" w14:textId="77777777" w:rsidR="00503B95" w:rsidRPr="00EA7A23" w:rsidRDefault="00503B95" w:rsidP="00503B95">
      <w:pPr>
        <w:tabs>
          <w:tab w:val="left" w:pos="567"/>
        </w:tabs>
        <w:spacing w:line="259" w:lineRule="auto"/>
        <w:contextualSpacing/>
        <w:jc w:val="both"/>
        <w:rPr>
          <w:rFonts w:eastAsia="Batang"/>
          <w:b/>
          <w:lang w:eastAsia="ko-KR"/>
        </w:rPr>
      </w:pPr>
    </w:p>
    <w:p w14:paraId="20D50540" w14:textId="23568490" w:rsidR="00503B95" w:rsidRPr="001B5336" w:rsidRDefault="00503B95" w:rsidP="00503B95">
      <w:pPr>
        <w:tabs>
          <w:tab w:val="left" w:pos="567"/>
        </w:tabs>
        <w:spacing w:line="259" w:lineRule="auto"/>
        <w:contextualSpacing/>
        <w:jc w:val="both"/>
        <w:rPr>
          <w:rFonts w:eastAsia="Batang"/>
          <w:b/>
          <w:lang w:eastAsia="ko-KR"/>
        </w:rPr>
      </w:pPr>
      <w:r w:rsidRPr="001B5336">
        <w:rPr>
          <w:rFonts w:eastAsia="Batang"/>
          <w:b/>
          <w:lang w:eastAsia="ko-KR"/>
        </w:rPr>
        <w:t>4.</w:t>
      </w:r>
      <w:r w:rsidR="00540915">
        <w:rPr>
          <w:rFonts w:eastAsia="Batang"/>
          <w:b/>
          <w:lang w:eastAsia="ko-KR"/>
        </w:rPr>
        <w:t xml:space="preserve"> </w:t>
      </w:r>
      <w:r>
        <w:rPr>
          <w:rFonts w:eastAsia="Batang"/>
          <w:b/>
          <w:lang w:eastAsia="ko-KR"/>
        </w:rPr>
        <w:t>QUESTIONS</w:t>
      </w:r>
    </w:p>
    <w:p w14:paraId="273727CB" w14:textId="77777777" w:rsidR="00503B95" w:rsidRPr="001B5336" w:rsidRDefault="00503B95" w:rsidP="00503B95">
      <w:pPr>
        <w:tabs>
          <w:tab w:val="left" w:pos="567"/>
        </w:tabs>
        <w:spacing w:line="259" w:lineRule="auto"/>
        <w:contextualSpacing/>
        <w:jc w:val="both"/>
        <w:rPr>
          <w:rFonts w:eastAsia="Batang"/>
          <w:b/>
          <w:lang w:eastAsia="ko-KR"/>
        </w:rPr>
      </w:pPr>
    </w:p>
    <w:p w14:paraId="4D4D79E8" w14:textId="3C54B46E" w:rsidR="0071096C" w:rsidRDefault="0071096C" w:rsidP="00503B95">
      <w:pPr>
        <w:tabs>
          <w:tab w:val="left" w:pos="567"/>
        </w:tabs>
        <w:spacing w:line="276" w:lineRule="auto"/>
        <w:contextualSpacing/>
        <w:jc w:val="both"/>
      </w:pPr>
      <w:r>
        <w:t xml:space="preserve">Q1. </w:t>
      </w:r>
      <w:r w:rsidR="00D70688">
        <w:t xml:space="preserve">What are the key points of spectrum auction and </w:t>
      </w:r>
      <w:r w:rsidR="00174AA6">
        <w:t xml:space="preserve">the </w:t>
      </w:r>
      <w:r w:rsidR="00D70688">
        <w:t xml:space="preserve">status of spectrum allocation </w:t>
      </w:r>
      <w:r w:rsidR="00EE6765">
        <w:t>in your country</w:t>
      </w:r>
      <w:r w:rsidR="00EE6765" w:rsidRPr="00EE6765">
        <w:t xml:space="preserve"> </w:t>
      </w:r>
      <w:r w:rsidR="00EE6765">
        <w:t>for 5G</w:t>
      </w:r>
      <w:r w:rsidR="00D70688">
        <w:t xml:space="preserve">? </w:t>
      </w:r>
    </w:p>
    <w:p w14:paraId="3A70619D" w14:textId="045D8946" w:rsidR="0071096C" w:rsidRDefault="0071096C" w:rsidP="00503B95">
      <w:pPr>
        <w:tabs>
          <w:tab w:val="left" w:pos="567"/>
        </w:tabs>
        <w:spacing w:line="276" w:lineRule="auto"/>
        <w:contextualSpacing/>
        <w:jc w:val="both"/>
      </w:pPr>
    </w:p>
    <w:p w14:paraId="1367EF9D" w14:textId="61C77202" w:rsidR="0071096C" w:rsidRDefault="0071096C" w:rsidP="00503B95">
      <w:pPr>
        <w:tabs>
          <w:tab w:val="left" w:pos="567"/>
        </w:tabs>
        <w:spacing w:line="276" w:lineRule="auto"/>
        <w:contextualSpacing/>
        <w:jc w:val="both"/>
      </w:pPr>
      <w:r>
        <w:t xml:space="preserve">Q2. </w:t>
      </w:r>
      <w:r w:rsidR="00D70688">
        <w:t>Which spectrum bands have been identified and auctioned</w:t>
      </w:r>
      <w:r w:rsidR="00EE6765">
        <w:t xml:space="preserve">/ </w:t>
      </w:r>
      <w:r w:rsidR="00174AA6">
        <w:t xml:space="preserve">are </w:t>
      </w:r>
      <w:r w:rsidR="00EE6765">
        <w:t>being considered for auction</w:t>
      </w:r>
      <w:r w:rsidR="00D70688">
        <w:t xml:space="preserve">? </w:t>
      </w:r>
      <w:r w:rsidR="00CA546E">
        <w:t xml:space="preserve">What are the </w:t>
      </w:r>
      <w:r w:rsidR="00EE6765">
        <w:t>broad considerations for selecting</w:t>
      </w:r>
      <w:r w:rsidR="00CA546E">
        <w:t xml:space="preserve"> these bands?</w:t>
      </w:r>
      <w:r w:rsidR="00766D32">
        <w:t xml:space="preserve"> Have potential use cases been a part of the criteria for </w:t>
      </w:r>
      <w:r w:rsidR="00174AA6">
        <w:t xml:space="preserve">the </w:t>
      </w:r>
      <w:r w:rsidR="00766D32">
        <w:t>selection of these bands? Please elaborate.</w:t>
      </w:r>
    </w:p>
    <w:p w14:paraId="00E5864C" w14:textId="005DCA8F" w:rsidR="0071096C" w:rsidRDefault="0071096C" w:rsidP="00503B95">
      <w:pPr>
        <w:tabs>
          <w:tab w:val="left" w:pos="567"/>
        </w:tabs>
        <w:spacing w:line="276" w:lineRule="auto"/>
        <w:contextualSpacing/>
        <w:jc w:val="both"/>
      </w:pPr>
    </w:p>
    <w:p w14:paraId="2930853A" w14:textId="17B6041E" w:rsidR="0071096C" w:rsidRDefault="0071096C" w:rsidP="00503B95">
      <w:pPr>
        <w:tabs>
          <w:tab w:val="left" w:pos="567"/>
        </w:tabs>
        <w:spacing w:line="276" w:lineRule="auto"/>
        <w:contextualSpacing/>
        <w:jc w:val="both"/>
      </w:pPr>
      <w:r>
        <w:t>Q3.</w:t>
      </w:r>
      <w:r w:rsidR="00CA546E">
        <w:t xml:space="preserve"> Is there a spectrum roadmap prepared by the regulator</w:t>
      </w:r>
      <w:r w:rsidR="00C7423B">
        <w:t xml:space="preserve"> </w:t>
      </w:r>
      <w:r w:rsidR="00174AA6">
        <w:t>concerning</w:t>
      </w:r>
      <w:r w:rsidR="00C7423B">
        <w:t xml:space="preserve"> potential use cases and their rollout plan?</w:t>
      </w:r>
    </w:p>
    <w:p w14:paraId="7A7407A3" w14:textId="77777777" w:rsidR="00766D32" w:rsidRDefault="00766D32" w:rsidP="00503B95">
      <w:pPr>
        <w:tabs>
          <w:tab w:val="left" w:pos="567"/>
        </w:tabs>
        <w:spacing w:line="276" w:lineRule="auto"/>
        <w:contextualSpacing/>
        <w:jc w:val="both"/>
      </w:pPr>
    </w:p>
    <w:p w14:paraId="0F75CE46" w14:textId="1052FC7C" w:rsidR="00766D32" w:rsidRDefault="00766D32" w:rsidP="00766D32">
      <w:pPr>
        <w:tabs>
          <w:tab w:val="left" w:pos="567"/>
        </w:tabs>
        <w:spacing w:line="276" w:lineRule="auto"/>
        <w:contextualSpacing/>
        <w:jc w:val="both"/>
      </w:pPr>
      <w:r>
        <w:t xml:space="preserve">Q4. Are the spectrums allocated harmonized with global standards? Has your country examined the allocation of </w:t>
      </w:r>
      <w:r w:rsidR="00174AA6">
        <w:t xml:space="preserve">the </w:t>
      </w:r>
      <w:r>
        <w:t xml:space="preserve">spectrum </w:t>
      </w:r>
      <w:r w:rsidR="00174AA6">
        <w:t>regarding</w:t>
      </w:r>
      <w:r>
        <w:t xml:space="preserve"> licensed and unlicensed spectrum bands? What are the conclusions?</w:t>
      </w:r>
    </w:p>
    <w:p w14:paraId="595E08A8" w14:textId="77777777" w:rsidR="00766D32" w:rsidRDefault="00766D32" w:rsidP="00766D32">
      <w:pPr>
        <w:tabs>
          <w:tab w:val="left" w:pos="567"/>
        </w:tabs>
        <w:spacing w:line="276" w:lineRule="auto"/>
        <w:contextualSpacing/>
        <w:jc w:val="both"/>
      </w:pPr>
    </w:p>
    <w:p w14:paraId="2E6923D2" w14:textId="5AACCC34" w:rsidR="00CA546E" w:rsidRDefault="00CA546E" w:rsidP="00503B95">
      <w:pPr>
        <w:tabs>
          <w:tab w:val="left" w:pos="567"/>
        </w:tabs>
        <w:spacing w:line="276" w:lineRule="auto"/>
        <w:contextualSpacing/>
        <w:jc w:val="both"/>
      </w:pPr>
      <w:r>
        <w:t>Q</w:t>
      </w:r>
      <w:r w:rsidR="00766D32">
        <w:t>5</w:t>
      </w:r>
      <w:r>
        <w:t>. Is there a study conducted for your country regarding how 5G would affect the social and economic aspects? If yes, what</w:t>
      </w:r>
      <w:r w:rsidR="00DC002E">
        <w:t xml:space="preserve"> have been the key parameters kept under consideration in the study</w:t>
      </w:r>
      <w:r w:rsidR="00174AA6">
        <w:t>,</w:t>
      </w:r>
      <w:r w:rsidR="00DC002E">
        <w:t xml:space="preserve"> and what</w:t>
      </w:r>
      <w:r>
        <w:t xml:space="preserve"> were the key findings?</w:t>
      </w:r>
    </w:p>
    <w:p w14:paraId="45427DB5" w14:textId="22DD59E7" w:rsidR="00CA546E" w:rsidRDefault="00CA546E" w:rsidP="00503B95">
      <w:pPr>
        <w:tabs>
          <w:tab w:val="left" w:pos="567"/>
        </w:tabs>
        <w:spacing w:line="276" w:lineRule="auto"/>
        <w:contextualSpacing/>
        <w:jc w:val="both"/>
      </w:pPr>
    </w:p>
    <w:p w14:paraId="1C316703" w14:textId="7326E817" w:rsidR="00605D2E" w:rsidRDefault="00CA546E" w:rsidP="00503B95">
      <w:pPr>
        <w:tabs>
          <w:tab w:val="left" w:pos="567"/>
        </w:tabs>
        <w:spacing w:line="276" w:lineRule="auto"/>
        <w:contextualSpacing/>
        <w:jc w:val="both"/>
      </w:pPr>
      <w:r>
        <w:t>Q</w:t>
      </w:r>
      <w:r w:rsidR="00766D32">
        <w:t>6</w:t>
      </w:r>
      <w:r>
        <w:t xml:space="preserve">. </w:t>
      </w:r>
      <w:r w:rsidR="009B3D94">
        <w:t xml:space="preserve">Do you feel that a mechanism or framework is required for addressing cross-sectoral aspects, </w:t>
      </w:r>
      <w:r w:rsidR="00DC002E">
        <w:t>to</w:t>
      </w:r>
      <w:r w:rsidR="009B3D94">
        <w:t xml:space="preserve"> enable </w:t>
      </w:r>
      <w:r w:rsidR="00174AA6">
        <w:t xml:space="preserve">the </w:t>
      </w:r>
      <w:r w:rsidR="009B3D94">
        <w:t>smooth</w:t>
      </w:r>
      <w:r w:rsidR="00A4552E">
        <w:t xml:space="preserve"> rollout of 5G technology in different sectors</w:t>
      </w:r>
      <w:r>
        <w:t>?</w:t>
      </w:r>
      <w:r w:rsidR="00605D2E">
        <w:t xml:space="preserve"> </w:t>
      </w:r>
      <w:r w:rsidR="00A4552E">
        <w:t>Please provide your detailed suggestions, if any, in this regard.</w:t>
      </w:r>
    </w:p>
    <w:p w14:paraId="5AF1705A" w14:textId="3D18C7CF" w:rsidR="00605D2E" w:rsidRDefault="00605D2E" w:rsidP="00BB72B1">
      <w:pPr>
        <w:tabs>
          <w:tab w:val="left" w:pos="567"/>
        </w:tabs>
        <w:spacing w:line="276" w:lineRule="auto"/>
        <w:contextualSpacing/>
        <w:jc w:val="both"/>
      </w:pPr>
      <w:r>
        <w:lastRenderedPageBreak/>
        <w:t>Q</w:t>
      </w:r>
      <w:r w:rsidR="00766D32">
        <w:t>7</w:t>
      </w:r>
      <w:r>
        <w:t xml:space="preserve">. </w:t>
      </w:r>
      <w:r w:rsidR="002647DD">
        <w:t xml:space="preserve">Has your country mapped the backhaul and fronthaul </w:t>
      </w:r>
      <w:r w:rsidR="004A3580">
        <w:t xml:space="preserve">connectivity </w:t>
      </w:r>
      <w:r w:rsidR="002647DD">
        <w:t xml:space="preserve">currently available and are there </w:t>
      </w:r>
      <w:r w:rsidR="00F324CA">
        <w:t>any</w:t>
      </w:r>
      <w:r w:rsidR="00627729">
        <w:t xml:space="preserve"> </w:t>
      </w:r>
      <w:r w:rsidR="002647DD">
        <w:t xml:space="preserve">measures </w:t>
      </w:r>
      <w:r w:rsidR="00627729">
        <w:t xml:space="preserve">under consideration </w:t>
      </w:r>
      <w:r w:rsidR="002647DD">
        <w:t xml:space="preserve">to </w:t>
      </w:r>
      <w:r w:rsidR="00627729">
        <w:t xml:space="preserve">review/ </w:t>
      </w:r>
      <w:r w:rsidR="002647DD">
        <w:t>strengthen them for 5G?</w:t>
      </w:r>
    </w:p>
    <w:p w14:paraId="5519B4F5" w14:textId="56400AA5" w:rsidR="002647DD" w:rsidRDefault="002647DD" w:rsidP="00BB72B1">
      <w:pPr>
        <w:tabs>
          <w:tab w:val="left" w:pos="567"/>
        </w:tabs>
        <w:spacing w:line="276" w:lineRule="auto"/>
        <w:contextualSpacing/>
        <w:jc w:val="both"/>
      </w:pPr>
    </w:p>
    <w:p w14:paraId="71E54E81" w14:textId="55C76805" w:rsidR="002647DD" w:rsidRDefault="002647DD" w:rsidP="00BB72B1">
      <w:pPr>
        <w:tabs>
          <w:tab w:val="left" w:pos="567"/>
        </w:tabs>
        <w:spacing w:line="276" w:lineRule="auto"/>
        <w:contextualSpacing/>
        <w:jc w:val="both"/>
      </w:pPr>
      <w:r>
        <w:t>Q</w:t>
      </w:r>
      <w:r w:rsidR="00766D32">
        <w:t>8</w:t>
      </w:r>
      <w:r>
        <w:t xml:space="preserve">. Are there 5G </w:t>
      </w:r>
      <w:r w:rsidR="00941F66">
        <w:t>t</w:t>
      </w:r>
      <w:r>
        <w:t xml:space="preserve">estbeds being </w:t>
      </w:r>
      <w:r w:rsidR="00824FA9">
        <w:t>established</w:t>
      </w:r>
      <w:r w:rsidR="00941F66">
        <w:t xml:space="preserve"> in your country</w:t>
      </w:r>
      <w:r>
        <w:t xml:space="preserve">? </w:t>
      </w:r>
      <w:r w:rsidR="00941F66">
        <w:t xml:space="preserve">Are such initiatives taken up by the government or by the industry or a PPP type of approach is being followed. Please elaborate </w:t>
      </w:r>
      <w:r w:rsidR="00174AA6">
        <w:t xml:space="preserve">on the </w:t>
      </w:r>
      <w:r w:rsidR="00941F66">
        <w:t>underlying reasons for the same.</w:t>
      </w:r>
    </w:p>
    <w:p w14:paraId="5FD6B1A2" w14:textId="4A698E36" w:rsidR="002647DD" w:rsidRDefault="002647DD" w:rsidP="00BB72B1">
      <w:pPr>
        <w:tabs>
          <w:tab w:val="left" w:pos="567"/>
        </w:tabs>
        <w:spacing w:line="276" w:lineRule="auto"/>
        <w:contextualSpacing/>
        <w:jc w:val="both"/>
      </w:pPr>
    </w:p>
    <w:p w14:paraId="4E8178D8" w14:textId="31156153" w:rsidR="002647DD" w:rsidRDefault="002647DD" w:rsidP="00BB72B1">
      <w:pPr>
        <w:tabs>
          <w:tab w:val="left" w:pos="567"/>
        </w:tabs>
        <w:spacing w:line="276" w:lineRule="auto"/>
        <w:contextualSpacing/>
        <w:jc w:val="both"/>
      </w:pPr>
      <w:r>
        <w:t>Q</w:t>
      </w:r>
      <w:r w:rsidR="00766D32">
        <w:t>9</w:t>
      </w:r>
      <w:r>
        <w:t xml:space="preserve">. What are the key collaborations with industry partners for </w:t>
      </w:r>
      <w:r w:rsidR="00174AA6">
        <w:t xml:space="preserve">the </w:t>
      </w:r>
      <w:r>
        <w:t xml:space="preserve">deployment of 5G? </w:t>
      </w:r>
      <w:r w:rsidR="002054CC">
        <w:t xml:space="preserve">Are </w:t>
      </w:r>
      <w:r w:rsidR="00E838DA">
        <w:t xml:space="preserve">5G </w:t>
      </w:r>
      <w:r w:rsidR="002054CC">
        <w:t>use cases being identified with short-term and long-term maturity plans?</w:t>
      </w:r>
    </w:p>
    <w:p w14:paraId="626F3E33" w14:textId="60B20676" w:rsidR="002054CC" w:rsidRDefault="002054CC" w:rsidP="00BB72B1">
      <w:pPr>
        <w:tabs>
          <w:tab w:val="left" w:pos="567"/>
        </w:tabs>
        <w:spacing w:line="276" w:lineRule="auto"/>
        <w:contextualSpacing/>
        <w:jc w:val="both"/>
      </w:pPr>
    </w:p>
    <w:p w14:paraId="28AED833" w14:textId="60E16FB7" w:rsidR="002054CC" w:rsidRDefault="002054CC" w:rsidP="00BB72B1">
      <w:pPr>
        <w:tabs>
          <w:tab w:val="left" w:pos="567"/>
        </w:tabs>
        <w:spacing w:line="276" w:lineRule="auto"/>
        <w:contextualSpacing/>
        <w:jc w:val="both"/>
      </w:pPr>
      <w:r>
        <w:t>Q1</w:t>
      </w:r>
      <w:r w:rsidR="00766D32">
        <w:t>0</w:t>
      </w:r>
      <w:r>
        <w:t xml:space="preserve">. </w:t>
      </w:r>
      <w:r w:rsidR="00A218DF">
        <w:t>Has</w:t>
      </w:r>
      <w:r>
        <w:t xml:space="preserve"> </w:t>
      </w:r>
      <w:r w:rsidR="00A218DF">
        <w:t xml:space="preserve">the </w:t>
      </w:r>
      <w:r>
        <w:t>government</w:t>
      </w:r>
      <w:r w:rsidR="00A218DF">
        <w:t xml:space="preserve">/ </w:t>
      </w:r>
      <w:r>
        <w:t>regulator</w:t>
      </w:r>
      <w:r w:rsidR="00A218DF">
        <w:t xml:space="preserve"> introduced or </w:t>
      </w:r>
      <w:r w:rsidR="00174AA6">
        <w:t xml:space="preserve">is </w:t>
      </w:r>
      <w:r w:rsidR="00A218DF">
        <w:t>consider</w:t>
      </w:r>
      <w:r w:rsidR="00174AA6">
        <w:t>ing</w:t>
      </w:r>
      <w:r w:rsidR="00A218DF">
        <w:t xml:space="preserve"> specific plans</w:t>
      </w:r>
      <w:r>
        <w:t xml:space="preserve"> to enable industries </w:t>
      </w:r>
      <w:r w:rsidR="00174AA6">
        <w:t>to</w:t>
      </w:r>
      <w:r w:rsidR="00A218DF">
        <w:t xml:space="preserve"> develop/</w:t>
      </w:r>
      <w:r>
        <w:t xml:space="preserve"> adoption of 5G use cases?</w:t>
      </w:r>
      <w:r w:rsidR="00E838DA">
        <w:t xml:space="preserve"> What is the institutional mechanism to coordinate and collaborate with all the economic verticals to identify, develop and deploy 5G use cases in every </w:t>
      </w:r>
      <w:r w:rsidR="004A3580">
        <w:t>vertical</w:t>
      </w:r>
      <w:r w:rsidR="009D5F70">
        <w:t>?</w:t>
      </w:r>
    </w:p>
    <w:p w14:paraId="6E66A0CB" w14:textId="723375C4" w:rsidR="002054CC" w:rsidRDefault="002054CC" w:rsidP="00BB72B1">
      <w:pPr>
        <w:tabs>
          <w:tab w:val="left" w:pos="567"/>
        </w:tabs>
        <w:spacing w:line="276" w:lineRule="auto"/>
        <w:contextualSpacing/>
        <w:jc w:val="both"/>
      </w:pPr>
    </w:p>
    <w:p w14:paraId="40BB5885" w14:textId="62B50E2B" w:rsidR="00DC002E" w:rsidRDefault="002054CC" w:rsidP="00BB72B1">
      <w:pPr>
        <w:spacing w:after="160" w:line="259" w:lineRule="auto"/>
        <w:contextualSpacing/>
        <w:jc w:val="both"/>
      </w:pPr>
      <w:r>
        <w:t>Q1</w:t>
      </w:r>
      <w:r w:rsidR="00766D32">
        <w:t>1</w:t>
      </w:r>
      <w:r>
        <w:t xml:space="preserve">. </w:t>
      </w:r>
      <w:r w:rsidR="00A218DF">
        <w:t>What is the framework in your country for addressing</w:t>
      </w:r>
      <w:r w:rsidRPr="00417A9B">
        <w:t xml:space="preserve"> issues such as </w:t>
      </w:r>
      <w:r>
        <w:t>cyber</w:t>
      </w:r>
      <w:r w:rsidRPr="00417A9B">
        <w:t>security</w:t>
      </w:r>
      <w:r>
        <w:t xml:space="preserve"> and </w:t>
      </w:r>
      <w:r w:rsidRPr="00417A9B">
        <w:t>data privacy?</w:t>
      </w:r>
      <w:r>
        <w:t xml:space="preserve"> Are there</w:t>
      </w:r>
      <w:r w:rsidR="00A218DF">
        <w:t xml:space="preserve"> specific</w:t>
      </w:r>
      <w:r>
        <w:t xml:space="preserve"> regulations in place? How is the country planning to </w:t>
      </w:r>
      <w:r w:rsidR="00A218DF">
        <w:t>adopt the existing framework/ regulations</w:t>
      </w:r>
      <w:r>
        <w:t xml:space="preserve"> </w:t>
      </w:r>
      <w:r w:rsidR="00174AA6">
        <w:t>for</w:t>
      </w:r>
      <w:r>
        <w:t xml:space="preserve"> 5G? What are your views on the security aspect </w:t>
      </w:r>
      <w:r w:rsidR="00174AA6">
        <w:t>concerning</w:t>
      </w:r>
      <w:r>
        <w:t xml:space="preserve"> 5G?</w:t>
      </w:r>
    </w:p>
    <w:p w14:paraId="72F0F716" w14:textId="77777777" w:rsidR="00DC002E" w:rsidRDefault="00DC002E" w:rsidP="00BB72B1">
      <w:pPr>
        <w:spacing w:after="160" w:line="259" w:lineRule="auto"/>
        <w:contextualSpacing/>
        <w:jc w:val="both"/>
      </w:pPr>
    </w:p>
    <w:p w14:paraId="53D84AB7" w14:textId="56ED7A2F" w:rsidR="002054CC" w:rsidRDefault="002054CC" w:rsidP="00BB72B1">
      <w:pPr>
        <w:spacing w:after="160" w:line="259" w:lineRule="auto"/>
        <w:contextualSpacing/>
        <w:jc w:val="both"/>
      </w:pPr>
      <w:r>
        <w:t>Q1</w:t>
      </w:r>
      <w:r w:rsidR="00766D32">
        <w:t>2</w:t>
      </w:r>
      <w:r>
        <w:t xml:space="preserve">. How is your country planning to </w:t>
      </w:r>
      <w:r w:rsidR="00FE6EDD">
        <w:t>address</w:t>
      </w:r>
      <w:r>
        <w:t xml:space="preserve"> the digital </w:t>
      </w:r>
      <w:r w:rsidR="00883932">
        <w:t>divide</w:t>
      </w:r>
      <w:r w:rsidR="00174AA6">
        <w:t>,</w:t>
      </w:r>
      <w:r w:rsidR="00883932">
        <w:t xml:space="preserve"> if</w:t>
      </w:r>
      <w:r>
        <w:t xml:space="preserve"> present in your country</w:t>
      </w:r>
      <w:r w:rsidR="00FE6EDD">
        <w:t xml:space="preserve">? Please elaborate including, but not limited to measures planned </w:t>
      </w:r>
      <w:r>
        <w:t>via 5G</w:t>
      </w:r>
      <w:r w:rsidR="00FE6EDD">
        <w:t>.</w:t>
      </w:r>
    </w:p>
    <w:p w14:paraId="54DB46AF" w14:textId="7B338A1A" w:rsidR="00BB72B1" w:rsidRDefault="00BB72B1" w:rsidP="00BB72B1">
      <w:pPr>
        <w:spacing w:after="160" w:line="259" w:lineRule="auto"/>
        <w:contextualSpacing/>
        <w:jc w:val="both"/>
      </w:pPr>
    </w:p>
    <w:p w14:paraId="0346022F" w14:textId="1A34DDF7" w:rsidR="00BB72B1" w:rsidRDefault="00BB72B1" w:rsidP="00BB72B1">
      <w:pPr>
        <w:spacing w:after="160" w:line="259" w:lineRule="auto"/>
        <w:contextualSpacing/>
        <w:jc w:val="both"/>
      </w:pPr>
      <w:r>
        <w:t>Q1</w:t>
      </w:r>
      <w:r w:rsidR="00766D32">
        <w:t>3</w:t>
      </w:r>
      <w:r>
        <w:t xml:space="preserve">. What are the challenges your country is </w:t>
      </w:r>
      <w:r w:rsidR="00FE6EDD">
        <w:t xml:space="preserve">anticipating/ </w:t>
      </w:r>
      <w:r>
        <w:t>facing in 5G rollout or building the 5G ecosystem?</w:t>
      </w:r>
    </w:p>
    <w:p w14:paraId="470599D3" w14:textId="77777777" w:rsidR="00C838A4" w:rsidRDefault="00C838A4" w:rsidP="00BB72B1">
      <w:pPr>
        <w:spacing w:after="160" w:line="259" w:lineRule="auto"/>
        <w:contextualSpacing/>
        <w:jc w:val="both"/>
      </w:pPr>
    </w:p>
    <w:p w14:paraId="3CEB1D60" w14:textId="66DA4169" w:rsidR="00C838A4" w:rsidRDefault="00C838A4" w:rsidP="00BB72B1">
      <w:pPr>
        <w:spacing w:after="160" w:line="259" w:lineRule="auto"/>
        <w:contextualSpacing/>
        <w:jc w:val="both"/>
      </w:pPr>
      <w:r>
        <w:t xml:space="preserve">Q14. What are the current rollout obligations as per the extant guidelines in your country? Is there any review under consideration in this regard with reference to 5G rollout?   </w:t>
      </w:r>
    </w:p>
    <w:p w14:paraId="5E0C499C" w14:textId="1870D82A" w:rsidR="00052CC1" w:rsidRDefault="00052CC1" w:rsidP="00BB72B1">
      <w:pPr>
        <w:spacing w:after="160" w:line="259" w:lineRule="auto"/>
        <w:contextualSpacing/>
        <w:jc w:val="both"/>
      </w:pPr>
    </w:p>
    <w:p w14:paraId="3C218BB7" w14:textId="27583011" w:rsidR="00052CC1" w:rsidRDefault="00052CC1" w:rsidP="00BB72B1">
      <w:pPr>
        <w:spacing w:after="160" w:line="259" w:lineRule="auto"/>
        <w:contextualSpacing/>
        <w:jc w:val="both"/>
      </w:pPr>
      <w:r>
        <w:t xml:space="preserve">Q15. Does your organization think that cross-sectoral policy development is required keeping in view the use cases for 5G? What types of policy should be developed or revised? Have you undertaken any such policy?  </w:t>
      </w:r>
    </w:p>
    <w:p w14:paraId="3AB9A38E" w14:textId="77777777" w:rsidR="00503B95" w:rsidRPr="00107947" w:rsidRDefault="00503B95" w:rsidP="00503B95">
      <w:pPr>
        <w:tabs>
          <w:tab w:val="left" w:pos="567"/>
        </w:tabs>
        <w:spacing w:line="276" w:lineRule="auto"/>
        <w:contextualSpacing/>
        <w:jc w:val="both"/>
      </w:pPr>
    </w:p>
    <w:p w14:paraId="4AACBFDC" w14:textId="77777777" w:rsidR="00503B95" w:rsidRPr="00052CC1" w:rsidRDefault="00503B95" w:rsidP="00052CC1">
      <w:pPr>
        <w:tabs>
          <w:tab w:val="left" w:pos="567"/>
        </w:tabs>
        <w:spacing w:line="276" w:lineRule="auto"/>
        <w:contextualSpacing/>
        <w:jc w:val="both"/>
      </w:pPr>
    </w:p>
    <w:p w14:paraId="60493728" w14:textId="77777777" w:rsidR="00503B95" w:rsidRDefault="00503B95" w:rsidP="00503B95">
      <w:pPr>
        <w:jc w:val="center"/>
        <w:rPr>
          <w:snapToGrid w:val="0"/>
        </w:rPr>
      </w:pPr>
      <w:r>
        <w:t>___________</w:t>
      </w:r>
    </w:p>
    <w:p w14:paraId="63C0612F" w14:textId="77777777" w:rsidR="00503B95" w:rsidRDefault="00503B95"/>
    <w:sectPr w:rsidR="00503B95" w:rsidSect="008F189A">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3D34" w14:textId="77777777" w:rsidR="00B06F10" w:rsidRDefault="00B06F10">
      <w:r>
        <w:separator/>
      </w:r>
    </w:p>
  </w:endnote>
  <w:endnote w:type="continuationSeparator" w:id="0">
    <w:p w14:paraId="042A8245" w14:textId="77777777" w:rsidR="00B06F10" w:rsidRDefault="00B0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3E32" w14:textId="77777777" w:rsidR="0097693B" w:rsidRDefault="00503B9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DD67" w14:textId="77777777" w:rsidR="0097693B" w:rsidRDefault="00B06F10"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4989" w14:textId="0A77899C" w:rsidR="0097693B" w:rsidRDefault="00F941EF" w:rsidP="003771CA">
    <w:pPr>
      <w:pStyle w:val="Footer"/>
      <w:ind w:right="360"/>
      <w:rPr>
        <w:rStyle w:val="PageNumber"/>
      </w:rPr>
    </w:pPr>
    <w:r w:rsidRPr="009F5536">
      <w:t>S</w:t>
    </w:r>
    <w:r>
      <w:t>APVIII-PRS1/</w:t>
    </w:r>
    <w:r w:rsidR="006F63E3">
      <w:t>OUT</w:t>
    </w:r>
    <w:r>
      <w:t>-</w:t>
    </w:r>
    <w:r w:rsidR="006F63E3">
      <w:t>02</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838A4">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838A4">
      <w:rPr>
        <w:rStyle w:val="PageNumber"/>
        <w:noProof/>
      </w:rPr>
      <w:t>3</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802"/>
      <w:gridCol w:w="3262"/>
    </w:tblGrid>
    <w:tr w:rsidR="008F189A" w:rsidRPr="008F189A" w14:paraId="5F7DEC8A" w14:textId="77777777" w:rsidTr="00F941EF">
      <w:trPr>
        <w:cantSplit/>
        <w:trHeight w:val="204"/>
        <w:jc w:val="center"/>
      </w:trPr>
      <w:tc>
        <w:tcPr>
          <w:tcW w:w="1152" w:type="dxa"/>
        </w:tcPr>
        <w:p w14:paraId="21773990" w14:textId="77777777" w:rsidR="008F189A" w:rsidRPr="008F189A" w:rsidRDefault="00503B95" w:rsidP="008F189A">
          <w:pPr>
            <w:rPr>
              <w:b/>
              <w:bCs/>
            </w:rPr>
          </w:pPr>
          <w:r w:rsidRPr="008F189A">
            <w:rPr>
              <w:b/>
              <w:bCs/>
            </w:rPr>
            <w:t>Contact:</w:t>
          </w:r>
        </w:p>
      </w:tc>
      <w:tc>
        <w:tcPr>
          <w:tcW w:w="4802" w:type="dxa"/>
        </w:tcPr>
        <w:p w14:paraId="653A851B" w14:textId="36684B9E" w:rsidR="00561139" w:rsidRPr="008F189A" w:rsidRDefault="00561139" w:rsidP="008F189A">
          <w:pPr>
            <w:overflowPunct w:val="0"/>
            <w:autoSpaceDE w:val="0"/>
            <w:autoSpaceDN w:val="0"/>
            <w:adjustRightInd w:val="0"/>
            <w:spacing w:line="240" w:lineRule="atLeast"/>
            <w:textAlignment w:val="baseline"/>
            <w:rPr>
              <w:rFonts w:eastAsia="Batang"/>
              <w:szCs w:val="22"/>
              <w:lang w:val="en-GB"/>
            </w:rPr>
          </w:pPr>
        </w:p>
      </w:tc>
      <w:tc>
        <w:tcPr>
          <w:tcW w:w="3262" w:type="dxa"/>
        </w:tcPr>
        <w:p w14:paraId="11114B2E" w14:textId="5A29BC7F" w:rsidR="008F189A" w:rsidRPr="008F189A" w:rsidRDefault="00503B95" w:rsidP="00561139">
          <w:pPr>
            <w:ind w:hanging="15"/>
            <w:rPr>
              <w:lang w:eastAsia="ja-JP"/>
            </w:rPr>
          </w:pPr>
          <w:r w:rsidRPr="00F941EF">
            <w:rPr>
              <w:b/>
              <w:bCs/>
            </w:rPr>
            <w:t>Email</w:t>
          </w:r>
          <w:r w:rsidRPr="00F941EF">
            <w:rPr>
              <w:rFonts w:hint="eastAsia"/>
              <w:b/>
              <w:bCs/>
            </w:rPr>
            <w:t>:</w:t>
          </w:r>
          <w:r w:rsidRPr="008F189A">
            <w:rPr>
              <w:rFonts w:hint="eastAsia"/>
            </w:rPr>
            <w:t xml:space="preserve"> </w:t>
          </w:r>
          <w:r w:rsidRPr="008F189A">
            <w:t xml:space="preserve"> </w:t>
          </w:r>
        </w:p>
      </w:tc>
    </w:tr>
  </w:tbl>
  <w:p w14:paraId="7CE85940" w14:textId="77777777" w:rsidR="0097693B" w:rsidRPr="008F189A" w:rsidRDefault="00B06F10"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ADA3" w14:textId="77777777" w:rsidR="00B06F10" w:rsidRDefault="00B06F10">
      <w:r>
        <w:separator/>
      </w:r>
    </w:p>
  </w:footnote>
  <w:footnote w:type="continuationSeparator" w:id="0">
    <w:p w14:paraId="2C1F3CF0" w14:textId="77777777" w:rsidR="00B06F10" w:rsidRDefault="00B0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A1F8" w14:textId="77777777" w:rsidR="0097693B" w:rsidRDefault="00503B95" w:rsidP="00C15633">
    <w:pPr>
      <w:pStyle w:val="Header"/>
      <w:tabs>
        <w:tab w:val="center" w:pos="4763"/>
        <w:tab w:val="left" w:pos="5820"/>
      </w:tabs>
      <w:rPr>
        <w:lang w:eastAsia="ko-KR"/>
      </w:rPr>
    </w:pPr>
    <w:r>
      <w:rPr>
        <w:lang w:eastAsia="ko-KR"/>
      </w:rPr>
      <w:tab/>
    </w:r>
  </w:p>
  <w:p w14:paraId="4650A2A7" w14:textId="77777777" w:rsidR="0097693B" w:rsidRDefault="00B06F1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5997164">
    <w:abstractNumId w:val="0"/>
  </w:num>
  <w:num w:numId="2" w16cid:durableId="426577575">
    <w:abstractNumId w:val="5"/>
  </w:num>
  <w:num w:numId="3" w16cid:durableId="761679110">
    <w:abstractNumId w:val="1"/>
  </w:num>
  <w:num w:numId="4" w16cid:durableId="1897888011">
    <w:abstractNumId w:val="2"/>
  </w:num>
  <w:num w:numId="5" w16cid:durableId="649361031">
    <w:abstractNumId w:val="6"/>
  </w:num>
  <w:num w:numId="6" w16cid:durableId="52974794">
    <w:abstractNumId w:val="3"/>
  </w:num>
  <w:num w:numId="7" w16cid:durableId="23142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95"/>
    <w:rsid w:val="00052CC1"/>
    <w:rsid w:val="000B253D"/>
    <w:rsid w:val="000D31E1"/>
    <w:rsid w:val="0011761C"/>
    <w:rsid w:val="00155F5A"/>
    <w:rsid w:val="00165C97"/>
    <w:rsid w:val="00166F0E"/>
    <w:rsid w:val="00174AA6"/>
    <w:rsid w:val="001811E0"/>
    <w:rsid w:val="001C1ED6"/>
    <w:rsid w:val="002054CC"/>
    <w:rsid w:val="00251AF7"/>
    <w:rsid w:val="002647DD"/>
    <w:rsid w:val="00290B47"/>
    <w:rsid w:val="003243F3"/>
    <w:rsid w:val="0032473F"/>
    <w:rsid w:val="00355FDD"/>
    <w:rsid w:val="003D5714"/>
    <w:rsid w:val="004A3580"/>
    <w:rsid w:val="004F1DE0"/>
    <w:rsid w:val="00503B95"/>
    <w:rsid w:val="00540915"/>
    <w:rsid w:val="00561139"/>
    <w:rsid w:val="00591CB6"/>
    <w:rsid w:val="005E0987"/>
    <w:rsid w:val="00605D2E"/>
    <w:rsid w:val="0061197B"/>
    <w:rsid w:val="00627729"/>
    <w:rsid w:val="00631A9D"/>
    <w:rsid w:val="0065648E"/>
    <w:rsid w:val="00671B2E"/>
    <w:rsid w:val="006941BD"/>
    <w:rsid w:val="006C1730"/>
    <w:rsid w:val="006E6AE6"/>
    <w:rsid w:val="006F63E3"/>
    <w:rsid w:val="0071096C"/>
    <w:rsid w:val="007620C7"/>
    <w:rsid w:val="00766D32"/>
    <w:rsid w:val="007B2BB8"/>
    <w:rsid w:val="00824FA9"/>
    <w:rsid w:val="008469AA"/>
    <w:rsid w:val="00861C6C"/>
    <w:rsid w:val="00883932"/>
    <w:rsid w:val="009011AB"/>
    <w:rsid w:val="00941F66"/>
    <w:rsid w:val="00942778"/>
    <w:rsid w:val="00955D94"/>
    <w:rsid w:val="009738DE"/>
    <w:rsid w:val="00975412"/>
    <w:rsid w:val="009B3D94"/>
    <w:rsid w:val="009D2B01"/>
    <w:rsid w:val="009D5F70"/>
    <w:rsid w:val="009F7B07"/>
    <w:rsid w:val="00A218DF"/>
    <w:rsid w:val="00A4552E"/>
    <w:rsid w:val="00A86D80"/>
    <w:rsid w:val="00AC5F79"/>
    <w:rsid w:val="00AE15C5"/>
    <w:rsid w:val="00B06E19"/>
    <w:rsid w:val="00B06F10"/>
    <w:rsid w:val="00B412C5"/>
    <w:rsid w:val="00BB72B1"/>
    <w:rsid w:val="00BF5A4C"/>
    <w:rsid w:val="00C7423B"/>
    <w:rsid w:val="00C838A4"/>
    <w:rsid w:val="00CA546E"/>
    <w:rsid w:val="00CD67A2"/>
    <w:rsid w:val="00D70688"/>
    <w:rsid w:val="00DC002E"/>
    <w:rsid w:val="00DE3C5A"/>
    <w:rsid w:val="00DF51A0"/>
    <w:rsid w:val="00E348A2"/>
    <w:rsid w:val="00E802A4"/>
    <w:rsid w:val="00E838DA"/>
    <w:rsid w:val="00ED3A52"/>
    <w:rsid w:val="00EE6765"/>
    <w:rsid w:val="00F324CA"/>
    <w:rsid w:val="00F87FC4"/>
    <w:rsid w:val="00F941EF"/>
    <w:rsid w:val="00FA2A56"/>
    <w:rsid w:val="00FE6E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817A"/>
  <w15:chartTrackingRefBased/>
  <w15:docId w15:val="{7B8DAB19-5800-4364-B8C8-64DB421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21</cp:revision>
  <dcterms:created xsi:type="dcterms:W3CDTF">2022-05-25T08:03:00Z</dcterms:created>
  <dcterms:modified xsi:type="dcterms:W3CDTF">2022-06-03T12:14:00Z</dcterms:modified>
</cp:coreProperties>
</file>