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FB2B6" w14:textId="77777777" w:rsidR="00CF1EB2" w:rsidRPr="00527BB9" w:rsidRDefault="00CF1EB2" w:rsidP="00CF1EB2">
      <w:pPr>
        <w:jc w:val="center"/>
        <w:rPr>
          <w:b/>
        </w:rPr>
      </w:pPr>
      <w:r w:rsidRPr="00527BB9">
        <w:rPr>
          <w:b/>
          <w:bCs/>
          <w:noProof/>
        </w:rPr>
        <w:drawing>
          <wp:inline distT="0" distB="0" distL="0" distR="0" wp14:anchorId="77B751EB" wp14:editId="4ECEA10D">
            <wp:extent cx="845185" cy="733425"/>
            <wp:effectExtent l="19050" t="0" r="0" b="0"/>
            <wp:docPr id="827489602" name="Picture 827489602"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9"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2C17B581" w14:textId="77777777" w:rsidR="00CF1EB2" w:rsidRPr="00527BB9" w:rsidRDefault="00CF1EB2" w:rsidP="00CF1EB2">
      <w:pPr>
        <w:jc w:val="center"/>
        <w:rPr>
          <w:b/>
        </w:rPr>
      </w:pPr>
    </w:p>
    <w:p w14:paraId="249AD0FC" w14:textId="77777777" w:rsidR="00CF1EB2" w:rsidRPr="00527BB9" w:rsidRDefault="00CF1EB2" w:rsidP="00CF1EB2">
      <w:pPr>
        <w:jc w:val="center"/>
        <w:rPr>
          <w:b/>
        </w:rPr>
      </w:pPr>
    </w:p>
    <w:p w14:paraId="62501316" w14:textId="77777777" w:rsidR="00CF1EB2" w:rsidRDefault="00CF1EB2" w:rsidP="00CF1EB2">
      <w:pPr>
        <w:jc w:val="center"/>
        <w:rPr>
          <w:b/>
        </w:rPr>
      </w:pPr>
    </w:p>
    <w:p w14:paraId="34F90E08" w14:textId="77777777" w:rsidR="00CF1EB2" w:rsidRPr="00527BB9" w:rsidRDefault="00CF1EB2" w:rsidP="00CF1EB2">
      <w:pPr>
        <w:jc w:val="center"/>
        <w:rPr>
          <w:b/>
        </w:rPr>
      </w:pPr>
    </w:p>
    <w:p w14:paraId="519C16FB" w14:textId="77777777" w:rsidR="00CF1EB2" w:rsidRPr="00527BB9" w:rsidRDefault="00CF1EB2" w:rsidP="00CF1EB2">
      <w:pPr>
        <w:jc w:val="center"/>
        <w:rPr>
          <w:b/>
        </w:rPr>
      </w:pPr>
    </w:p>
    <w:p w14:paraId="6C2A7F5C" w14:textId="77777777" w:rsidR="00CF1EB2" w:rsidRPr="00527BB9" w:rsidRDefault="00CF1EB2" w:rsidP="00CF1EB2">
      <w:pPr>
        <w:rPr>
          <w:b/>
        </w:rPr>
      </w:pPr>
    </w:p>
    <w:p w14:paraId="3564E701" w14:textId="77777777" w:rsidR="00CF1EB2" w:rsidRDefault="00CF1EB2" w:rsidP="00CF1EB2">
      <w:pPr>
        <w:jc w:val="center"/>
        <w:rPr>
          <w:rFonts w:eastAsia="SimSun"/>
          <w:b/>
          <w:bCs/>
          <w:caps/>
          <w:spacing w:val="-4"/>
          <w:sz w:val="28"/>
          <w:szCs w:val="28"/>
          <w:lang w:val="en-GB" w:eastAsia="zh-CN"/>
        </w:rPr>
      </w:pPr>
      <w:bookmarkStart w:id="0" w:name="_Hlk114233297"/>
      <w:r w:rsidRPr="00527BB9">
        <w:rPr>
          <w:rFonts w:cs="Cordia New"/>
          <w:b/>
          <w:bCs/>
          <w:caps/>
          <w:spacing w:val="-4"/>
          <w:sz w:val="28"/>
          <w:szCs w:val="28"/>
          <w:lang w:bidi="th-TH"/>
        </w:rPr>
        <w:t>APT</w:t>
      </w:r>
      <w:r w:rsidRPr="00527BB9">
        <w:rPr>
          <w:b/>
          <w:bCs/>
          <w:caps/>
          <w:spacing w:val="-4"/>
          <w:sz w:val="28"/>
          <w:szCs w:val="28"/>
          <w:lang w:val="en-GB"/>
        </w:rPr>
        <w:t xml:space="preserve"> </w:t>
      </w:r>
      <w:r w:rsidRPr="00527BB9">
        <w:rPr>
          <w:rFonts w:eastAsia="SimSun"/>
          <w:b/>
          <w:bCs/>
          <w:caps/>
          <w:spacing w:val="-4"/>
          <w:sz w:val="28"/>
          <w:szCs w:val="28"/>
          <w:lang w:val="en-GB" w:eastAsia="zh-CN"/>
        </w:rPr>
        <w:t>report on</w:t>
      </w:r>
      <w:r w:rsidRPr="00527BB9">
        <w:rPr>
          <w:rFonts w:eastAsia="MS Mincho"/>
          <w:b/>
          <w:bCs/>
          <w:caps/>
          <w:color w:val="000000"/>
          <w:shd w:val="clear" w:color="auto" w:fill="FFFFFF"/>
          <w:lang w:val="en-GB" w:eastAsia="ja-JP"/>
        </w:rPr>
        <w:t xml:space="preserve"> </w:t>
      </w:r>
    </w:p>
    <w:p w14:paraId="2B60C2E6" w14:textId="328271C3" w:rsidR="00CF1EB2" w:rsidRPr="00CF1EB2" w:rsidRDefault="00CF1EB2" w:rsidP="00CF1EB2">
      <w:pPr>
        <w:jc w:val="center"/>
        <w:rPr>
          <w:rFonts w:eastAsia="SimSun"/>
          <w:b/>
          <w:bCs/>
          <w:caps/>
          <w:spacing w:val="-4"/>
          <w:sz w:val="28"/>
          <w:szCs w:val="28"/>
          <w:lang w:val="en-GB" w:eastAsia="zh-CN"/>
        </w:rPr>
      </w:pPr>
      <w:r w:rsidRPr="00CF1EB2">
        <w:rPr>
          <w:rFonts w:eastAsia="SimSun"/>
          <w:b/>
          <w:bCs/>
          <w:caps/>
          <w:spacing w:val="-4"/>
          <w:sz w:val="28"/>
          <w:szCs w:val="28"/>
          <w:lang w:val="en-GB" w:eastAsia="zh-CN"/>
        </w:rPr>
        <w:t>MILLIMETRE WAVE ITS applications in APT countries</w:t>
      </w:r>
    </w:p>
    <w:p w14:paraId="7AFEF17E" w14:textId="3A21CDCB" w:rsidR="00CF1EB2" w:rsidRPr="00443857" w:rsidRDefault="00CF1EB2" w:rsidP="00CF1EB2">
      <w:pPr>
        <w:jc w:val="center"/>
        <w:rPr>
          <w:rFonts w:eastAsia="SimSun"/>
          <w:b/>
          <w:bCs/>
          <w:caps/>
          <w:spacing w:val="-4"/>
          <w:sz w:val="28"/>
          <w:szCs w:val="28"/>
          <w:lang w:eastAsia="zh-CN"/>
        </w:rPr>
      </w:pPr>
    </w:p>
    <w:p w14:paraId="218370B4" w14:textId="77777777" w:rsidR="00CF1EB2" w:rsidRPr="00527BB9" w:rsidRDefault="00CF1EB2" w:rsidP="00CF1EB2">
      <w:pPr>
        <w:jc w:val="center"/>
        <w:rPr>
          <w:rFonts w:eastAsia="SimSun"/>
          <w:b/>
          <w:bCs/>
          <w:caps/>
          <w:spacing w:val="-4"/>
          <w:sz w:val="28"/>
          <w:szCs w:val="28"/>
          <w:lang w:eastAsia="zh-CN"/>
        </w:rPr>
      </w:pPr>
    </w:p>
    <w:bookmarkEnd w:id="0"/>
    <w:p w14:paraId="4A875BAB" w14:textId="77777777" w:rsidR="00CF1EB2" w:rsidRPr="00527BB9" w:rsidRDefault="00CF1EB2" w:rsidP="00CF1EB2">
      <w:pPr>
        <w:jc w:val="center"/>
        <w:rPr>
          <w:b/>
        </w:rPr>
      </w:pPr>
    </w:p>
    <w:p w14:paraId="45D48464" w14:textId="77777777" w:rsidR="00CF1EB2" w:rsidRPr="00527BB9" w:rsidRDefault="00CF1EB2" w:rsidP="00CF1EB2">
      <w:pPr>
        <w:jc w:val="center"/>
        <w:outlineLvl w:val="0"/>
        <w:rPr>
          <w:b/>
        </w:rPr>
      </w:pPr>
    </w:p>
    <w:p w14:paraId="04E7BEEF" w14:textId="77777777" w:rsidR="00CF1EB2" w:rsidRPr="00527BB9" w:rsidRDefault="00CF1EB2" w:rsidP="00CF1EB2">
      <w:pPr>
        <w:jc w:val="center"/>
        <w:outlineLvl w:val="0"/>
        <w:rPr>
          <w:b/>
        </w:rPr>
      </w:pPr>
    </w:p>
    <w:p w14:paraId="499478B1" w14:textId="77777777" w:rsidR="00CF1EB2" w:rsidRPr="00527BB9" w:rsidRDefault="00CF1EB2" w:rsidP="00CF1EB2">
      <w:pPr>
        <w:jc w:val="center"/>
        <w:outlineLvl w:val="0"/>
        <w:rPr>
          <w:b/>
        </w:rPr>
      </w:pPr>
    </w:p>
    <w:p w14:paraId="5FE6FC09" w14:textId="205DF2B8" w:rsidR="00CF1EB2" w:rsidRPr="00527BB9" w:rsidRDefault="00CF1EB2" w:rsidP="00CF1EB2">
      <w:pPr>
        <w:jc w:val="center"/>
        <w:rPr>
          <w:rFonts w:eastAsia="MS Mincho"/>
          <w:b/>
          <w:lang w:eastAsia="ja-JP"/>
        </w:rPr>
      </w:pPr>
      <w:r w:rsidRPr="00527BB9">
        <w:rPr>
          <w:b/>
        </w:rPr>
        <w:t>No. APT/AWG/REP-1</w:t>
      </w:r>
      <w:r>
        <w:rPr>
          <w:b/>
        </w:rPr>
        <w:t>32</w:t>
      </w:r>
      <w:r w:rsidRPr="00527BB9">
        <w:rPr>
          <w:b/>
        </w:rPr>
        <w:br/>
        <w:t xml:space="preserve">Edition: </w:t>
      </w:r>
      <w:r>
        <w:rPr>
          <w:b/>
        </w:rPr>
        <w:t>May</w:t>
      </w:r>
      <w:r w:rsidRPr="00527BB9">
        <w:rPr>
          <w:b/>
        </w:rPr>
        <w:t xml:space="preserve"> 202</w:t>
      </w:r>
      <w:r>
        <w:rPr>
          <w:b/>
        </w:rPr>
        <w:t>3</w:t>
      </w:r>
    </w:p>
    <w:p w14:paraId="3B5FC807" w14:textId="77777777" w:rsidR="00CF1EB2" w:rsidRPr="00527BB9" w:rsidRDefault="00CF1EB2" w:rsidP="00CF1EB2">
      <w:pPr>
        <w:jc w:val="center"/>
        <w:rPr>
          <w:b/>
        </w:rPr>
      </w:pPr>
    </w:p>
    <w:p w14:paraId="64897774" w14:textId="77777777" w:rsidR="00CF1EB2" w:rsidRPr="00527BB9" w:rsidRDefault="00CF1EB2" w:rsidP="00CF1EB2">
      <w:pPr>
        <w:jc w:val="center"/>
        <w:rPr>
          <w:b/>
        </w:rPr>
      </w:pPr>
    </w:p>
    <w:p w14:paraId="08B87EDA" w14:textId="77777777" w:rsidR="00CF1EB2" w:rsidRPr="00527BB9" w:rsidRDefault="00CF1EB2" w:rsidP="00CF1EB2">
      <w:pPr>
        <w:jc w:val="center"/>
        <w:rPr>
          <w:b/>
        </w:rPr>
      </w:pPr>
    </w:p>
    <w:p w14:paraId="28E71F47" w14:textId="77777777" w:rsidR="00CF1EB2" w:rsidRPr="00527BB9" w:rsidRDefault="00CF1EB2" w:rsidP="00CF1EB2">
      <w:pPr>
        <w:jc w:val="center"/>
        <w:rPr>
          <w:b/>
        </w:rPr>
      </w:pPr>
    </w:p>
    <w:p w14:paraId="45A7B578" w14:textId="77777777" w:rsidR="00CF1EB2" w:rsidRPr="00527BB9" w:rsidRDefault="00CF1EB2" w:rsidP="00CF1EB2">
      <w:pPr>
        <w:jc w:val="center"/>
        <w:rPr>
          <w:b/>
        </w:rPr>
      </w:pPr>
      <w:r w:rsidRPr="00527BB9">
        <w:rPr>
          <w:b/>
        </w:rPr>
        <w:t>Adopted by</w:t>
      </w:r>
    </w:p>
    <w:p w14:paraId="4DE98BCB" w14:textId="77777777" w:rsidR="00CF1EB2" w:rsidRPr="00527BB9" w:rsidRDefault="00CF1EB2" w:rsidP="00CF1EB2">
      <w:pPr>
        <w:jc w:val="center"/>
        <w:rPr>
          <w:b/>
        </w:rPr>
      </w:pPr>
    </w:p>
    <w:p w14:paraId="13A4C45D" w14:textId="77777777" w:rsidR="00CF1EB2" w:rsidRPr="00527BB9" w:rsidRDefault="00CF1EB2" w:rsidP="00CF1EB2">
      <w:pPr>
        <w:jc w:val="center"/>
        <w:rPr>
          <w:b/>
        </w:rPr>
      </w:pPr>
      <w:r w:rsidRPr="00527BB9">
        <w:rPr>
          <w:b/>
        </w:rPr>
        <w:t>3</w:t>
      </w:r>
      <w:r>
        <w:rPr>
          <w:b/>
        </w:rPr>
        <w:t>1st</w:t>
      </w:r>
      <w:r w:rsidRPr="00527BB9">
        <w:rPr>
          <w:b/>
        </w:rPr>
        <w:t xml:space="preserve"> Meeting of APT Wireless Group</w:t>
      </w:r>
      <w:r w:rsidRPr="00527BB9">
        <w:rPr>
          <w:b/>
        </w:rPr>
        <w:br/>
      </w:r>
      <w:r>
        <w:rPr>
          <w:b/>
        </w:rPr>
        <w:t>22</w:t>
      </w:r>
      <w:r w:rsidRPr="00527BB9">
        <w:rPr>
          <w:b/>
        </w:rPr>
        <w:t xml:space="preserve"> – </w:t>
      </w:r>
      <w:r>
        <w:rPr>
          <w:b/>
        </w:rPr>
        <w:t>26</w:t>
      </w:r>
      <w:r w:rsidRPr="00527BB9">
        <w:rPr>
          <w:b/>
        </w:rPr>
        <w:t xml:space="preserve"> </w:t>
      </w:r>
      <w:r>
        <w:rPr>
          <w:b/>
        </w:rPr>
        <w:t>May</w:t>
      </w:r>
      <w:r w:rsidRPr="00527BB9">
        <w:rPr>
          <w:b/>
        </w:rPr>
        <w:t xml:space="preserve"> 202</w:t>
      </w:r>
      <w:r>
        <w:rPr>
          <w:b/>
        </w:rPr>
        <w:t>3</w:t>
      </w:r>
      <w:r w:rsidRPr="00527BB9">
        <w:rPr>
          <w:b/>
        </w:rPr>
        <w:t xml:space="preserve">, </w:t>
      </w:r>
      <w:r>
        <w:rPr>
          <w:b/>
        </w:rPr>
        <w:t>Ha Noi</w:t>
      </w:r>
      <w:r w:rsidRPr="00527BB9">
        <w:rPr>
          <w:b/>
        </w:rPr>
        <w:t xml:space="preserve">, </w:t>
      </w:r>
      <w:r>
        <w:rPr>
          <w:b/>
        </w:rPr>
        <w:t>Viet Nam</w:t>
      </w:r>
    </w:p>
    <w:p w14:paraId="330DE08E" w14:textId="77777777" w:rsidR="00CF1EB2" w:rsidRPr="00527BB9" w:rsidRDefault="00CF1EB2" w:rsidP="00CF1EB2">
      <w:pPr>
        <w:jc w:val="center"/>
        <w:rPr>
          <w:b/>
        </w:rPr>
      </w:pPr>
    </w:p>
    <w:p w14:paraId="366C66FA" w14:textId="6265227D" w:rsidR="00CF1EB2" w:rsidRPr="00527BB9" w:rsidRDefault="00CF1EB2" w:rsidP="00CF1EB2">
      <w:pPr>
        <w:jc w:val="center"/>
        <w:rPr>
          <w:b/>
        </w:rPr>
      </w:pPr>
      <w:r w:rsidRPr="00527BB9">
        <w:rPr>
          <w:b/>
          <w:i/>
          <w:iCs/>
        </w:rPr>
        <w:t>(Source: AWG-3</w:t>
      </w:r>
      <w:r>
        <w:rPr>
          <w:b/>
          <w:i/>
          <w:iCs/>
        </w:rPr>
        <w:t>1</w:t>
      </w:r>
      <w:r w:rsidRPr="00527BB9">
        <w:rPr>
          <w:b/>
          <w:i/>
          <w:iCs/>
        </w:rPr>
        <w:t>/OUT-</w:t>
      </w:r>
      <w:r>
        <w:rPr>
          <w:b/>
          <w:i/>
          <w:iCs/>
        </w:rPr>
        <w:t>16</w:t>
      </w:r>
      <w:r w:rsidRPr="00527BB9">
        <w:rPr>
          <w:b/>
          <w:i/>
          <w:iCs/>
        </w:rPr>
        <w:t>)</w:t>
      </w:r>
    </w:p>
    <w:p w14:paraId="0F2832BA" w14:textId="77777777" w:rsidR="004C6A6D" w:rsidRPr="00CF1EB2" w:rsidRDefault="004C6A6D" w:rsidP="004C6A6D">
      <w:pPr>
        <w:jc w:val="center"/>
        <w:rPr>
          <w:rFonts w:eastAsiaTheme="minorEastAsia"/>
          <w:bCs/>
          <w:lang w:eastAsia="ja-JP"/>
        </w:rPr>
      </w:pPr>
    </w:p>
    <w:p w14:paraId="29A29B9A" w14:textId="77777777" w:rsidR="007E7497" w:rsidRPr="004C6A6D" w:rsidRDefault="007E7497" w:rsidP="007E7497">
      <w:pPr>
        <w:jc w:val="center"/>
        <w:rPr>
          <w:caps/>
          <w:lang w:val="en-GB"/>
        </w:rPr>
      </w:pPr>
    </w:p>
    <w:p w14:paraId="365EE031"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4DEC833F"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4CB54B11"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3F2D2B63"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167B9CC1"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76C1D2BF"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27C13DE2"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4DE4716C"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61AA94DC"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5323BEB5"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55FD847B"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47D0AE45"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292762A9"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2369A029"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6A2E36D9"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0098F7AC"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5DCA50B6"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2051543E"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4FF5A522"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58122206" w14:textId="77777777" w:rsidR="00CF1EB2" w:rsidRDefault="00CF1EB2"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p>
    <w:p w14:paraId="7DCABE2E" w14:textId="1DCCE24B" w:rsidR="00CF1EB2" w:rsidRDefault="0059378B"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r w:rsidRPr="00ED47F9">
        <w:rPr>
          <w:rFonts w:eastAsia="MS Mincho"/>
          <w:b/>
          <w:bCs/>
          <w:caps/>
          <w:color w:val="000000"/>
          <w:shd w:val="clear" w:color="auto" w:fill="FFFFFF"/>
          <w:lang w:val="en-GB" w:eastAsia="ja-JP"/>
        </w:rPr>
        <w:t>apt Report on</w:t>
      </w:r>
      <w:bookmarkStart w:id="1" w:name="_Hlk136462948"/>
    </w:p>
    <w:p w14:paraId="1BC42238" w14:textId="65EEE84A" w:rsidR="0059378B" w:rsidRPr="00CF1EB2" w:rsidRDefault="0059378B" w:rsidP="00CF1EB2">
      <w:pPr>
        <w:tabs>
          <w:tab w:val="left" w:pos="1134"/>
          <w:tab w:val="left" w:pos="1871"/>
          <w:tab w:val="left" w:pos="2268"/>
        </w:tabs>
        <w:overflowPunct w:val="0"/>
        <w:autoSpaceDE w:val="0"/>
        <w:autoSpaceDN w:val="0"/>
        <w:adjustRightInd w:val="0"/>
        <w:jc w:val="center"/>
        <w:textAlignment w:val="baseline"/>
        <w:rPr>
          <w:rFonts w:eastAsia="MS Mincho"/>
          <w:b/>
          <w:bCs/>
          <w:caps/>
          <w:color w:val="000000"/>
          <w:shd w:val="clear" w:color="auto" w:fill="FFFFFF"/>
          <w:lang w:val="en-GB" w:eastAsia="ja-JP"/>
        </w:rPr>
      </w:pPr>
      <w:r w:rsidRPr="00ED47F9">
        <w:rPr>
          <w:rFonts w:eastAsia="MS Mincho"/>
          <w:b/>
          <w:bCs/>
          <w:caps/>
          <w:color w:val="000000"/>
          <w:shd w:val="clear" w:color="auto" w:fill="FFFFFF"/>
          <w:lang w:val="en-GB" w:eastAsia="ja-JP"/>
        </w:rPr>
        <w:t>MILLIMETRE WAVE ITS applications i</w:t>
      </w:r>
      <w:r w:rsidRPr="00ED47F9">
        <w:rPr>
          <w:rFonts w:eastAsia="MS Mincho"/>
          <w:b/>
          <w:bCs/>
          <w:caps/>
          <w:color w:val="000000"/>
          <w:shd w:val="clear" w:color="auto" w:fill="FFFFFF"/>
          <w:lang w:val="en-GB"/>
        </w:rPr>
        <w:t>n APT countries</w:t>
      </w:r>
    </w:p>
    <w:bookmarkEnd w:id="1"/>
    <w:p w14:paraId="5E3835F7" w14:textId="77E15D45" w:rsidR="007E7497" w:rsidRPr="00ED47F9" w:rsidRDefault="007E7497" w:rsidP="001A1E1D">
      <w:pPr>
        <w:jc w:val="center"/>
        <w:rPr>
          <w:b/>
          <w:bCs/>
          <w:caps/>
          <w:lang w:val="en-GB"/>
        </w:rPr>
      </w:pPr>
    </w:p>
    <w:p w14:paraId="2D7B2876" w14:textId="77777777" w:rsidR="007E7497" w:rsidRPr="00ED47F9" w:rsidRDefault="007E7497" w:rsidP="007E7497">
      <w:pPr>
        <w:jc w:val="both"/>
        <w:rPr>
          <w:bCs/>
          <w:sz w:val="6"/>
        </w:rPr>
      </w:pPr>
    </w:p>
    <w:p w14:paraId="68CC07A3" w14:textId="77777777" w:rsidR="00D84CEE" w:rsidRPr="00ED47F9" w:rsidRDefault="00D84CEE" w:rsidP="00D84CEE">
      <w:pPr>
        <w:jc w:val="both"/>
        <w:rPr>
          <w:sz w:val="10"/>
        </w:rPr>
      </w:pPr>
    </w:p>
    <w:p w14:paraId="690A4B42" w14:textId="77777777" w:rsidR="002C597D" w:rsidRPr="00ED47F9" w:rsidRDefault="002C597D" w:rsidP="002C597D">
      <w:pPr>
        <w:jc w:val="both"/>
        <w:rPr>
          <w:bCs/>
          <w:sz w:val="6"/>
          <w:lang w:val="en-GB"/>
        </w:rPr>
      </w:pPr>
    </w:p>
    <w:p w14:paraId="4AF6056F" w14:textId="77777777" w:rsidR="002C597D" w:rsidRPr="00ED47F9" w:rsidRDefault="002C597D" w:rsidP="002C597D">
      <w:pPr>
        <w:jc w:val="both"/>
        <w:rPr>
          <w:sz w:val="10"/>
          <w:lang w:val="en-GB"/>
        </w:rPr>
      </w:pPr>
    </w:p>
    <w:p w14:paraId="0B2EEB67" w14:textId="77777777" w:rsidR="002C597D" w:rsidRPr="00ED47F9" w:rsidRDefault="002C597D" w:rsidP="00693E98">
      <w:pPr>
        <w:rPr>
          <w:rFonts w:eastAsiaTheme="minorEastAsia"/>
          <w:b/>
          <w:lang w:val="en-GB" w:eastAsia="ja-JP"/>
        </w:rPr>
      </w:pPr>
    </w:p>
    <w:p w14:paraId="22097B01" w14:textId="77777777" w:rsidR="002C597D" w:rsidRPr="00ED47F9" w:rsidRDefault="002C597D" w:rsidP="002C597D">
      <w:pPr>
        <w:jc w:val="center"/>
        <w:rPr>
          <w:b/>
          <w:lang w:val="en-GB" w:eastAsia="ja-JP"/>
        </w:rPr>
      </w:pPr>
      <w:r w:rsidRPr="00ED47F9">
        <w:rPr>
          <w:b/>
          <w:lang w:val="en-GB" w:eastAsia="ja-JP"/>
        </w:rPr>
        <w:t>Table of Contents</w:t>
      </w:r>
    </w:p>
    <w:p w14:paraId="60C08BC2" w14:textId="77777777" w:rsidR="002C597D" w:rsidRPr="00ED47F9" w:rsidRDefault="002C597D" w:rsidP="002C597D">
      <w:pPr>
        <w:jc w:val="center"/>
        <w:rPr>
          <w:rFonts w:eastAsia="MS Mincho"/>
          <w:b/>
          <w:lang w:val="en-GB" w:eastAsia="ja-JP"/>
        </w:rPr>
      </w:pPr>
    </w:p>
    <w:p w14:paraId="55BE8CBC" w14:textId="77777777" w:rsidR="002C597D" w:rsidRPr="00ED47F9" w:rsidRDefault="002C597D" w:rsidP="002C597D">
      <w:pPr>
        <w:pStyle w:val="ListParagraph"/>
        <w:numPr>
          <w:ilvl w:val="0"/>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ED47F9">
        <w:rPr>
          <w:rFonts w:eastAsia="MS Mincho"/>
          <w:b/>
          <w:bCs/>
          <w:color w:val="000000"/>
          <w:lang w:val="en-GB" w:eastAsia="ja-JP"/>
        </w:rPr>
        <w:t>Scope</w:t>
      </w:r>
    </w:p>
    <w:p w14:paraId="0A29DA6C" w14:textId="77777777" w:rsidR="002C597D" w:rsidRPr="00DE3C7C" w:rsidRDefault="002C597D" w:rsidP="002C597D">
      <w:pPr>
        <w:pStyle w:val="ListParagraph"/>
        <w:numPr>
          <w:ilvl w:val="0"/>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ED47F9">
        <w:rPr>
          <w:rFonts w:eastAsia="MS Mincho"/>
          <w:b/>
          <w:bCs/>
          <w:color w:val="000000"/>
          <w:lang w:val="en-GB" w:eastAsia="ja-JP"/>
        </w:rPr>
        <w:t>Backgroun</w:t>
      </w:r>
      <w:r w:rsidRPr="00DE3C7C">
        <w:rPr>
          <w:rFonts w:eastAsia="MS Mincho"/>
          <w:b/>
          <w:bCs/>
          <w:color w:val="000000"/>
          <w:lang w:val="en-GB" w:eastAsia="ja-JP"/>
        </w:rPr>
        <w:t>d</w:t>
      </w:r>
      <w:r w:rsidRPr="00DE3C7C">
        <w:rPr>
          <w:rFonts w:eastAsia="MS Mincho"/>
          <w:b/>
          <w:bCs/>
          <w:color w:val="000000"/>
          <w:lang w:val="en-GB" w:eastAsia="ja-JP"/>
        </w:rPr>
        <w:tab/>
      </w:r>
    </w:p>
    <w:p w14:paraId="02AD17B6" w14:textId="77777777" w:rsidR="002C597D" w:rsidRPr="00DE3C7C" w:rsidRDefault="002C597D" w:rsidP="002C597D">
      <w:pPr>
        <w:pStyle w:val="ListParagraph"/>
        <w:numPr>
          <w:ilvl w:val="0"/>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Related documents</w:t>
      </w:r>
      <w:r w:rsidRPr="00DE3C7C">
        <w:rPr>
          <w:rFonts w:eastAsia="MS Mincho"/>
          <w:b/>
          <w:bCs/>
          <w:color w:val="000000"/>
          <w:lang w:val="en-GB" w:eastAsia="ja-JP"/>
        </w:rPr>
        <w:tab/>
      </w:r>
    </w:p>
    <w:p w14:paraId="4573569E" w14:textId="77777777" w:rsidR="002C597D" w:rsidRPr="00DE3C7C" w:rsidRDefault="002C597D" w:rsidP="002C597D">
      <w:pPr>
        <w:pStyle w:val="ListParagraph"/>
        <w:numPr>
          <w:ilvl w:val="0"/>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List of acronyms and abbreviations</w:t>
      </w:r>
    </w:p>
    <w:p w14:paraId="74CEB966" w14:textId="77777777" w:rsidR="002C597D" w:rsidRPr="00DE3C7C" w:rsidRDefault="002C597D" w:rsidP="002C597D">
      <w:pPr>
        <w:pStyle w:val="ListParagraph"/>
        <w:numPr>
          <w:ilvl w:val="0"/>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Overview of ITS radiocommunication and automotive radar</w:t>
      </w:r>
    </w:p>
    <w:p w14:paraId="39AB7245"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ITS radiocommunication</w:t>
      </w:r>
    </w:p>
    <w:p w14:paraId="014B906B"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Automotive radar</w:t>
      </w:r>
    </w:p>
    <w:p w14:paraId="4AF01A0F" w14:textId="77777777" w:rsidR="002C597D" w:rsidRPr="00DE3C7C" w:rsidRDefault="002C597D" w:rsidP="002C597D">
      <w:pPr>
        <w:pStyle w:val="ListParagraph"/>
        <w:numPr>
          <w:ilvl w:val="0"/>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 xml:space="preserve">Millimetre wave communications for ITS applications </w:t>
      </w:r>
    </w:p>
    <w:p w14:paraId="78248C56"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Overview</w:t>
      </w:r>
    </w:p>
    <w:p w14:paraId="2D28B136"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Technical characteristics</w:t>
      </w:r>
    </w:p>
    <w:p w14:paraId="0D2322BC"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Frequency usage</w:t>
      </w:r>
      <w:r w:rsidRPr="00DE3C7C">
        <w:rPr>
          <w:rFonts w:eastAsia="MS Mincho"/>
          <w:b/>
          <w:bCs/>
          <w:color w:val="000000"/>
          <w:lang w:val="en-GB" w:eastAsia="ja-JP"/>
        </w:rPr>
        <w:tab/>
      </w:r>
    </w:p>
    <w:p w14:paraId="17F85007"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Standardization</w:t>
      </w:r>
      <w:r w:rsidRPr="00DE3C7C">
        <w:rPr>
          <w:rFonts w:eastAsia="MS Mincho"/>
          <w:b/>
          <w:bCs/>
          <w:color w:val="000000"/>
          <w:lang w:val="en-GB" w:eastAsia="ja-JP"/>
        </w:rPr>
        <w:tab/>
      </w:r>
    </w:p>
    <w:p w14:paraId="2C22EC31"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Applications</w:t>
      </w:r>
      <w:r w:rsidRPr="00DE3C7C">
        <w:rPr>
          <w:rFonts w:eastAsia="MS Mincho"/>
          <w:b/>
          <w:bCs/>
          <w:color w:val="000000"/>
          <w:lang w:val="en-GB" w:eastAsia="ja-JP"/>
        </w:rPr>
        <w:tab/>
      </w:r>
    </w:p>
    <w:p w14:paraId="52CBF0DC" w14:textId="77777777" w:rsidR="002C597D" w:rsidRPr="00DE3C7C" w:rsidRDefault="002C597D" w:rsidP="002C597D">
      <w:pPr>
        <w:pStyle w:val="ListParagraph"/>
        <w:numPr>
          <w:ilvl w:val="0"/>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Millimetre wave advanced sensing for ITS applications</w:t>
      </w:r>
    </w:p>
    <w:p w14:paraId="74E418B0"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Overview</w:t>
      </w:r>
    </w:p>
    <w:p w14:paraId="6D93FFEF"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Technical characteristics</w:t>
      </w:r>
    </w:p>
    <w:p w14:paraId="61CE7885"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Frequency usage</w:t>
      </w:r>
      <w:r w:rsidRPr="00DE3C7C">
        <w:rPr>
          <w:rFonts w:eastAsia="MS Mincho"/>
          <w:b/>
          <w:bCs/>
          <w:color w:val="000000"/>
          <w:lang w:val="en-GB" w:eastAsia="ja-JP"/>
        </w:rPr>
        <w:tab/>
      </w:r>
    </w:p>
    <w:p w14:paraId="48F27A88"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Standardization</w:t>
      </w:r>
      <w:r w:rsidRPr="00DE3C7C">
        <w:rPr>
          <w:rFonts w:eastAsia="MS Mincho"/>
          <w:b/>
          <w:bCs/>
          <w:color w:val="000000"/>
          <w:lang w:val="en-GB" w:eastAsia="ja-JP"/>
        </w:rPr>
        <w:tab/>
      </w:r>
    </w:p>
    <w:p w14:paraId="195382AF" w14:textId="77777777" w:rsidR="002C597D" w:rsidRPr="00DE3C7C" w:rsidRDefault="002C597D" w:rsidP="002C597D">
      <w:pPr>
        <w:pStyle w:val="ListParagraph"/>
        <w:numPr>
          <w:ilvl w:val="1"/>
          <w:numId w:val="25"/>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Applications</w:t>
      </w:r>
      <w:r w:rsidRPr="00DE3C7C">
        <w:rPr>
          <w:rFonts w:eastAsia="MS Mincho"/>
          <w:b/>
          <w:bCs/>
          <w:color w:val="000000"/>
          <w:lang w:val="en-GB" w:eastAsia="ja-JP"/>
        </w:rPr>
        <w:tab/>
      </w:r>
    </w:p>
    <w:p w14:paraId="33C92DCB" w14:textId="77777777" w:rsidR="002C597D" w:rsidRPr="00DE3C7C" w:rsidRDefault="002C597D" w:rsidP="002C597D">
      <w:pPr>
        <w:pStyle w:val="ListParagraph"/>
        <w:numPr>
          <w:ilvl w:val="0"/>
          <w:numId w:val="25"/>
        </w:numPr>
        <w:spacing w:before="120"/>
        <w:ind w:left="1134" w:hanging="567"/>
        <w:rPr>
          <w:b/>
          <w:bCs/>
          <w:lang w:val="en-GB"/>
        </w:rPr>
      </w:pPr>
      <w:r w:rsidRPr="00DE3C7C">
        <w:rPr>
          <w:b/>
          <w:bCs/>
          <w:lang w:val="en-GB"/>
        </w:rPr>
        <w:t>Results of Studies</w:t>
      </w:r>
    </w:p>
    <w:p w14:paraId="47EEA3C1" w14:textId="77777777" w:rsidR="002C597D" w:rsidRDefault="002C597D" w:rsidP="002C597D">
      <w:pPr>
        <w:pStyle w:val="ListParagraph"/>
        <w:spacing w:before="120"/>
        <w:ind w:left="1134"/>
        <w:rPr>
          <w:b/>
          <w:bCs/>
          <w:lang w:val="en-GB"/>
        </w:rPr>
      </w:pPr>
      <w:r w:rsidRPr="00DE3C7C">
        <w:rPr>
          <w:b/>
          <w:bCs/>
          <w:lang w:val="en-GB"/>
        </w:rPr>
        <w:t>References</w:t>
      </w:r>
    </w:p>
    <w:p w14:paraId="2F5A3047" w14:textId="77777777" w:rsidR="00CF1EB2" w:rsidRDefault="00CF1EB2" w:rsidP="002C597D">
      <w:pPr>
        <w:pStyle w:val="ListParagraph"/>
        <w:spacing w:before="120"/>
        <w:ind w:left="1134"/>
        <w:rPr>
          <w:b/>
          <w:bCs/>
          <w:lang w:val="en-GB"/>
        </w:rPr>
      </w:pPr>
    </w:p>
    <w:p w14:paraId="7E3F8247" w14:textId="77777777" w:rsidR="00CF1EB2" w:rsidRDefault="00CF1EB2" w:rsidP="002C597D">
      <w:pPr>
        <w:pStyle w:val="ListParagraph"/>
        <w:spacing w:before="120"/>
        <w:ind w:left="1134"/>
        <w:rPr>
          <w:b/>
          <w:bCs/>
          <w:lang w:val="en-GB"/>
        </w:rPr>
      </w:pPr>
    </w:p>
    <w:p w14:paraId="72DE5352" w14:textId="77777777" w:rsidR="00CF1EB2" w:rsidRDefault="00CF1EB2" w:rsidP="002C597D">
      <w:pPr>
        <w:pStyle w:val="ListParagraph"/>
        <w:spacing w:before="120"/>
        <w:ind w:left="1134"/>
        <w:rPr>
          <w:b/>
          <w:bCs/>
          <w:lang w:val="en-GB"/>
        </w:rPr>
      </w:pPr>
    </w:p>
    <w:p w14:paraId="70B06466" w14:textId="77777777" w:rsidR="00CF1EB2" w:rsidRDefault="00CF1EB2" w:rsidP="002C597D">
      <w:pPr>
        <w:pStyle w:val="ListParagraph"/>
        <w:spacing w:before="120"/>
        <w:ind w:left="1134"/>
        <w:rPr>
          <w:b/>
          <w:bCs/>
          <w:lang w:val="en-GB"/>
        </w:rPr>
      </w:pPr>
    </w:p>
    <w:p w14:paraId="7851D59D" w14:textId="77777777" w:rsidR="00CF1EB2" w:rsidRDefault="00CF1EB2" w:rsidP="002C597D">
      <w:pPr>
        <w:pStyle w:val="ListParagraph"/>
        <w:spacing w:before="120"/>
        <w:ind w:left="1134"/>
        <w:rPr>
          <w:b/>
          <w:bCs/>
          <w:lang w:val="en-GB"/>
        </w:rPr>
      </w:pPr>
    </w:p>
    <w:p w14:paraId="2F50F038" w14:textId="77777777" w:rsidR="00CF1EB2" w:rsidRDefault="00CF1EB2" w:rsidP="002C597D">
      <w:pPr>
        <w:pStyle w:val="ListParagraph"/>
        <w:spacing w:before="120"/>
        <w:ind w:left="1134"/>
        <w:rPr>
          <w:b/>
          <w:bCs/>
          <w:lang w:val="en-GB"/>
        </w:rPr>
      </w:pPr>
    </w:p>
    <w:p w14:paraId="0DDBF3DB" w14:textId="77777777" w:rsidR="00CF1EB2" w:rsidRDefault="00CF1EB2" w:rsidP="002C597D">
      <w:pPr>
        <w:pStyle w:val="ListParagraph"/>
        <w:spacing w:before="120"/>
        <w:ind w:left="1134"/>
        <w:rPr>
          <w:b/>
          <w:bCs/>
          <w:lang w:val="en-GB"/>
        </w:rPr>
      </w:pPr>
    </w:p>
    <w:p w14:paraId="68479277" w14:textId="77777777" w:rsidR="00CF1EB2" w:rsidRPr="00DE3C7C" w:rsidRDefault="00CF1EB2" w:rsidP="002C597D">
      <w:pPr>
        <w:pStyle w:val="ListParagraph"/>
        <w:spacing w:before="120"/>
        <w:ind w:left="1134"/>
        <w:rPr>
          <w:b/>
          <w:bCs/>
          <w:lang w:val="en-GB"/>
        </w:rPr>
      </w:pPr>
    </w:p>
    <w:p w14:paraId="290D093E" w14:textId="77777777"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MS Mincho"/>
          <w:b/>
          <w:bCs/>
          <w:color w:val="000000"/>
          <w:lang w:val="en-GB" w:eastAsia="ja-JP"/>
        </w:rPr>
      </w:pPr>
    </w:p>
    <w:p w14:paraId="7428591A" w14:textId="77777777" w:rsidR="002C597D" w:rsidRPr="00DE3C7C" w:rsidRDefault="002C597D" w:rsidP="002C597D">
      <w:pPr>
        <w:pStyle w:val="ListParagraph"/>
        <w:numPr>
          <w:ilvl w:val="0"/>
          <w:numId w:val="31"/>
        </w:numPr>
        <w:ind w:firstLine="147"/>
        <w:rPr>
          <w:rFonts w:eastAsia="MS Mincho"/>
          <w:b/>
          <w:bCs/>
          <w:color w:val="000000"/>
          <w:lang w:val="en-GB" w:eastAsia="ja-JP"/>
        </w:rPr>
      </w:pPr>
      <w:r w:rsidRPr="00DE3C7C">
        <w:rPr>
          <w:lang w:val="en-GB"/>
        </w:rPr>
        <w:br w:type="page"/>
      </w:r>
      <w:r w:rsidRPr="00DE3C7C">
        <w:rPr>
          <w:rFonts w:eastAsia="MS Mincho"/>
          <w:b/>
          <w:bCs/>
          <w:color w:val="000000"/>
          <w:lang w:val="en-GB" w:eastAsia="ja-JP"/>
        </w:rPr>
        <w:lastRenderedPageBreak/>
        <w:t>Scope</w:t>
      </w:r>
    </w:p>
    <w:p w14:paraId="4AEF2285" w14:textId="77777777" w:rsidR="002C597D" w:rsidRPr="00F71226"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lang w:val="en-GB"/>
        </w:rPr>
      </w:pPr>
      <w:r w:rsidRPr="00DE3C7C">
        <w:rPr>
          <w:lang w:val="en-GB"/>
        </w:rPr>
        <w:t xml:space="preserve">This report addresses the usages of Intelligent Transport System (ITS) applications utilizing millimetre wave bands, such as vehicle to infrastructure, vehicle to vehicle, vehicle to network communications </w:t>
      </w:r>
      <w:r w:rsidRPr="00F71226">
        <w:rPr>
          <w:lang w:val="en-GB"/>
        </w:rPr>
        <w:t xml:space="preserve">for traffic safety related and traffic efficiency applications, which are considering as future ITS in APT member countries. Additionally advanced automotive sensors are also addressed for such as in-vehicle passenger safety or advanced corporative ITS applications. </w:t>
      </w:r>
      <w:r w:rsidRPr="00F71226">
        <w:rPr>
          <w:rFonts w:eastAsiaTheme="minorEastAsia"/>
          <w:lang w:val="en-GB" w:eastAsia="ja-JP"/>
        </w:rPr>
        <w:t xml:space="preserve"> </w:t>
      </w:r>
    </w:p>
    <w:p w14:paraId="530C2DB2" w14:textId="3D671DB0" w:rsidR="002C597D" w:rsidRPr="00F71226" w:rsidRDefault="002C597D" w:rsidP="002C597D">
      <w:pPr>
        <w:tabs>
          <w:tab w:val="left" w:pos="1134"/>
          <w:tab w:val="left" w:pos="1871"/>
          <w:tab w:val="left" w:pos="2268"/>
        </w:tabs>
        <w:overflowPunct w:val="0"/>
        <w:autoSpaceDE w:val="0"/>
        <w:autoSpaceDN w:val="0"/>
        <w:adjustRightInd w:val="0"/>
        <w:ind w:firstLineChars="50" w:firstLine="120"/>
        <w:jc w:val="both"/>
        <w:textAlignment w:val="baseline"/>
        <w:rPr>
          <w:lang w:val="en-GB"/>
        </w:rPr>
      </w:pPr>
      <w:r w:rsidRPr="00F71226">
        <w:rPr>
          <w:lang w:val="en-GB" w:eastAsia="ko-KR"/>
        </w:rPr>
        <w:t xml:space="preserve">This report identifies current and planned usage of ITS technologies, frequency bands, and status of standardization, </w:t>
      </w:r>
      <w:proofErr w:type="gramStart"/>
      <w:r w:rsidRPr="00F71226">
        <w:rPr>
          <w:lang w:val="en-GB" w:eastAsia="ko-KR"/>
        </w:rPr>
        <w:t>applications</w:t>
      </w:r>
      <w:proofErr w:type="gramEnd"/>
      <w:r w:rsidRPr="00F71226">
        <w:rPr>
          <w:lang w:val="en-GB" w:eastAsia="ko-KR"/>
        </w:rPr>
        <w:t xml:space="preserve"> and deployments in </w:t>
      </w:r>
      <w:r w:rsidR="000B74AD" w:rsidRPr="000B74AD">
        <w:rPr>
          <w:lang w:val="en-GB" w:eastAsia="ko-KR"/>
        </w:rPr>
        <w:t>Asia Pacific region</w:t>
      </w:r>
      <w:r w:rsidRPr="00F71226">
        <w:rPr>
          <w:lang w:val="en-GB" w:eastAsia="ko-KR"/>
        </w:rPr>
        <w:t>.</w:t>
      </w:r>
    </w:p>
    <w:p w14:paraId="10C3B4EF" w14:textId="77777777" w:rsidR="00A4051B" w:rsidRPr="00F71226" w:rsidRDefault="00A4051B" w:rsidP="002C597D">
      <w:pPr>
        <w:rPr>
          <w:lang w:val="en-GB"/>
        </w:rPr>
      </w:pPr>
    </w:p>
    <w:p w14:paraId="19C69972" w14:textId="77777777" w:rsidR="002C597D" w:rsidRPr="00F71226" w:rsidRDefault="002C597D" w:rsidP="002C597D">
      <w:pPr>
        <w:pStyle w:val="ListParagraph"/>
        <w:numPr>
          <w:ilvl w:val="0"/>
          <w:numId w:val="26"/>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F71226">
        <w:rPr>
          <w:rFonts w:eastAsia="MS Mincho"/>
          <w:b/>
          <w:bCs/>
          <w:color w:val="000000"/>
          <w:lang w:val="en-GB" w:eastAsia="ja-JP"/>
        </w:rPr>
        <w:t>Background</w:t>
      </w:r>
      <w:r w:rsidRPr="00F71226">
        <w:rPr>
          <w:rFonts w:eastAsia="MS Mincho"/>
          <w:b/>
          <w:bCs/>
          <w:color w:val="000000"/>
          <w:lang w:val="en-GB" w:eastAsia="ja-JP"/>
        </w:rPr>
        <w:tab/>
      </w:r>
    </w:p>
    <w:p w14:paraId="72F9659B" w14:textId="77777777" w:rsidR="002C597D" w:rsidRPr="00DE3C7C" w:rsidRDefault="002C597D" w:rsidP="002C597D">
      <w:pPr>
        <w:tabs>
          <w:tab w:val="left" w:pos="1134"/>
          <w:tab w:val="left" w:pos="1871"/>
          <w:tab w:val="left" w:pos="2268"/>
        </w:tabs>
        <w:overflowPunct w:val="0"/>
        <w:autoSpaceDE w:val="0"/>
        <w:autoSpaceDN w:val="0"/>
        <w:adjustRightInd w:val="0"/>
        <w:spacing w:before="120"/>
        <w:jc w:val="both"/>
        <w:textAlignment w:val="baseline"/>
        <w:rPr>
          <w:lang w:val="en-GB"/>
        </w:rPr>
      </w:pPr>
      <w:r w:rsidRPr="00F71226">
        <w:rPr>
          <w:rFonts w:ascii="MS Mincho" w:eastAsia="MS Mincho" w:hAnsi="MS Mincho"/>
          <w:lang w:val="en-GB" w:eastAsia="ja-JP"/>
        </w:rPr>
        <w:t xml:space="preserve"> </w:t>
      </w:r>
      <w:r w:rsidRPr="00F71226">
        <w:rPr>
          <w:lang w:val="en-GB"/>
        </w:rPr>
        <w:t>In ITU-R</w:t>
      </w:r>
      <w:r w:rsidRPr="00F71226">
        <w:rPr>
          <w:rFonts w:eastAsiaTheme="minorEastAsia"/>
          <w:lang w:val="en-GB" w:eastAsia="ja-JP"/>
        </w:rPr>
        <w:t xml:space="preserve"> </w:t>
      </w:r>
      <w:r w:rsidRPr="00F71226">
        <w:rPr>
          <w:lang w:val="en-GB"/>
        </w:rPr>
        <w:t xml:space="preserve">WP 5A, </w:t>
      </w:r>
      <w:r w:rsidRPr="00F71226">
        <w:rPr>
          <w:rFonts w:eastAsiaTheme="minorEastAsia"/>
          <w:lang w:val="en-GB" w:eastAsia="ja-JP"/>
        </w:rPr>
        <w:t>Recommendation ITU-R</w:t>
      </w:r>
      <w:r w:rsidRPr="00F71226">
        <w:rPr>
          <w:lang w:val="en-GB"/>
        </w:rPr>
        <w:t xml:space="preserve"> M.</w:t>
      </w:r>
      <w:r w:rsidRPr="00F71226">
        <w:rPr>
          <w:rFonts w:eastAsiaTheme="minorEastAsia"/>
          <w:lang w:val="en-GB" w:eastAsia="ja-JP"/>
        </w:rPr>
        <w:t>2121</w:t>
      </w:r>
      <w:r w:rsidRPr="00F71226">
        <w:rPr>
          <w:lang w:val="en-GB"/>
        </w:rPr>
        <w:t xml:space="preserve"> referred to agenda item 1.12 of WRC-19 is carried out. 63-64 GHz</w:t>
      </w:r>
      <w:r w:rsidRPr="00DE3C7C">
        <w:rPr>
          <w:lang w:val="en-GB"/>
        </w:rPr>
        <w:t xml:space="preserve"> band is defined as an ITS frequency, standardized by E</w:t>
      </w:r>
      <w:r w:rsidRPr="00DE3C7C">
        <w:rPr>
          <w:rFonts w:eastAsiaTheme="minorEastAsia"/>
          <w:lang w:val="en-GB" w:eastAsia="ja-JP"/>
        </w:rPr>
        <w:t>T</w:t>
      </w:r>
      <w:r w:rsidRPr="00DE3C7C">
        <w:rPr>
          <w:lang w:val="en-GB"/>
        </w:rPr>
        <w:t>SI as EN 302 686 v1.1.1. Meanwhile, in ITU-R, there is a recommendation of ITU-R M.2003-2 (01/2018), that recommends the use of IEEE802.11 or IEEE802.15 standard for high-speed data communication, although it is not used for ITS, frequency harmonization in the millimetre wave band is also required for ITS.</w:t>
      </w:r>
    </w:p>
    <w:p w14:paraId="64BBD82D" w14:textId="77777777" w:rsidR="002C597D" w:rsidRPr="00DE3C7C" w:rsidRDefault="002C597D" w:rsidP="002C597D">
      <w:pPr>
        <w:ind w:firstLineChars="50" w:firstLine="120"/>
        <w:jc w:val="both"/>
        <w:rPr>
          <w:lang w:val="en-GB"/>
        </w:rPr>
      </w:pPr>
      <w:r w:rsidRPr="00DE3C7C">
        <w:rPr>
          <w:lang w:val="en-GB"/>
        </w:rPr>
        <w:t>With regard to future frequency harmonization even in the millimetre wave band, Japan believes that it is good to start considerations for millimetre wave ITS applications in APT countries.</w:t>
      </w:r>
    </w:p>
    <w:p w14:paraId="4D0955CF" w14:textId="77777777" w:rsidR="002C597D" w:rsidRPr="00DE3C7C" w:rsidRDefault="002C597D" w:rsidP="002C597D">
      <w:pPr>
        <w:rPr>
          <w:rFonts w:eastAsiaTheme="minorEastAsia"/>
          <w:lang w:val="en-GB" w:eastAsia="ja-JP"/>
        </w:rPr>
      </w:pPr>
    </w:p>
    <w:p w14:paraId="7A2DC2BC" w14:textId="77777777" w:rsidR="002C597D" w:rsidRPr="00DE3C7C" w:rsidRDefault="002C597D" w:rsidP="002C597D">
      <w:pPr>
        <w:pStyle w:val="ListParagraph"/>
        <w:numPr>
          <w:ilvl w:val="0"/>
          <w:numId w:val="27"/>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Related documents</w:t>
      </w:r>
      <w:r w:rsidRPr="00DE3C7C">
        <w:rPr>
          <w:rFonts w:eastAsia="MS Mincho"/>
          <w:b/>
          <w:bCs/>
          <w:color w:val="000000"/>
          <w:lang w:val="en-GB" w:eastAsia="ja-JP"/>
        </w:rPr>
        <w:tab/>
      </w:r>
    </w:p>
    <w:p w14:paraId="58048626" w14:textId="77777777" w:rsidR="00B93185" w:rsidRDefault="002C597D" w:rsidP="002C597D">
      <w:pPr>
        <w:tabs>
          <w:tab w:val="left" w:pos="1134"/>
          <w:tab w:val="left" w:pos="1871"/>
          <w:tab w:val="left" w:pos="2268"/>
        </w:tabs>
        <w:overflowPunct w:val="0"/>
        <w:autoSpaceDE w:val="0"/>
        <w:autoSpaceDN w:val="0"/>
        <w:adjustRightInd w:val="0"/>
        <w:spacing w:before="120"/>
        <w:textAlignment w:val="baseline"/>
        <w:rPr>
          <w:rFonts w:eastAsia="SimSun"/>
          <w:b/>
          <w:szCs w:val="20"/>
          <w:lang w:val="en-GB" w:eastAsia="zh-CN"/>
        </w:rPr>
      </w:pPr>
      <w:r w:rsidRPr="00DE3C7C">
        <w:rPr>
          <w:rFonts w:eastAsia="SimSun"/>
          <w:b/>
          <w:szCs w:val="20"/>
          <w:lang w:val="en-GB" w:eastAsia="zh-CN"/>
        </w:rPr>
        <w:t>ITU-R Recommendations:</w:t>
      </w:r>
    </w:p>
    <w:p w14:paraId="48948CA6" w14:textId="7A603600"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SimSun"/>
          <w:szCs w:val="20"/>
          <w:lang w:val="en-GB" w:eastAsia="zh-CN"/>
        </w:rPr>
      </w:pPr>
      <w:r w:rsidRPr="00DE3C7C">
        <w:rPr>
          <w:rFonts w:eastAsia="SimSun"/>
          <w:szCs w:val="20"/>
          <w:lang w:val="en-GB" w:eastAsia="zh-CN"/>
        </w:rPr>
        <w:t>ITU-R M.1890</w:t>
      </w:r>
      <w:r w:rsidRPr="00DE3C7C">
        <w:rPr>
          <w:rFonts w:eastAsia="SimSun"/>
          <w:szCs w:val="20"/>
          <w:lang w:val="en-GB" w:eastAsia="zh-CN"/>
        </w:rPr>
        <w:tab/>
        <w:t>Intelligent transport systems – Guidelines and objectives</w:t>
      </w:r>
    </w:p>
    <w:p w14:paraId="05E49AF1" w14:textId="77777777"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SimSun"/>
          <w:szCs w:val="20"/>
          <w:lang w:val="en-GB" w:eastAsia="zh-CN"/>
        </w:rPr>
      </w:pPr>
      <w:r w:rsidRPr="00DE3C7C">
        <w:rPr>
          <w:rFonts w:eastAsia="SimSun"/>
          <w:szCs w:val="20"/>
          <w:lang w:val="en-GB" w:eastAsia="zh-CN"/>
        </w:rPr>
        <w:t>ITU-R M.1452</w:t>
      </w:r>
      <w:r w:rsidRPr="00DE3C7C">
        <w:rPr>
          <w:rFonts w:eastAsia="SimSun"/>
          <w:szCs w:val="20"/>
          <w:lang w:val="en-GB" w:eastAsia="zh-CN"/>
        </w:rPr>
        <w:tab/>
        <w:t xml:space="preserve">Millimetre wave radiocommunication systems for Intelligent Transport </w:t>
      </w:r>
      <w:r w:rsidRPr="00DE3C7C">
        <w:rPr>
          <w:rFonts w:eastAsia="SimSun"/>
          <w:szCs w:val="20"/>
          <w:lang w:val="en-GB" w:eastAsia="zh-CN"/>
        </w:rPr>
        <w:br/>
      </w:r>
      <w:r w:rsidRPr="00DE3C7C">
        <w:rPr>
          <w:rFonts w:eastAsia="SimSun"/>
          <w:szCs w:val="20"/>
          <w:lang w:val="en-GB" w:eastAsia="zh-CN"/>
        </w:rPr>
        <w:tab/>
      </w:r>
      <w:r w:rsidRPr="00DE3C7C">
        <w:rPr>
          <w:rFonts w:eastAsia="SimSun"/>
          <w:szCs w:val="20"/>
          <w:lang w:val="en-GB" w:eastAsia="zh-CN"/>
        </w:rPr>
        <w:tab/>
        <w:t>Systems applications</w:t>
      </w:r>
    </w:p>
    <w:p w14:paraId="2E18D2D6" w14:textId="77777777"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SimSun"/>
          <w:szCs w:val="20"/>
          <w:lang w:val="en-GB" w:eastAsia="zh-CN"/>
        </w:rPr>
      </w:pPr>
      <w:r w:rsidRPr="00DE3C7C">
        <w:rPr>
          <w:rFonts w:eastAsia="SimSun"/>
          <w:szCs w:val="20"/>
          <w:lang w:val="en-GB" w:eastAsia="zh-CN"/>
        </w:rPr>
        <w:t>ITU-R M.1453</w:t>
      </w:r>
      <w:r w:rsidRPr="00DE3C7C">
        <w:rPr>
          <w:rFonts w:eastAsia="SimSun"/>
          <w:szCs w:val="20"/>
          <w:lang w:val="en-GB" w:eastAsia="zh-CN"/>
        </w:rPr>
        <w:tab/>
        <w:t xml:space="preserve">Intelligent Transport Systems – dedicated short-range communications </w:t>
      </w:r>
      <w:r w:rsidRPr="00DE3C7C">
        <w:rPr>
          <w:rFonts w:eastAsia="SimSun"/>
          <w:szCs w:val="20"/>
          <w:lang w:val="en-GB" w:eastAsia="zh-CN"/>
        </w:rPr>
        <w:br/>
      </w:r>
      <w:r w:rsidRPr="00DE3C7C">
        <w:rPr>
          <w:rFonts w:eastAsia="SimSun"/>
          <w:szCs w:val="20"/>
          <w:lang w:val="en-GB" w:eastAsia="zh-CN"/>
        </w:rPr>
        <w:tab/>
      </w:r>
      <w:r w:rsidRPr="00DE3C7C">
        <w:rPr>
          <w:rFonts w:eastAsia="SimSun"/>
          <w:szCs w:val="20"/>
          <w:lang w:val="en-GB" w:eastAsia="zh-CN"/>
        </w:rPr>
        <w:tab/>
        <w:t>at 5.8 GHz</w:t>
      </w:r>
    </w:p>
    <w:p w14:paraId="095D39EE" w14:textId="77777777"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SimSun"/>
          <w:szCs w:val="20"/>
          <w:lang w:val="en-GB" w:eastAsia="zh-CN"/>
        </w:rPr>
      </w:pPr>
      <w:r w:rsidRPr="00DE3C7C">
        <w:rPr>
          <w:rFonts w:eastAsia="SimSun"/>
          <w:szCs w:val="20"/>
          <w:lang w:val="en-GB" w:eastAsia="zh-CN"/>
        </w:rPr>
        <w:t>ITU-R M.2057</w:t>
      </w:r>
      <w:r w:rsidRPr="00DE3C7C">
        <w:rPr>
          <w:rFonts w:eastAsia="SimSun"/>
          <w:szCs w:val="20"/>
          <w:lang w:val="en-GB" w:eastAsia="zh-CN"/>
        </w:rPr>
        <w:tab/>
        <w:t xml:space="preserve">Systems characteristics of automotive radars operating in the frequency </w:t>
      </w:r>
      <w:r w:rsidRPr="00DE3C7C">
        <w:rPr>
          <w:rFonts w:eastAsia="SimSun"/>
          <w:szCs w:val="20"/>
          <w:lang w:val="en-GB" w:eastAsia="zh-CN"/>
        </w:rPr>
        <w:br/>
      </w:r>
      <w:r w:rsidRPr="00DE3C7C">
        <w:rPr>
          <w:rFonts w:eastAsia="SimSun"/>
          <w:szCs w:val="20"/>
          <w:lang w:val="en-GB" w:eastAsia="zh-CN"/>
        </w:rPr>
        <w:tab/>
      </w:r>
      <w:r w:rsidRPr="00DE3C7C">
        <w:rPr>
          <w:rFonts w:eastAsia="SimSun"/>
          <w:szCs w:val="20"/>
          <w:lang w:val="en-GB" w:eastAsia="zh-CN"/>
        </w:rPr>
        <w:tab/>
        <w:t>band 76-81 GHz for intelligent transport systems applications</w:t>
      </w:r>
    </w:p>
    <w:p w14:paraId="58841F4C" w14:textId="77777777"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SimSun"/>
          <w:szCs w:val="20"/>
          <w:lang w:val="en-GB" w:eastAsia="zh-CN"/>
        </w:rPr>
      </w:pPr>
      <w:r w:rsidRPr="00DE3C7C">
        <w:rPr>
          <w:rFonts w:eastAsia="SimSun"/>
          <w:szCs w:val="20"/>
          <w:lang w:val="en-GB" w:eastAsia="zh-CN"/>
        </w:rPr>
        <w:t>ITU-R M.2084</w:t>
      </w:r>
      <w:r w:rsidRPr="00DE3C7C">
        <w:rPr>
          <w:rFonts w:eastAsia="SimSun"/>
          <w:szCs w:val="20"/>
          <w:lang w:val="en-GB" w:eastAsia="zh-CN"/>
        </w:rPr>
        <w:tab/>
        <w:t xml:space="preserve">Radio interface standards of vehicle-to-vehicle and </w:t>
      </w:r>
      <w:r w:rsidRPr="00DE3C7C">
        <w:rPr>
          <w:rFonts w:eastAsia="SimSun"/>
          <w:szCs w:val="20"/>
          <w:lang w:val="en-GB" w:eastAsia="zh-CN"/>
        </w:rPr>
        <w:br/>
      </w:r>
      <w:r w:rsidRPr="00DE3C7C">
        <w:rPr>
          <w:rFonts w:eastAsia="SimSun"/>
          <w:szCs w:val="20"/>
          <w:lang w:val="en-GB" w:eastAsia="zh-CN"/>
        </w:rPr>
        <w:tab/>
      </w:r>
      <w:r w:rsidRPr="00DE3C7C">
        <w:rPr>
          <w:rFonts w:eastAsia="SimSun"/>
          <w:szCs w:val="20"/>
          <w:lang w:val="en-GB" w:eastAsia="zh-CN"/>
        </w:rPr>
        <w:tab/>
        <w:t xml:space="preserve">vehicle-to-infrastructure communications for Intelligent Transport System </w:t>
      </w:r>
      <w:r w:rsidRPr="00DE3C7C">
        <w:rPr>
          <w:rFonts w:eastAsia="SimSun"/>
          <w:szCs w:val="20"/>
          <w:lang w:val="en-GB" w:eastAsia="zh-CN"/>
        </w:rPr>
        <w:br/>
      </w:r>
      <w:r w:rsidRPr="00DE3C7C">
        <w:rPr>
          <w:rFonts w:eastAsia="SimSun"/>
          <w:szCs w:val="20"/>
          <w:lang w:val="en-GB" w:eastAsia="zh-CN"/>
        </w:rPr>
        <w:tab/>
      </w:r>
      <w:r w:rsidRPr="00DE3C7C">
        <w:rPr>
          <w:rFonts w:eastAsia="SimSun"/>
          <w:szCs w:val="20"/>
          <w:lang w:val="en-GB" w:eastAsia="zh-CN"/>
        </w:rPr>
        <w:tab/>
        <w:t xml:space="preserve">applications  </w:t>
      </w:r>
    </w:p>
    <w:p w14:paraId="5FB19D85" w14:textId="77777777"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SimSun"/>
          <w:b/>
          <w:szCs w:val="20"/>
          <w:lang w:val="en-GB" w:eastAsia="zh-CN"/>
        </w:rPr>
      </w:pPr>
      <w:r w:rsidRPr="00DE3C7C">
        <w:rPr>
          <w:rFonts w:eastAsia="SimSun"/>
          <w:b/>
          <w:szCs w:val="20"/>
          <w:lang w:val="en-GB" w:eastAsia="zh-CN"/>
        </w:rPr>
        <w:t>ITU-R Report:</w:t>
      </w:r>
    </w:p>
    <w:p w14:paraId="3BF4DB45" w14:textId="77777777"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SimSun"/>
          <w:szCs w:val="20"/>
          <w:lang w:val="en-GB" w:eastAsia="zh-CN"/>
        </w:rPr>
      </w:pPr>
      <w:r w:rsidRPr="00DE3C7C">
        <w:rPr>
          <w:rFonts w:eastAsia="SimSun"/>
          <w:szCs w:val="20"/>
          <w:lang w:val="en-GB" w:eastAsia="zh-CN"/>
        </w:rPr>
        <w:t>ITU-R M.2228</w:t>
      </w:r>
      <w:r w:rsidRPr="00DE3C7C">
        <w:rPr>
          <w:rFonts w:eastAsia="SimSun"/>
          <w:szCs w:val="20"/>
          <w:lang w:val="en-GB" w:eastAsia="zh-CN"/>
        </w:rPr>
        <w:tab/>
        <w:t>Advanced intelligent transport systems (ITS) radiocommunications</w:t>
      </w:r>
    </w:p>
    <w:p w14:paraId="3B8CCBBF" w14:textId="77777777" w:rsidR="002C597D" w:rsidRPr="00DE3C7C" w:rsidRDefault="002C597D" w:rsidP="002C597D">
      <w:pPr>
        <w:tabs>
          <w:tab w:val="left" w:pos="1134"/>
          <w:tab w:val="left" w:pos="1871"/>
          <w:tab w:val="left" w:pos="2268"/>
        </w:tabs>
        <w:overflowPunct w:val="0"/>
        <w:autoSpaceDE w:val="0"/>
        <w:autoSpaceDN w:val="0"/>
        <w:adjustRightInd w:val="0"/>
        <w:spacing w:before="120"/>
        <w:ind w:left="1871" w:hanging="1871"/>
        <w:textAlignment w:val="baseline"/>
        <w:rPr>
          <w:rFonts w:eastAsia="MS Mincho"/>
          <w:szCs w:val="20"/>
          <w:lang w:val="en-GB" w:eastAsia="ja-JP"/>
        </w:rPr>
      </w:pPr>
      <w:r w:rsidRPr="00DE3C7C">
        <w:rPr>
          <w:rFonts w:eastAsia="MS Mincho"/>
          <w:szCs w:val="20"/>
          <w:lang w:val="en-GB" w:eastAsia="ja-JP"/>
        </w:rPr>
        <w:t>ITU-R M.2322</w:t>
      </w:r>
      <w:r w:rsidRPr="00DE3C7C">
        <w:rPr>
          <w:rFonts w:eastAsia="MS Mincho"/>
          <w:szCs w:val="20"/>
          <w:lang w:val="en-GB" w:eastAsia="ja-JP"/>
        </w:rPr>
        <w:tab/>
        <w:t>Systems characteristics and compatibility of automotive radars operating in the frequency band 77.5-78 GHz for sharing studies</w:t>
      </w:r>
    </w:p>
    <w:p w14:paraId="23712486" w14:textId="77777777"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SimSun"/>
          <w:b/>
          <w:szCs w:val="20"/>
          <w:lang w:val="en-GB" w:eastAsia="zh-CN"/>
        </w:rPr>
      </w:pPr>
      <w:r w:rsidRPr="00DE3C7C">
        <w:rPr>
          <w:rFonts w:eastAsia="SimSun"/>
          <w:b/>
          <w:szCs w:val="20"/>
          <w:lang w:val="en-GB" w:eastAsia="zh-CN"/>
        </w:rPr>
        <w:t>ITU-R Handbook:</w:t>
      </w:r>
      <w:r w:rsidRPr="00DE3C7C">
        <w:rPr>
          <w:rFonts w:eastAsia="SimSun"/>
          <w:b/>
          <w:szCs w:val="20"/>
          <w:lang w:val="en-GB" w:eastAsia="zh-CN"/>
        </w:rPr>
        <w:tab/>
      </w:r>
    </w:p>
    <w:p w14:paraId="4692DCC1" w14:textId="77777777"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SimSun"/>
          <w:szCs w:val="20"/>
          <w:lang w:val="en-GB" w:eastAsia="zh-CN"/>
        </w:rPr>
      </w:pPr>
      <w:r w:rsidRPr="00DE3C7C">
        <w:rPr>
          <w:rFonts w:eastAsia="SimSun"/>
          <w:szCs w:val="20"/>
          <w:lang w:val="en-GB" w:eastAsia="zh-CN"/>
        </w:rPr>
        <w:tab/>
      </w:r>
      <w:r w:rsidRPr="00DE3C7C">
        <w:rPr>
          <w:rFonts w:eastAsia="SimSun"/>
          <w:szCs w:val="20"/>
          <w:lang w:val="en-GB" w:eastAsia="zh-CN"/>
        </w:rPr>
        <w:tab/>
        <w:t xml:space="preserve">Land Mobile (including Wireless Access) - Volume 4: Intelligent </w:t>
      </w:r>
      <w:r w:rsidRPr="00DE3C7C">
        <w:rPr>
          <w:rFonts w:eastAsia="SimSun"/>
          <w:szCs w:val="20"/>
          <w:lang w:val="en-GB" w:eastAsia="zh-CN"/>
        </w:rPr>
        <w:br/>
      </w:r>
      <w:r w:rsidRPr="00DE3C7C">
        <w:rPr>
          <w:rFonts w:eastAsia="SimSun"/>
          <w:szCs w:val="20"/>
          <w:lang w:val="en-GB" w:eastAsia="zh-CN"/>
        </w:rPr>
        <w:tab/>
      </w:r>
      <w:r w:rsidRPr="00DE3C7C">
        <w:rPr>
          <w:rFonts w:eastAsia="SimSun"/>
          <w:szCs w:val="20"/>
          <w:lang w:val="en-GB" w:eastAsia="zh-CN"/>
        </w:rPr>
        <w:tab/>
        <w:t>Transport Systems</w:t>
      </w:r>
    </w:p>
    <w:p w14:paraId="3CFDFBEC" w14:textId="77777777" w:rsidR="00CF1EB2" w:rsidRDefault="00CF1EB2" w:rsidP="002C597D">
      <w:pPr>
        <w:tabs>
          <w:tab w:val="left" w:pos="1134"/>
          <w:tab w:val="left" w:pos="1871"/>
          <w:tab w:val="left" w:pos="2268"/>
        </w:tabs>
        <w:overflowPunct w:val="0"/>
        <w:autoSpaceDE w:val="0"/>
        <w:autoSpaceDN w:val="0"/>
        <w:adjustRightInd w:val="0"/>
        <w:spacing w:before="120"/>
        <w:textAlignment w:val="baseline"/>
        <w:rPr>
          <w:b/>
          <w:lang w:val="en-GB"/>
        </w:rPr>
      </w:pPr>
    </w:p>
    <w:p w14:paraId="501C54F8" w14:textId="77777777" w:rsidR="00CF1EB2" w:rsidRDefault="00CF1EB2" w:rsidP="002C597D">
      <w:pPr>
        <w:tabs>
          <w:tab w:val="left" w:pos="1134"/>
          <w:tab w:val="left" w:pos="1871"/>
          <w:tab w:val="left" w:pos="2268"/>
        </w:tabs>
        <w:overflowPunct w:val="0"/>
        <w:autoSpaceDE w:val="0"/>
        <w:autoSpaceDN w:val="0"/>
        <w:adjustRightInd w:val="0"/>
        <w:spacing w:before="120"/>
        <w:textAlignment w:val="baseline"/>
        <w:rPr>
          <w:b/>
          <w:lang w:val="en-GB"/>
        </w:rPr>
      </w:pPr>
    </w:p>
    <w:p w14:paraId="64CAB099" w14:textId="77777777" w:rsidR="00CF1EB2" w:rsidRDefault="00CF1EB2" w:rsidP="002C597D">
      <w:pPr>
        <w:tabs>
          <w:tab w:val="left" w:pos="1134"/>
          <w:tab w:val="left" w:pos="1871"/>
          <w:tab w:val="left" w:pos="2268"/>
        </w:tabs>
        <w:overflowPunct w:val="0"/>
        <w:autoSpaceDE w:val="0"/>
        <w:autoSpaceDN w:val="0"/>
        <w:adjustRightInd w:val="0"/>
        <w:spacing w:before="120"/>
        <w:textAlignment w:val="baseline"/>
        <w:rPr>
          <w:b/>
          <w:lang w:val="en-GB"/>
        </w:rPr>
      </w:pPr>
    </w:p>
    <w:p w14:paraId="0B2BBB2C" w14:textId="69F48622"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b/>
          <w:lang w:val="en-GB"/>
        </w:rPr>
      </w:pPr>
      <w:r w:rsidRPr="00DE3C7C">
        <w:rPr>
          <w:b/>
          <w:lang w:val="en-GB"/>
        </w:rPr>
        <w:lastRenderedPageBreak/>
        <w:t>APT Reports:</w:t>
      </w:r>
    </w:p>
    <w:p w14:paraId="27B83F68" w14:textId="77777777" w:rsidR="002C597D" w:rsidRPr="00DE3C7C" w:rsidRDefault="002C597D" w:rsidP="002C597D">
      <w:pPr>
        <w:tabs>
          <w:tab w:val="left" w:pos="1134"/>
          <w:tab w:val="left" w:pos="1871"/>
          <w:tab w:val="left" w:pos="2268"/>
        </w:tabs>
        <w:overflowPunct w:val="0"/>
        <w:autoSpaceDE w:val="0"/>
        <w:autoSpaceDN w:val="0"/>
        <w:adjustRightInd w:val="0"/>
        <w:spacing w:before="120"/>
        <w:ind w:left="2880" w:hanging="2880"/>
        <w:textAlignment w:val="baseline"/>
        <w:rPr>
          <w:rFonts w:eastAsia="SimSun"/>
          <w:sz w:val="36"/>
          <w:szCs w:val="20"/>
          <w:lang w:val="en-GB" w:eastAsia="zh-CN"/>
        </w:rPr>
      </w:pPr>
      <w:r w:rsidRPr="00DE3C7C">
        <w:rPr>
          <w:b/>
          <w:lang w:val="en-GB"/>
        </w:rPr>
        <w:t>APT/AWG/REP-18(Rev2)</w:t>
      </w:r>
      <w:r w:rsidRPr="00DE3C7C">
        <w:rPr>
          <w:b/>
          <w:lang w:val="en-GB"/>
        </w:rPr>
        <w:tab/>
      </w:r>
      <w:r w:rsidRPr="00DE3C7C">
        <w:rPr>
          <w:color w:val="000000"/>
          <w:szCs w:val="20"/>
          <w:shd w:val="clear" w:color="auto" w:fill="FFFFFF"/>
          <w:lang w:val="en-GB"/>
        </w:rPr>
        <w:t>APT Report on "Usage of Intelligent Transportation Systems in APT Countries</w:t>
      </w:r>
      <w:r w:rsidRPr="00DE3C7C">
        <w:rPr>
          <w:b/>
          <w:sz w:val="36"/>
          <w:lang w:val="en-GB"/>
        </w:rPr>
        <w:br/>
      </w:r>
    </w:p>
    <w:p w14:paraId="62654A00" w14:textId="77777777" w:rsidR="002C597D" w:rsidRPr="00DE3C7C" w:rsidRDefault="002C597D" w:rsidP="002C597D">
      <w:pPr>
        <w:tabs>
          <w:tab w:val="left" w:pos="1134"/>
          <w:tab w:val="left" w:pos="1871"/>
          <w:tab w:val="left" w:pos="2268"/>
        </w:tabs>
        <w:overflowPunct w:val="0"/>
        <w:autoSpaceDE w:val="0"/>
        <w:autoSpaceDN w:val="0"/>
        <w:adjustRightInd w:val="0"/>
        <w:spacing w:before="120"/>
        <w:textAlignment w:val="baseline"/>
        <w:rPr>
          <w:rFonts w:eastAsia="MS Mincho"/>
          <w:b/>
          <w:bCs/>
          <w:color w:val="000000"/>
          <w:lang w:val="en-GB" w:eastAsia="ja-JP"/>
        </w:rPr>
      </w:pPr>
    </w:p>
    <w:p w14:paraId="62D4DE4E" w14:textId="77777777" w:rsidR="002C597D" w:rsidRPr="00DE3C7C" w:rsidRDefault="002C597D" w:rsidP="002C597D">
      <w:pPr>
        <w:pStyle w:val="ListParagraph"/>
        <w:numPr>
          <w:ilvl w:val="0"/>
          <w:numId w:val="27"/>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t>List of acronyms and abbreviations</w:t>
      </w:r>
    </w:p>
    <w:p w14:paraId="1B613D4A" w14:textId="77777777" w:rsidR="002C597D" w:rsidRPr="00DE3C7C" w:rsidRDefault="002C597D" w:rsidP="002C597D">
      <w:pPr>
        <w:spacing w:before="120" w:after="120"/>
        <w:rPr>
          <w:rFonts w:asciiTheme="minorHAnsi" w:eastAsiaTheme="minorEastAsia" w:hAnsiTheme="minorHAnsi" w:cstheme="minorBidi"/>
          <w:sz w:val="22"/>
          <w:lang w:val="en-GB"/>
        </w:rPr>
      </w:pPr>
      <w:r w:rsidRPr="00DE3C7C">
        <w:rPr>
          <w:lang w:val="en-GB"/>
        </w:rPr>
        <w:t>3GPP</w:t>
      </w:r>
      <w:r w:rsidRPr="00DE3C7C">
        <w:rPr>
          <w:lang w:val="en-GB"/>
        </w:rPr>
        <w:tab/>
      </w:r>
      <w:r w:rsidRPr="00DE3C7C">
        <w:rPr>
          <w:color w:val="333333"/>
          <w:shd w:val="clear" w:color="auto" w:fill="FFFFFF"/>
          <w:lang w:val="en-GB"/>
        </w:rPr>
        <w:t>The 3rd Generation Partnership Project</w:t>
      </w:r>
    </w:p>
    <w:p w14:paraId="7C790962" w14:textId="77777777" w:rsidR="002C597D" w:rsidRPr="00DE3C7C" w:rsidRDefault="002C597D" w:rsidP="002C597D">
      <w:pPr>
        <w:spacing w:after="120"/>
        <w:rPr>
          <w:rFonts w:asciiTheme="minorHAnsi" w:hAnsiTheme="minorHAnsi" w:cstheme="minorBidi"/>
          <w:sz w:val="22"/>
          <w:lang w:val="en-GB"/>
        </w:rPr>
      </w:pPr>
      <w:r w:rsidRPr="00DE3C7C">
        <w:rPr>
          <w:lang w:val="en-GB"/>
        </w:rPr>
        <w:t>APT</w:t>
      </w:r>
      <w:r w:rsidRPr="00DE3C7C">
        <w:rPr>
          <w:lang w:val="en-GB"/>
        </w:rPr>
        <w:tab/>
        <w:t>Asia-Pacific Telecommunity</w:t>
      </w:r>
    </w:p>
    <w:p w14:paraId="4A69FC12" w14:textId="77777777" w:rsidR="002C597D" w:rsidRPr="00DE3C7C" w:rsidRDefault="002C597D" w:rsidP="002C597D">
      <w:pPr>
        <w:spacing w:after="120"/>
        <w:rPr>
          <w:rFonts w:asciiTheme="minorHAnsi" w:hAnsiTheme="minorHAnsi" w:cstheme="minorBidi"/>
          <w:sz w:val="22"/>
          <w:lang w:val="en-GB"/>
        </w:rPr>
      </w:pPr>
      <w:r w:rsidRPr="00DE3C7C">
        <w:rPr>
          <w:lang w:val="en-GB"/>
        </w:rPr>
        <w:t>ARIB</w:t>
      </w:r>
      <w:r w:rsidRPr="00DE3C7C">
        <w:rPr>
          <w:lang w:val="en-GB"/>
        </w:rPr>
        <w:tab/>
        <w:t>Association of Radio Industries and Businesses</w:t>
      </w:r>
      <w:r w:rsidRPr="00DE3C7C">
        <w:rPr>
          <w:lang w:val="en-GB" w:eastAsia="zh-CN"/>
        </w:rPr>
        <w:t xml:space="preserve"> </w:t>
      </w:r>
      <w:r w:rsidRPr="00DE3C7C">
        <w:rPr>
          <w:lang w:val="en-GB" w:eastAsia="ja-JP"/>
        </w:rPr>
        <w:t>(Japan)</w:t>
      </w:r>
    </w:p>
    <w:p w14:paraId="5EF827F6" w14:textId="77777777" w:rsidR="002C597D" w:rsidRPr="00DE3C7C" w:rsidRDefault="002C597D" w:rsidP="002C597D">
      <w:pPr>
        <w:spacing w:after="120"/>
        <w:rPr>
          <w:rFonts w:asciiTheme="minorHAnsi" w:eastAsiaTheme="minorEastAsia" w:hAnsiTheme="minorHAnsi" w:cstheme="minorBidi"/>
          <w:sz w:val="22"/>
          <w:lang w:val="en-GB"/>
        </w:rPr>
      </w:pPr>
      <w:r w:rsidRPr="00DE3C7C">
        <w:rPr>
          <w:lang w:val="en-GB"/>
        </w:rPr>
        <w:t>AWG</w:t>
      </w:r>
      <w:r w:rsidRPr="00DE3C7C">
        <w:rPr>
          <w:lang w:val="en-GB"/>
        </w:rPr>
        <w:tab/>
        <w:t>APT Wireless Group</w:t>
      </w:r>
    </w:p>
    <w:p w14:paraId="7121F802" w14:textId="77777777" w:rsidR="002C597D" w:rsidRPr="00DE3C7C" w:rsidRDefault="002C597D" w:rsidP="002C597D">
      <w:pPr>
        <w:spacing w:after="120"/>
        <w:rPr>
          <w:rFonts w:asciiTheme="minorHAnsi" w:eastAsiaTheme="minorEastAsia" w:hAnsiTheme="minorHAnsi" w:cstheme="minorBidi"/>
          <w:sz w:val="22"/>
          <w:lang w:val="en-GB" w:eastAsia="ja-JP"/>
        </w:rPr>
      </w:pPr>
      <w:r w:rsidRPr="00DE3C7C">
        <w:rPr>
          <w:lang w:val="en-GB" w:eastAsia="ja-JP"/>
        </w:rPr>
        <w:t>C-ITS</w:t>
      </w:r>
      <w:r w:rsidRPr="00DE3C7C">
        <w:rPr>
          <w:lang w:val="en-GB" w:eastAsia="ja-JP"/>
        </w:rPr>
        <w:tab/>
        <w:t>Cooperative ITS communication</w:t>
      </w:r>
    </w:p>
    <w:p w14:paraId="3F34574B" w14:textId="77777777" w:rsidR="002C597D" w:rsidRPr="00DE3C7C" w:rsidRDefault="002C597D" w:rsidP="002C597D">
      <w:pPr>
        <w:spacing w:after="120"/>
        <w:rPr>
          <w:rFonts w:asciiTheme="minorHAnsi" w:eastAsiaTheme="minorEastAsia" w:hAnsiTheme="minorHAnsi" w:cstheme="minorBidi"/>
          <w:sz w:val="22"/>
          <w:lang w:val="en-GB"/>
        </w:rPr>
      </w:pPr>
      <w:r w:rsidRPr="00DE3C7C">
        <w:rPr>
          <w:lang w:val="en-GB"/>
        </w:rPr>
        <w:t>CCSA</w:t>
      </w:r>
      <w:r w:rsidRPr="00DE3C7C">
        <w:rPr>
          <w:lang w:val="en-GB"/>
        </w:rPr>
        <w:tab/>
      </w:r>
      <w:r w:rsidRPr="00DE3C7C">
        <w:rPr>
          <w:shd w:val="clear" w:color="auto" w:fill="FFFFFF"/>
          <w:lang w:val="en-GB"/>
        </w:rPr>
        <w:t>China Communications Standards Association</w:t>
      </w:r>
    </w:p>
    <w:p w14:paraId="5605A7BE" w14:textId="77777777" w:rsidR="002C597D" w:rsidRPr="00DE3C7C" w:rsidRDefault="002C597D" w:rsidP="002C597D">
      <w:pPr>
        <w:spacing w:after="120"/>
        <w:rPr>
          <w:rFonts w:asciiTheme="minorHAnsi" w:eastAsiaTheme="minorEastAsia" w:hAnsiTheme="minorHAnsi" w:cstheme="minorBidi"/>
          <w:sz w:val="22"/>
          <w:lang w:val="en-GB"/>
        </w:rPr>
      </w:pPr>
      <w:r w:rsidRPr="00DE3C7C">
        <w:rPr>
          <w:lang w:val="en-GB"/>
        </w:rPr>
        <w:t>CEN</w:t>
      </w:r>
      <w:r w:rsidRPr="00DE3C7C">
        <w:rPr>
          <w:lang w:val="en-GB"/>
        </w:rPr>
        <w:tab/>
        <w:t>European Committee for Standardization</w:t>
      </w:r>
    </w:p>
    <w:p w14:paraId="32011983" w14:textId="77777777" w:rsidR="002C597D" w:rsidRPr="00DE3C7C" w:rsidRDefault="002C597D" w:rsidP="002C597D">
      <w:pPr>
        <w:spacing w:after="120"/>
        <w:ind w:left="1134" w:hanging="1134"/>
        <w:rPr>
          <w:rFonts w:asciiTheme="minorHAnsi" w:eastAsiaTheme="minorEastAsia" w:hAnsiTheme="minorHAnsi" w:cstheme="minorBidi"/>
          <w:sz w:val="22"/>
          <w:lang w:val="en-GB"/>
        </w:rPr>
      </w:pPr>
      <w:r w:rsidRPr="00DE3C7C">
        <w:rPr>
          <w:lang w:val="en-GB"/>
        </w:rPr>
        <w:t>CEPT</w:t>
      </w:r>
      <w:r>
        <w:rPr>
          <w:rFonts w:ascii="MS Mincho" w:eastAsia="MS Mincho" w:hAnsi="MS Mincho" w:hint="eastAsia"/>
          <w:lang w:val="en-GB" w:eastAsia="ja-JP"/>
        </w:rPr>
        <w:t xml:space="preserve"> </w:t>
      </w:r>
      <w:r w:rsidRPr="00DE3C7C">
        <w:rPr>
          <w:lang w:val="en-GB"/>
        </w:rPr>
        <w:t>European Conference of Postal and Telecommunications Administrations</w:t>
      </w:r>
    </w:p>
    <w:p w14:paraId="6F3C893C" w14:textId="77777777" w:rsidR="002C597D" w:rsidRPr="00DE3C7C" w:rsidRDefault="002C597D" w:rsidP="002C597D">
      <w:pPr>
        <w:spacing w:after="120"/>
        <w:rPr>
          <w:rFonts w:asciiTheme="minorHAnsi" w:eastAsiaTheme="minorEastAsia" w:hAnsiTheme="minorHAnsi" w:cstheme="minorBidi"/>
          <w:sz w:val="22"/>
          <w:lang w:val="en-GB" w:eastAsia="ja-JP"/>
        </w:rPr>
      </w:pPr>
      <w:r w:rsidRPr="00DE3C7C">
        <w:rPr>
          <w:lang w:val="en-GB" w:eastAsia="ja-JP"/>
        </w:rPr>
        <w:t>D2D</w:t>
      </w:r>
      <w:r w:rsidRPr="00DE3C7C">
        <w:rPr>
          <w:lang w:val="en-GB" w:eastAsia="ja-JP"/>
        </w:rPr>
        <w:tab/>
        <w:t>Device-to-device</w:t>
      </w:r>
    </w:p>
    <w:p w14:paraId="0069AA0D" w14:textId="77777777" w:rsidR="002C597D" w:rsidRPr="00DE3C7C" w:rsidRDefault="002C597D" w:rsidP="002C597D">
      <w:pPr>
        <w:spacing w:after="120"/>
        <w:rPr>
          <w:rFonts w:asciiTheme="minorHAnsi" w:hAnsiTheme="minorHAnsi" w:cstheme="minorBidi"/>
          <w:sz w:val="22"/>
          <w:lang w:val="en-GB"/>
        </w:rPr>
      </w:pPr>
      <w:r w:rsidRPr="00DE3C7C">
        <w:rPr>
          <w:lang w:val="en-GB"/>
        </w:rPr>
        <w:t>ECC</w:t>
      </w:r>
      <w:r w:rsidRPr="00DE3C7C">
        <w:rPr>
          <w:lang w:val="en-GB"/>
        </w:rPr>
        <w:tab/>
        <w:t>Electronic Communications Committee</w:t>
      </w:r>
    </w:p>
    <w:p w14:paraId="70AD73E2" w14:textId="77777777" w:rsidR="002C597D" w:rsidRPr="00DE3C7C" w:rsidRDefault="002C597D" w:rsidP="002C597D">
      <w:pPr>
        <w:spacing w:after="120"/>
        <w:rPr>
          <w:rFonts w:asciiTheme="minorHAnsi" w:eastAsiaTheme="minorEastAsia" w:hAnsiTheme="minorHAnsi" w:cstheme="minorBidi"/>
          <w:sz w:val="22"/>
          <w:lang w:val="en-GB"/>
        </w:rPr>
      </w:pPr>
      <w:r w:rsidRPr="00DE3C7C">
        <w:rPr>
          <w:lang w:val="en-GB"/>
        </w:rPr>
        <w:t>ETSI</w:t>
      </w:r>
      <w:r w:rsidRPr="00DE3C7C">
        <w:rPr>
          <w:lang w:val="en-GB"/>
        </w:rPr>
        <w:tab/>
        <w:t>European Telecommunications Standards Institute</w:t>
      </w:r>
    </w:p>
    <w:p w14:paraId="4943AA07" w14:textId="77777777" w:rsidR="002C597D" w:rsidRPr="00DE3C7C" w:rsidRDefault="002C597D" w:rsidP="002C597D">
      <w:pPr>
        <w:spacing w:after="120"/>
        <w:rPr>
          <w:rFonts w:asciiTheme="minorHAnsi" w:eastAsiaTheme="minorEastAsia" w:hAnsiTheme="minorHAnsi" w:cstheme="minorBidi"/>
          <w:sz w:val="22"/>
          <w:lang w:val="en-GB"/>
        </w:rPr>
      </w:pPr>
      <w:r w:rsidRPr="00DE3C7C">
        <w:rPr>
          <w:lang w:val="en-GB"/>
        </w:rPr>
        <w:t>FCC</w:t>
      </w:r>
      <w:r w:rsidRPr="00DE3C7C">
        <w:rPr>
          <w:lang w:val="en-GB"/>
        </w:rPr>
        <w:tab/>
        <w:t>Federal Communications Commission</w:t>
      </w:r>
    </w:p>
    <w:p w14:paraId="43DE993F" w14:textId="77777777" w:rsidR="002C597D" w:rsidRPr="00DE3C7C" w:rsidRDefault="002C597D" w:rsidP="002C597D">
      <w:pPr>
        <w:spacing w:after="120"/>
        <w:rPr>
          <w:rFonts w:asciiTheme="minorHAnsi" w:hAnsiTheme="minorHAnsi" w:cstheme="minorBidi"/>
          <w:sz w:val="22"/>
          <w:lang w:val="en-GB"/>
        </w:rPr>
      </w:pPr>
      <w:r w:rsidRPr="00DE3C7C">
        <w:rPr>
          <w:lang w:val="en-GB"/>
        </w:rPr>
        <w:t>IEEE</w:t>
      </w:r>
      <w:r w:rsidRPr="00DE3C7C">
        <w:rPr>
          <w:lang w:val="en-GB"/>
        </w:rPr>
        <w:tab/>
        <w:t>Institute of Electrical and Electronics Engineers</w:t>
      </w:r>
    </w:p>
    <w:p w14:paraId="4DA9E366" w14:textId="77777777" w:rsidR="002C597D" w:rsidRPr="00DE3C7C" w:rsidRDefault="002C597D" w:rsidP="002C597D">
      <w:pPr>
        <w:spacing w:after="120"/>
        <w:rPr>
          <w:rFonts w:asciiTheme="minorHAnsi" w:hAnsiTheme="minorHAnsi" w:cstheme="minorBidi"/>
          <w:sz w:val="22"/>
          <w:lang w:val="en-GB"/>
        </w:rPr>
      </w:pPr>
      <w:r w:rsidRPr="00DE3C7C">
        <w:rPr>
          <w:lang w:val="en-GB"/>
        </w:rPr>
        <w:t>IMDA</w:t>
      </w:r>
      <w:r w:rsidRPr="00DE3C7C">
        <w:rPr>
          <w:lang w:val="en-GB"/>
        </w:rPr>
        <w:tab/>
      </w:r>
      <w:proofErr w:type="spellStart"/>
      <w:r w:rsidRPr="00DE3C7C">
        <w:rPr>
          <w:lang w:val="en-GB"/>
        </w:rPr>
        <w:t>Infocomm</w:t>
      </w:r>
      <w:proofErr w:type="spellEnd"/>
      <w:r w:rsidRPr="00DE3C7C">
        <w:rPr>
          <w:lang w:val="en-GB"/>
        </w:rPr>
        <w:t xml:space="preserve"> Media Development Authority</w:t>
      </w:r>
      <w:r w:rsidRPr="00DE3C7C">
        <w:rPr>
          <w:lang w:val="en-GB" w:eastAsia="ja-JP"/>
        </w:rPr>
        <w:t xml:space="preserve"> (</w:t>
      </w:r>
      <w:r w:rsidRPr="00DE3C7C">
        <w:rPr>
          <w:lang w:val="en-GB"/>
        </w:rPr>
        <w:t>Singapore</w:t>
      </w:r>
      <w:r w:rsidRPr="00DE3C7C">
        <w:rPr>
          <w:lang w:val="en-GB" w:eastAsia="ja-JP"/>
        </w:rPr>
        <w:t>)</w:t>
      </w:r>
    </w:p>
    <w:p w14:paraId="09858DE9" w14:textId="77777777" w:rsidR="002C597D" w:rsidRPr="00DE3C7C" w:rsidRDefault="002C597D" w:rsidP="002C597D">
      <w:pPr>
        <w:spacing w:after="120"/>
        <w:rPr>
          <w:rFonts w:asciiTheme="minorHAnsi" w:eastAsiaTheme="minorEastAsia" w:hAnsiTheme="minorHAnsi" w:cstheme="minorBidi"/>
          <w:sz w:val="22"/>
          <w:lang w:val="en-GB"/>
        </w:rPr>
      </w:pPr>
      <w:r w:rsidRPr="00DE3C7C">
        <w:rPr>
          <w:lang w:val="en-GB"/>
        </w:rPr>
        <w:t>ISO</w:t>
      </w:r>
      <w:r w:rsidRPr="00DE3C7C">
        <w:rPr>
          <w:lang w:val="en-GB"/>
        </w:rPr>
        <w:tab/>
        <w:t>International Organization for Standardization</w:t>
      </w:r>
    </w:p>
    <w:p w14:paraId="63A1CC8E" w14:textId="77777777" w:rsidR="002C597D" w:rsidRPr="00DE3C7C" w:rsidRDefault="002C597D" w:rsidP="002C597D">
      <w:pPr>
        <w:spacing w:after="120"/>
        <w:rPr>
          <w:rFonts w:asciiTheme="minorHAnsi" w:eastAsiaTheme="minorEastAsia" w:hAnsiTheme="minorHAnsi" w:cstheme="minorBidi"/>
          <w:sz w:val="22"/>
          <w:lang w:val="en-GB"/>
        </w:rPr>
      </w:pPr>
      <w:r w:rsidRPr="00DE3C7C">
        <w:rPr>
          <w:lang w:val="en-GB"/>
        </w:rPr>
        <w:t>ITS</w:t>
      </w:r>
      <w:r w:rsidRPr="00DE3C7C">
        <w:rPr>
          <w:lang w:val="en-GB"/>
        </w:rPr>
        <w:tab/>
        <w:t>Intelligent Transport Systems</w:t>
      </w:r>
    </w:p>
    <w:p w14:paraId="5131442B" w14:textId="77777777" w:rsidR="002C597D" w:rsidRPr="00DE3C7C" w:rsidRDefault="002C597D" w:rsidP="002C597D">
      <w:pPr>
        <w:spacing w:after="120"/>
        <w:rPr>
          <w:rFonts w:asciiTheme="minorHAnsi" w:eastAsiaTheme="minorEastAsia" w:hAnsiTheme="minorHAnsi" w:cstheme="minorBidi"/>
          <w:sz w:val="22"/>
          <w:shd w:val="clear" w:color="auto" w:fill="FFFFFF"/>
          <w:lang w:val="en-GB"/>
        </w:rPr>
      </w:pPr>
      <w:r w:rsidRPr="00DE3C7C">
        <w:rPr>
          <w:lang w:val="en-GB"/>
        </w:rPr>
        <w:t>LTE</w:t>
      </w:r>
      <w:r w:rsidRPr="00DE3C7C">
        <w:rPr>
          <w:lang w:val="en-GB"/>
        </w:rPr>
        <w:tab/>
      </w:r>
      <w:r w:rsidRPr="00DE3C7C">
        <w:rPr>
          <w:shd w:val="clear" w:color="auto" w:fill="FFFFFF"/>
          <w:lang w:val="en-GB"/>
        </w:rPr>
        <w:t>Long Term Evolution</w:t>
      </w:r>
    </w:p>
    <w:p w14:paraId="6A1104A1" w14:textId="77777777" w:rsidR="002C597D" w:rsidRPr="00DE3C7C" w:rsidRDefault="002C597D" w:rsidP="002C597D">
      <w:pPr>
        <w:spacing w:after="120"/>
        <w:rPr>
          <w:lang w:val="en-GB" w:eastAsia="ja-JP"/>
        </w:rPr>
      </w:pPr>
      <w:r w:rsidRPr="00DE3C7C">
        <w:rPr>
          <w:shd w:val="clear" w:color="auto" w:fill="FFFFFF"/>
          <w:lang w:val="en-GB"/>
        </w:rPr>
        <w:t>LTE-V2X</w:t>
      </w:r>
      <w:r w:rsidRPr="00DE3C7C">
        <w:rPr>
          <w:shd w:val="clear" w:color="auto" w:fill="FFFFFF"/>
          <w:lang w:val="en-GB"/>
        </w:rPr>
        <w:tab/>
      </w:r>
      <w:r w:rsidRPr="00DE3C7C">
        <w:rPr>
          <w:lang w:val="en-GB" w:eastAsia="zh-CN"/>
        </w:rPr>
        <w:t>LTE based</w:t>
      </w:r>
      <w:r w:rsidRPr="00DE3C7C">
        <w:rPr>
          <w:lang w:val="en-GB" w:eastAsia="ja-JP"/>
        </w:rPr>
        <w:t xml:space="preserve"> Vehicle to Infrastructure/Vehicle/Network/Pedestrians and others</w:t>
      </w:r>
    </w:p>
    <w:p w14:paraId="29EB7A9E" w14:textId="77777777" w:rsidR="002C597D" w:rsidRPr="00DE3C7C" w:rsidRDefault="002C597D" w:rsidP="002C597D">
      <w:pPr>
        <w:spacing w:after="120"/>
        <w:rPr>
          <w:rFonts w:asciiTheme="minorHAnsi" w:eastAsiaTheme="minorEastAsia" w:hAnsiTheme="minorHAnsi" w:cstheme="minorBidi"/>
          <w:sz w:val="22"/>
          <w:szCs w:val="22"/>
          <w:shd w:val="clear" w:color="auto" w:fill="FFFFFF"/>
          <w:lang w:val="en-GB"/>
        </w:rPr>
      </w:pPr>
      <w:r w:rsidRPr="00DE3C7C">
        <w:rPr>
          <w:lang w:val="en-GB" w:eastAsia="ja-JP"/>
        </w:rPr>
        <w:t>I2I</w:t>
      </w:r>
      <w:r w:rsidRPr="00DE3C7C">
        <w:rPr>
          <w:lang w:val="en-GB" w:eastAsia="ja-JP"/>
        </w:rPr>
        <w:tab/>
        <w:t>Infrastructure-to-Infrastructure</w:t>
      </w:r>
    </w:p>
    <w:p w14:paraId="49CBC8FA" w14:textId="77777777" w:rsidR="002C597D" w:rsidRPr="00DE3C7C" w:rsidRDefault="002C597D" w:rsidP="002C597D">
      <w:pPr>
        <w:spacing w:after="120"/>
        <w:rPr>
          <w:rFonts w:asciiTheme="minorHAnsi" w:eastAsiaTheme="minorEastAsia" w:hAnsiTheme="minorHAnsi" w:cstheme="minorBidi"/>
          <w:sz w:val="22"/>
          <w:lang w:val="en-GB" w:eastAsia="ja-JP"/>
        </w:rPr>
      </w:pPr>
      <w:r w:rsidRPr="00DE3C7C">
        <w:rPr>
          <w:lang w:val="en-GB" w:eastAsia="ja-JP"/>
        </w:rPr>
        <w:t>PC5</w:t>
      </w:r>
      <w:r w:rsidRPr="00DE3C7C">
        <w:rPr>
          <w:lang w:val="en-GB" w:eastAsia="ja-JP"/>
        </w:rPr>
        <w:tab/>
      </w:r>
      <w:r w:rsidRPr="00DE3C7C">
        <w:rPr>
          <w:color w:val="000000"/>
          <w:lang w:val="en-GB" w:eastAsia="zh-CN"/>
        </w:rPr>
        <w:t>Device</w:t>
      </w:r>
      <w:r w:rsidRPr="00DE3C7C">
        <w:rPr>
          <w:color w:val="000000"/>
          <w:lang w:val="en-GB"/>
        </w:rPr>
        <w:t>-to-</w:t>
      </w:r>
      <w:r w:rsidRPr="00DE3C7C">
        <w:rPr>
          <w:color w:val="000000"/>
          <w:lang w:val="en-GB" w:eastAsia="zh-CN"/>
        </w:rPr>
        <w:t>Device</w:t>
      </w:r>
      <w:r w:rsidRPr="00DE3C7C">
        <w:rPr>
          <w:color w:val="000000"/>
          <w:lang w:val="en-GB"/>
        </w:rPr>
        <w:t xml:space="preserve"> Direct Link</w:t>
      </w:r>
      <w:r w:rsidRPr="00DE3C7C">
        <w:rPr>
          <w:color w:val="000000"/>
          <w:lang w:val="en-GB" w:eastAsia="zh-CN"/>
        </w:rPr>
        <w:t xml:space="preserve"> </w:t>
      </w:r>
    </w:p>
    <w:p w14:paraId="29EA06E6" w14:textId="77777777" w:rsidR="002C597D" w:rsidRPr="00DE3C7C" w:rsidRDefault="002C597D" w:rsidP="002C597D">
      <w:pPr>
        <w:spacing w:after="120"/>
        <w:rPr>
          <w:rFonts w:asciiTheme="minorHAnsi" w:eastAsiaTheme="minorEastAsia" w:hAnsiTheme="minorHAnsi" w:cstheme="minorBidi"/>
          <w:sz w:val="22"/>
          <w:lang w:val="en-GB"/>
        </w:rPr>
      </w:pPr>
      <w:r w:rsidRPr="00DE3C7C">
        <w:rPr>
          <w:lang w:val="en-GB"/>
        </w:rPr>
        <w:t>TTA</w:t>
      </w:r>
      <w:r w:rsidRPr="00DE3C7C">
        <w:rPr>
          <w:lang w:val="en-GB"/>
        </w:rPr>
        <w:tab/>
        <w:t>Telecommunication Technology Association</w:t>
      </w:r>
      <w:r w:rsidRPr="00DE3C7C">
        <w:rPr>
          <w:lang w:val="en-GB" w:eastAsia="ja-JP"/>
        </w:rPr>
        <w:t xml:space="preserve"> (Korea, (Republic of))</w:t>
      </w:r>
    </w:p>
    <w:p w14:paraId="1217647F" w14:textId="77777777" w:rsidR="002C597D" w:rsidRPr="00DE3C7C" w:rsidRDefault="002C597D" w:rsidP="002C597D">
      <w:pPr>
        <w:spacing w:after="120"/>
        <w:rPr>
          <w:rFonts w:asciiTheme="minorHAnsi" w:eastAsiaTheme="minorEastAsia" w:hAnsiTheme="minorHAnsi" w:cstheme="minorBidi"/>
          <w:sz w:val="22"/>
          <w:szCs w:val="22"/>
          <w:lang w:val="en-GB" w:eastAsia="ja-JP"/>
        </w:rPr>
      </w:pPr>
      <w:proofErr w:type="spellStart"/>
      <w:r w:rsidRPr="00DE3C7C">
        <w:rPr>
          <w:lang w:val="en-GB" w:eastAsia="ja-JP"/>
        </w:rPr>
        <w:t>Uu</w:t>
      </w:r>
      <w:proofErr w:type="spellEnd"/>
      <w:r w:rsidRPr="00DE3C7C">
        <w:rPr>
          <w:lang w:val="en-GB" w:eastAsia="ja-JP"/>
        </w:rPr>
        <w:tab/>
      </w:r>
      <w:r w:rsidRPr="00DE3C7C">
        <w:rPr>
          <w:color w:val="000000"/>
          <w:lang w:val="en-GB" w:eastAsia="zh-CN"/>
        </w:rPr>
        <w:t>Link</w:t>
      </w:r>
      <w:r w:rsidRPr="00DE3C7C">
        <w:rPr>
          <w:rFonts w:eastAsia="Malgun Gothic"/>
          <w:color w:val="000000"/>
          <w:lang w:val="en-GB" w:eastAsia="ko-KR"/>
        </w:rPr>
        <w:t xml:space="preserve"> between Base Station and Device</w:t>
      </w:r>
      <w:r w:rsidRPr="00DE3C7C" w:rsidDel="00020FA0">
        <w:rPr>
          <w:lang w:val="en-GB" w:eastAsia="ja-JP"/>
        </w:rPr>
        <w:t xml:space="preserve"> </w:t>
      </w:r>
    </w:p>
    <w:p w14:paraId="267725CB" w14:textId="77777777" w:rsidR="002C597D" w:rsidRPr="00DE3C7C" w:rsidRDefault="002C597D" w:rsidP="002C597D">
      <w:pPr>
        <w:spacing w:after="120"/>
        <w:rPr>
          <w:rFonts w:asciiTheme="minorHAnsi" w:hAnsiTheme="minorHAnsi" w:cstheme="minorBidi"/>
          <w:sz w:val="22"/>
          <w:lang w:val="en-GB"/>
        </w:rPr>
      </w:pPr>
      <w:r w:rsidRPr="00DE3C7C">
        <w:rPr>
          <w:lang w:val="en-GB"/>
        </w:rPr>
        <w:t>V2I</w:t>
      </w:r>
      <w:r w:rsidRPr="00DE3C7C">
        <w:rPr>
          <w:lang w:val="en-GB"/>
        </w:rPr>
        <w:tab/>
        <w:t>Vehicle-to-Infrastructure</w:t>
      </w:r>
    </w:p>
    <w:p w14:paraId="43F1A56D" w14:textId="77777777" w:rsidR="002C597D" w:rsidRPr="00DE3C7C" w:rsidRDefault="002C597D" w:rsidP="002C597D">
      <w:pPr>
        <w:spacing w:after="120"/>
        <w:rPr>
          <w:rFonts w:asciiTheme="minorHAnsi" w:hAnsiTheme="minorHAnsi" w:cstheme="minorBidi"/>
          <w:sz w:val="22"/>
          <w:lang w:val="en-GB"/>
        </w:rPr>
      </w:pPr>
      <w:r w:rsidRPr="00DE3C7C">
        <w:rPr>
          <w:lang w:val="en-GB"/>
        </w:rPr>
        <w:t>V2N</w:t>
      </w:r>
      <w:r w:rsidRPr="00DE3C7C">
        <w:rPr>
          <w:lang w:val="en-GB"/>
        </w:rPr>
        <w:tab/>
        <w:t>Vehicle-to-Network</w:t>
      </w:r>
    </w:p>
    <w:p w14:paraId="286427C8" w14:textId="77777777" w:rsidR="002C597D" w:rsidRPr="00DE3C7C" w:rsidRDefault="002C597D" w:rsidP="002C597D">
      <w:pPr>
        <w:spacing w:after="120"/>
        <w:rPr>
          <w:rFonts w:asciiTheme="minorHAnsi" w:hAnsiTheme="minorHAnsi" w:cstheme="minorBidi"/>
          <w:sz w:val="22"/>
          <w:lang w:val="en-GB"/>
        </w:rPr>
      </w:pPr>
      <w:r w:rsidRPr="00DE3C7C">
        <w:rPr>
          <w:lang w:val="en-GB"/>
        </w:rPr>
        <w:t>V2P</w:t>
      </w:r>
      <w:r w:rsidRPr="00DE3C7C">
        <w:rPr>
          <w:lang w:val="en-GB"/>
        </w:rPr>
        <w:tab/>
        <w:t>Vehicle-to-Pedestrians</w:t>
      </w:r>
    </w:p>
    <w:p w14:paraId="2556EDB0" w14:textId="77777777" w:rsidR="002C597D" w:rsidRPr="00DE3C7C" w:rsidRDefault="002C597D" w:rsidP="002C597D">
      <w:pPr>
        <w:spacing w:after="120"/>
        <w:rPr>
          <w:rFonts w:asciiTheme="minorHAnsi" w:hAnsiTheme="minorHAnsi" w:cstheme="minorBidi"/>
          <w:sz w:val="22"/>
          <w:lang w:val="en-GB"/>
        </w:rPr>
      </w:pPr>
      <w:r w:rsidRPr="00DE3C7C">
        <w:rPr>
          <w:lang w:val="en-GB"/>
        </w:rPr>
        <w:t>V2V</w:t>
      </w:r>
      <w:r w:rsidRPr="00DE3C7C">
        <w:rPr>
          <w:lang w:val="en-GB"/>
        </w:rPr>
        <w:tab/>
        <w:t>Vehicle-to-Vehicle</w:t>
      </w:r>
    </w:p>
    <w:p w14:paraId="12E93E19" w14:textId="77777777" w:rsidR="002C597D" w:rsidRPr="00DE3C7C" w:rsidRDefault="002C597D" w:rsidP="002C597D">
      <w:pPr>
        <w:spacing w:after="120"/>
        <w:rPr>
          <w:rFonts w:asciiTheme="minorHAnsi" w:hAnsiTheme="minorHAnsi" w:cstheme="minorBidi"/>
          <w:sz w:val="22"/>
          <w:lang w:val="en-GB"/>
        </w:rPr>
      </w:pPr>
      <w:r w:rsidRPr="00DE3C7C">
        <w:rPr>
          <w:lang w:val="en-GB"/>
        </w:rPr>
        <w:t>V2X</w:t>
      </w:r>
      <w:r w:rsidRPr="00DE3C7C">
        <w:rPr>
          <w:lang w:val="en-GB"/>
        </w:rPr>
        <w:tab/>
        <w:t xml:space="preserve">Vehicle-to-Infrastructure/Vehicle/Network/Pedestrians and others </w:t>
      </w:r>
    </w:p>
    <w:p w14:paraId="190011A9" w14:textId="77777777" w:rsidR="002C597D" w:rsidRPr="00DE3C7C" w:rsidRDefault="002C597D" w:rsidP="002C597D">
      <w:pPr>
        <w:tabs>
          <w:tab w:val="left" w:pos="1250"/>
        </w:tabs>
        <w:spacing w:after="120"/>
        <w:rPr>
          <w:rFonts w:asciiTheme="minorHAnsi" w:eastAsiaTheme="minorEastAsia" w:hAnsiTheme="minorHAnsi" w:cstheme="minorBidi"/>
          <w:sz w:val="22"/>
          <w:lang w:val="en-GB"/>
        </w:rPr>
      </w:pPr>
      <w:r w:rsidRPr="00DE3C7C">
        <w:rPr>
          <w:lang w:val="en-GB"/>
        </w:rPr>
        <w:t>WLAN</w:t>
      </w:r>
      <w:r w:rsidRPr="00DE3C7C">
        <w:rPr>
          <w:lang w:val="en-GB"/>
        </w:rPr>
        <w:tab/>
        <w:t>Wireless Local Area Network</w:t>
      </w:r>
    </w:p>
    <w:p w14:paraId="32B24C4C" w14:textId="77777777" w:rsidR="002C597D" w:rsidRDefault="002C597D" w:rsidP="002C597D">
      <w:pPr>
        <w:tabs>
          <w:tab w:val="left" w:pos="1134"/>
          <w:tab w:val="left" w:pos="1871"/>
          <w:tab w:val="left" w:pos="2268"/>
        </w:tabs>
        <w:overflowPunct w:val="0"/>
        <w:autoSpaceDE w:val="0"/>
        <w:autoSpaceDN w:val="0"/>
        <w:adjustRightInd w:val="0"/>
        <w:spacing w:after="120"/>
        <w:textAlignment w:val="baseline"/>
        <w:rPr>
          <w:rFonts w:eastAsia="MS Mincho"/>
          <w:b/>
          <w:bCs/>
          <w:color w:val="000000"/>
          <w:lang w:val="en-GB" w:eastAsia="ja-JP"/>
        </w:rPr>
      </w:pPr>
    </w:p>
    <w:p w14:paraId="2AE48FEC" w14:textId="77777777" w:rsidR="00CF1EB2" w:rsidRPr="00DE3C7C" w:rsidRDefault="00CF1EB2" w:rsidP="002C597D">
      <w:pPr>
        <w:tabs>
          <w:tab w:val="left" w:pos="1134"/>
          <w:tab w:val="left" w:pos="1871"/>
          <w:tab w:val="left" w:pos="2268"/>
        </w:tabs>
        <w:overflowPunct w:val="0"/>
        <w:autoSpaceDE w:val="0"/>
        <w:autoSpaceDN w:val="0"/>
        <w:adjustRightInd w:val="0"/>
        <w:spacing w:after="120"/>
        <w:textAlignment w:val="baseline"/>
        <w:rPr>
          <w:rFonts w:eastAsia="MS Mincho"/>
          <w:b/>
          <w:bCs/>
          <w:color w:val="000000"/>
          <w:lang w:val="en-GB" w:eastAsia="ja-JP"/>
        </w:rPr>
      </w:pPr>
    </w:p>
    <w:p w14:paraId="7D25D985" w14:textId="77777777" w:rsidR="002C597D" w:rsidRPr="00DE3C7C" w:rsidRDefault="002C597D" w:rsidP="002C597D">
      <w:pPr>
        <w:pStyle w:val="ListParagraph"/>
        <w:numPr>
          <w:ilvl w:val="0"/>
          <w:numId w:val="27"/>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DE3C7C">
        <w:rPr>
          <w:rFonts w:eastAsia="MS Mincho"/>
          <w:b/>
          <w:bCs/>
          <w:color w:val="000000"/>
          <w:lang w:val="en-GB" w:eastAsia="ja-JP"/>
        </w:rPr>
        <w:lastRenderedPageBreak/>
        <w:t>Overview of ITS radiocommunication and automotive radar</w:t>
      </w:r>
    </w:p>
    <w:p w14:paraId="3016C252" w14:textId="77777777" w:rsidR="002C597D" w:rsidRPr="00F71226" w:rsidRDefault="002C597D" w:rsidP="002C597D">
      <w:pPr>
        <w:tabs>
          <w:tab w:val="left" w:pos="0"/>
          <w:tab w:val="left" w:pos="1871"/>
          <w:tab w:val="left" w:pos="2268"/>
        </w:tabs>
        <w:overflowPunct w:val="0"/>
        <w:autoSpaceDE w:val="0"/>
        <w:autoSpaceDN w:val="0"/>
        <w:adjustRightInd w:val="0"/>
        <w:spacing w:before="120"/>
        <w:ind w:firstLineChars="50" w:firstLine="120"/>
        <w:jc w:val="both"/>
        <w:textAlignment w:val="baseline"/>
        <w:rPr>
          <w:lang w:val="en-GB"/>
        </w:rPr>
      </w:pPr>
      <w:r w:rsidRPr="00DE3C7C">
        <w:rPr>
          <w:rFonts w:eastAsia="MS Mincho"/>
          <w:bCs/>
          <w:color w:val="000000"/>
          <w:lang w:val="en-GB" w:eastAsia="ja-JP"/>
        </w:rPr>
        <w:t>Population growth and urban overcrowding have created social issues such as traffic congestion, increased energy consumption, and increased accidents.</w:t>
      </w:r>
      <w:r w:rsidRPr="00DE3C7C">
        <w:rPr>
          <w:rFonts w:eastAsia="MS Mincho" w:hint="eastAsia"/>
          <w:bCs/>
          <w:color w:val="000000"/>
          <w:lang w:val="en-GB" w:eastAsia="ja-JP"/>
        </w:rPr>
        <w:t xml:space="preserve">　</w:t>
      </w:r>
      <w:r w:rsidRPr="00DE3C7C">
        <w:rPr>
          <w:rFonts w:eastAsia="MS Mincho"/>
          <w:bCs/>
          <w:color w:val="000000"/>
          <w:lang w:val="en-GB" w:eastAsia="ja-JP"/>
        </w:rPr>
        <w:t>At the same time, the depopulation and aging of the population in rural areas has led to the problem of vulnerable people who cannot drive themselves and have no means of transportation in some regions and countries. ITS is a system that uses information and communication technology to support the mobility of goods and people in order to efficiently and safely use transportation infrastructure and means of transportation (automobiles, motorcycles, bicycles, trains, airplanes, ships, etc.).</w:t>
      </w:r>
      <w:r w:rsidRPr="00DE3C7C">
        <w:rPr>
          <w:lang w:val="en-GB"/>
        </w:rPr>
        <w:t xml:space="preserve"> </w:t>
      </w:r>
      <w:r w:rsidRPr="00DE3C7C">
        <w:rPr>
          <w:rFonts w:eastAsia="MS Mincho"/>
          <w:bCs/>
          <w:color w:val="000000"/>
          <w:lang w:val="en-GB" w:eastAsia="ja-JP"/>
        </w:rPr>
        <w:t>Radiocommunication is essential for the efficient operation of transportation systems.  Advanced sensing technology is also required to realize ADAS and automated driving, and Radar is needed in addition to image sensors and LiDAR.</w:t>
      </w:r>
      <w:r w:rsidRPr="00DE3C7C">
        <w:rPr>
          <w:lang w:val="en-GB"/>
        </w:rPr>
        <w:t xml:space="preserve"> </w:t>
      </w:r>
      <w:r w:rsidRPr="00DE3C7C">
        <w:rPr>
          <w:rFonts w:eastAsia="MS Mincho"/>
          <w:bCs/>
          <w:color w:val="000000"/>
          <w:lang w:val="en-GB" w:eastAsia="ja-JP"/>
        </w:rPr>
        <w:t xml:space="preserve">76-77 GHz and 77-81 GHz millimetre wave bands are already in practical use as radars for collision avoidance, and some applications are described in the </w:t>
      </w:r>
      <w:r w:rsidRPr="00DE3C7C">
        <w:rPr>
          <w:color w:val="000000"/>
          <w:szCs w:val="20"/>
          <w:shd w:val="clear" w:color="auto" w:fill="FFFFFF"/>
          <w:lang w:val="en-GB"/>
        </w:rPr>
        <w:t>APT Report on "Usage of Intelligent Transportat</w:t>
      </w:r>
      <w:r w:rsidRPr="00F71226">
        <w:rPr>
          <w:color w:val="000000"/>
          <w:szCs w:val="20"/>
          <w:shd w:val="clear" w:color="auto" w:fill="FFFFFF"/>
          <w:lang w:val="en-GB"/>
        </w:rPr>
        <w:t>ion Systems in APT Countries</w:t>
      </w:r>
      <w:r w:rsidRPr="00F71226">
        <w:rPr>
          <w:rFonts w:ascii="MS Mincho" w:eastAsia="MS Mincho" w:hAnsi="MS Mincho"/>
          <w:color w:val="000000"/>
          <w:szCs w:val="20"/>
          <w:shd w:val="clear" w:color="auto" w:fill="FFFFFF"/>
          <w:lang w:val="en-GB" w:eastAsia="ja-JP"/>
        </w:rPr>
        <w:t xml:space="preserve">　</w:t>
      </w:r>
      <w:r w:rsidRPr="00F71226">
        <w:rPr>
          <w:rFonts w:eastAsia="MS Mincho"/>
          <w:bCs/>
          <w:color w:val="000000"/>
          <w:lang w:val="en-GB" w:eastAsia="ja-JP"/>
        </w:rPr>
        <w:t>(APT/AWG/REP-18(Rev2)”. Future research and development are expected for practical high-speed communication applications that take advantage of the wide bandwidth.</w:t>
      </w:r>
    </w:p>
    <w:p w14:paraId="74299921" w14:textId="77777777" w:rsidR="002C597D" w:rsidRPr="00F71226" w:rsidRDefault="002C597D" w:rsidP="002C597D">
      <w:pPr>
        <w:tabs>
          <w:tab w:val="left" w:pos="0"/>
          <w:tab w:val="left" w:pos="1871"/>
          <w:tab w:val="left" w:pos="2268"/>
        </w:tabs>
        <w:overflowPunct w:val="0"/>
        <w:autoSpaceDE w:val="0"/>
        <w:autoSpaceDN w:val="0"/>
        <w:adjustRightInd w:val="0"/>
        <w:spacing w:before="120"/>
        <w:textAlignment w:val="baseline"/>
        <w:rPr>
          <w:rFonts w:eastAsia="MS Mincho"/>
          <w:bCs/>
          <w:i/>
          <w:color w:val="000000"/>
          <w:lang w:val="en-GB" w:eastAsia="ja-JP"/>
        </w:rPr>
      </w:pPr>
    </w:p>
    <w:p w14:paraId="7AE482EB" w14:textId="77777777" w:rsidR="002C597D" w:rsidRPr="00F71226"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F71226">
        <w:rPr>
          <w:rFonts w:eastAsia="MS Mincho"/>
          <w:b/>
          <w:bCs/>
          <w:color w:val="000000"/>
          <w:lang w:val="en-GB" w:eastAsia="ja-JP"/>
        </w:rPr>
        <w:t xml:space="preserve">ITS radiocommunication </w:t>
      </w:r>
      <w:r w:rsidRPr="00F71226">
        <w:rPr>
          <w:rFonts w:eastAsia="MS Mincho"/>
          <w:color w:val="000000"/>
          <w:vertAlign w:val="superscript"/>
          <w:lang w:val="en-GB" w:eastAsia="ja-JP"/>
        </w:rPr>
        <w:t>[1], [2], [3]</w:t>
      </w:r>
    </w:p>
    <w:p w14:paraId="2B7F5BFF" w14:textId="77777777" w:rsidR="002C597D" w:rsidRPr="00E72BDE" w:rsidRDefault="002C597D" w:rsidP="002C597D">
      <w:pPr>
        <w:pStyle w:val="ListParagraph"/>
        <w:tabs>
          <w:tab w:val="left" w:pos="0"/>
          <w:tab w:val="left" w:pos="1871"/>
          <w:tab w:val="left" w:pos="2268"/>
        </w:tabs>
        <w:overflowPunct w:val="0"/>
        <w:autoSpaceDE w:val="0"/>
        <w:autoSpaceDN w:val="0"/>
        <w:adjustRightInd w:val="0"/>
        <w:spacing w:before="120"/>
        <w:ind w:left="0" w:firstLineChars="50" w:firstLine="120"/>
        <w:jc w:val="both"/>
        <w:textAlignment w:val="baseline"/>
        <w:rPr>
          <w:rFonts w:eastAsia="MS Mincho"/>
          <w:bCs/>
          <w:color w:val="000000"/>
          <w:lang w:val="en-GB" w:eastAsia="ja-JP"/>
        </w:rPr>
      </w:pPr>
      <w:r w:rsidRPr="00F71226">
        <w:rPr>
          <w:rFonts w:eastAsia="MS Mincho"/>
          <w:bCs/>
          <w:color w:val="000000"/>
          <w:lang w:val="en-GB" w:eastAsia="ja-JP"/>
        </w:rPr>
        <w:t>ITU-R has developed report on advanced ITS radiocommunications (ITU-R M.2228). In the report, advanced ITS applications are classified by its technical characteristics as 4 categories, following V2X (WAVE), V2X (ETSI ITS-G5), V2X (ITS Co</w:t>
      </w:r>
      <w:r w:rsidRPr="00DE3C7C">
        <w:rPr>
          <w:rFonts w:eastAsia="MS Mincho"/>
          <w:bCs/>
          <w:color w:val="000000"/>
          <w:lang w:val="en-GB" w:eastAsia="ja-JP"/>
        </w:rPr>
        <w:t>nnect) and LTE based V2X (LTE-V2X) technologies could be inclusive in advanced ITS category.</w:t>
      </w:r>
      <w:r w:rsidRPr="00DE3C7C">
        <w:rPr>
          <w:lang w:val="en-GB"/>
        </w:rPr>
        <w:t xml:space="preserve"> </w:t>
      </w:r>
      <w:r w:rsidRPr="00DE3C7C">
        <w:rPr>
          <w:rFonts w:eastAsia="MS Mincho"/>
          <w:bCs/>
          <w:color w:val="000000"/>
          <w:lang w:val="en-GB" w:eastAsia="ja-JP"/>
        </w:rPr>
        <w:t>Cooperative ITS Communication (C-ITS) must be based on a standardized and interoperable wireless communication system.  This interoperability has to be guaranteed at least in different regions of the world. For example, C-ITS in Europe in the 5.9 GHz band was mainly based on IEEE 802.11p and ETSI ITS-G5. Recently, LTE-V2X has also started to be considered for implementation. In some APT countries, the frequency band 5 850 - 5 925 MHz (up to 75 MHz bandwidth) has been selected and adopted as the main operating band for the upcoming road security related C-ITS.  In addition, 63 - 64 GHz frequency band has been designated for road safety related applications in CEPT mobile services. As for general use of millimetre waves for radiocommunication applications, 60 GHz band ha</w:t>
      </w:r>
      <w:r w:rsidRPr="00E72BDE">
        <w:rPr>
          <w:rFonts w:eastAsia="MS Mincho"/>
          <w:bCs/>
          <w:color w:val="000000"/>
          <w:lang w:val="en-GB" w:eastAsia="ja-JP"/>
        </w:rPr>
        <w:t>s been defined for wireless LAN applications and 28 GHz band for 5G-NR, but further research and development is needed for ITS applications, such as shadowing issues unique to millimetre wave propagations.</w:t>
      </w:r>
    </w:p>
    <w:p w14:paraId="4FF90B65" w14:textId="77777777" w:rsidR="002C597D" w:rsidRPr="00E72BDE" w:rsidRDefault="002C597D" w:rsidP="002C597D">
      <w:pPr>
        <w:pStyle w:val="ListParagraph"/>
        <w:tabs>
          <w:tab w:val="left" w:pos="0"/>
          <w:tab w:val="left" w:pos="1871"/>
          <w:tab w:val="left" w:pos="2268"/>
        </w:tabs>
        <w:overflowPunct w:val="0"/>
        <w:autoSpaceDE w:val="0"/>
        <w:autoSpaceDN w:val="0"/>
        <w:adjustRightInd w:val="0"/>
        <w:spacing w:before="120"/>
        <w:ind w:left="0"/>
        <w:textAlignment w:val="baseline"/>
        <w:rPr>
          <w:rFonts w:eastAsia="MS Mincho"/>
          <w:b/>
          <w:bCs/>
          <w:color w:val="000000"/>
          <w:lang w:val="en-GB" w:eastAsia="ja-JP"/>
        </w:rPr>
      </w:pPr>
    </w:p>
    <w:p w14:paraId="2036FFA7"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E72BDE">
        <w:rPr>
          <w:rFonts w:eastAsia="MS Mincho"/>
          <w:b/>
          <w:bCs/>
          <w:color w:val="000000"/>
          <w:lang w:val="en-GB" w:eastAsia="ja-JP"/>
        </w:rPr>
        <w:t>Automotive radar</w:t>
      </w:r>
      <w:r w:rsidRPr="00E72BDE">
        <w:rPr>
          <w:rStyle w:val="FootnoteReference"/>
          <w:rFonts w:eastAsia="MS Mincho"/>
          <w:b/>
          <w:bCs/>
          <w:color w:val="000000"/>
          <w:lang w:val="en-GB" w:eastAsia="ja-JP"/>
        </w:rPr>
        <w:footnoteReference w:id="1"/>
      </w:r>
    </w:p>
    <w:p w14:paraId="523FA068" w14:textId="77777777" w:rsidR="002C597D" w:rsidRPr="00E72BDE" w:rsidRDefault="002C597D" w:rsidP="002C597D">
      <w:pPr>
        <w:ind w:firstLineChars="100" w:firstLine="240"/>
      </w:pPr>
      <w:r w:rsidRPr="00E72BDE">
        <w:t>Two categories of automotive radar systems operating in the millimeter wave are described in the APT Report on "Usage of Intelligent Transportation Systems in APT Countries (APT/AWG/REP-18(Rev2))</w:t>
      </w:r>
    </w:p>
    <w:p w14:paraId="6DF9A605" w14:textId="77777777" w:rsidR="002C597D" w:rsidRPr="00E72BDE" w:rsidRDefault="002C597D" w:rsidP="002C597D">
      <w:pPr>
        <w:tabs>
          <w:tab w:val="left" w:pos="2608"/>
          <w:tab w:val="left" w:pos="3345"/>
        </w:tabs>
        <w:spacing w:before="80"/>
        <w:ind w:left="1134" w:hanging="1134"/>
        <w:jc w:val="both"/>
        <w:rPr>
          <w:rFonts w:eastAsia="MS Mincho"/>
          <w:b/>
          <w:bCs/>
        </w:rPr>
      </w:pPr>
    </w:p>
    <w:p w14:paraId="1D6311C4" w14:textId="77777777" w:rsidR="002C597D" w:rsidRPr="00E72BDE" w:rsidRDefault="002C597D" w:rsidP="002C597D">
      <w:pPr>
        <w:pStyle w:val="ListParagraph"/>
        <w:numPr>
          <w:ilvl w:val="0"/>
          <w:numId w:val="34"/>
        </w:numPr>
        <w:tabs>
          <w:tab w:val="left" w:pos="1134"/>
          <w:tab w:val="left" w:pos="1871"/>
          <w:tab w:val="left" w:pos="2268"/>
          <w:tab w:val="left" w:pos="2608"/>
          <w:tab w:val="left" w:pos="3345"/>
        </w:tabs>
        <w:overflowPunct w:val="0"/>
        <w:autoSpaceDE w:val="0"/>
        <w:autoSpaceDN w:val="0"/>
        <w:adjustRightInd w:val="0"/>
        <w:spacing w:before="80" w:after="160" w:line="259" w:lineRule="auto"/>
        <w:jc w:val="both"/>
        <w:textAlignment w:val="baseline"/>
        <w:rPr>
          <w:rFonts w:eastAsia="MS Mincho"/>
        </w:rPr>
      </w:pPr>
      <w:r w:rsidRPr="00E72BDE">
        <w:rPr>
          <w:rFonts w:eastAsia="MS Mincho"/>
          <w:b/>
          <w:bCs/>
        </w:rPr>
        <w:t>Category 1</w:t>
      </w:r>
      <w:r w:rsidRPr="00E72BDE">
        <w:rPr>
          <w:rFonts w:eastAsia="MS Mincho"/>
        </w:rPr>
        <w:t xml:space="preserve">: Adaptive Cruise Control (ACC) and </w:t>
      </w:r>
      <w:r w:rsidRPr="00E72BDE">
        <w:rPr>
          <w:rFonts w:eastAsia="MS Mincho"/>
          <w:lang w:eastAsia="ja-JP"/>
        </w:rPr>
        <w:t>C</w:t>
      </w:r>
      <w:r w:rsidRPr="00E72BDE">
        <w:rPr>
          <w:rFonts w:eastAsia="MS Mincho"/>
        </w:rPr>
        <w:t xml:space="preserve">ollision </w:t>
      </w:r>
      <w:r w:rsidRPr="00E72BDE">
        <w:rPr>
          <w:rFonts w:eastAsia="MS Mincho"/>
          <w:lang w:eastAsia="ja-JP"/>
        </w:rPr>
        <w:t>A</w:t>
      </w:r>
      <w:r w:rsidRPr="00E72BDE">
        <w:rPr>
          <w:rFonts w:eastAsia="MS Mincho"/>
        </w:rPr>
        <w:t xml:space="preserve">voidance (CA) radar, for measurement ranges up to </w:t>
      </w:r>
      <w:r w:rsidRPr="00E72BDE">
        <w:rPr>
          <w:rFonts w:eastAsia="MS Mincho"/>
          <w:lang w:eastAsia="ja-JP"/>
        </w:rPr>
        <w:t xml:space="preserve">300 </w:t>
      </w:r>
      <w:proofErr w:type="spellStart"/>
      <w:r w:rsidRPr="00E72BDE">
        <w:rPr>
          <w:rFonts w:eastAsia="MS Mincho"/>
        </w:rPr>
        <w:t>metres</w:t>
      </w:r>
      <w:proofErr w:type="spellEnd"/>
      <w:r w:rsidRPr="00E72BDE">
        <w:rPr>
          <w:rFonts w:eastAsia="MS Mincho"/>
        </w:rPr>
        <w:t>. For these applications, a maximum continuous bandwidth of up to 1 GHz is required. Such radars are considered to add additional comfort functions for the driver, giving support for more stress-free driving.</w:t>
      </w:r>
    </w:p>
    <w:p w14:paraId="7CAD6118" w14:textId="683D6BF2" w:rsidR="002C597D" w:rsidRPr="00E72BDE" w:rsidRDefault="002C597D" w:rsidP="002C597D">
      <w:pPr>
        <w:pStyle w:val="ListParagraph"/>
        <w:numPr>
          <w:ilvl w:val="0"/>
          <w:numId w:val="34"/>
        </w:numPr>
        <w:tabs>
          <w:tab w:val="left" w:pos="1134"/>
          <w:tab w:val="left" w:pos="1871"/>
          <w:tab w:val="left" w:pos="2268"/>
          <w:tab w:val="left" w:pos="2608"/>
          <w:tab w:val="left" w:pos="3345"/>
        </w:tabs>
        <w:overflowPunct w:val="0"/>
        <w:autoSpaceDE w:val="0"/>
        <w:autoSpaceDN w:val="0"/>
        <w:adjustRightInd w:val="0"/>
        <w:spacing w:before="80" w:after="160" w:line="259" w:lineRule="auto"/>
        <w:jc w:val="both"/>
        <w:textAlignment w:val="baseline"/>
        <w:rPr>
          <w:rFonts w:eastAsia="MS Mincho"/>
          <w:lang w:eastAsia="ja-JP"/>
        </w:rPr>
      </w:pPr>
      <w:r w:rsidRPr="00E72BDE">
        <w:rPr>
          <w:rFonts w:eastAsia="MS Mincho"/>
          <w:b/>
          <w:bCs/>
        </w:rPr>
        <w:t>Category 2</w:t>
      </w:r>
      <w:r w:rsidRPr="00E72BDE">
        <w:rPr>
          <w:rFonts w:eastAsia="MS Mincho"/>
        </w:rPr>
        <w:t xml:space="preserve">: Sensors for high resolution applications such as Blind Spot Detection (BSD), Lane-Change Assist (LCA) and Rear-Traffic-Crossing-Alert (RTCA), detection of </w:t>
      </w:r>
      <w:r w:rsidRPr="00E72BDE">
        <w:rPr>
          <w:rFonts w:eastAsia="MS Mincho"/>
        </w:rPr>
        <w:lastRenderedPageBreak/>
        <w:t>pedestrians and bicycles in close proximity to a vehicle, for measurement ranges up to 100 </w:t>
      </w:r>
      <w:proofErr w:type="spellStart"/>
      <w:r w:rsidRPr="00E72BDE">
        <w:rPr>
          <w:rFonts w:eastAsia="MS Mincho"/>
        </w:rPr>
        <w:t>metres</w:t>
      </w:r>
      <w:proofErr w:type="spellEnd"/>
      <w:r w:rsidRPr="00E72BDE">
        <w:rPr>
          <w:rFonts w:eastAsia="MS Mincho"/>
        </w:rPr>
        <w:t>. For these high</w:t>
      </w:r>
      <w:r w:rsidR="002A3B64">
        <w:rPr>
          <w:rFonts w:eastAsia="MS Mincho"/>
        </w:rPr>
        <w:t>-</w:t>
      </w:r>
      <w:r w:rsidRPr="00E72BDE">
        <w:rPr>
          <w:rFonts w:eastAsia="MS Mincho"/>
        </w:rPr>
        <w:t xml:space="preserve">resolution applications, a necessary bandwidth of up to 4 GHz is required. Such radars directly add to the passive and active safety of a vehicle and other </w:t>
      </w:r>
      <w:proofErr w:type="gramStart"/>
      <w:r w:rsidRPr="00E72BDE">
        <w:rPr>
          <w:rFonts w:eastAsia="MS Mincho"/>
        </w:rPr>
        <w:t>Vulnerable road</w:t>
      </w:r>
      <w:proofErr w:type="gramEnd"/>
      <w:r w:rsidRPr="00E72BDE">
        <w:rPr>
          <w:rFonts w:eastAsia="MS Mincho"/>
        </w:rPr>
        <w:t xml:space="preserve"> users and are therefore an essential benefit towards improved traffic safety. </w:t>
      </w:r>
    </w:p>
    <w:p w14:paraId="2272CE35" w14:textId="77777777" w:rsidR="002C597D" w:rsidRPr="00E72BDE" w:rsidRDefault="002C597D" w:rsidP="002C597D">
      <w:pPr>
        <w:spacing w:after="120"/>
        <w:jc w:val="both"/>
        <w:rPr>
          <w:b/>
          <w:lang w:val="en-GB"/>
        </w:rPr>
      </w:pPr>
    </w:p>
    <w:p w14:paraId="295D7DBA" w14:textId="77777777" w:rsidR="002C597D" w:rsidRPr="00E72BDE" w:rsidRDefault="002C597D" w:rsidP="002C597D">
      <w:pPr>
        <w:ind w:firstLineChars="50" w:firstLine="120"/>
        <w:jc w:val="both"/>
        <w:rPr>
          <w:rFonts w:eastAsia="MS Mincho"/>
          <w:lang w:val="en-GB" w:eastAsia="ja-JP"/>
        </w:rPr>
      </w:pPr>
      <w:r w:rsidRPr="00E72BDE">
        <w:rPr>
          <w:rFonts w:eastAsia="MS Mincho"/>
          <w:lang w:val="en-GB" w:eastAsia="ja-JP"/>
        </w:rPr>
        <w:t>The above lists of radar-based functions, that are provided for the categories above are examples and not exhaustive. Since the publication of APT/AWG/REP-18(Rev2) and ITU-R Recommendation M.2057-1 automotive radar technology has evolved, and new radar-based functions are deployed in vehicles.</w:t>
      </w:r>
    </w:p>
    <w:p w14:paraId="02AD2470" w14:textId="77777777" w:rsidR="002C597D" w:rsidRPr="00E72BDE" w:rsidRDefault="002C597D" w:rsidP="002C597D">
      <w:pPr>
        <w:ind w:firstLineChars="50" w:firstLine="120"/>
        <w:jc w:val="both"/>
        <w:rPr>
          <w:rFonts w:eastAsia="MS Mincho"/>
          <w:lang w:val="en-GB" w:eastAsia="ja-JP"/>
        </w:rPr>
      </w:pPr>
      <w:r w:rsidRPr="00E72BDE">
        <w:rPr>
          <w:rFonts w:eastAsia="MS Mincho"/>
          <w:lang w:val="en-GB" w:eastAsia="ja-JP"/>
        </w:rPr>
        <w:t>To date, the availability of the frequency bandwidth of 4 GHz for Category 2 applications has been low and therefore only few automotive radar sensors operating in this band are yet available. Radar sensors providing some of the Category 2 functions are also deployed in the frequency bandwidth of 1 GHz used for Category 1 functions. However, radar sensors providing the above listed Category 2 and new functions are likely further to be deployed in the envisaged frequency band with its increased availability.</w:t>
      </w:r>
    </w:p>
    <w:p w14:paraId="475B8453" w14:textId="77777777" w:rsidR="002C597D" w:rsidRPr="00E72BDE" w:rsidRDefault="002C597D" w:rsidP="002C597D">
      <w:pPr>
        <w:jc w:val="both"/>
        <w:rPr>
          <w:rFonts w:eastAsia="MS Mincho"/>
          <w:lang w:val="en-GB" w:eastAsia="ja-JP"/>
        </w:rPr>
      </w:pPr>
    </w:p>
    <w:p w14:paraId="1CF0415E" w14:textId="77777777" w:rsidR="002C597D" w:rsidRPr="00E72BDE" w:rsidRDefault="002C597D" w:rsidP="002C597D">
      <w:pPr>
        <w:jc w:val="both"/>
        <w:rPr>
          <w:lang w:val="en-GB"/>
        </w:rPr>
      </w:pPr>
      <w:r w:rsidRPr="00E72BDE">
        <w:rPr>
          <w:lang w:val="en-GB"/>
        </w:rPr>
        <w:t xml:space="preserve"> Other millimetre wave (</w:t>
      </w:r>
      <w:proofErr w:type="spellStart"/>
      <w:r w:rsidRPr="00E72BDE">
        <w:rPr>
          <w:lang w:val="en-GB"/>
        </w:rPr>
        <w:t>mmW</w:t>
      </w:r>
      <w:proofErr w:type="spellEnd"/>
      <w:r w:rsidRPr="00E72BDE">
        <w:rPr>
          <w:lang w:val="en-GB"/>
        </w:rPr>
        <w:t>) radar systems are also defined in the 60 GHz frequency band. In Japan 60 GHz band using 60-61 GHz, is allocated as obstacles detection or automotive radar around 100 m range, which operates as railroad crossing obstacles detection systems in ARIB-STD-T48v1.1. In EU countries, 60 GHz band, using 57-64 GHz, are also defined as short range devices (SRD) in ESTI EN 302 729 V2.1.1.</w:t>
      </w:r>
      <w:r w:rsidRPr="00E72BDE">
        <w:rPr>
          <w:rFonts w:eastAsia="MS Mincho"/>
          <w:lang w:val="en-GB" w:eastAsia="ja-JP"/>
        </w:rPr>
        <w:t xml:space="preserve"> </w:t>
      </w:r>
      <w:r w:rsidRPr="00E72BDE">
        <w:rPr>
          <w:color w:val="242424"/>
          <w:shd w:val="clear" w:color="auto" w:fill="FFFFFF"/>
          <w:lang w:val="en-GB"/>
        </w:rPr>
        <w:t>FCC granted a waiver request to operate in the 57-64 GHz band for short range interactive motion sensing 2018. The interference conditions are mitigated by an output power limit of less than 13 dBm EIRP and a low duty cycle of less than 10% in any 33 msec interval.  In April 2021, FCC additionally granted waivers to permit the use of radars installed in passenger motor vehicles for the primary purpose of supporting public safety in-vehicle passenger monitoring functions (e.g., detecting children inadvertently left unattended on a rear seat)</w:t>
      </w:r>
      <w:r w:rsidRPr="00E72BDE">
        <w:rPr>
          <w:rFonts w:eastAsia="MS Mincho"/>
          <w:lang w:val="en-GB" w:eastAsia="ja-JP"/>
        </w:rPr>
        <w:t xml:space="preserve">. </w:t>
      </w:r>
      <w:r w:rsidRPr="00E72BDE">
        <w:rPr>
          <w:lang w:val="en-GB"/>
        </w:rPr>
        <w:t>This technology triggered active discussions on the application of the 60 GHz band not only for communications, but also for sensing as in-vehicle applications, such a passenger monitoring or driver biomonitoring. Furthermore, since the 60 GHz band can also be used for communication applications, research on the fusion of communication and radar has begun.</w:t>
      </w:r>
    </w:p>
    <w:p w14:paraId="48087C21" w14:textId="77777777" w:rsidR="002C597D" w:rsidRPr="00E72BDE" w:rsidRDefault="002C597D" w:rsidP="002C597D">
      <w:pPr>
        <w:jc w:val="both"/>
        <w:rPr>
          <w:lang w:val="en-GB"/>
        </w:rPr>
      </w:pPr>
    </w:p>
    <w:p w14:paraId="088ED4AF" w14:textId="77777777" w:rsidR="002C597D" w:rsidRPr="00E72BDE" w:rsidRDefault="002C597D" w:rsidP="002C597D">
      <w:pPr>
        <w:pStyle w:val="ListParagraph"/>
        <w:numPr>
          <w:ilvl w:val="0"/>
          <w:numId w:val="27"/>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E72BDE">
        <w:rPr>
          <w:rFonts w:eastAsia="MS Mincho"/>
          <w:b/>
          <w:bCs/>
          <w:color w:val="000000"/>
          <w:lang w:val="en-GB" w:eastAsia="ja-JP"/>
        </w:rPr>
        <w:t xml:space="preserve">Millimetre wave communications for ITS applications </w:t>
      </w:r>
      <w:r w:rsidRPr="00E72BDE">
        <w:rPr>
          <w:rFonts w:eastAsia="MS Mincho"/>
          <w:color w:val="000000"/>
          <w:vertAlign w:val="superscript"/>
          <w:lang w:val="en-GB" w:eastAsia="ja-JP"/>
        </w:rPr>
        <w:t>[4],[5]</w:t>
      </w:r>
    </w:p>
    <w:p w14:paraId="6A81F71E"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100" w:firstLine="240"/>
        <w:jc w:val="both"/>
        <w:textAlignment w:val="baseline"/>
        <w:rPr>
          <w:lang w:val="en-GB"/>
        </w:rPr>
      </w:pPr>
      <w:r w:rsidRPr="00E72BDE">
        <w:rPr>
          <w:lang w:val="en-GB"/>
        </w:rPr>
        <w:t>To reduce traffic accidents and traffic congestion, cooperative ITS is becoming more and more practical, and V2X side-links based on IEEE802.11p and 3GPP-Rel</w:t>
      </w:r>
      <w:r w:rsidRPr="00E72BDE">
        <w:rPr>
          <w:rFonts w:ascii="MS Mincho" w:eastAsia="MS Mincho" w:hAnsi="MS Mincho" w:hint="eastAsia"/>
          <w:lang w:val="en-GB" w:eastAsia="ja-JP"/>
        </w:rPr>
        <w:t xml:space="preserve"> </w:t>
      </w:r>
      <w:r w:rsidRPr="00E72BDE">
        <w:rPr>
          <w:lang w:val="en-GB"/>
        </w:rPr>
        <w:t>14 wireless standards using 5.9 GHz band are becoming to be commercialized globally. And ITS-connect system using 760 MHz band is already in commercial use in Japan. In these V2X systems, text data called BSMs are exchanged, in future raw-sensor data sharing will be expected for advanced driver assistant system (ADAS) and autonomous driving. In order to transmit raw-sensor data, millimetre wave frequency bands are considered as a broadband communication. Additionally massive data generated from vehicle sensors, can be utilized for other applications such as dynamic map updating, or road infrastructure inspection, etc.</w:t>
      </w:r>
    </w:p>
    <w:p w14:paraId="16F226EC"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100" w:firstLine="240"/>
        <w:jc w:val="both"/>
        <w:textAlignment w:val="baseline"/>
        <w:rPr>
          <w:lang w:val="en-GB"/>
        </w:rPr>
      </w:pPr>
    </w:p>
    <w:p w14:paraId="62CBEA39"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E72BDE">
        <w:rPr>
          <w:rFonts w:eastAsia="MS Mincho"/>
          <w:b/>
          <w:bCs/>
          <w:color w:val="000000"/>
          <w:lang w:val="en-GB" w:eastAsia="ja-JP"/>
        </w:rPr>
        <w:t>Overview</w:t>
      </w:r>
    </w:p>
    <w:p w14:paraId="43E57947" w14:textId="77777777" w:rsidR="002C597D" w:rsidRPr="00E72BDE" w:rsidRDefault="002C597D" w:rsidP="002C597D">
      <w:pPr>
        <w:rPr>
          <w:rFonts w:eastAsiaTheme="minorEastAsia"/>
          <w:lang w:val="en-GB" w:eastAsia="ja-JP"/>
        </w:rPr>
      </w:pPr>
    </w:p>
    <w:p w14:paraId="556A7A33" w14:textId="1763036D" w:rsidR="002C597D" w:rsidRPr="00E72BDE" w:rsidRDefault="002C597D" w:rsidP="002C597D">
      <w:pPr>
        <w:ind w:firstLineChars="50" w:firstLine="120"/>
        <w:jc w:val="both"/>
        <w:rPr>
          <w:rFonts w:eastAsiaTheme="minorEastAsia"/>
          <w:lang w:val="en-GB" w:eastAsia="ja-JP"/>
        </w:rPr>
      </w:pPr>
      <w:r w:rsidRPr="00E72BDE" w:rsidDel="00CA7044">
        <w:rPr>
          <w:rFonts w:eastAsiaTheme="minorEastAsia"/>
          <w:i/>
          <w:lang w:val="en-GB" w:eastAsia="ja-JP"/>
        </w:rPr>
        <w:t xml:space="preserve"> </w:t>
      </w:r>
      <w:r w:rsidRPr="00E72BDE">
        <w:rPr>
          <w:rFonts w:eastAsiaTheme="minorEastAsia"/>
          <w:lang w:val="en-GB" w:eastAsia="ja-JP"/>
        </w:rPr>
        <w:t xml:space="preserve">The 5G NR (New Radio) developed by 3GPP supports the wide range of </w:t>
      </w:r>
      <w:proofErr w:type="spellStart"/>
      <w:r w:rsidRPr="00E72BDE">
        <w:rPr>
          <w:rFonts w:eastAsiaTheme="minorEastAsia"/>
          <w:lang w:val="en-GB" w:eastAsia="ja-JP"/>
        </w:rPr>
        <w:t>mmW</w:t>
      </w:r>
      <w:proofErr w:type="spellEnd"/>
      <w:r w:rsidRPr="00E72BDE">
        <w:rPr>
          <w:rFonts w:eastAsiaTheme="minorEastAsia"/>
          <w:lang w:val="en-GB" w:eastAsia="ja-JP"/>
        </w:rPr>
        <w:t xml:space="preserve"> bands including spectrum identifications</w:t>
      </w:r>
      <w:r w:rsidRPr="00E72BDE" w:rsidDel="0038534A">
        <w:rPr>
          <w:rFonts w:eastAsiaTheme="minorEastAsia"/>
          <w:lang w:val="en-GB" w:eastAsia="ja-JP"/>
        </w:rPr>
        <w:t xml:space="preserve"> </w:t>
      </w:r>
      <w:r w:rsidRPr="00E72BDE">
        <w:rPr>
          <w:rFonts w:eastAsiaTheme="minorEastAsia"/>
          <w:lang w:val="en-GB" w:eastAsia="ja-JP"/>
        </w:rPr>
        <w:t xml:space="preserve">for IMT in WRC-19. It was designed to meet the IMT-2020 </w:t>
      </w:r>
      <w:r w:rsidRPr="00E72BDE">
        <w:rPr>
          <w:rFonts w:eastAsiaTheme="minorEastAsia"/>
          <w:lang w:val="en-GB" w:eastAsia="ja-JP"/>
        </w:rPr>
        <w:lastRenderedPageBreak/>
        <w:t xml:space="preserve">requirements of </w:t>
      </w:r>
      <w:proofErr w:type="spellStart"/>
      <w:r w:rsidRPr="00E72BDE">
        <w:rPr>
          <w:rFonts w:eastAsiaTheme="minorEastAsia"/>
          <w:lang w:val="en-GB" w:eastAsia="ja-JP"/>
        </w:rPr>
        <w:t>eMBB</w:t>
      </w:r>
      <w:proofErr w:type="spellEnd"/>
      <w:r w:rsidRPr="00E72BDE">
        <w:rPr>
          <w:rFonts w:eastAsiaTheme="minorEastAsia"/>
          <w:lang w:val="en-GB" w:eastAsia="ja-JP"/>
        </w:rPr>
        <w:t xml:space="preserve"> and latency applicable for ITS applications. The supported </w:t>
      </w:r>
      <w:proofErr w:type="spellStart"/>
      <w:r w:rsidRPr="00E72BDE">
        <w:rPr>
          <w:rFonts w:eastAsiaTheme="minorEastAsia"/>
          <w:lang w:val="en-GB" w:eastAsia="ja-JP"/>
        </w:rPr>
        <w:t>mmW</w:t>
      </w:r>
      <w:proofErr w:type="spellEnd"/>
      <w:r w:rsidRPr="00E72BDE">
        <w:rPr>
          <w:rFonts w:eastAsiaTheme="minorEastAsia"/>
          <w:lang w:val="en-GB" w:eastAsia="ja-JP"/>
        </w:rPr>
        <w:t xml:space="preserve"> bands by 3GPP are </w:t>
      </w:r>
    </w:p>
    <w:p w14:paraId="70DED575" w14:textId="77777777" w:rsidR="002C597D" w:rsidRPr="00E72BDE" w:rsidRDefault="002C597D" w:rsidP="002C597D">
      <w:pPr>
        <w:pStyle w:val="ListParagraph"/>
        <w:numPr>
          <w:ilvl w:val="0"/>
          <w:numId w:val="28"/>
        </w:numPr>
        <w:spacing w:before="120"/>
        <w:ind w:left="714" w:hanging="357"/>
        <w:jc w:val="both"/>
        <w:rPr>
          <w:rFonts w:eastAsiaTheme="minorEastAsia"/>
          <w:lang w:val="en-GB" w:eastAsia="ja-JP"/>
        </w:rPr>
      </w:pPr>
      <w:r w:rsidRPr="00E72BDE">
        <w:rPr>
          <w:rFonts w:eastAsiaTheme="minorEastAsia"/>
          <w:lang w:val="en-GB" w:eastAsia="ja-JP"/>
        </w:rPr>
        <w:t>n257 (28 GHz</w:t>
      </w:r>
      <w:proofErr w:type="gramStart"/>
      <w:r w:rsidRPr="00E72BDE">
        <w:rPr>
          <w:rFonts w:eastAsiaTheme="minorEastAsia"/>
          <w:lang w:val="en-GB" w:eastAsia="ja-JP"/>
        </w:rPr>
        <w:t>) :</w:t>
      </w:r>
      <w:proofErr w:type="gramEnd"/>
      <w:r w:rsidRPr="00E72BDE">
        <w:rPr>
          <w:rFonts w:eastAsiaTheme="minorEastAsia"/>
          <w:lang w:val="en-GB" w:eastAsia="ja-JP"/>
        </w:rPr>
        <w:t xml:space="preserve"> 26.5 - 29.5GHz</w:t>
      </w:r>
    </w:p>
    <w:p w14:paraId="2FAFEF07" w14:textId="77777777" w:rsidR="002C597D" w:rsidRPr="00E72BDE" w:rsidRDefault="002C597D" w:rsidP="002C597D">
      <w:pPr>
        <w:pStyle w:val="ListParagraph"/>
        <w:numPr>
          <w:ilvl w:val="0"/>
          <w:numId w:val="28"/>
        </w:numPr>
        <w:jc w:val="both"/>
        <w:rPr>
          <w:rFonts w:eastAsiaTheme="minorEastAsia"/>
          <w:lang w:val="en-GB" w:eastAsia="ja-JP"/>
        </w:rPr>
      </w:pPr>
      <w:r w:rsidRPr="00E72BDE">
        <w:rPr>
          <w:rFonts w:eastAsiaTheme="minorEastAsia"/>
          <w:lang w:val="en-GB" w:eastAsia="ja-JP"/>
        </w:rPr>
        <w:t>n258 (26 GHz</w:t>
      </w:r>
      <w:proofErr w:type="gramStart"/>
      <w:r w:rsidRPr="00E72BDE">
        <w:rPr>
          <w:rFonts w:eastAsiaTheme="minorEastAsia"/>
          <w:lang w:val="en-GB" w:eastAsia="ja-JP"/>
        </w:rPr>
        <w:t>) :</w:t>
      </w:r>
      <w:proofErr w:type="gramEnd"/>
      <w:r w:rsidRPr="00E72BDE">
        <w:rPr>
          <w:rFonts w:eastAsiaTheme="minorEastAsia"/>
          <w:lang w:val="en-GB" w:eastAsia="ja-JP"/>
        </w:rPr>
        <w:t xml:space="preserve"> 24.25 -  27.5GHz</w:t>
      </w:r>
    </w:p>
    <w:p w14:paraId="0B71AD66" w14:textId="77777777" w:rsidR="002C597D" w:rsidRPr="00E72BDE" w:rsidRDefault="002C597D" w:rsidP="002C597D">
      <w:pPr>
        <w:pStyle w:val="ListParagraph"/>
        <w:numPr>
          <w:ilvl w:val="0"/>
          <w:numId w:val="28"/>
        </w:numPr>
        <w:jc w:val="both"/>
        <w:rPr>
          <w:rFonts w:eastAsiaTheme="minorEastAsia"/>
          <w:lang w:val="en-GB" w:eastAsia="ja-JP"/>
        </w:rPr>
      </w:pPr>
      <w:r w:rsidRPr="00E72BDE">
        <w:rPr>
          <w:rFonts w:eastAsiaTheme="minorEastAsia"/>
          <w:lang w:val="en-GB" w:eastAsia="ja-JP"/>
        </w:rPr>
        <w:t>n</w:t>
      </w:r>
      <w:proofErr w:type="gramStart"/>
      <w:r w:rsidRPr="00E72BDE">
        <w:rPr>
          <w:rFonts w:eastAsiaTheme="minorEastAsia"/>
          <w:lang w:val="en-GB" w:eastAsia="ja-JP"/>
        </w:rPr>
        <w:t>259 :</w:t>
      </w:r>
      <w:proofErr w:type="gramEnd"/>
      <w:r w:rsidRPr="00E72BDE">
        <w:rPr>
          <w:rFonts w:eastAsiaTheme="minorEastAsia"/>
          <w:lang w:val="en-GB" w:eastAsia="ja-JP"/>
        </w:rPr>
        <w:t xml:space="preserve"> 39.5 GHz -  43.5 GHz </w:t>
      </w:r>
    </w:p>
    <w:p w14:paraId="2315CAF8" w14:textId="77777777" w:rsidR="002C597D" w:rsidRPr="00E72BDE" w:rsidRDefault="002C597D" w:rsidP="002C597D">
      <w:pPr>
        <w:pStyle w:val="ListParagraph"/>
        <w:numPr>
          <w:ilvl w:val="0"/>
          <w:numId w:val="28"/>
        </w:numPr>
        <w:jc w:val="both"/>
        <w:rPr>
          <w:rFonts w:eastAsiaTheme="minorEastAsia"/>
          <w:lang w:val="en-GB" w:eastAsia="ja-JP"/>
        </w:rPr>
      </w:pPr>
      <w:r w:rsidRPr="00E72BDE">
        <w:rPr>
          <w:rFonts w:eastAsiaTheme="minorEastAsia"/>
          <w:lang w:val="en-GB" w:eastAsia="ja-JP"/>
        </w:rPr>
        <w:t>n260 (39 GHz</w:t>
      </w:r>
      <w:proofErr w:type="gramStart"/>
      <w:r w:rsidRPr="00E72BDE">
        <w:rPr>
          <w:rFonts w:eastAsiaTheme="minorEastAsia"/>
          <w:lang w:val="en-GB" w:eastAsia="ja-JP"/>
        </w:rPr>
        <w:t>) :</w:t>
      </w:r>
      <w:proofErr w:type="gramEnd"/>
      <w:r w:rsidRPr="00E72BDE">
        <w:rPr>
          <w:rFonts w:eastAsiaTheme="minorEastAsia"/>
          <w:lang w:val="en-GB" w:eastAsia="ja-JP"/>
        </w:rPr>
        <w:t xml:space="preserve"> 37.00 – 40.0 GHz</w:t>
      </w:r>
    </w:p>
    <w:p w14:paraId="16184651" w14:textId="77777777" w:rsidR="002C597D" w:rsidRPr="00E72BDE" w:rsidRDefault="002C597D" w:rsidP="002C597D">
      <w:pPr>
        <w:pStyle w:val="ListParagraph"/>
        <w:numPr>
          <w:ilvl w:val="0"/>
          <w:numId w:val="28"/>
        </w:numPr>
        <w:jc w:val="both"/>
        <w:rPr>
          <w:rFonts w:eastAsiaTheme="minorEastAsia"/>
          <w:lang w:val="en-GB" w:eastAsia="ja-JP"/>
        </w:rPr>
      </w:pPr>
      <w:r w:rsidRPr="00E72BDE">
        <w:rPr>
          <w:rFonts w:eastAsiaTheme="minorEastAsia"/>
          <w:lang w:val="en-GB" w:eastAsia="ja-JP"/>
        </w:rPr>
        <w:t>n</w:t>
      </w:r>
      <w:proofErr w:type="gramStart"/>
      <w:r w:rsidRPr="00E72BDE">
        <w:rPr>
          <w:rFonts w:eastAsiaTheme="minorEastAsia"/>
          <w:lang w:val="en-GB" w:eastAsia="ja-JP"/>
        </w:rPr>
        <w:t>261 :</w:t>
      </w:r>
      <w:proofErr w:type="gramEnd"/>
      <w:r w:rsidRPr="00E72BDE">
        <w:rPr>
          <w:rFonts w:eastAsiaTheme="minorEastAsia"/>
          <w:lang w:val="en-GB" w:eastAsia="ja-JP"/>
        </w:rPr>
        <w:t xml:space="preserve"> 27.5 GHz – 28.350 GHz</w:t>
      </w:r>
    </w:p>
    <w:p w14:paraId="3C4E4A12" w14:textId="77777777" w:rsidR="002C597D" w:rsidRPr="00E72BDE" w:rsidRDefault="002C597D" w:rsidP="002C597D">
      <w:pPr>
        <w:pStyle w:val="ListParagraph"/>
        <w:jc w:val="both"/>
        <w:rPr>
          <w:rFonts w:eastAsiaTheme="minorEastAsia"/>
          <w:lang w:val="en-GB" w:eastAsia="ja-JP"/>
        </w:rPr>
      </w:pPr>
    </w:p>
    <w:p w14:paraId="227C7AAB" w14:textId="77777777" w:rsidR="002C597D" w:rsidRPr="00E72BDE" w:rsidRDefault="002C597D" w:rsidP="002C597D">
      <w:pPr>
        <w:ind w:firstLineChars="50" w:firstLine="120"/>
        <w:jc w:val="both"/>
        <w:rPr>
          <w:rFonts w:eastAsiaTheme="minorEastAsia"/>
          <w:lang w:val="en-GB" w:eastAsia="ja-JP"/>
        </w:rPr>
      </w:pPr>
      <w:r w:rsidRPr="00E72BDE">
        <w:rPr>
          <w:rFonts w:eastAsiaTheme="minorEastAsia"/>
          <w:lang w:val="en-GB" w:eastAsia="ja-JP"/>
        </w:rPr>
        <w:t xml:space="preserve">3GPP is currently studying to support for bands beyond 52.6 (to 71GHz) to enable use cases and deployment scenarios for NR systems. The NR specifications in this range will additionally support use cases such as NR licensed and unlicensed, Industrial automation/IoT. NR physical layer specification supports V2X in various spectrum ranges including </w:t>
      </w:r>
      <w:proofErr w:type="spellStart"/>
      <w:r w:rsidRPr="00E72BDE">
        <w:rPr>
          <w:rFonts w:eastAsiaTheme="minorEastAsia"/>
          <w:lang w:val="en-GB" w:eastAsia="ja-JP"/>
        </w:rPr>
        <w:t>mmW</w:t>
      </w:r>
      <w:proofErr w:type="spellEnd"/>
      <w:r w:rsidRPr="00E72BDE">
        <w:rPr>
          <w:rFonts w:eastAsiaTheme="minorEastAsia"/>
          <w:lang w:val="en-GB" w:eastAsia="ja-JP"/>
        </w:rPr>
        <w:t>. But, currently, only 5.9 GHz is fully defined as slide link operation for V2X. The specification will also support the regulatory requirements in these bands by different regions.</w:t>
      </w:r>
    </w:p>
    <w:p w14:paraId="1C7ABBB4" w14:textId="77777777" w:rsidR="002C597D" w:rsidRPr="00E72BDE" w:rsidRDefault="002C597D" w:rsidP="002C597D">
      <w:pPr>
        <w:jc w:val="both"/>
        <w:rPr>
          <w:rFonts w:eastAsiaTheme="minorEastAsia"/>
          <w:lang w:val="en-GB" w:eastAsia="ja-JP"/>
        </w:rPr>
      </w:pPr>
    </w:p>
    <w:p w14:paraId="2B7FAA1B" w14:textId="77777777" w:rsidR="002C597D" w:rsidRPr="00E72BDE" w:rsidRDefault="002C597D" w:rsidP="002C597D">
      <w:pPr>
        <w:ind w:firstLineChars="50" w:firstLine="120"/>
        <w:jc w:val="both"/>
        <w:rPr>
          <w:rFonts w:eastAsiaTheme="minorEastAsia"/>
          <w:lang w:val="en-GB" w:eastAsia="ja-JP"/>
        </w:rPr>
      </w:pPr>
      <w:r w:rsidRPr="00E72BDE">
        <w:rPr>
          <w:rFonts w:eastAsiaTheme="minorEastAsia"/>
          <w:lang w:val="en-GB" w:eastAsia="ja-JP"/>
        </w:rPr>
        <w:t>3GPP has been supporting network-assisted device-to-device (D2D) communication for mobile since 4G LTE. For 5G, advanced D2D features like NR side links are introduced that will allow V2X services. FIGURE 6.1 depicts a typical side link operation.</w:t>
      </w:r>
    </w:p>
    <w:p w14:paraId="5BAD8CBF" w14:textId="77777777" w:rsidR="002C597D" w:rsidRPr="00E72BDE" w:rsidRDefault="002C597D" w:rsidP="002C597D">
      <w:pPr>
        <w:ind w:firstLineChars="50" w:firstLine="120"/>
        <w:jc w:val="both"/>
        <w:rPr>
          <w:rFonts w:eastAsiaTheme="minorEastAsia"/>
          <w:lang w:val="en-GB" w:eastAsia="ja-JP"/>
        </w:rPr>
      </w:pPr>
    </w:p>
    <w:p w14:paraId="2BFD6B68" w14:textId="77777777" w:rsidR="002C597D" w:rsidRPr="00E72BDE" w:rsidRDefault="002C597D" w:rsidP="002C597D">
      <w:pPr>
        <w:keepNext/>
        <w:jc w:val="center"/>
        <w:rPr>
          <w:lang w:val="en-GB"/>
        </w:rPr>
      </w:pPr>
      <w:r w:rsidRPr="00E72BDE">
        <w:rPr>
          <w:rFonts w:eastAsiaTheme="minorEastAsia"/>
          <w:noProof/>
          <w:lang w:val="en-GB" w:eastAsia="ja-JP"/>
        </w:rPr>
        <w:drawing>
          <wp:inline distT="0" distB="0" distL="0" distR="0" wp14:anchorId="7A89CA5E" wp14:editId="1325726F">
            <wp:extent cx="5824855" cy="2667635"/>
            <wp:effectExtent l="0" t="0" r="444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4855" cy="2667635"/>
                    </a:xfrm>
                    <a:prstGeom prst="rect">
                      <a:avLst/>
                    </a:prstGeom>
                  </pic:spPr>
                </pic:pic>
              </a:graphicData>
            </a:graphic>
          </wp:inline>
        </w:drawing>
      </w:r>
    </w:p>
    <w:p w14:paraId="340E3D76"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rFonts w:eastAsia="MS Mincho"/>
          <w:b/>
          <w:bCs/>
          <w:color w:val="000000"/>
          <w:lang w:val="en-GB" w:eastAsia="ja-JP"/>
        </w:rPr>
        <w:t>FIGURE 6.1 Side link operating scenario</w:t>
      </w:r>
    </w:p>
    <w:p w14:paraId="2158B90D" w14:textId="77777777" w:rsidR="002C597D" w:rsidRPr="00E72BDE" w:rsidRDefault="002C597D" w:rsidP="002C597D">
      <w:pPr>
        <w:pStyle w:val="Caption"/>
        <w:rPr>
          <w:sz w:val="24"/>
          <w:szCs w:val="24"/>
          <w:lang w:val="en-GB"/>
        </w:rPr>
      </w:pPr>
    </w:p>
    <w:p w14:paraId="63BFF1C0" w14:textId="77777777" w:rsidR="002C597D" w:rsidRPr="00E72BDE" w:rsidRDefault="002C597D" w:rsidP="002C597D">
      <w:pPr>
        <w:jc w:val="center"/>
        <w:rPr>
          <w:rFonts w:eastAsiaTheme="minorEastAsia"/>
          <w:b/>
          <w:lang w:val="en-GB" w:eastAsia="ja-JP"/>
        </w:rPr>
      </w:pPr>
      <w:r w:rsidRPr="00E72BDE">
        <w:rPr>
          <w:rFonts w:eastAsiaTheme="minorEastAsia"/>
          <w:b/>
          <w:lang w:val="en-GB" w:eastAsia="ja-JP"/>
        </w:rPr>
        <w:t>TABLE 6.1 The capabilities of 3GPP NR enables to meet the requirements of some of the applications of V2X</w:t>
      </w:r>
    </w:p>
    <w:p w14:paraId="55AA3E45" w14:textId="77777777" w:rsidR="002C597D" w:rsidRPr="00E72BDE" w:rsidRDefault="002C597D" w:rsidP="002C597D">
      <w:pPr>
        <w:rPr>
          <w:rFonts w:eastAsiaTheme="minorEastAsia"/>
          <w:b/>
          <w:lang w:val="en-GB" w:eastAsia="ja-JP"/>
        </w:rPr>
      </w:pPr>
    </w:p>
    <w:tbl>
      <w:tblPr>
        <w:tblStyle w:val="TableGrid"/>
        <w:tblW w:w="9606" w:type="dxa"/>
        <w:tblLook w:val="04A0" w:firstRow="1" w:lastRow="0" w:firstColumn="1" w:lastColumn="0" w:noHBand="0" w:noVBand="1"/>
      </w:tblPr>
      <w:tblGrid>
        <w:gridCol w:w="1257"/>
        <w:gridCol w:w="2062"/>
        <w:gridCol w:w="1626"/>
        <w:gridCol w:w="1925"/>
        <w:gridCol w:w="1267"/>
        <w:gridCol w:w="1469"/>
      </w:tblGrid>
      <w:tr w:rsidR="002C597D" w:rsidRPr="00E72BDE" w14:paraId="76D4389B" w14:textId="77777777" w:rsidTr="004D1AA0">
        <w:trPr>
          <w:trHeight w:val="252"/>
        </w:trPr>
        <w:tc>
          <w:tcPr>
            <w:tcW w:w="1179" w:type="dxa"/>
          </w:tcPr>
          <w:p w14:paraId="7F23D001" w14:textId="77777777" w:rsidR="002C597D" w:rsidRPr="00E72BDE" w:rsidRDefault="002C597D" w:rsidP="004D1AA0">
            <w:pPr>
              <w:rPr>
                <w:rFonts w:eastAsiaTheme="minorEastAsia"/>
                <w:lang w:val="en-GB"/>
              </w:rPr>
            </w:pPr>
            <w:r w:rsidRPr="00E72BDE">
              <w:rPr>
                <w:rFonts w:eastAsiaTheme="minorEastAsia"/>
                <w:lang w:val="en-GB"/>
              </w:rPr>
              <w:t>Use Case</w:t>
            </w:r>
          </w:p>
        </w:tc>
        <w:tc>
          <w:tcPr>
            <w:tcW w:w="2082" w:type="dxa"/>
          </w:tcPr>
          <w:p w14:paraId="1BEFA8A2" w14:textId="77777777" w:rsidR="002C597D" w:rsidRPr="00E72BDE" w:rsidRDefault="002C597D" w:rsidP="004D1AA0">
            <w:pPr>
              <w:rPr>
                <w:rFonts w:eastAsiaTheme="minorEastAsia"/>
                <w:lang w:val="en-GB"/>
              </w:rPr>
            </w:pPr>
            <w:r w:rsidRPr="00E72BDE">
              <w:rPr>
                <w:rFonts w:eastAsiaTheme="minorEastAsia"/>
                <w:lang w:val="en-GB"/>
              </w:rPr>
              <w:t>Description</w:t>
            </w:r>
          </w:p>
        </w:tc>
        <w:tc>
          <w:tcPr>
            <w:tcW w:w="4865" w:type="dxa"/>
            <w:gridSpan w:val="3"/>
          </w:tcPr>
          <w:p w14:paraId="5425027A" w14:textId="77777777" w:rsidR="002C597D" w:rsidRPr="00E72BDE" w:rsidRDefault="002C597D" w:rsidP="004D1AA0">
            <w:pPr>
              <w:rPr>
                <w:rFonts w:eastAsiaTheme="minorEastAsia"/>
                <w:lang w:val="en-GB"/>
              </w:rPr>
            </w:pPr>
            <w:r w:rsidRPr="00E72BDE">
              <w:rPr>
                <w:rFonts w:eastAsiaTheme="minorEastAsia"/>
                <w:lang w:val="en-GB"/>
              </w:rPr>
              <w:t>QoS</w:t>
            </w:r>
          </w:p>
        </w:tc>
        <w:tc>
          <w:tcPr>
            <w:tcW w:w="1480" w:type="dxa"/>
          </w:tcPr>
          <w:p w14:paraId="2ADCE1EE" w14:textId="77777777" w:rsidR="002C597D" w:rsidRPr="00E72BDE" w:rsidRDefault="002C597D" w:rsidP="004D1AA0">
            <w:pPr>
              <w:rPr>
                <w:rFonts w:eastAsiaTheme="minorEastAsia"/>
                <w:lang w:val="en-GB"/>
              </w:rPr>
            </w:pPr>
            <w:r w:rsidRPr="00E72BDE">
              <w:rPr>
                <w:rFonts w:eastAsiaTheme="minorEastAsia"/>
                <w:lang w:val="en-GB"/>
              </w:rPr>
              <w:t>Enabler</w:t>
            </w:r>
          </w:p>
        </w:tc>
      </w:tr>
      <w:tr w:rsidR="002C597D" w:rsidRPr="00E72BDE" w14:paraId="10FBC038" w14:textId="77777777" w:rsidTr="004D1AA0">
        <w:trPr>
          <w:trHeight w:val="455"/>
        </w:trPr>
        <w:tc>
          <w:tcPr>
            <w:tcW w:w="1179" w:type="dxa"/>
          </w:tcPr>
          <w:p w14:paraId="468C87A5" w14:textId="77777777" w:rsidR="002C597D" w:rsidRPr="00E72BDE" w:rsidRDefault="002C597D" w:rsidP="004D1AA0">
            <w:pPr>
              <w:rPr>
                <w:rFonts w:eastAsiaTheme="minorEastAsia"/>
                <w:lang w:val="en-GB"/>
              </w:rPr>
            </w:pPr>
          </w:p>
        </w:tc>
        <w:tc>
          <w:tcPr>
            <w:tcW w:w="2082" w:type="dxa"/>
          </w:tcPr>
          <w:p w14:paraId="183CB02B" w14:textId="77777777" w:rsidR="002C597D" w:rsidRPr="00E72BDE" w:rsidRDefault="002C597D" w:rsidP="004D1AA0">
            <w:pPr>
              <w:rPr>
                <w:rFonts w:eastAsiaTheme="minorEastAsia"/>
                <w:lang w:val="en-GB"/>
              </w:rPr>
            </w:pPr>
          </w:p>
        </w:tc>
        <w:tc>
          <w:tcPr>
            <w:tcW w:w="1648" w:type="dxa"/>
          </w:tcPr>
          <w:p w14:paraId="6B3F1252" w14:textId="77777777" w:rsidR="002C597D" w:rsidRPr="00E72BDE" w:rsidRDefault="002C597D" w:rsidP="004D1AA0">
            <w:pPr>
              <w:rPr>
                <w:rFonts w:eastAsiaTheme="minorEastAsia"/>
                <w:lang w:val="en-GB"/>
              </w:rPr>
            </w:pPr>
            <w:r w:rsidRPr="00E72BDE">
              <w:rPr>
                <w:rFonts w:eastAsiaTheme="minorEastAsia"/>
                <w:lang w:val="en-GB"/>
              </w:rPr>
              <w:t>Latency</w:t>
            </w:r>
          </w:p>
        </w:tc>
        <w:tc>
          <w:tcPr>
            <w:tcW w:w="1949" w:type="dxa"/>
          </w:tcPr>
          <w:p w14:paraId="6DAED689" w14:textId="77777777" w:rsidR="002C597D" w:rsidRPr="00E72BDE" w:rsidRDefault="002C597D" w:rsidP="004D1AA0">
            <w:pPr>
              <w:rPr>
                <w:rFonts w:eastAsiaTheme="minorEastAsia"/>
                <w:lang w:val="en-GB"/>
              </w:rPr>
            </w:pPr>
            <w:r w:rsidRPr="00E72BDE">
              <w:rPr>
                <w:rFonts w:eastAsiaTheme="minorEastAsia"/>
                <w:lang w:val="en-GB"/>
              </w:rPr>
              <w:t>Reliability (%)</w:t>
            </w:r>
          </w:p>
        </w:tc>
        <w:tc>
          <w:tcPr>
            <w:tcW w:w="1268" w:type="dxa"/>
          </w:tcPr>
          <w:p w14:paraId="6769449F" w14:textId="77777777" w:rsidR="002C597D" w:rsidRPr="00E72BDE" w:rsidRDefault="002C597D" w:rsidP="004D1AA0">
            <w:pPr>
              <w:rPr>
                <w:rFonts w:eastAsiaTheme="minorEastAsia"/>
                <w:lang w:val="en-GB"/>
              </w:rPr>
            </w:pPr>
            <w:r w:rsidRPr="00E72BDE">
              <w:rPr>
                <w:rFonts w:eastAsiaTheme="minorEastAsia"/>
                <w:lang w:val="en-GB"/>
              </w:rPr>
              <w:t>Data Rate</w:t>
            </w:r>
          </w:p>
        </w:tc>
        <w:tc>
          <w:tcPr>
            <w:tcW w:w="1480" w:type="dxa"/>
          </w:tcPr>
          <w:p w14:paraId="4C7A7588" w14:textId="77777777" w:rsidR="002C597D" w:rsidRPr="00E72BDE" w:rsidRDefault="002C597D" w:rsidP="004D1AA0">
            <w:pPr>
              <w:rPr>
                <w:rFonts w:eastAsiaTheme="minorEastAsia"/>
                <w:lang w:val="en-GB"/>
              </w:rPr>
            </w:pPr>
          </w:p>
        </w:tc>
      </w:tr>
      <w:tr w:rsidR="002C597D" w:rsidRPr="00E72BDE" w14:paraId="2E6CDC80" w14:textId="77777777" w:rsidTr="004D1AA0">
        <w:trPr>
          <w:trHeight w:val="317"/>
        </w:trPr>
        <w:tc>
          <w:tcPr>
            <w:tcW w:w="1179" w:type="dxa"/>
          </w:tcPr>
          <w:p w14:paraId="2509E7B5" w14:textId="77777777" w:rsidR="002C597D" w:rsidRPr="00E72BDE" w:rsidRDefault="002C597D" w:rsidP="004D1AA0">
            <w:pPr>
              <w:rPr>
                <w:rFonts w:eastAsiaTheme="minorEastAsia"/>
                <w:lang w:val="en-GB"/>
              </w:rPr>
            </w:pPr>
            <w:r w:rsidRPr="00E72BDE">
              <w:rPr>
                <w:rFonts w:eastAsiaTheme="minorEastAsia"/>
                <w:lang w:val="en-GB"/>
              </w:rPr>
              <w:t>Platooning</w:t>
            </w:r>
          </w:p>
        </w:tc>
        <w:tc>
          <w:tcPr>
            <w:tcW w:w="2082" w:type="dxa"/>
          </w:tcPr>
          <w:p w14:paraId="080AC98C" w14:textId="77777777" w:rsidR="002C597D" w:rsidRPr="00E72BDE" w:rsidRDefault="002C597D" w:rsidP="004D1AA0">
            <w:pPr>
              <w:rPr>
                <w:rFonts w:eastAsiaTheme="minorEastAsia"/>
                <w:lang w:val="en-GB"/>
              </w:rPr>
            </w:pPr>
            <w:r w:rsidRPr="00E72BDE">
              <w:rPr>
                <w:rFonts w:eastAsiaTheme="minorEastAsia"/>
                <w:lang w:val="en-GB"/>
              </w:rPr>
              <w:t>Information Sharing within or outside Platoon (V2X)</w:t>
            </w:r>
          </w:p>
        </w:tc>
        <w:tc>
          <w:tcPr>
            <w:tcW w:w="1648" w:type="dxa"/>
          </w:tcPr>
          <w:p w14:paraId="20E2BB94" w14:textId="77777777" w:rsidR="002C597D" w:rsidRPr="00E72BDE" w:rsidRDefault="002C597D" w:rsidP="004D1AA0">
            <w:pPr>
              <w:rPr>
                <w:rFonts w:eastAsiaTheme="minorEastAsia"/>
                <w:lang w:val="en-GB"/>
              </w:rPr>
            </w:pPr>
            <w:r w:rsidRPr="00E72BDE">
              <w:rPr>
                <w:rFonts w:eastAsiaTheme="minorEastAsia"/>
                <w:lang w:val="en-GB"/>
              </w:rPr>
              <w:t>10ms</w:t>
            </w:r>
          </w:p>
        </w:tc>
        <w:tc>
          <w:tcPr>
            <w:tcW w:w="1949" w:type="dxa"/>
          </w:tcPr>
          <w:p w14:paraId="3542EDB0" w14:textId="77777777" w:rsidR="002C597D" w:rsidRPr="00E72BDE" w:rsidRDefault="002C597D" w:rsidP="004D1AA0">
            <w:pPr>
              <w:rPr>
                <w:rFonts w:eastAsiaTheme="minorEastAsia"/>
                <w:lang w:val="en-GB"/>
              </w:rPr>
            </w:pPr>
            <w:r w:rsidRPr="00E72BDE">
              <w:rPr>
                <w:rFonts w:eastAsiaTheme="minorEastAsia"/>
                <w:lang w:val="en-GB"/>
              </w:rPr>
              <w:t>99.99</w:t>
            </w:r>
          </w:p>
        </w:tc>
        <w:tc>
          <w:tcPr>
            <w:tcW w:w="1268" w:type="dxa"/>
          </w:tcPr>
          <w:p w14:paraId="63A5595E" w14:textId="77777777" w:rsidR="002C597D" w:rsidRPr="00E72BDE" w:rsidRDefault="002C597D" w:rsidP="004D1AA0">
            <w:pPr>
              <w:rPr>
                <w:rFonts w:eastAsiaTheme="minorEastAsia"/>
                <w:lang w:val="en-GB"/>
              </w:rPr>
            </w:pPr>
            <w:r w:rsidRPr="00E72BDE">
              <w:rPr>
                <w:rFonts w:eastAsiaTheme="minorEastAsia"/>
                <w:lang w:val="en-GB"/>
              </w:rPr>
              <w:t>65Mbps</w:t>
            </w:r>
          </w:p>
        </w:tc>
        <w:tc>
          <w:tcPr>
            <w:tcW w:w="1480" w:type="dxa"/>
          </w:tcPr>
          <w:p w14:paraId="59626295" w14:textId="77777777" w:rsidR="002C597D" w:rsidRPr="00E72BDE" w:rsidRDefault="002C597D" w:rsidP="004D1AA0">
            <w:pPr>
              <w:rPr>
                <w:rFonts w:eastAsiaTheme="minorEastAsia"/>
                <w:lang w:val="en-GB"/>
              </w:rPr>
            </w:pPr>
            <w:r w:rsidRPr="00E72BDE">
              <w:rPr>
                <w:rFonts w:eastAsiaTheme="minorEastAsia"/>
                <w:lang w:val="en-GB"/>
              </w:rPr>
              <w:t xml:space="preserve">NR </w:t>
            </w:r>
            <w:proofErr w:type="gramStart"/>
            <w:r w:rsidRPr="00E72BDE">
              <w:rPr>
                <w:rFonts w:eastAsiaTheme="minorEastAsia"/>
                <w:lang w:val="en-GB"/>
              </w:rPr>
              <w:t>broadcast ,</w:t>
            </w:r>
            <w:proofErr w:type="gramEnd"/>
            <w:r w:rsidRPr="00E72BDE">
              <w:rPr>
                <w:rFonts w:eastAsiaTheme="minorEastAsia"/>
                <w:lang w:val="en-GB"/>
              </w:rPr>
              <w:t xml:space="preserve"> groupcast or unicast</w:t>
            </w:r>
          </w:p>
        </w:tc>
      </w:tr>
      <w:tr w:rsidR="002C597D" w:rsidRPr="00E72BDE" w14:paraId="455931AE" w14:textId="77777777" w:rsidTr="004D1AA0">
        <w:trPr>
          <w:trHeight w:val="317"/>
        </w:trPr>
        <w:tc>
          <w:tcPr>
            <w:tcW w:w="1179" w:type="dxa"/>
          </w:tcPr>
          <w:p w14:paraId="2153E355" w14:textId="77777777" w:rsidR="002C597D" w:rsidRPr="00E72BDE" w:rsidRDefault="002C597D" w:rsidP="004D1AA0">
            <w:pPr>
              <w:rPr>
                <w:rFonts w:eastAsiaTheme="minorEastAsia"/>
                <w:lang w:val="en-GB"/>
              </w:rPr>
            </w:pPr>
            <w:r w:rsidRPr="00E72BDE">
              <w:rPr>
                <w:rFonts w:eastAsiaTheme="minorEastAsia"/>
                <w:lang w:val="en-GB"/>
              </w:rPr>
              <w:t>Extended sensor</w:t>
            </w:r>
          </w:p>
        </w:tc>
        <w:tc>
          <w:tcPr>
            <w:tcW w:w="2082" w:type="dxa"/>
          </w:tcPr>
          <w:p w14:paraId="2A44FCA3" w14:textId="77777777" w:rsidR="002C597D" w:rsidRPr="00E72BDE" w:rsidRDefault="002C597D" w:rsidP="004D1AA0">
            <w:pPr>
              <w:rPr>
                <w:rFonts w:eastAsiaTheme="minorEastAsia"/>
                <w:lang w:val="en-GB"/>
              </w:rPr>
            </w:pPr>
            <w:r w:rsidRPr="00E72BDE">
              <w:rPr>
                <w:rFonts w:eastAsiaTheme="minorEastAsia"/>
                <w:lang w:val="en-GB"/>
              </w:rPr>
              <w:t xml:space="preserve">Collective perception of environments </w:t>
            </w:r>
          </w:p>
        </w:tc>
        <w:tc>
          <w:tcPr>
            <w:tcW w:w="1648" w:type="dxa"/>
          </w:tcPr>
          <w:p w14:paraId="339CBB01" w14:textId="77777777" w:rsidR="002C597D" w:rsidRPr="00E72BDE" w:rsidRDefault="002C597D" w:rsidP="004D1AA0">
            <w:pPr>
              <w:rPr>
                <w:rFonts w:eastAsiaTheme="minorEastAsia"/>
                <w:lang w:val="en-GB"/>
              </w:rPr>
            </w:pPr>
            <w:r w:rsidRPr="00E72BDE">
              <w:rPr>
                <w:rFonts w:eastAsiaTheme="minorEastAsia"/>
                <w:lang w:val="en-GB"/>
              </w:rPr>
              <w:t>3ms</w:t>
            </w:r>
          </w:p>
        </w:tc>
        <w:tc>
          <w:tcPr>
            <w:tcW w:w="1949" w:type="dxa"/>
          </w:tcPr>
          <w:p w14:paraId="1EBEDB46" w14:textId="77777777" w:rsidR="002C597D" w:rsidRPr="00E72BDE" w:rsidRDefault="002C597D" w:rsidP="004D1AA0">
            <w:pPr>
              <w:rPr>
                <w:rFonts w:eastAsiaTheme="minorEastAsia"/>
                <w:lang w:val="en-GB"/>
              </w:rPr>
            </w:pPr>
            <w:r w:rsidRPr="00E72BDE">
              <w:rPr>
                <w:rFonts w:eastAsiaTheme="minorEastAsia"/>
                <w:lang w:val="en-GB"/>
              </w:rPr>
              <w:t>99.999</w:t>
            </w:r>
          </w:p>
        </w:tc>
        <w:tc>
          <w:tcPr>
            <w:tcW w:w="1268" w:type="dxa"/>
          </w:tcPr>
          <w:p w14:paraId="1AEED1F7" w14:textId="77777777" w:rsidR="002C597D" w:rsidRPr="00E72BDE" w:rsidRDefault="002C597D" w:rsidP="004D1AA0">
            <w:pPr>
              <w:rPr>
                <w:rFonts w:eastAsiaTheme="minorEastAsia"/>
                <w:lang w:val="en-GB"/>
              </w:rPr>
            </w:pPr>
            <w:r w:rsidRPr="00E72BDE">
              <w:rPr>
                <w:rFonts w:eastAsiaTheme="minorEastAsia"/>
                <w:lang w:val="en-GB"/>
              </w:rPr>
              <w:t>1000Mbps</w:t>
            </w:r>
          </w:p>
        </w:tc>
        <w:tc>
          <w:tcPr>
            <w:tcW w:w="1480" w:type="dxa"/>
          </w:tcPr>
          <w:p w14:paraId="56F9B9C9" w14:textId="77777777" w:rsidR="002C597D" w:rsidRPr="00E72BDE" w:rsidRDefault="002C597D" w:rsidP="004D1AA0">
            <w:pPr>
              <w:rPr>
                <w:rFonts w:eastAsiaTheme="minorEastAsia"/>
                <w:lang w:val="en-GB"/>
              </w:rPr>
            </w:pPr>
            <w:r w:rsidRPr="00E72BDE">
              <w:rPr>
                <w:rFonts w:eastAsiaTheme="minorEastAsia"/>
                <w:lang w:val="en-GB"/>
              </w:rPr>
              <w:t>NR broadcast</w:t>
            </w:r>
          </w:p>
        </w:tc>
      </w:tr>
    </w:tbl>
    <w:p w14:paraId="09D3BC00" w14:textId="77777777" w:rsidR="002C597D" w:rsidRPr="00E72BDE" w:rsidRDefault="002C597D" w:rsidP="002C597D">
      <w:pPr>
        <w:rPr>
          <w:rFonts w:eastAsiaTheme="minorEastAsia"/>
          <w:lang w:val="en-GB" w:eastAsia="ja-JP"/>
        </w:rPr>
      </w:pPr>
      <w:r w:rsidRPr="00E72BDE">
        <w:rPr>
          <w:rFonts w:eastAsiaTheme="minorEastAsia"/>
          <w:lang w:val="en-GB" w:eastAsia="ja-JP"/>
        </w:rPr>
        <w:lastRenderedPageBreak/>
        <w:t xml:space="preserve">  </w:t>
      </w:r>
    </w:p>
    <w:p w14:paraId="1AE01309" w14:textId="77777777" w:rsidR="002C597D" w:rsidRPr="00E72BDE" w:rsidRDefault="002C597D" w:rsidP="002C597D">
      <w:pPr>
        <w:ind w:firstLineChars="100" w:firstLine="240"/>
        <w:jc w:val="both"/>
        <w:rPr>
          <w:rFonts w:eastAsiaTheme="minorEastAsia"/>
          <w:lang w:val="en-GB" w:eastAsia="ja-JP"/>
        </w:rPr>
      </w:pPr>
      <w:r w:rsidRPr="00E72BDE">
        <w:rPr>
          <w:rFonts w:eastAsiaTheme="minorEastAsia"/>
          <w:lang w:val="en-GB" w:eastAsia="ja-JP"/>
        </w:rPr>
        <w:t>ITS applications utilizing the high data rate and low latency characteristics of 60 GHz millimetre wave have been studied by the IEEE802.11bd</w:t>
      </w:r>
      <w:r w:rsidRPr="00E72BDE">
        <w:rPr>
          <w:rFonts w:ascii="MS Mincho" w:eastAsia="MS Mincho" w:hAnsi="MS Mincho"/>
          <w:lang w:val="en-GB" w:eastAsia="ja-JP"/>
        </w:rPr>
        <w:t xml:space="preserve"> </w:t>
      </w:r>
      <w:r w:rsidRPr="00E72BDE">
        <w:rPr>
          <w:rFonts w:eastAsiaTheme="minorEastAsia"/>
          <w:lang w:val="en-GB" w:eastAsia="ja-JP"/>
        </w:rPr>
        <w:t>Task Group, and experiments have been conducted in Japan.</w:t>
      </w:r>
      <w:r w:rsidRPr="00E72BDE">
        <w:rPr>
          <w:rFonts w:eastAsiaTheme="minorEastAsia"/>
          <w:vertAlign w:val="superscript"/>
          <w:lang w:val="en-GB" w:eastAsia="ja-JP"/>
        </w:rPr>
        <w:t xml:space="preserve">[6], </w:t>
      </w:r>
      <w:r w:rsidRPr="00E72BDE">
        <w:rPr>
          <w:rFonts w:eastAsia="MS Mincho"/>
          <w:vertAlign w:val="superscript"/>
          <w:lang w:val="en-GB" w:eastAsia="ja-JP"/>
        </w:rPr>
        <w:t>[7]</w:t>
      </w:r>
      <w:r w:rsidRPr="00E72BDE">
        <w:rPr>
          <w:rFonts w:eastAsia="MS Mincho"/>
          <w:lang w:val="en-GB" w:eastAsia="ja-JP"/>
        </w:rPr>
        <w:t xml:space="preserve"> </w:t>
      </w:r>
      <w:r w:rsidRPr="00E72BDE">
        <w:rPr>
          <w:rFonts w:eastAsiaTheme="minorEastAsia"/>
          <w:lang w:val="en-GB" w:eastAsia="ja-JP"/>
        </w:rPr>
        <w:t>The 60 GHz band is expected to be used for infrastructure applications and V2V see-through due to its higher bandwidth.</w:t>
      </w:r>
    </w:p>
    <w:p w14:paraId="2146FB3E" w14:textId="77777777" w:rsidR="002C597D" w:rsidRPr="00E72BDE" w:rsidRDefault="002C597D" w:rsidP="002C597D">
      <w:pPr>
        <w:tabs>
          <w:tab w:val="left" w:pos="1134"/>
          <w:tab w:val="left" w:pos="1871"/>
          <w:tab w:val="left" w:pos="2268"/>
        </w:tabs>
        <w:overflowPunct w:val="0"/>
        <w:autoSpaceDE w:val="0"/>
        <w:autoSpaceDN w:val="0"/>
        <w:adjustRightInd w:val="0"/>
        <w:spacing w:before="120"/>
        <w:textAlignment w:val="baseline"/>
        <w:rPr>
          <w:rFonts w:eastAsia="MS Mincho"/>
          <w:b/>
          <w:bCs/>
          <w:color w:val="000000"/>
          <w:lang w:val="en-GB" w:eastAsia="ja-JP"/>
        </w:rPr>
      </w:pPr>
    </w:p>
    <w:p w14:paraId="3B212B20"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ind w:firstLine="120"/>
        <w:textAlignment w:val="baseline"/>
        <w:rPr>
          <w:rFonts w:eastAsia="MS Mincho"/>
          <w:b/>
          <w:bCs/>
          <w:color w:val="000000"/>
          <w:lang w:val="en-GB" w:eastAsia="ja-JP"/>
        </w:rPr>
      </w:pPr>
      <w:r w:rsidRPr="00E72BDE">
        <w:rPr>
          <w:rFonts w:eastAsia="MS Mincho"/>
          <w:b/>
          <w:bCs/>
          <w:color w:val="000000"/>
          <w:lang w:val="en-GB" w:eastAsia="ja-JP"/>
        </w:rPr>
        <w:t>Technical characteristics</w:t>
      </w:r>
    </w:p>
    <w:p w14:paraId="02804DE9"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100" w:firstLine="240"/>
        <w:jc w:val="both"/>
        <w:textAlignment w:val="baseline"/>
        <w:rPr>
          <w:rFonts w:eastAsia="MS Mincho"/>
          <w:bCs/>
          <w:color w:val="000000"/>
          <w:lang w:val="en-GB" w:eastAsia="ja-JP"/>
        </w:rPr>
      </w:pPr>
      <w:r w:rsidRPr="00E72BDE">
        <w:rPr>
          <w:rFonts w:eastAsia="MS Mincho"/>
          <w:bCs/>
          <w:color w:val="000000"/>
          <w:lang w:val="en-GB" w:eastAsia="ja-JP"/>
        </w:rPr>
        <w:t>Millimetre wave is suitable for utilizing antenna arrays with large number of antenna elements, as each antenna element are small thanks to its short wavelength, for example, 5 mm at 60 GHz. Beam-steerable beamforming with large number of antenna elements enables several hundred metres communication range. TABLE 6.2 shows an example of link budget calculation for V2I communication. The calculation assumes 32-element antenna array for an example, but it is implementation dependent. The result shows the data rate over 1 Gbps is achieved at 100 m distance.</w:t>
      </w:r>
    </w:p>
    <w:p w14:paraId="0F398A9C"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100" w:firstLine="241"/>
        <w:jc w:val="center"/>
        <w:textAlignment w:val="baseline"/>
        <w:rPr>
          <w:rFonts w:eastAsia="MS Mincho"/>
          <w:b/>
          <w:bCs/>
          <w:color w:val="000000"/>
          <w:lang w:val="en-GB" w:eastAsia="ja-JP"/>
        </w:rPr>
      </w:pPr>
      <w:r w:rsidRPr="00E72BDE">
        <w:rPr>
          <w:rFonts w:eastAsia="MS Mincho"/>
          <w:b/>
          <w:bCs/>
          <w:color w:val="000000"/>
          <w:lang w:val="en-GB" w:eastAsia="ja-JP"/>
        </w:rPr>
        <w:t xml:space="preserve">TABLE </w:t>
      </w:r>
      <w:proofErr w:type="gramStart"/>
      <w:r w:rsidRPr="00E72BDE">
        <w:rPr>
          <w:rFonts w:eastAsia="MS Mincho"/>
          <w:b/>
          <w:bCs/>
          <w:color w:val="000000"/>
          <w:lang w:val="en-GB" w:eastAsia="ja-JP"/>
        </w:rPr>
        <w:t>6.2  Link</w:t>
      </w:r>
      <w:proofErr w:type="gramEnd"/>
      <w:r w:rsidRPr="00E72BDE">
        <w:rPr>
          <w:rFonts w:eastAsia="MS Mincho"/>
          <w:b/>
          <w:bCs/>
          <w:color w:val="000000"/>
          <w:lang w:val="en-GB" w:eastAsia="ja-JP"/>
        </w:rPr>
        <w:t xml:space="preserve"> Budget calculation</w:t>
      </w:r>
    </w:p>
    <w:p w14:paraId="2D874789"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100" w:firstLine="241"/>
        <w:jc w:val="center"/>
        <w:textAlignment w:val="baseline"/>
        <w:rPr>
          <w:rFonts w:eastAsia="MS Mincho"/>
          <w:b/>
          <w:bCs/>
          <w:color w:val="000000"/>
          <w:lang w:val="en-GB"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2"/>
        <w:gridCol w:w="994"/>
        <w:gridCol w:w="1134"/>
        <w:gridCol w:w="991"/>
        <w:gridCol w:w="991"/>
        <w:gridCol w:w="1134"/>
        <w:gridCol w:w="1087"/>
      </w:tblGrid>
      <w:tr w:rsidR="002C597D" w:rsidRPr="00E72BDE" w14:paraId="5FE090B6" w14:textId="77777777" w:rsidTr="004D1AA0">
        <w:trPr>
          <w:trHeight w:val="680"/>
          <w:jc w:val="center"/>
        </w:trPr>
        <w:tc>
          <w:tcPr>
            <w:tcW w:w="1545" w:type="pct"/>
            <w:tcBorders>
              <w:top w:val="single" w:sz="4" w:space="0" w:color="auto"/>
              <w:left w:val="single" w:sz="4" w:space="0" w:color="auto"/>
              <w:bottom w:val="single" w:sz="4" w:space="0" w:color="auto"/>
              <w:right w:val="single" w:sz="4" w:space="0" w:color="auto"/>
            </w:tcBorders>
            <w:vAlign w:val="center"/>
          </w:tcPr>
          <w:p w14:paraId="39D01A7A" w14:textId="77777777" w:rsidR="002C597D" w:rsidRPr="00E72BDE" w:rsidRDefault="002C597D" w:rsidP="004D1AA0">
            <w:pPr>
              <w:rPr>
                <w:rFonts w:eastAsia="Malgun Gothic"/>
                <w:b/>
                <w:bCs/>
                <w:snapToGrid w:val="0"/>
                <w:lang w:val="en-GB" w:eastAsia="ja-JP"/>
              </w:rPr>
            </w:pPr>
          </w:p>
        </w:tc>
        <w:tc>
          <w:tcPr>
            <w:tcW w:w="542" w:type="pct"/>
            <w:tcBorders>
              <w:top w:val="single" w:sz="4" w:space="0" w:color="auto"/>
              <w:left w:val="single" w:sz="4" w:space="0" w:color="auto"/>
              <w:bottom w:val="single" w:sz="4" w:space="0" w:color="auto"/>
              <w:right w:val="single" w:sz="4" w:space="0" w:color="auto"/>
            </w:tcBorders>
            <w:vAlign w:val="center"/>
          </w:tcPr>
          <w:p w14:paraId="7F948DA3" w14:textId="77777777" w:rsidR="002C597D" w:rsidRPr="00E72BDE" w:rsidRDefault="002C597D" w:rsidP="004D1AA0">
            <w:pPr>
              <w:jc w:val="center"/>
              <w:rPr>
                <w:rFonts w:eastAsiaTheme="minorEastAsia"/>
                <w:b/>
                <w:bCs/>
                <w:snapToGrid w:val="0"/>
                <w:sz w:val="22"/>
                <w:lang w:val="en-GB" w:eastAsia="ja-JP"/>
              </w:rPr>
            </w:pPr>
            <w:r w:rsidRPr="00E72BDE">
              <w:rPr>
                <w:rFonts w:eastAsiaTheme="minorEastAsia"/>
                <w:b/>
                <w:bCs/>
                <w:snapToGrid w:val="0"/>
                <w:sz w:val="22"/>
                <w:lang w:val="en-GB" w:eastAsia="ja-JP"/>
              </w:rPr>
              <w:t xml:space="preserve">BPSK, </w:t>
            </w:r>
          </w:p>
          <w:p w14:paraId="010AA5D2" w14:textId="77777777" w:rsidR="002C597D" w:rsidRPr="00E72BDE" w:rsidRDefault="002C597D" w:rsidP="004D1AA0">
            <w:pPr>
              <w:jc w:val="center"/>
              <w:rPr>
                <w:rFonts w:eastAsia="Malgun Gothic"/>
                <w:b/>
                <w:bCs/>
                <w:snapToGrid w:val="0"/>
                <w:sz w:val="22"/>
                <w:lang w:val="en-GB"/>
              </w:rPr>
            </w:pPr>
            <w:r w:rsidRPr="00E72BDE">
              <w:rPr>
                <w:rFonts w:eastAsiaTheme="minorEastAsia"/>
                <w:b/>
                <w:bCs/>
                <w:snapToGrid w:val="0"/>
                <w:sz w:val="21"/>
                <w:lang w:val="en-GB" w:eastAsia="ja-JP"/>
              </w:rPr>
              <w:t>R=1/2</w:t>
            </w:r>
          </w:p>
        </w:tc>
        <w:tc>
          <w:tcPr>
            <w:tcW w:w="619" w:type="pct"/>
            <w:tcBorders>
              <w:top w:val="single" w:sz="4" w:space="0" w:color="auto"/>
              <w:left w:val="single" w:sz="4" w:space="0" w:color="auto"/>
              <w:bottom w:val="single" w:sz="4" w:space="0" w:color="auto"/>
              <w:right w:val="single" w:sz="4" w:space="0" w:color="auto"/>
            </w:tcBorders>
            <w:vAlign w:val="center"/>
          </w:tcPr>
          <w:p w14:paraId="108829A8" w14:textId="77777777" w:rsidR="002C597D" w:rsidRPr="00E72BDE" w:rsidRDefault="002C597D" w:rsidP="004D1AA0">
            <w:pPr>
              <w:jc w:val="center"/>
              <w:rPr>
                <w:rFonts w:eastAsiaTheme="minorEastAsia"/>
                <w:b/>
                <w:bCs/>
                <w:snapToGrid w:val="0"/>
                <w:sz w:val="22"/>
                <w:lang w:val="en-GB" w:eastAsia="ja-JP"/>
              </w:rPr>
            </w:pPr>
            <w:r w:rsidRPr="00E72BDE">
              <w:rPr>
                <w:rFonts w:eastAsiaTheme="minorEastAsia"/>
                <w:b/>
                <w:bCs/>
                <w:snapToGrid w:val="0"/>
                <w:sz w:val="22"/>
                <w:lang w:val="en-GB" w:eastAsia="ja-JP"/>
              </w:rPr>
              <w:t>BPSK,</w:t>
            </w:r>
          </w:p>
          <w:p w14:paraId="52B2C6A2" w14:textId="77777777" w:rsidR="002C597D" w:rsidRPr="00E72BDE" w:rsidRDefault="002C597D" w:rsidP="004D1AA0">
            <w:pPr>
              <w:jc w:val="center"/>
              <w:rPr>
                <w:rFonts w:eastAsiaTheme="minorEastAsia"/>
                <w:b/>
                <w:bCs/>
                <w:snapToGrid w:val="0"/>
                <w:sz w:val="22"/>
                <w:lang w:val="en-GB" w:eastAsia="ja-JP"/>
              </w:rPr>
            </w:pPr>
            <w:r w:rsidRPr="00E72BDE">
              <w:rPr>
                <w:rFonts w:eastAsiaTheme="minorEastAsia"/>
                <w:b/>
                <w:bCs/>
                <w:snapToGrid w:val="0"/>
                <w:sz w:val="21"/>
                <w:lang w:val="en-GB" w:eastAsia="ja-JP"/>
              </w:rPr>
              <w:t>R=13/16</w:t>
            </w:r>
          </w:p>
        </w:tc>
        <w:tc>
          <w:tcPr>
            <w:tcW w:w="541" w:type="pct"/>
            <w:tcBorders>
              <w:top w:val="single" w:sz="4" w:space="0" w:color="auto"/>
              <w:left w:val="single" w:sz="4" w:space="0" w:color="auto"/>
              <w:bottom w:val="single" w:sz="4" w:space="0" w:color="auto"/>
              <w:right w:val="single" w:sz="4" w:space="0" w:color="auto"/>
            </w:tcBorders>
            <w:vAlign w:val="center"/>
          </w:tcPr>
          <w:p w14:paraId="2F7B0776" w14:textId="77777777" w:rsidR="002C597D" w:rsidRPr="00E72BDE" w:rsidRDefault="002C597D" w:rsidP="004D1AA0">
            <w:pPr>
              <w:jc w:val="center"/>
              <w:rPr>
                <w:rFonts w:eastAsiaTheme="minorEastAsia"/>
                <w:b/>
                <w:bCs/>
                <w:snapToGrid w:val="0"/>
                <w:sz w:val="22"/>
                <w:lang w:val="en-GB" w:eastAsia="ja-JP"/>
              </w:rPr>
            </w:pPr>
            <w:r w:rsidRPr="00E72BDE">
              <w:rPr>
                <w:rFonts w:eastAsiaTheme="minorEastAsia"/>
                <w:b/>
                <w:bCs/>
                <w:snapToGrid w:val="0"/>
                <w:sz w:val="22"/>
                <w:lang w:val="en-GB" w:eastAsia="ja-JP"/>
              </w:rPr>
              <w:t>QPSK,</w:t>
            </w:r>
          </w:p>
          <w:p w14:paraId="1DDA0A7E" w14:textId="77777777" w:rsidR="002C597D" w:rsidRPr="00E72BDE" w:rsidRDefault="002C597D" w:rsidP="004D1AA0">
            <w:pPr>
              <w:jc w:val="center"/>
              <w:rPr>
                <w:rFonts w:eastAsiaTheme="minorEastAsia"/>
                <w:b/>
                <w:bCs/>
                <w:snapToGrid w:val="0"/>
                <w:sz w:val="22"/>
                <w:lang w:val="en-GB" w:eastAsia="ja-JP"/>
              </w:rPr>
            </w:pPr>
            <w:r w:rsidRPr="00E72BDE">
              <w:rPr>
                <w:rFonts w:eastAsiaTheme="minorEastAsia"/>
                <w:b/>
                <w:bCs/>
                <w:snapToGrid w:val="0"/>
                <w:sz w:val="22"/>
                <w:lang w:val="en-GB" w:eastAsia="ja-JP"/>
              </w:rPr>
              <w:t xml:space="preserve"> </w:t>
            </w:r>
            <w:r w:rsidRPr="00E72BDE">
              <w:rPr>
                <w:rFonts w:eastAsiaTheme="minorEastAsia"/>
                <w:b/>
                <w:bCs/>
                <w:snapToGrid w:val="0"/>
                <w:sz w:val="21"/>
                <w:lang w:val="en-GB" w:eastAsia="ja-JP"/>
              </w:rPr>
              <w:t>R=1/2</w:t>
            </w:r>
          </w:p>
        </w:tc>
        <w:tc>
          <w:tcPr>
            <w:tcW w:w="541" w:type="pct"/>
            <w:tcBorders>
              <w:top w:val="single" w:sz="4" w:space="0" w:color="auto"/>
              <w:left w:val="single" w:sz="4" w:space="0" w:color="auto"/>
              <w:bottom w:val="single" w:sz="4" w:space="0" w:color="auto"/>
              <w:right w:val="single" w:sz="4" w:space="0" w:color="auto"/>
            </w:tcBorders>
            <w:vAlign w:val="center"/>
          </w:tcPr>
          <w:p w14:paraId="50D14855" w14:textId="77777777" w:rsidR="002C597D" w:rsidRPr="00E72BDE" w:rsidRDefault="002C597D" w:rsidP="004D1AA0">
            <w:pPr>
              <w:rPr>
                <w:rFonts w:eastAsiaTheme="minorEastAsia"/>
                <w:b/>
                <w:bCs/>
                <w:snapToGrid w:val="0"/>
                <w:sz w:val="21"/>
                <w:lang w:val="en-GB" w:eastAsia="ja-JP"/>
              </w:rPr>
            </w:pPr>
            <w:r w:rsidRPr="00E72BDE">
              <w:rPr>
                <w:rFonts w:eastAsiaTheme="minorEastAsia"/>
                <w:b/>
                <w:bCs/>
                <w:snapToGrid w:val="0"/>
                <w:sz w:val="22"/>
                <w:lang w:val="en-GB" w:eastAsia="ja-JP"/>
              </w:rPr>
              <w:t>QPSK,</w:t>
            </w:r>
          </w:p>
          <w:p w14:paraId="07D0C670" w14:textId="77777777" w:rsidR="002C597D" w:rsidRPr="00E72BDE" w:rsidRDefault="002C597D" w:rsidP="004D1AA0">
            <w:pPr>
              <w:rPr>
                <w:rFonts w:eastAsiaTheme="minorEastAsia"/>
                <w:b/>
                <w:bCs/>
                <w:snapToGrid w:val="0"/>
                <w:sz w:val="22"/>
                <w:lang w:val="en-GB" w:eastAsia="ja-JP"/>
              </w:rPr>
            </w:pPr>
            <w:r w:rsidRPr="00E72BDE">
              <w:rPr>
                <w:rFonts w:eastAsiaTheme="minorEastAsia"/>
                <w:b/>
                <w:bCs/>
                <w:snapToGrid w:val="0"/>
                <w:sz w:val="21"/>
                <w:lang w:val="en-GB" w:eastAsia="ja-JP"/>
              </w:rPr>
              <w:t>R=13/16</w:t>
            </w:r>
          </w:p>
        </w:tc>
        <w:tc>
          <w:tcPr>
            <w:tcW w:w="619" w:type="pct"/>
            <w:tcBorders>
              <w:top w:val="single" w:sz="4" w:space="0" w:color="auto"/>
              <w:left w:val="single" w:sz="4" w:space="0" w:color="auto"/>
              <w:bottom w:val="single" w:sz="4" w:space="0" w:color="auto"/>
              <w:right w:val="single" w:sz="4" w:space="0" w:color="auto"/>
            </w:tcBorders>
            <w:vAlign w:val="center"/>
          </w:tcPr>
          <w:p w14:paraId="6F597D31" w14:textId="77777777" w:rsidR="002C597D" w:rsidRPr="00E72BDE" w:rsidRDefault="002C597D" w:rsidP="004D1AA0">
            <w:pPr>
              <w:jc w:val="center"/>
              <w:rPr>
                <w:rFonts w:eastAsiaTheme="minorEastAsia"/>
                <w:b/>
                <w:bCs/>
                <w:snapToGrid w:val="0"/>
                <w:sz w:val="21"/>
                <w:lang w:val="en-GB" w:eastAsia="ja-JP"/>
              </w:rPr>
            </w:pPr>
            <w:r w:rsidRPr="00E72BDE">
              <w:rPr>
                <w:rFonts w:eastAsiaTheme="minorEastAsia"/>
                <w:b/>
                <w:bCs/>
                <w:snapToGrid w:val="0"/>
                <w:sz w:val="22"/>
                <w:lang w:val="en-GB" w:eastAsia="ja-JP"/>
              </w:rPr>
              <w:t>16QAM</w:t>
            </w:r>
            <w:r w:rsidRPr="00E72BDE">
              <w:rPr>
                <w:rFonts w:eastAsiaTheme="minorEastAsia"/>
                <w:b/>
                <w:bCs/>
                <w:snapToGrid w:val="0"/>
                <w:sz w:val="21"/>
                <w:lang w:val="en-GB" w:eastAsia="ja-JP"/>
              </w:rPr>
              <w:t>,</w:t>
            </w:r>
          </w:p>
          <w:p w14:paraId="5724BE14" w14:textId="77777777" w:rsidR="002C597D" w:rsidRPr="00E72BDE" w:rsidRDefault="002C597D" w:rsidP="004D1AA0">
            <w:pPr>
              <w:jc w:val="center"/>
              <w:rPr>
                <w:rFonts w:eastAsiaTheme="minorEastAsia"/>
                <w:b/>
                <w:bCs/>
                <w:snapToGrid w:val="0"/>
                <w:sz w:val="22"/>
                <w:lang w:val="en-GB" w:eastAsia="ja-JP"/>
              </w:rPr>
            </w:pPr>
            <w:r w:rsidRPr="00E72BDE">
              <w:rPr>
                <w:rFonts w:eastAsiaTheme="minorEastAsia"/>
                <w:b/>
                <w:bCs/>
                <w:snapToGrid w:val="0"/>
                <w:sz w:val="21"/>
                <w:lang w:val="en-GB" w:eastAsia="ja-JP"/>
              </w:rPr>
              <w:t>R=1/2</w:t>
            </w:r>
          </w:p>
        </w:tc>
        <w:tc>
          <w:tcPr>
            <w:tcW w:w="594" w:type="pct"/>
            <w:tcBorders>
              <w:top w:val="single" w:sz="4" w:space="0" w:color="auto"/>
              <w:left w:val="single" w:sz="4" w:space="0" w:color="auto"/>
              <w:bottom w:val="single" w:sz="4" w:space="0" w:color="auto"/>
              <w:right w:val="single" w:sz="4" w:space="0" w:color="auto"/>
            </w:tcBorders>
            <w:vAlign w:val="center"/>
          </w:tcPr>
          <w:p w14:paraId="379CFA14" w14:textId="77777777" w:rsidR="002C597D" w:rsidRPr="00E72BDE" w:rsidRDefault="002C597D" w:rsidP="004D1AA0">
            <w:pPr>
              <w:jc w:val="center"/>
              <w:rPr>
                <w:rFonts w:eastAsiaTheme="minorEastAsia"/>
                <w:b/>
                <w:bCs/>
                <w:snapToGrid w:val="0"/>
                <w:sz w:val="22"/>
                <w:lang w:val="en-GB" w:eastAsia="ja-JP"/>
              </w:rPr>
            </w:pPr>
            <w:r w:rsidRPr="00E72BDE">
              <w:rPr>
                <w:rFonts w:eastAsiaTheme="minorEastAsia"/>
                <w:b/>
                <w:bCs/>
                <w:snapToGrid w:val="0"/>
                <w:sz w:val="22"/>
                <w:lang w:val="en-GB" w:eastAsia="ja-JP"/>
              </w:rPr>
              <w:t>16QAM</w:t>
            </w:r>
          </w:p>
          <w:p w14:paraId="1C32B1ED" w14:textId="77777777" w:rsidR="002C597D" w:rsidRPr="00E72BDE" w:rsidRDefault="002C597D" w:rsidP="004D1AA0">
            <w:pPr>
              <w:jc w:val="center"/>
              <w:rPr>
                <w:rFonts w:eastAsiaTheme="minorEastAsia"/>
                <w:b/>
                <w:bCs/>
                <w:snapToGrid w:val="0"/>
                <w:sz w:val="22"/>
                <w:lang w:val="en-GB" w:eastAsia="ja-JP"/>
              </w:rPr>
            </w:pPr>
            <w:r w:rsidRPr="00E72BDE">
              <w:rPr>
                <w:rFonts w:eastAsiaTheme="minorEastAsia"/>
                <w:b/>
                <w:bCs/>
                <w:snapToGrid w:val="0"/>
                <w:sz w:val="21"/>
                <w:lang w:val="en-GB" w:eastAsia="ja-JP"/>
              </w:rPr>
              <w:t>R=3/4</w:t>
            </w:r>
          </w:p>
        </w:tc>
      </w:tr>
      <w:tr w:rsidR="002C597D" w:rsidRPr="00E72BDE" w14:paraId="5C966B51" w14:textId="77777777" w:rsidTr="004D1AA0">
        <w:trPr>
          <w:trHeight w:val="60"/>
          <w:jc w:val="center"/>
        </w:trPr>
        <w:tc>
          <w:tcPr>
            <w:tcW w:w="1545" w:type="pct"/>
            <w:tcBorders>
              <w:top w:val="single" w:sz="4" w:space="0" w:color="auto"/>
              <w:left w:val="single" w:sz="4" w:space="0" w:color="auto"/>
              <w:bottom w:val="single" w:sz="4" w:space="0" w:color="auto"/>
              <w:right w:val="single" w:sz="4" w:space="0" w:color="auto"/>
            </w:tcBorders>
            <w:vAlign w:val="center"/>
          </w:tcPr>
          <w:p w14:paraId="451C7820"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Symbol rate [MHz]</w:t>
            </w:r>
          </w:p>
        </w:tc>
        <w:tc>
          <w:tcPr>
            <w:tcW w:w="3455" w:type="pct"/>
            <w:gridSpan w:val="6"/>
            <w:tcBorders>
              <w:top w:val="single" w:sz="4" w:space="0" w:color="auto"/>
              <w:left w:val="single" w:sz="4" w:space="0" w:color="auto"/>
              <w:bottom w:val="single" w:sz="4" w:space="0" w:color="auto"/>
              <w:right w:val="single" w:sz="4" w:space="0" w:color="auto"/>
            </w:tcBorders>
            <w:vAlign w:val="center"/>
          </w:tcPr>
          <w:p w14:paraId="70392D94"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1760</w:t>
            </w:r>
          </w:p>
        </w:tc>
      </w:tr>
      <w:tr w:rsidR="002C597D" w:rsidRPr="00E72BDE" w14:paraId="170704EB" w14:textId="77777777" w:rsidTr="004D1AA0">
        <w:trPr>
          <w:trHeight w:val="60"/>
          <w:jc w:val="center"/>
        </w:trPr>
        <w:tc>
          <w:tcPr>
            <w:tcW w:w="1545" w:type="pct"/>
            <w:tcBorders>
              <w:top w:val="single" w:sz="4" w:space="0" w:color="auto"/>
              <w:left w:val="single" w:sz="4" w:space="0" w:color="auto"/>
              <w:bottom w:val="single" w:sz="4" w:space="0" w:color="auto"/>
              <w:right w:val="single" w:sz="4" w:space="0" w:color="auto"/>
            </w:tcBorders>
            <w:vAlign w:val="center"/>
          </w:tcPr>
          <w:p w14:paraId="119FF9A4"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 xml:space="preserve">Data </w:t>
            </w:r>
            <w:proofErr w:type="gramStart"/>
            <w:r w:rsidRPr="00E72BDE">
              <w:rPr>
                <w:rFonts w:eastAsiaTheme="minorEastAsia"/>
                <w:bCs/>
                <w:snapToGrid w:val="0"/>
                <w:lang w:val="en-GB" w:eastAsia="ja-JP"/>
              </w:rPr>
              <w:t>rate  (</w:t>
            </w:r>
            <w:proofErr w:type="gramEnd"/>
            <w:r w:rsidRPr="00E72BDE">
              <w:rPr>
                <w:rFonts w:eastAsiaTheme="minorEastAsia"/>
                <w:bCs/>
                <w:snapToGrid w:val="0"/>
                <w:lang w:val="en-GB" w:eastAsia="ja-JP"/>
              </w:rPr>
              <w:t>MAC SAP) [Mbps]</w:t>
            </w:r>
          </w:p>
        </w:tc>
        <w:tc>
          <w:tcPr>
            <w:tcW w:w="542" w:type="pct"/>
            <w:tcBorders>
              <w:top w:val="single" w:sz="4" w:space="0" w:color="auto"/>
              <w:left w:val="single" w:sz="4" w:space="0" w:color="auto"/>
              <w:bottom w:val="single" w:sz="4" w:space="0" w:color="auto"/>
              <w:right w:val="single" w:sz="4" w:space="0" w:color="auto"/>
            </w:tcBorders>
            <w:vAlign w:val="center"/>
          </w:tcPr>
          <w:p w14:paraId="4138BBAE"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770</w:t>
            </w:r>
          </w:p>
        </w:tc>
        <w:tc>
          <w:tcPr>
            <w:tcW w:w="619" w:type="pct"/>
            <w:tcBorders>
              <w:top w:val="single" w:sz="4" w:space="0" w:color="auto"/>
              <w:left w:val="single" w:sz="4" w:space="0" w:color="auto"/>
              <w:bottom w:val="single" w:sz="4" w:space="0" w:color="auto"/>
              <w:right w:val="single" w:sz="4" w:space="0" w:color="auto"/>
            </w:tcBorders>
            <w:vAlign w:val="center"/>
          </w:tcPr>
          <w:p w14:paraId="3884D768"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1251.25</w:t>
            </w:r>
          </w:p>
        </w:tc>
        <w:tc>
          <w:tcPr>
            <w:tcW w:w="541" w:type="pct"/>
            <w:tcBorders>
              <w:top w:val="single" w:sz="4" w:space="0" w:color="auto"/>
              <w:left w:val="single" w:sz="4" w:space="0" w:color="auto"/>
              <w:bottom w:val="single" w:sz="4" w:space="0" w:color="auto"/>
              <w:right w:val="single" w:sz="4" w:space="0" w:color="auto"/>
            </w:tcBorders>
            <w:vAlign w:val="center"/>
          </w:tcPr>
          <w:p w14:paraId="5B487869"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1540</w:t>
            </w:r>
          </w:p>
        </w:tc>
        <w:tc>
          <w:tcPr>
            <w:tcW w:w="541" w:type="pct"/>
            <w:tcBorders>
              <w:top w:val="single" w:sz="4" w:space="0" w:color="auto"/>
              <w:left w:val="single" w:sz="4" w:space="0" w:color="auto"/>
              <w:bottom w:val="single" w:sz="4" w:space="0" w:color="auto"/>
              <w:right w:val="single" w:sz="4" w:space="0" w:color="auto"/>
            </w:tcBorders>
            <w:vAlign w:val="center"/>
          </w:tcPr>
          <w:p w14:paraId="064046DD"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2502.5</w:t>
            </w:r>
          </w:p>
        </w:tc>
        <w:tc>
          <w:tcPr>
            <w:tcW w:w="619" w:type="pct"/>
            <w:tcBorders>
              <w:top w:val="single" w:sz="4" w:space="0" w:color="auto"/>
              <w:left w:val="single" w:sz="4" w:space="0" w:color="auto"/>
              <w:bottom w:val="single" w:sz="4" w:space="0" w:color="auto"/>
              <w:right w:val="single" w:sz="4" w:space="0" w:color="auto"/>
            </w:tcBorders>
            <w:vAlign w:val="center"/>
          </w:tcPr>
          <w:p w14:paraId="6AEB4348"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3080</w:t>
            </w:r>
          </w:p>
        </w:tc>
        <w:tc>
          <w:tcPr>
            <w:tcW w:w="594" w:type="pct"/>
            <w:tcBorders>
              <w:top w:val="single" w:sz="4" w:space="0" w:color="auto"/>
              <w:left w:val="single" w:sz="4" w:space="0" w:color="auto"/>
              <w:bottom w:val="single" w:sz="4" w:space="0" w:color="auto"/>
              <w:right w:val="single" w:sz="4" w:space="0" w:color="auto"/>
            </w:tcBorders>
            <w:vAlign w:val="center"/>
          </w:tcPr>
          <w:p w14:paraId="5E81076F"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4620</w:t>
            </w:r>
          </w:p>
        </w:tc>
      </w:tr>
      <w:tr w:rsidR="002C597D" w:rsidRPr="00E72BDE" w14:paraId="4395C957"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03546BD0"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Carrier frequency [GHz]</w:t>
            </w:r>
          </w:p>
        </w:tc>
        <w:tc>
          <w:tcPr>
            <w:tcW w:w="3455" w:type="pct"/>
            <w:gridSpan w:val="6"/>
            <w:tcBorders>
              <w:top w:val="single" w:sz="4" w:space="0" w:color="auto"/>
              <w:left w:val="single" w:sz="4" w:space="0" w:color="auto"/>
              <w:bottom w:val="single" w:sz="4" w:space="0" w:color="auto"/>
              <w:right w:val="single" w:sz="4" w:space="0" w:color="auto"/>
            </w:tcBorders>
          </w:tcPr>
          <w:p w14:paraId="58B8C621"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64.80</w:t>
            </w:r>
          </w:p>
        </w:tc>
      </w:tr>
      <w:tr w:rsidR="002C597D" w:rsidRPr="00E72BDE" w14:paraId="24295326"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6459E7EB"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Tx Power [dBm]</w:t>
            </w:r>
          </w:p>
        </w:tc>
        <w:tc>
          <w:tcPr>
            <w:tcW w:w="3455" w:type="pct"/>
            <w:gridSpan w:val="6"/>
            <w:tcBorders>
              <w:top w:val="single" w:sz="4" w:space="0" w:color="auto"/>
              <w:left w:val="single" w:sz="4" w:space="0" w:color="auto"/>
              <w:bottom w:val="single" w:sz="4" w:space="0" w:color="auto"/>
              <w:right w:val="single" w:sz="4" w:space="0" w:color="auto"/>
            </w:tcBorders>
          </w:tcPr>
          <w:p w14:paraId="68230FFD"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13</w:t>
            </w:r>
          </w:p>
        </w:tc>
      </w:tr>
      <w:tr w:rsidR="002C597D" w:rsidRPr="00E72BDE" w14:paraId="3FFC0A33"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6067A468" w14:textId="77777777" w:rsidR="002C597D" w:rsidRPr="00E72BDE" w:rsidRDefault="002C597D" w:rsidP="004D1AA0">
            <w:pPr>
              <w:rPr>
                <w:bCs/>
                <w:snapToGrid w:val="0"/>
                <w:lang w:val="en-GB"/>
              </w:rPr>
            </w:pPr>
            <w:r w:rsidRPr="00E72BDE">
              <w:rPr>
                <w:rFonts w:eastAsiaTheme="minorEastAsia"/>
                <w:bCs/>
                <w:snapToGrid w:val="0"/>
                <w:lang w:val="en-GB" w:eastAsia="ja-JP"/>
              </w:rPr>
              <w:t>EIRP [dBm]</w:t>
            </w:r>
          </w:p>
        </w:tc>
        <w:tc>
          <w:tcPr>
            <w:tcW w:w="3455" w:type="pct"/>
            <w:gridSpan w:val="6"/>
            <w:tcBorders>
              <w:top w:val="single" w:sz="4" w:space="0" w:color="auto"/>
              <w:left w:val="single" w:sz="4" w:space="0" w:color="auto"/>
              <w:bottom w:val="single" w:sz="4" w:space="0" w:color="auto"/>
              <w:right w:val="single" w:sz="4" w:space="0" w:color="auto"/>
            </w:tcBorders>
          </w:tcPr>
          <w:p w14:paraId="031B0E30"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30</w:t>
            </w:r>
          </w:p>
        </w:tc>
      </w:tr>
      <w:tr w:rsidR="002C597D" w:rsidRPr="00E72BDE" w14:paraId="5D4053D5"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43201A4D" w14:textId="77777777" w:rsidR="002C597D" w:rsidRPr="00E72BDE" w:rsidRDefault="002C597D" w:rsidP="004D1AA0">
            <w:pPr>
              <w:rPr>
                <w:bCs/>
                <w:snapToGrid w:val="0"/>
                <w:lang w:val="en-GB"/>
              </w:rPr>
            </w:pPr>
            <w:r w:rsidRPr="00E72BDE">
              <w:rPr>
                <w:rFonts w:eastAsiaTheme="minorEastAsia"/>
                <w:bCs/>
                <w:snapToGrid w:val="0"/>
                <w:lang w:val="en-GB" w:eastAsia="ja-JP"/>
              </w:rPr>
              <w:t>Rx antenna gain [</w:t>
            </w:r>
            <w:proofErr w:type="spellStart"/>
            <w:r w:rsidRPr="00E72BDE">
              <w:rPr>
                <w:rFonts w:eastAsiaTheme="minorEastAsia"/>
                <w:bCs/>
                <w:snapToGrid w:val="0"/>
                <w:lang w:val="en-GB" w:eastAsia="ja-JP"/>
              </w:rPr>
              <w:t>dBi</w:t>
            </w:r>
            <w:proofErr w:type="spellEnd"/>
            <w:r w:rsidRPr="00E72BDE">
              <w:rPr>
                <w:rFonts w:eastAsiaTheme="minorEastAsia"/>
                <w:bCs/>
                <w:snapToGrid w:val="0"/>
                <w:lang w:val="en-GB" w:eastAsia="ja-JP"/>
              </w:rPr>
              <w:t>]</w:t>
            </w:r>
          </w:p>
        </w:tc>
        <w:tc>
          <w:tcPr>
            <w:tcW w:w="3455" w:type="pct"/>
            <w:gridSpan w:val="6"/>
            <w:tcBorders>
              <w:top w:val="single" w:sz="4" w:space="0" w:color="auto"/>
              <w:left w:val="single" w:sz="4" w:space="0" w:color="auto"/>
              <w:bottom w:val="single" w:sz="4" w:space="0" w:color="auto"/>
              <w:right w:val="single" w:sz="4" w:space="0" w:color="auto"/>
            </w:tcBorders>
          </w:tcPr>
          <w:p w14:paraId="419DC94D"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17</w:t>
            </w:r>
          </w:p>
        </w:tc>
      </w:tr>
      <w:tr w:rsidR="002C597D" w:rsidRPr="00E72BDE" w14:paraId="024A0EE4"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07DCE973"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Noise spectral density [dBm/Hz]</w:t>
            </w:r>
          </w:p>
        </w:tc>
        <w:tc>
          <w:tcPr>
            <w:tcW w:w="3455" w:type="pct"/>
            <w:gridSpan w:val="6"/>
            <w:tcBorders>
              <w:top w:val="single" w:sz="4" w:space="0" w:color="auto"/>
              <w:left w:val="single" w:sz="4" w:space="0" w:color="auto"/>
              <w:bottom w:val="single" w:sz="4" w:space="0" w:color="auto"/>
              <w:right w:val="single" w:sz="4" w:space="0" w:color="auto"/>
            </w:tcBorders>
          </w:tcPr>
          <w:p w14:paraId="40F496CD"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-173.8</w:t>
            </w:r>
          </w:p>
        </w:tc>
      </w:tr>
      <w:tr w:rsidR="002C597D" w:rsidRPr="00E72BDE" w14:paraId="31A43064"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6E2A0130"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Noise Figure [dB]</w:t>
            </w:r>
          </w:p>
        </w:tc>
        <w:tc>
          <w:tcPr>
            <w:tcW w:w="3455" w:type="pct"/>
            <w:gridSpan w:val="6"/>
            <w:tcBorders>
              <w:top w:val="single" w:sz="4" w:space="0" w:color="auto"/>
              <w:left w:val="single" w:sz="4" w:space="0" w:color="auto"/>
              <w:bottom w:val="single" w:sz="4" w:space="0" w:color="auto"/>
              <w:right w:val="single" w:sz="4" w:space="0" w:color="auto"/>
            </w:tcBorders>
          </w:tcPr>
          <w:p w14:paraId="5C7C8FC4"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9</w:t>
            </w:r>
          </w:p>
        </w:tc>
      </w:tr>
      <w:tr w:rsidR="002C597D" w:rsidRPr="00E72BDE" w14:paraId="2125DB94"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02E12C2C"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System link margin [dB]</w:t>
            </w:r>
          </w:p>
        </w:tc>
        <w:tc>
          <w:tcPr>
            <w:tcW w:w="3455" w:type="pct"/>
            <w:gridSpan w:val="6"/>
            <w:tcBorders>
              <w:top w:val="single" w:sz="4" w:space="0" w:color="auto"/>
              <w:left w:val="single" w:sz="4" w:space="0" w:color="auto"/>
              <w:bottom w:val="single" w:sz="4" w:space="0" w:color="auto"/>
              <w:right w:val="single" w:sz="4" w:space="0" w:color="auto"/>
            </w:tcBorders>
          </w:tcPr>
          <w:p w14:paraId="13683E2C"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6</w:t>
            </w:r>
          </w:p>
        </w:tc>
      </w:tr>
      <w:tr w:rsidR="002C597D" w:rsidRPr="00E72BDE" w14:paraId="285E9DBD"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44659315"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Required CNR [dB]</w:t>
            </w:r>
          </w:p>
        </w:tc>
        <w:tc>
          <w:tcPr>
            <w:tcW w:w="542" w:type="pct"/>
            <w:tcBorders>
              <w:top w:val="single" w:sz="4" w:space="0" w:color="auto"/>
              <w:left w:val="single" w:sz="4" w:space="0" w:color="auto"/>
              <w:bottom w:val="single" w:sz="4" w:space="0" w:color="auto"/>
              <w:right w:val="single" w:sz="4" w:space="0" w:color="auto"/>
            </w:tcBorders>
            <w:vAlign w:val="center"/>
          </w:tcPr>
          <w:p w14:paraId="07C87010"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-2.9</w:t>
            </w:r>
          </w:p>
        </w:tc>
        <w:tc>
          <w:tcPr>
            <w:tcW w:w="619" w:type="pct"/>
            <w:tcBorders>
              <w:top w:val="single" w:sz="4" w:space="0" w:color="auto"/>
              <w:left w:val="single" w:sz="4" w:space="0" w:color="auto"/>
              <w:bottom w:val="single" w:sz="4" w:space="0" w:color="auto"/>
              <w:right w:val="single" w:sz="4" w:space="0" w:color="auto"/>
            </w:tcBorders>
            <w:vAlign w:val="center"/>
          </w:tcPr>
          <w:p w14:paraId="2F7FCAB7"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1.6</w:t>
            </w:r>
          </w:p>
        </w:tc>
        <w:tc>
          <w:tcPr>
            <w:tcW w:w="541" w:type="pct"/>
            <w:tcBorders>
              <w:top w:val="single" w:sz="4" w:space="0" w:color="auto"/>
              <w:left w:val="single" w:sz="4" w:space="0" w:color="auto"/>
              <w:bottom w:val="single" w:sz="4" w:space="0" w:color="auto"/>
              <w:right w:val="single" w:sz="4" w:space="0" w:color="auto"/>
            </w:tcBorders>
            <w:vAlign w:val="center"/>
          </w:tcPr>
          <w:p w14:paraId="54908B19"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3.6</w:t>
            </w:r>
          </w:p>
        </w:tc>
        <w:tc>
          <w:tcPr>
            <w:tcW w:w="541" w:type="pct"/>
            <w:tcBorders>
              <w:top w:val="single" w:sz="4" w:space="0" w:color="auto"/>
              <w:left w:val="single" w:sz="4" w:space="0" w:color="auto"/>
              <w:bottom w:val="single" w:sz="4" w:space="0" w:color="auto"/>
              <w:right w:val="single" w:sz="4" w:space="0" w:color="auto"/>
            </w:tcBorders>
            <w:vAlign w:val="center"/>
          </w:tcPr>
          <w:p w14:paraId="483515E6"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7.5</w:t>
            </w:r>
          </w:p>
        </w:tc>
        <w:tc>
          <w:tcPr>
            <w:tcW w:w="619" w:type="pct"/>
            <w:tcBorders>
              <w:top w:val="single" w:sz="4" w:space="0" w:color="auto"/>
              <w:left w:val="single" w:sz="4" w:space="0" w:color="auto"/>
              <w:bottom w:val="single" w:sz="4" w:space="0" w:color="auto"/>
              <w:right w:val="single" w:sz="4" w:space="0" w:color="auto"/>
            </w:tcBorders>
          </w:tcPr>
          <w:p w14:paraId="3795EDE6"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10.6</w:t>
            </w:r>
          </w:p>
        </w:tc>
        <w:tc>
          <w:tcPr>
            <w:tcW w:w="594" w:type="pct"/>
            <w:tcBorders>
              <w:top w:val="single" w:sz="4" w:space="0" w:color="auto"/>
              <w:left w:val="single" w:sz="4" w:space="0" w:color="auto"/>
              <w:bottom w:val="single" w:sz="4" w:space="0" w:color="auto"/>
              <w:right w:val="single" w:sz="4" w:space="0" w:color="auto"/>
            </w:tcBorders>
          </w:tcPr>
          <w:p w14:paraId="0DD46620"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13.5</w:t>
            </w:r>
          </w:p>
        </w:tc>
      </w:tr>
      <w:tr w:rsidR="002C597D" w:rsidRPr="00E72BDE" w14:paraId="6F3C80F7"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50D61368"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Receive sensitivity [dBm]</w:t>
            </w:r>
          </w:p>
        </w:tc>
        <w:tc>
          <w:tcPr>
            <w:tcW w:w="542" w:type="pct"/>
            <w:tcBorders>
              <w:top w:val="single" w:sz="4" w:space="0" w:color="auto"/>
              <w:left w:val="single" w:sz="4" w:space="0" w:color="auto"/>
              <w:bottom w:val="single" w:sz="4" w:space="0" w:color="auto"/>
              <w:right w:val="single" w:sz="4" w:space="0" w:color="auto"/>
            </w:tcBorders>
            <w:vAlign w:val="center"/>
          </w:tcPr>
          <w:p w14:paraId="3FB35C04"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-69.2</w:t>
            </w:r>
          </w:p>
        </w:tc>
        <w:tc>
          <w:tcPr>
            <w:tcW w:w="619" w:type="pct"/>
            <w:tcBorders>
              <w:top w:val="single" w:sz="4" w:space="0" w:color="auto"/>
              <w:left w:val="single" w:sz="4" w:space="0" w:color="auto"/>
              <w:bottom w:val="single" w:sz="4" w:space="0" w:color="auto"/>
              <w:right w:val="single" w:sz="4" w:space="0" w:color="auto"/>
            </w:tcBorders>
            <w:vAlign w:val="center"/>
          </w:tcPr>
          <w:p w14:paraId="5EDDDA1F"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-64.7-</w:t>
            </w:r>
          </w:p>
        </w:tc>
        <w:tc>
          <w:tcPr>
            <w:tcW w:w="541" w:type="pct"/>
            <w:tcBorders>
              <w:top w:val="single" w:sz="4" w:space="0" w:color="auto"/>
              <w:left w:val="single" w:sz="4" w:space="0" w:color="auto"/>
              <w:bottom w:val="single" w:sz="4" w:space="0" w:color="auto"/>
              <w:right w:val="single" w:sz="4" w:space="0" w:color="auto"/>
            </w:tcBorders>
            <w:vAlign w:val="center"/>
          </w:tcPr>
          <w:p w14:paraId="0005BAD8"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-62.7</w:t>
            </w:r>
          </w:p>
        </w:tc>
        <w:tc>
          <w:tcPr>
            <w:tcW w:w="541" w:type="pct"/>
            <w:tcBorders>
              <w:top w:val="single" w:sz="4" w:space="0" w:color="auto"/>
              <w:left w:val="single" w:sz="4" w:space="0" w:color="auto"/>
              <w:bottom w:val="single" w:sz="4" w:space="0" w:color="auto"/>
              <w:right w:val="single" w:sz="4" w:space="0" w:color="auto"/>
            </w:tcBorders>
            <w:vAlign w:val="center"/>
          </w:tcPr>
          <w:p w14:paraId="76DDB34D"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-58.8</w:t>
            </w:r>
          </w:p>
        </w:tc>
        <w:tc>
          <w:tcPr>
            <w:tcW w:w="619" w:type="pct"/>
            <w:tcBorders>
              <w:top w:val="single" w:sz="4" w:space="0" w:color="auto"/>
              <w:left w:val="single" w:sz="4" w:space="0" w:color="auto"/>
              <w:bottom w:val="single" w:sz="4" w:space="0" w:color="auto"/>
              <w:right w:val="single" w:sz="4" w:space="0" w:color="auto"/>
            </w:tcBorders>
          </w:tcPr>
          <w:p w14:paraId="32349214"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-55.7</w:t>
            </w:r>
          </w:p>
        </w:tc>
        <w:tc>
          <w:tcPr>
            <w:tcW w:w="594" w:type="pct"/>
            <w:tcBorders>
              <w:top w:val="single" w:sz="4" w:space="0" w:color="auto"/>
              <w:left w:val="single" w:sz="4" w:space="0" w:color="auto"/>
              <w:bottom w:val="single" w:sz="4" w:space="0" w:color="auto"/>
              <w:right w:val="single" w:sz="4" w:space="0" w:color="auto"/>
            </w:tcBorders>
          </w:tcPr>
          <w:p w14:paraId="25D4C955"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-52.8</w:t>
            </w:r>
          </w:p>
        </w:tc>
      </w:tr>
      <w:tr w:rsidR="002C597D" w:rsidRPr="00E72BDE" w14:paraId="3B728061"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7F2C81AE"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Allowed path loss [dB]</w:t>
            </w:r>
          </w:p>
        </w:tc>
        <w:tc>
          <w:tcPr>
            <w:tcW w:w="542" w:type="pct"/>
            <w:tcBorders>
              <w:top w:val="single" w:sz="4" w:space="0" w:color="auto"/>
              <w:left w:val="single" w:sz="4" w:space="0" w:color="auto"/>
              <w:bottom w:val="single" w:sz="4" w:space="0" w:color="auto"/>
              <w:right w:val="single" w:sz="4" w:space="0" w:color="auto"/>
            </w:tcBorders>
            <w:vAlign w:val="center"/>
          </w:tcPr>
          <w:p w14:paraId="6977FD73"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116.2</w:t>
            </w:r>
          </w:p>
        </w:tc>
        <w:tc>
          <w:tcPr>
            <w:tcW w:w="619" w:type="pct"/>
            <w:tcBorders>
              <w:top w:val="single" w:sz="4" w:space="0" w:color="auto"/>
              <w:left w:val="single" w:sz="4" w:space="0" w:color="auto"/>
              <w:bottom w:val="single" w:sz="4" w:space="0" w:color="auto"/>
              <w:right w:val="single" w:sz="4" w:space="0" w:color="auto"/>
            </w:tcBorders>
            <w:vAlign w:val="center"/>
          </w:tcPr>
          <w:p w14:paraId="3B430DC1"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111.7</w:t>
            </w:r>
          </w:p>
        </w:tc>
        <w:tc>
          <w:tcPr>
            <w:tcW w:w="541" w:type="pct"/>
            <w:tcBorders>
              <w:top w:val="single" w:sz="4" w:space="0" w:color="auto"/>
              <w:left w:val="single" w:sz="4" w:space="0" w:color="auto"/>
              <w:bottom w:val="single" w:sz="4" w:space="0" w:color="auto"/>
              <w:right w:val="single" w:sz="4" w:space="0" w:color="auto"/>
            </w:tcBorders>
            <w:vAlign w:val="center"/>
          </w:tcPr>
          <w:p w14:paraId="16736AF3"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109.7</w:t>
            </w:r>
          </w:p>
        </w:tc>
        <w:tc>
          <w:tcPr>
            <w:tcW w:w="541" w:type="pct"/>
            <w:tcBorders>
              <w:top w:val="single" w:sz="4" w:space="0" w:color="auto"/>
              <w:left w:val="single" w:sz="4" w:space="0" w:color="auto"/>
              <w:bottom w:val="single" w:sz="4" w:space="0" w:color="auto"/>
              <w:right w:val="single" w:sz="4" w:space="0" w:color="auto"/>
            </w:tcBorders>
            <w:vAlign w:val="center"/>
          </w:tcPr>
          <w:p w14:paraId="64DAAAD7"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105.8</w:t>
            </w:r>
          </w:p>
        </w:tc>
        <w:tc>
          <w:tcPr>
            <w:tcW w:w="619" w:type="pct"/>
            <w:tcBorders>
              <w:top w:val="single" w:sz="4" w:space="0" w:color="auto"/>
              <w:left w:val="single" w:sz="4" w:space="0" w:color="auto"/>
              <w:bottom w:val="single" w:sz="4" w:space="0" w:color="auto"/>
              <w:right w:val="single" w:sz="4" w:space="0" w:color="auto"/>
            </w:tcBorders>
          </w:tcPr>
          <w:p w14:paraId="33D8EDA5"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102.7</w:t>
            </w:r>
          </w:p>
        </w:tc>
        <w:tc>
          <w:tcPr>
            <w:tcW w:w="594" w:type="pct"/>
            <w:tcBorders>
              <w:top w:val="single" w:sz="4" w:space="0" w:color="auto"/>
              <w:left w:val="single" w:sz="4" w:space="0" w:color="auto"/>
              <w:bottom w:val="single" w:sz="4" w:space="0" w:color="auto"/>
              <w:right w:val="single" w:sz="4" w:space="0" w:color="auto"/>
            </w:tcBorders>
          </w:tcPr>
          <w:p w14:paraId="2421B03B"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99.8</w:t>
            </w:r>
          </w:p>
        </w:tc>
      </w:tr>
      <w:tr w:rsidR="002C597D" w:rsidRPr="00E72BDE" w14:paraId="4D3D3033" w14:textId="77777777" w:rsidTr="004D1AA0">
        <w:trPr>
          <w:trHeight w:val="91"/>
          <w:jc w:val="center"/>
        </w:trPr>
        <w:tc>
          <w:tcPr>
            <w:tcW w:w="1545" w:type="pct"/>
            <w:tcBorders>
              <w:top w:val="single" w:sz="4" w:space="0" w:color="auto"/>
              <w:left w:val="single" w:sz="4" w:space="0" w:color="auto"/>
              <w:bottom w:val="single" w:sz="4" w:space="0" w:color="auto"/>
              <w:right w:val="single" w:sz="4" w:space="0" w:color="auto"/>
            </w:tcBorders>
            <w:vAlign w:val="center"/>
          </w:tcPr>
          <w:p w14:paraId="32B3E4E0" w14:textId="77777777" w:rsidR="002C597D" w:rsidRPr="00E72BDE" w:rsidRDefault="002C597D" w:rsidP="004D1AA0">
            <w:pPr>
              <w:rPr>
                <w:rFonts w:eastAsiaTheme="minorEastAsia"/>
                <w:bCs/>
                <w:snapToGrid w:val="0"/>
                <w:lang w:val="en-GB" w:eastAsia="ja-JP"/>
              </w:rPr>
            </w:pPr>
            <w:r w:rsidRPr="00E72BDE">
              <w:rPr>
                <w:rFonts w:eastAsiaTheme="minorEastAsia"/>
                <w:bCs/>
                <w:snapToGrid w:val="0"/>
                <w:lang w:val="en-GB" w:eastAsia="ja-JP"/>
              </w:rPr>
              <w:t>Communication range [m]</w:t>
            </w:r>
          </w:p>
        </w:tc>
        <w:tc>
          <w:tcPr>
            <w:tcW w:w="542" w:type="pct"/>
            <w:tcBorders>
              <w:top w:val="single" w:sz="4" w:space="0" w:color="auto"/>
              <w:left w:val="single" w:sz="4" w:space="0" w:color="auto"/>
              <w:bottom w:val="single" w:sz="4" w:space="0" w:color="auto"/>
              <w:right w:val="single" w:sz="4" w:space="0" w:color="auto"/>
            </w:tcBorders>
          </w:tcPr>
          <w:p w14:paraId="3A6044D6"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239</w:t>
            </w:r>
          </w:p>
        </w:tc>
        <w:tc>
          <w:tcPr>
            <w:tcW w:w="619" w:type="pct"/>
            <w:tcBorders>
              <w:top w:val="single" w:sz="4" w:space="0" w:color="auto"/>
              <w:left w:val="single" w:sz="4" w:space="0" w:color="auto"/>
              <w:bottom w:val="single" w:sz="4" w:space="0" w:color="auto"/>
              <w:right w:val="single" w:sz="4" w:space="0" w:color="auto"/>
            </w:tcBorders>
          </w:tcPr>
          <w:p w14:paraId="1A3D88F5"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142.4</w:t>
            </w:r>
          </w:p>
        </w:tc>
        <w:tc>
          <w:tcPr>
            <w:tcW w:w="541" w:type="pct"/>
            <w:tcBorders>
              <w:top w:val="single" w:sz="4" w:space="0" w:color="auto"/>
              <w:left w:val="single" w:sz="4" w:space="0" w:color="auto"/>
              <w:bottom w:val="single" w:sz="4" w:space="0" w:color="auto"/>
              <w:right w:val="single" w:sz="4" w:space="0" w:color="auto"/>
            </w:tcBorders>
          </w:tcPr>
          <w:p w14:paraId="45BBCFDB"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113</w:t>
            </w:r>
          </w:p>
        </w:tc>
        <w:tc>
          <w:tcPr>
            <w:tcW w:w="541" w:type="pct"/>
            <w:tcBorders>
              <w:top w:val="single" w:sz="4" w:space="0" w:color="auto"/>
              <w:left w:val="single" w:sz="4" w:space="0" w:color="auto"/>
              <w:bottom w:val="single" w:sz="4" w:space="0" w:color="auto"/>
              <w:right w:val="single" w:sz="4" w:space="0" w:color="auto"/>
            </w:tcBorders>
          </w:tcPr>
          <w:p w14:paraId="5121EEE2"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72</w:t>
            </w:r>
          </w:p>
        </w:tc>
        <w:tc>
          <w:tcPr>
            <w:tcW w:w="619" w:type="pct"/>
            <w:tcBorders>
              <w:top w:val="single" w:sz="4" w:space="0" w:color="auto"/>
              <w:left w:val="single" w:sz="4" w:space="0" w:color="auto"/>
              <w:bottom w:val="single" w:sz="4" w:space="0" w:color="auto"/>
              <w:right w:val="single" w:sz="4" w:space="0" w:color="auto"/>
            </w:tcBorders>
          </w:tcPr>
          <w:p w14:paraId="1DD62447"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50</w:t>
            </w:r>
          </w:p>
        </w:tc>
        <w:tc>
          <w:tcPr>
            <w:tcW w:w="594" w:type="pct"/>
            <w:tcBorders>
              <w:top w:val="single" w:sz="4" w:space="0" w:color="auto"/>
              <w:left w:val="single" w:sz="4" w:space="0" w:color="auto"/>
              <w:bottom w:val="single" w:sz="4" w:space="0" w:color="auto"/>
              <w:right w:val="single" w:sz="4" w:space="0" w:color="auto"/>
            </w:tcBorders>
          </w:tcPr>
          <w:p w14:paraId="3B3A78E8" w14:textId="77777777" w:rsidR="002C597D" w:rsidRPr="00E72BDE" w:rsidRDefault="002C597D" w:rsidP="004D1AA0">
            <w:pPr>
              <w:jc w:val="center"/>
              <w:rPr>
                <w:rFonts w:eastAsiaTheme="minorEastAsia"/>
                <w:bCs/>
                <w:snapToGrid w:val="0"/>
                <w:lang w:val="en-GB" w:eastAsia="ja-JP"/>
              </w:rPr>
            </w:pPr>
            <w:r w:rsidRPr="00E72BDE">
              <w:rPr>
                <w:rFonts w:eastAsiaTheme="minorEastAsia"/>
                <w:bCs/>
                <w:snapToGrid w:val="0"/>
                <w:lang w:val="en-GB" w:eastAsia="ja-JP"/>
              </w:rPr>
              <w:t>36</w:t>
            </w:r>
          </w:p>
        </w:tc>
      </w:tr>
    </w:tbl>
    <w:p w14:paraId="3F6EFF27" w14:textId="77777777" w:rsidR="002C597D" w:rsidRPr="00E72BDE" w:rsidRDefault="002C597D" w:rsidP="002C597D">
      <w:pPr>
        <w:tabs>
          <w:tab w:val="left" w:pos="1134"/>
          <w:tab w:val="left" w:pos="1871"/>
          <w:tab w:val="left" w:pos="2268"/>
        </w:tabs>
        <w:overflowPunct w:val="0"/>
        <w:autoSpaceDE w:val="0"/>
        <w:autoSpaceDN w:val="0"/>
        <w:adjustRightInd w:val="0"/>
        <w:spacing w:before="120"/>
        <w:textAlignment w:val="baseline"/>
        <w:rPr>
          <w:rFonts w:eastAsia="MS Mincho"/>
          <w:bCs/>
          <w:color w:val="000000"/>
          <w:lang w:val="en-GB" w:eastAsia="ja-JP"/>
        </w:rPr>
      </w:pPr>
      <w:r w:rsidRPr="00E72BDE">
        <w:rPr>
          <w:rFonts w:eastAsia="MS Mincho"/>
          <w:bCs/>
          <w:color w:val="000000"/>
          <w:lang w:val="en-GB" w:eastAsia="ja-JP"/>
        </w:rPr>
        <w:t xml:space="preserve">  </w:t>
      </w:r>
    </w:p>
    <w:p w14:paraId="203F40DB"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Cs/>
          <w:color w:val="000000"/>
          <w:lang w:val="en-GB" w:eastAsia="ja-JP"/>
        </w:rPr>
      </w:pPr>
      <w:r w:rsidRPr="00E72BDE">
        <w:rPr>
          <w:rFonts w:eastAsia="MS Mincho"/>
          <w:bCs/>
          <w:color w:val="000000"/>
          <w:lang w:val="en-GB" w:eastAsia="ja-JP"/>
        </w:rPr>
        <w:t xml:space="preserve">An experiment for 60 GHz V2I communication with mobility scenario has been conducted in Japan. TABLE 6.3 shows the dimensions and configuration of one of the tests. FIGURE 6.2 shows the results of the test, and shows that the data rate over 1 Gbps was observed at vehicle speed of 60 and 100 km/h. The connection was established at 200 m distance or before in both test cases, and in 60 km/h test case, data amount more than 1 </w:t>
      </w:r>
      <w:proofErr w:type="spellStart"/>
      <w:r w:rsidRPr="00E72BDE">
        <w:rPr>
          <w:rFonts w:eastAsia="MS Mincho"/>
          <w:bCs/>
          <w:color w:val="000000"/>
          <w:lang w:val="en-GB" w:eastAsia="ja-JP"/>
        </w:rPr>
        <w:t>GBytes</w:t>
      </w:r>
      <w:proofErr w:type="spellEnd"/>
      <w:r w:rsidRPr="00E72BDE">
        <w:rPr>
          <w:rFonts w:eastAsia="MS Mincho"/>
          <w:bCs/>
          <w:color w:val="000000"/>
          <w:lang w:val="en-GB" w:eastAsia="ja-JP"/>
        </w:rPr>
        <w:t xml:space="preserve"> was transferred during the vehicle was approaching to the RSU.</w:t>
      </w:r>
    </w:p>
    <w:p w14:paraId="35A7C230"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7FD180DA"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rFonts w:eastAsia="MS Mincho"/>
          <w:b/>
          <w:bCs/>
          <w:color w:val="000000"/>
          <w:lang w:val="en-GB" w:eastAsia="ja-JP"/>
        </w:rPr>
        <w:t>TABLE 6.3 Dimensions and Configuration for the Experiment</w:t>
      </w:r>
    </w:p>
    <w:p w14:paraId="23492E19"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tbl>
      <w:tblPr>
        <w:tblStyle w:val="TableGrid"/>
        <w:tblW w:w="7819" w:type="dxa"/>
        <w:jc w:val="center"/>
        <w:tblLook w:val="04A0" w:firstRow="1" w:lastRow="0" w:firstColumn="1" w:lastColumn="0" w:noHBand="0" w:noVBand="1"/>
      </w:tblPr>
      <w:tblGrid>
        <w:gridCol w:w="1582"/>
        <w:gridCol w:w="2574"/>
        <w:gridCol w:w="380"/>
        <w:gridCol w:w="2720"/>
        <w:gridCol w:w="1816"/>
      </w:tblGrid>
      <w:tr w:rsidR="002C597D" w:rsidRPr="00E72BDE" w14:paraId="229675C9" w14:textId="77777777" w:rsidTr="004D1AA0">
        <w:trPr>
          <w:gridAfter w:val="1"/>
          <w:wAfter w:w="1865" w:type="dxa"/>
          <w:trHeight w:val="329"/>
          <w:jc w:val="center"/>
        </w:trPr>
        <w:tc>
          <w:tcPr>
            <w:tcW w:w="2977" w:type="dxa"/>
            <w:gridSpan w:val="2"/>
            <w:vAlign w:val="center"/>
          </w:tcPr>
          <w:p w14:paraId="497A3525" w14:textId="77777777" w:rsidR="002C597D" w:rsidRPr="00E72BDE" w:rsidRDefault="002C597D" w:rsidP="004D1AA0">
            <w:pPr>
              <w:snapToGrid w:val="0"/>
              <w:jc w:val="both"/>
              <w:rPr>
                <w:rFonts w:eastAsiaTheme="minorEastAsia"/>
                <w:lang w:val="en-GB"/>
              </w:rPr>
            </w:pPr>
            <w:r w:rsidRPr="00E72BDE">
              <w:rPr>
                <w:rFonts w:eastAsiaTheme="minorEastAsia"/>
                <w:lang w:val="en-GB"/>
              </w:rPr>
              <w:t>RSU antenna height</w:t>
            </w:r>
          </w:p>
        </w:tc>
        <w:tc>
          <w:tcPr>
            <w:tcW w:w="2977" w:type="dxa"/>
            <w:gridSpan w:val="2"/>
            <w:vAlign w:val="center"/>
          </w:tcPr>
          <w:p w14:paraId="7055B1E4" w14:textId="77777777" w:rsidR="002C597D" w:rsidRPr="00E72BDE" w:rsidRDefault="002C597D" w:rsidP="004D1AA0">
            <w:pPr>
              <w:snapToGrid w:val="0"/>
              <w:jc w:val="both"/>
              <w:rPr>
                <w:lang w:val="en-GB"/>
              </w:rPr>
            </w:pPr>
            <w:r w:rsidRPr="00E72BDE">
              <w:rPr>
                <w:rFonts w:eastAsiaTheme="minorEastAsia"/>
                <w:lang w:val="en-GB"/>
              </w:rPr>
              <w:t>6 m</w:t>
            </w:r>
          </w:p>
        </w:tc>
      </w:tr>
      <w:tr w:rsidR="002C597D" w:rsidRPr="00E72BDE" w14:paraId="6AD0D790" w14:textId="77777777" w:rsidTr="004D1AA0">
        <w:trPr>
          <w:gridAfter w:val="1"/>
          <w:wAfter w:w="1865" w:type="dxa"/>
          <w:trHeight w:val="342"/>
          <w:jc w:val="center"/>
        </w:trPr>
        <w:tc>
          <w:tcPr>
            <w:tcW w:w="2977" w:type="dxa"/>
            <w:gridSpan w:val="2"/>
            <w:vAlign w:val="center"/>
          </w:tcPr>
          <w:p w14:paraId="01316089" w14:textId="77777777" w:rsidR="002C597D" w:rsidRPr="00E72BDE" w:rsidRDefault="002C597D" w:rsidP="004D1AA0">
            <w:pPr>
              <w:snapToGrid w:val="0"/>
              <w:jc w:val="both"/>
              <w:rPr>
                <w:lang w:val="en-GB"/>
              </w:rPr>
            </w:pPr>
            <w:r w:rsidRPr="00E72BDE">
              <w:rPr>
                <w:rFonts w:eastAsiaTheme="minorEastAsia"/>
                <w:lang w:val="en-GB"/>
              </w:rPr>
              <w:t>OBU antenna height</w:t>
            </w:r>
          </w:p>
        </w:tc>
        <w:tc>
          <w:tcPr>
            <w:tcW w:w="2977" w:type="dxa"/>
            <w:gridSpan w:val="2"/>
            <w:vAlign w:val="center"/>
          </w:tcPr>
          <w:p w14:paraId="5E512A4E" w14:textId="77777777" w:rsidR="002C597D" w:rsidRPr="00E72BDE" w:rsidRDefault="002C597D" w:rsidP="004D1AA0">
            <w:pPr>
              <w:snapToGrid w:val="0"/>
              <w:jc w:val="both"/>
              <w:rPr>
                <w:lang w:val="en-GB"/>
              </w:rPr>
            </w:pPr>
            <w:r w:rsidRPr="00E72BDE">
              <w:rPr>
                <w:rFonts w:eastAsiaTheme="minorEastAsia"/>
                <w:lang w:val="en-GB"/>
              </w:rPr>
              <w:t>1.5 m</w:t>
            </w:r>
          </w:p>
        </w:tc>
      </w:tr>
      <w:tr w:rsidR="002C597D" w:rsidRPr="00E72BDE" w14:paraId="4054C81A" w14:textId="77777777" w:rsidTr="004D1AA0">
        <w:trPr>
          <w:gridAfter w:val="1"/>
          <w:wAfter w:w="1865" w:type="dxa"/>
          <w:trHeight w:val="329"/>
          <w:jc w:val="center"/>
        </w:trPr>
        <w:tc>
          <w:tcPr>
            <w:tcW w:w="630" w:type="dxa"/>
            <w:vMerge w:val="restart"/>
            <w:vAlign w:val="center"/>
          </w:tcPr>
          <w:p w14:paraId="68EAA3D3" w14:textId="77777777" w:rsidR="002C597D" w:rsidRPr="00E72BDE" w:rsidRDefault="002C597D" w:rsidP="004D1AA0">
            <w:pPr>
              <w:snapToGrid w:val="0"/>
              <w:jc w:val="both"/>
              <w:rPr>
                <w:rFonts w:eastAsiaTheme="minorEastAsia"/>
                <w:lang w:val="en-GB"/>
              </w:rPr>
            </w:pPr>
            <w:r w:rsidRPr="00E72BDE">
              <w:rPr>
                <w:rFonts w:eastAsiaTheme="minorEastAsia"/>
                <w:lang w:val="en-GB"/>
              </w:rPr>
              <w:lastRenderedPageBreak/>
              <w:t>Antenna direction</w:t>
            </w:r>
          </w:p>
          <w:p w14:paraId="0C9BC0E1" w14:textId="77777777" w:rsidR="002C597D" w:rsidRPr="00E72BDE" w:rsidRDefault="002C597D" w:rsidP="004D1AA0">
            <w:pPr>
              <w:snapToGrid w:val="0"/>
              <w:jc w:val="both"/>
              <w:rPr>
                <w:lang w:val="en-GB"/>
              </w:rPr>
            </w:pPr>
            <w:r w:rsidRPr="00E72BDE">
              <w:rPr>
                <w:rFonts w:eastAsiaTheme="minorEastAsia"/>
                <w:lang w:val="en-GB"/>
              </w:rPr>
              <w:t>(RSU, OBU)</w:t>
            </w:r>
          </w:p>
        </w:tc>
        <w:tc>
          <w:tcPr>
            <w:tcW w:w="2347" w:type="dxa"/>
            <w:vAlign w:val="center"/>
          </w:tcPr>
          <w:p w14:paraId="4E432871" w14:textId="77777777" w:rsidR="002C597D" w:rsidRPr="00E72BDE" w:rsidRDefault="002C597D" w:rsidP="004D1AA0">
            <w:pPr>
              <w:snapToGrid w:val="0"/>
              <w:jc w:val="both"/>
              <w:rPr>
                <w:lang w:val="en-GB"/>
              </w:rPr>
            </w:pPr>
            <w:r w:rsidRPr="00E72BDE">
              <w:rPr>
                <w:lang w:val="en-GB"/>
              </w:rPr>
              <w:t>Azimuth</w:t>
            </w:r>
          </w:p>
        </w:tc>
        <w:tc>
          <w:tcPr>
            <w:tcW w:w="2977" w:type="dxa"/>
            <w:gridSpan w:val="2"/>
            <w:vAlign w:val="center"/>
          </w:tcPr>
          <w:p w14:paraId="01735371" w14:textId="77777777" w:rsidR="002C597D" w:rsidRPr="00E72BDE" w:rsidRDefault="002C597D" w:rsidP="004D1AA0">
            <w:pPr>
              <w:snapToGrid w:val="0"/>
              <w:jc w:val="both"/>
              <w:rPr>
                <w:lang w:val="en-GB"/>
              </w:rPr>
            </w:pPr>
            <w:r w:rsidRPr="00E72BDE">
              <w:rPr>
                <w:rFonts w:eastAsiaTheme="minorEastAsia"/>
                <w:lang w:val="en-GB"/>
              </w:rPr>
              <w:t>0 degree</w:t>
            </w:r>
          </w:p>
        </w:tc>
      </w:tr>
      <w:tr w:rsidR="002C597D" w:rsidRPr="00E72BDE" w14:paraId="4927742C" w14:textId="77777777" w:rsidTr="004D1AA0">
        <w:trPr>
          <w:gridAfter w:val="1"/>
          <w:wAfter w:w="1865" w:type="dxa"/>
          <w:trHeight w:val="175"/>
          <w:jc w:val="center"/>
        </w:trPr>
        <w:tc>
          <w:tcPr>
            <w:tcW w:w="630" w:type="dxa"/>
            <w:vMerge/>
            <w:vAlign w:val="center"/>
          </w:tcPr>
          <w:p w14:paraId="0F8D742D" w14:textId="77777777" w:rsidR="002C597D" w:rsidRPr="00E72BDE" w:rsidRDefault="002C597D" w:rsidP="004D1AA0">
            <w:pPr>
              <w:snapToGrid w:val="0"/>
              <w:jc w:val="both"/>
              <w:rPr>
                <w:lang w:val="en-GB"/>
              </w:rPr>
            </w:pPr>
          </w:p>
        </w:tc>
        <w:tc>
          <w:tcPr>
            <w:tcW w:w="2347" w:type="dxa"/>
            <w:vAlign w:val="center"/>
          </w:tcPr>
          <w:p w14:paraId="40AEA269" w14:textId="77777777" w:rsidR="002C597D" w:rsidRPr="00E72BDE" w:rsidRDefault="002C597D" w:rsidP="004D1AA0">
            <w:pPr>
              <w:snapToGrid w:val="0"/>
              <w:jc w:val="both"/>
              <w:rPr>
                <w:lang w:val="en-GB"/>
              </w:rPr>
            </w:pPr>
            <w:r w:rsidRPr="00E72BDE">
              <w:rPr>
                <w:rFonts w:eastAsiaTheme="minorEastAsia"/>
                <w:lang w:val="en-GB"/>
              </w:rPr>
              <w:t>Elevation</w:t>
            </w:r>
          </w:p>
        </w:tc>
        <w:tc>
          <w:tcPr>
            <w:tcW w:w="2977" w:type="dxa"/>
            <w:gridSpan w:val="2"/>
            <w:vAlign w:val="center"/>
          </w:tcPr>
          <w:p w14:paraId="06997B9A" w14:textId="77777777" w:rsidR="002C597D" w:rsidRPr="00E72BDE" w:rsidRDefault="002C597D" w:rsidP="004D1AA0">
            <w:pPr>
              <w:snapToGrid w:val="0"/>
              <w:jc w:val="both"/>
              <w:rPr>
                <w:lang w:val="en-GB"/>
              </w:rPr>
            </w:pPr>
            <w:r w:rsidRPr="00E72BDE">
              <w:rPr>
                <w:rFonts w:eastAsiaTheme="minorEastAsia"/>
                <w:lang w:val="en-GB"/>
              </w:rPr>
              <w:t>0 degree</w:t>
            </w:r>
          </w:p>
        </w:tc>
      </w:tr>
      <w:tr w:rsidR="002C597D" w:rsidRPr="00E72BDE" w14:paraId="608985A0" w14:textId="77777777" w:rsidTr="004D1AA0">
        <w:trPr>
          <w:gridAfter w:val="1"/>
          <w:wAfter w:w="1865" w:type="dxa"/>
          <w:trHeight w:val="329"/>
          <w:jc w:val="center"/>
        </w:trPr>
        <w:tc>
          <w:tcPr>
            <w:tcW w:w="2977" w:type="dxa"/>
            <w:gridSpan w:val="2"/>
            <w:vAlign w:val="center"/>
          </w:tcPr>
          <w:p w14:paraId="09A0A2CA" w14:textId="77777777" w:rsidR="002C597D" w:rsidRPr="00E72BDE" w:rsidRDefault="002C597D" w:rsidP="004D1AA0">
            <w:pPr>
              <w:snapToGrid w:val="0"/>
              <w:jc w:val="both"/>
              <w:rPr>
                <w:lang w:val="en-GB"/>
              </w:rPr>
            </w:pPr>
            <w:r w:rsidRPr="00E72BDE">
              <w:rPr>
                <w:rFonts w:eastAsiaTheme="minorEastAsia"/>
                <w:lang w:val="en-GB"/>
              </w:rPr>
              <w:t>Vehicle speed</w:t>
            </w:r>
          </w:p>
        </w:tc>
        <w:tc>
          <w:tcPr>
            <w:tcW w:w="2977" w:type="dxa"/>
            <w:gridSpan w:val="2"/>
            <w:vAlign w:val="center"/>
          </w:tcPr>
          <w:p w14:paraId="7291DAF3" w14:textId="77777777" w:rsidR="002C597D" w:rsidRPr="00E72BDE" w:rsidRDefault="002C597D" w:rsidP="004D1AA0">
            <w:pPr>
              <w:snapToGrid w:val="0"/>
              <w:jc w:val="both"/>
              <w:rPr>
                <w:lang w:val="en-GB"/>
              </w:rPr>
            </w:pPr>
            <w:r w:rsidRPr="00E72BDE">
              <w:rPr>
                <w:rFonts w:eastAsiaTheme="minorEastAsia" w:hint="eastAsia"/>
                <w:lang w:val="en-GB"/>
              </w:rPr>
              <w:t>≥</w:t>
            </w:r>
            <w:r w:rsidRPr="00E72BDE">
              <w:rPr>
                <w:rFonts w:eastAsiaTheme="minorEastAsia" w:hint="eastAsia"/>
                <w:lang w:val="en-GB"/>
              </w:rPr>
              <w:t>60,</w:t>
            </w:r>
            <w:r w:rsidRPr="00E72BDE">
              <w:rPr>
                <w:rFonts w:eastAsiaTheme="minorEastAsia"/>
                <w:lang w:val="en-GB"/>
              </w:rPr>
              <w:t xml:space="preserve"> </w:t>
            </w:r>
            <w:r w:rsidRPr="00E72BDE">
              <w:rPr>
                <w:rFonts w:eastAsiaTheme="minorEastAsia" w:hint="eastAsia"/>
                <w:lang w:val="en-GB"/>
              </w:rPr>
              <w:t>≥</w:t>
            </w:r>
            <w:r w:rsidRPr="00E72BDE">
              <w:rPr>
                <w:rFonts w:eastAsiaTheme="minorEastAsia" w:hint="eastAsia"/>
                <w:lang w:val="en-GB"/>
              </w:rPr>
              <w:t>100</w:t>
            </w:r>
            <w:r w:rsidRPr="00E72BDE">
              <w:rPr>
                <w:rFonts w:eastAsiaTheme="minorEastAsia"/>
                <w:lang w:val="en-GB"/>
              </w:rPr>
              <w:t xml:space="preserve"> km/h</w:t>
            </w:r>
          </w:p>
        </w:tc>
      </w:tr>
      <w:tr w:rsidR="002C597D" w:rsidRPr="00E72BDE" w14:paraId="671FA7F0" w14:textId="77777777" w:rsidTr="004D1AA0">
        <w:trPr>
          <w:gridAfter w:val="1"/>
          <w:wAfter w:w="1865" w:type="dxa"/>
          <w:trHeight w:val="329"/>
          <w:jc w:val="center"/>
        </w:trPr>
        <w:tc>
          <w:tcPr>
            <w:tcW w:w="2977" w:type="dxa"/>
            <w:gridSpan w:val="2"/>
            <w:vAlign w:val="center"/>
          </w:tcPr>
          <w:p w14:paraId="16D833F4" w14:textId="77777777" w:rsidR="002C597D" w:rsidRPr="00E72BDE" w:rsidRDefault="002C597D" w:rsidP="004D1AA0">
            <w:pPr>
              <w:snapToGrid w:val="0"/>
              <w:jc w:val="both"/>
              <w:rPr>
                <w:rFonts w:eastAsiaTheme="minorEastAsia"/>
                <w:lang w:val="en-GB"/>
              </w:rPr>
            </w:pPr>
            <w:r w:rsidRPr="00E72BDE">
              <w:rPr>
                <w:rFonts w:eastAsiaTheme="minorEastAsia"/>
                <w:lang w:val="en-GB"/>
              </w:rPr>
              <w:t xml:space="preserve">PHY/MAC specification </w:t>
            </w:r>
          </w:p>
        </w:tc>
        <w:tc>
          <w:tcPr>
            <w:tcW w:w="2977" w:type="dxa"/>
            <w:gridSpan w:val="2"/>
            <w:vAlign w:val="center"/>
          </w:tcPr>
          <w:p w14:paraId="7F4DCF89" w14:textId="77777777" w:rsidR="002C597D" w:rsidRPr="00E72BDE" w:rsidRDefault="002C597D" w:rsidP="004D1AA0">
            <w:pPr>
              <w:snapToGrid w:val="0"/>
              <w:jc w:val="both"/>
              <w:rPr>
                <w:rFonts w:eastAsiaTheme="minorEastAsia"/>
                <w:lang w:val="en-GB"/>
              </w:rPr>
            </w:pPr>
            <w:r w:rsidRPr="00E72BDE">
              <w:rPr>
                <w:rFonts w:eastAsiaTheme="minorEastAsia"/>
                <w:lang w:val="en-GB"/>
              </w:rPr>
              <w:t>IEEE802.11ad</w:t>
            </w:r>
          </w:p>
        </w:tc>
      </w:tr>
      <w:tr w:rsidR="002C597D" w:rsidRPr="00E72BDE" w14:paraId="13A840DB" w14:textId="77777777" w:rsidTr="004D1AA0">
        <w:trPr>
          <w:gridAfter w:val="1"/>
          <w:wAfter w:w="1865" w:type="dxa"/>
          <w:trHeight w:val="329"/>
          <w:jc w:val="center"/>
        </w:trPr>
        <w:tc>
          <w:tcPr>
            <w:tcW w:w="2977" w:type="dxa"/>
            <w:gridSpan w:val="2"/>
            <w:vAlign w:val="center"/>
          </w:tcPr>
          <w:p w14:paraId="447A950D" w14:textId="77777777" w:rsidR="002C597D" w:rsidRPr="00E72BDE" w:rsidRDefault="002C597D" w:rsidP="004D1AA0">
            <w:pPr>
              <w:snapToGrid w:val="0"/>
              <w:jc w:val="both"/>
              <w:rPr>
                <w:lang w:val="en-GB"/>
              </w:rPr>
            </w:pPr>
            <w:r w:rsidRPr="00E72BDE">
              <w:rPr>
                <w:rFonts w:eastAsiaTheme="minorEastAsia"/>
                <w:lang w:val="en-GB"/>
              </w:rPr>
              <w:t xml:space="preserve">Carrier </w:t>
            </w:r>
            <w:proofErr w:type="spellStart"/>
            <w:r w:rsidRPr="00E72BDE">
              <w:rPr>
                <w:rFonts w:eastAsiaTheme="minorEastAsia"/>
                <w:lang w:val="en-GB"/>
              </w:rPr>
              <w:t>center</w:t>
            </w:r>
            <w:proofErr w:type="spellEnd"/>
            <w:r w:rsidRPr="00E72BDE">
              <w:rPr>
                <w:rFonts w:eastAsiaTheme="minorEastAsia"/>
                <w:lang w:val="en-GB"/>
              </w:rPr>
              <w:t xml:space="preserve"> frequency</w:t>
            </w:r>
          </w:p>
        </w:tc>
        <w:tc>
          <w:tcPr>
            <w:tcW w:w="2977" w:type="dxa"/>
            <w:gridSpan w:val="2"/>
            <w:vAlign w:val="center"/>
          </w:tcPr>
          <w:p w14:paraId="2DB4FF05" w14:textId="77777777" w:rsidR="002C597D" w:rsidRPr="00E72BDE" w:rsidRDefault="002C597D" w:rsidP="004D1AA0">
            <w:pPr>
              <w:snapToGrid w:val="0"/>
              <w:jc w:val="both"/>
              <w:rPr>
                <w:lang w:val="en-GB"/>
              </w:rPr>
            </w:pPr>
            <w:r w:rsidRPr="00E72BDE">
              <w:rPr>
                <w:rFonts w:eastAsiaTheme="minorEastAsia"/>
                <w:lang w:val="en-GB"/>
              </w:rPr>
              <w:t>60.48 GHz</w:t>
            </w:r>
          </w:p>
        </w:tc>
      </w:tr>
      <w:tr w:rsidR="002C597D" w:rsidRPr="00E72BDE" w14:paraId="79448884" w14:textId="77777777" w:rsidTr="004D1AA0">
        <w:trPr>
          <w:gridAfter w:val="1"/>
          <w:wAfter w:w="1865" w:type="dxa"/>
          <w:trHeight w:val="342"/>
          <w:jc w:val="center"/>
        </w:trPr>
        <w:tc>
          <w:tcPr>
            <w:tcW w:w="2977" w:type="dxa"/>
            <w:gridSpan w:val="2"/>
            <w:vAlign w:val="center"/>
          </w:tcPr>
          <w:p w14:paraId="38CCC376" w14:textId="77777777" w:rsidR="002C597D" w:rsidRPr="00E72BDE" w:rsidRDefault="002C597D" w:rsidP="004D1AA0">
            <w:pPr>
              <w:snapToGrid w:val="0"/>
              <w:jc w:val="both"/>
              <w:rPr>
                <w:lang w:val="en-GB"/>
              </w:rPr>
            </w:pPr>
            <w:r w:rsidRPr="00E72BDE">
              <w:rPr>
                <w:rFonts w:eastAsiaTheme="minorEastAsia"/>
                <w:lang w:val="en-GB"/>
              </w:rPr>
              <w:t>Modulation</w:t>
            </w:r>
          </w:p>
        </w:tc>
        <w:tc>
          <w:tcPr>
            <w:tcW w:w="2977" w:type="dxa"/>
            <w:gridSpan w:val="2"/>
            <w:vAlign w:val="center"/>
          </w:tcPr>
          <w:p w14:paraId="22735EA9" w14:textId="77777777" w:rsidR="002C597D" w:rsidRPr="00E72BDE" w:rsidRDefault="002C597D" w:rsidP="004D1AA0">
            <w:pPr>
              <w:snapToGrid w:val="0"/>
              <w:jc w:val="both"/>
              <w:rPr>
                <w:rFonts w:eastAsiaTheme="minorEastAsia"/>
                <w:lang w:val="en-GB"/>
              </w:rPr>
            </w:pPr>
            <w:r w:rsidRPr="00E72BDE">
              <w:rPr>
                <w:rFonts w:eastAsiaTheme="minorEastAsia"/>
                <w:lang w:val="en-GB"/>
              </w:rPr>
              <w:t>Single carrier</w:t>
            </w:r>
          </w:p>
          <w:p w14:paraId="3F03363D" w14:textId="77777777" w:rsidR="002C597D" w:rsidRPr="00E72BDE" w:rsidRDefault="002C597D" w:rsidP="004D1AA0">
            <w:pPr>
              <w:snapToGrid w:val="0"/>
              <w:jc w:val="both"/>
              <w:rPr>
                <w:lang w:val="en-GB"/>
              </w:rPr>
            </w:pPr>
            <w:r w:rsidRPr="00E72BDE">
              <w:rPr>
                <w:rFonts w:eastAsiaTheme="minorEastAsia"/>
                <w:lang w:val="en-GB"/>
              </w:rPr>
              <w:t>BSPK/QPSK/16QAM</w:t>
            </w:r>
          </w:p>
        </w:tc>
      </w:tr>
      <w:tr w:rsidR="002C597D" w:rsidRPr="00E72BDE" w14:paraId="08E892A0" w14:textId="77777777" w:rsidTr="004D1AA0">
        <w:trPr>
          <w:gridAfter w:val="1"/>
          <w:wAfter w:w="1865" w:type="dxa"/>
          <w:trHeight w:val="329"/>
          <w:jc w:val="center"/>
        </w:trPr>
        <w:tc>
          <w:tcPr>
            <w:tcW w:w="2977" w:type="dxa"/>
            <w:gridSpan w:val="2"/>
            <w:vAlign w:val="center"/>
          </w:tcPr>
          <w:p w14:paraId="55361F4C" w14:textId="77777777" w:rsidR="002C597D" w:rsidRPr="00E72BDE" w:rsidRDefault="002C597D" w:rsidP="004D1AA0">
            <w:pPr>
              <w:snapToGrid w:val="0"/>
              <w:jc w:val="both"/>
              <w:rPr>
                <w:lang w:val="en-GB"/>
              </w:rPr>
            </w:pPr>
            <w:r w:rsidRPr="00E72BDE">
              <w:rPr>
                <w:rFonts w:eastAsiaTheme="minorEastAsia"/>
                <w:lang w:val="en-GB"/>
              </w:rPr>
              <w:t>Beamforming sweep plane</w:t>
            </w:r>
          </w:p>
        </w:tc>
        <w:tc>
          <w:tcPr>
            <w:tcW w:w="2977" w:type="dxa"/>
            <w:gridSpan w:val="2"/>
            <w:vAlign w:val="center"/>
          </w:tcPr>
          <w:p w14:paraId="185B7D74" w14:textId="77777777" w:rsidR="002C597D" w:rsidRPr="00E72BDE" w:rsidRDefault="002C597D" w:rsidP="004D1AA0">
            <w:pPr>
              <w:snapToGrid w:val="0"/>
              <w:jc w:val="both"/>
              <w:rPr>
                <w:lang w:val="en-GB"/>
              </w:rPr>
            </w:pPr>
            <w:r w:rsidRPr="00E72BDE">
              <w:rPr>
                <w:rFonts w:eastAsiaTheme="minorEastAsia"/>
                <w:lang w:val="en-GB"/>
              </w:rPr>
              <w:t>Elevation</w:t>
            </w:r>
          </w:p>
        </w:tc>
      </w:tr>
      <w:tr w:rsidR="002C597D" w:rsidRPr="00E72BDE" w14:paraId="4D95DF36" w14:textId="77777777" w:rsidTr="004D1AA0">
        <w:trPr>
          <w:gridAfter w:val="1"/>
          <w:wAfter w:w="1865" w:type="dxa"/>
          <w:trHeight w:val="329"/>
          <w:jc w:val="center"/>
        </w:trPr>
        <w:tc>
          <w:tcPr>
            <w:tcW w:w="2977" w:type="dxa"/>
            <w:gridSpan w:val="2"/>
            <w:tcBorders>
              <w:bottom w:val="single" w:sz="4" w:space="0" w:color="auto"/>
            </w:tcBorders>
            <w:vAlign w:val="center"/>
          </w:tcPr>
          <w:p w14:paraId="5D4DC28A" w14:textId="77777777" w:rsidR="002C597D" w:rsidRPr="00E72BDE" w:rsidRDefault="002C597D" w:rsidP="004D1AA0">
            <w:pPr>
              <w:snapToGrid w:val="0"/>
              <w:jc w:val="both"/>
              <w:rPr>
                <w:rFonts w:eastAsiaTheme="minorEastAsia"/>
                <w:lang w:val="en-GB"/>
              </w:rPr>
            </w:pPr>
            <w:r w:rsidRPr="00E72BDE">
              <w:rPr>
                <w:rFonts w:eastAsiaTheme="minorEastAsia"/>
                <w:lang w:val="en-GB"/>
              </w:rPr>
              <w:t>Test application</w:t>
            </w:r>
          </w:p>
        </w:tc>
        <w:tc>
          <w:tcPr>
            <w:tcW w:w="2977" w:type="dxa"/>
            <w:gridSpan w:val="2"/>
            <w:tcBorders>
              <w:bottom w:val="single" w:sz="4" w:space="0" w:color="auto"/>
            </w:tcBorders>
            <w:vAlign w:val="center"/>
          </w:tcPr>
          <w:p w14:paraId="0B2D0DBD" w14:textId="77777777" w:rsidR="002C597D" w:rsidRPr="00E72BDE" w:rsidRDefault="002C597D" w:rsidP="004D1AA0">
            <w:pPr>
              <w:snapToGrid w:val="0"/>
              <w:jc w:val="both"/>
              <w:rPr>
                <w:rFonts w:eastAsiaTheme="minorEastAsia"/>
                <w:lang w:val="en-GB"/>
              </w:rPr>
            </w:pPr>
            <w:r w:rsidRPr="00E72BDE">
              <w:rPr>
                <w:rFonts w:eastAsiaTheme="minorEastAsia"/>
                <w:lang w:val="en-GB"/>
              </w:rPr>
              <w:t>iperf3 (for 60 km/h)</w:t>
            </w:r>
          </w:p>
          <w:p w14:paraId="5A74CAD3" w14:textId="77777777" w:rsidR="002C597D" w:rsidRPr="00E72BDE" w:rsidRDefault="002C597D" w:rsidP="004D1AA0">
            <w:pPr>
              <w:snapToGrid w:val="0"/>
              <w:jc w:val="both"/>
              <w:rPr>
                <w:rFonts w:eastAsiaTheme="minorEastAsia"/>
                <w:lang w:val="en-GB"/>
              </w:rPr>
            </w:pPr>
            <w:proofErr w:type="spellStart"/>
            <w:r w:rsidRPr="00E72BDE">
              <w:rPr>
                <w:rFonts w:eastAsiaTheme="minorEastAsia"/>
                <w:lang w:val="en-GB"/>
              </w:rPr>
              <w:t>netcat</w:t>
            </w:r>
            <w:proofErr w:type="spellEnd"/>
            <w:r w:rsidRPr="00E72BDE">
              <w:rPr>
                <w:rFonts w:eastAsiaTheme="minorEastAsia"/>
                <w:lang w:val="en-GB"/>
              </w:rPr>
              <w:t xml:space="preserve"> (for 100 km/h)</w:t>
            </w:r>
          </w:p>
        </w:tc>
      </w:tr>
      <w:tr w:rsidR="002C597D" w:rsidRPr="00E72BDE" w14:paraId="3A6EACD6" w14:textId="77777777" w:rsidTr="004D1AA0">
        <w:trPr>
          <w:gridAfter w:val="1"/>
          <w:wAfter w:w="1865" w:type="dxa"/>
          <w:trHeight w:val="329"/>
          <w:jc w:val="center"/>
        </w:trPr>
        <w:tc>
          <w:tcPr>
            <w:tcW w:w="2977" w:type="dxa"/>
            <w:gridSpan w:val="2"/>
            <w:tcBorders>
              <w:top w:val="single" w:sz="4" w:space="0" w:color="auto"/>
              <w:left w:val="dotted" w:sz="4" w:space="0" w:color="FFFFFF" w:themeColor="background1"/>
              <w:bottom w:val="dotted" w:sz="4" w:space="0" w:color="auto"/>
              <w:right w:val="dotted" w:sz="4" w:space="0" w:color="FFFFFF"/>
            </w:tcBorders>
            <w:vAlign w:val="center"/>
          </w:tcPr>
          <w:p w14:paraId="09A0FD4D" w14:textId="77777777" w:rsidR="002C597D" w:rsidRPr="00E72BDE" w:rsidRDefault="002C597D" w:rsidP="004D1AA0">
            <w:pPr>
              <w:snapToGrid w:val="0"/>
              <w:jc w:val="both"/>
              <w:rPr>
                <w:rFonts w:eastAsiaTheme="minorEastAsia"/>
                <w:lang w:val="en-GB"/>
              </w:rPr>
            </w:pPr>
          </w:p>
        </w:tc>
        <w:tc>
          <w:tcPr>
            <w:tcW w:w="2977" w:type="dxa"/>
            <w:gridSpan w:val="2"/>
            <w:tcBorders>
              <w:top w:val="single" w:sz="4" w:space="0" w:color="auto"/>
              <w:left w:val="dotted" w:sz="4" w:space="0" w:color="FFFFFF"/>
              <w:bottom w:val="dotted" w:sz="4" w:space="0" w:color="auto"/>
              <w:right w:val="dotted" w:sz="4" w:space="0" w:color="FFFFFF" w:themeColor="background1"/>
            </w:tcBorders>
            <w:vAlign w:val="center"/>
          </w:tcPr>
          <w:p w14:paraId="00222EEB" w14:textId="77777777" w:rsidR="002C597D" w:rsidRPr="00E72BDE" w:rsidRDefault="002C597D" w:rsidP="004D1AA0">
            <w:pPr>
              <w:snapToGrid w:val="0"/>
              <w:jc w:val="both"/>
              <w:rPr>
                <w:rFonts w:eastAsiaTheme="minorEastAsia"/>
                <w:lang w:val="en-GB"/>
              </w:rPr>
            </w:pPr>
          </w:p>
        </w:tc>
      </w:tr>
      <w:tr w:rsidR="002C597D" w:rsidRPr="00E72BDE" w14:paraId="1052F4E8" w14:textId="77777777" w:rsidTr="004D1AA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234" w:type="dxa"/>
            <w:gridSpan w:val="3"/>
          </w:tcPr>
          <w:p w14:paraId="42E961D0" w14:textId="5E272EB3" w:rsidR="002C597D" w:rsidRPr="00E72BDE" w:rsidRDefault="002C597D" w:rsidP="004D1AA0">
            <w:pPr>
              <w:tabs>
                <w:tab w:val="left" w:pos="1134"/>
                <w:tab w:val="left" w:pos="1871"/>
                <w:tab w:val="left" w:pos="2268"/>
              </w:tabs>
              <w:overflowPunct w:val="0"/>
              <w:autoSpaceDE w:val="0"/>
              <w:autoSpaceDN w:val="0"/>
              <w:adjustRightInd w:val="0"/>
              <w:spacing w:before="120"/>
              <w:jc w:val="both"/>
              <w:textAlignment w:val="baseline"/>
              <w:rPr>
                <w:b/>
                <w:lang w:val="en-GB"/>
              </w:rPr>
            </w:pPr>
            <w:r w:rsidRPr="00E72BDE">
              <w:rPr>
                <w:b/>
                <w:noProof/>
                <w:lang w:val="en-GB"/>
              </w:rPr>
              <w:drawing>
                <wp:inline distT="0" distB="0" distL="0" distR="0" wp14:anchorId="23B2864B" wp14:editId="52B0A7EE">
                  <wp:extent cx="2743200" cy="2647950"/>
                  <wp:effectExtent l="0" t="0" r="0" b="0"/>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14:paraId="0E5A4926" w14:textId="77777777" w:rsidR="002C597D" w:rsidRPr="00E72BDE" w:rsidRDefault="002C597D" w:rsidP="004D1AA0">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rPr>
            </w:pPr>
            <w:r w:rsidRPr="00E72BDE">
              <w:rPr>
                <w:b/>
                <w:lang w:val="en-GB"/>
              </w:rPr>
              <w:t xml:space="preserve">(i) Vehicle speed </w:t>
            </w:r>
            <w:r w:rsidRPr="00E72BDE">
              <w:rPr>
                <w:rFonts w:eastAsiaTheme="minorEastAsia" w:hint="eastAsia"/>
                <w:b/>
                <w:lang w:val="en-GB"/>
              </w:rPr>
              <w:t>≥</w:t>
            </w:r>
            <w:r w:rsidRPr="00E72BDE">
              <w:rPr>
                <w:rFonts w:eastAsia="MS Mincho"/>
                <w:b/>
                <w:bCs/>
                <w:color w:val="000000"/>
                <w:lang w:val="en-GB"/>
              </w:rPr>
              <w:t>60km/h</w:t>
            </w:r>
          </w:p>
        </w:tc>
        <w:tc>
          <w:tcPr>
            <w:tcW w:w="4585" w:type="dxa"/>
            <w:gridSpan w:val="2"/>
            <w:tcBorders>
              <w:top w:val="dotted" w:sz="4" w:space="0" w:color="auto"/>
            </w:tcBorders>
          </w:tcPr>
          <w:p w14:paraId="38B4EF74" w14:textId="277364DD" w:rsidR="002C597D" w:rsidRPr="00E72BDE" w:rsidRDefault="002C597D" w:rsidP="004D1AA0">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rPr>
            </w:pPr>
            <w:r w:rsidRPr="00E72BDE">
              <w:rPr>
                <w:b/>
                <w:lang w:val="en-GB"/>
              </w:rPr>
              <w:t xml:space="preserve"> </w:t>
            </w:r>
            <w:r w:rsidRPr="00E72BDE">
              <w:rPr>
                <w:b/>
                <w:noProof/>
                <w:lang w:val="en-GB"/>
              </w:rPr>
              <w:drawing>
                <wp:inline distT="0" distB="0" distL="0" distR="0" wp14:anchorId="12D6BA86" wp14:editId="773E2DE3">
                  <wp:extent cx="2743200" cy="2743200"/>
                  <wp:effectExtent l="0" t="0" r="0" b="0"/>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E72BDE">
              <w:rPr>
                <w:b/>
                <w:lang w:val="en-GB"/>
              </w:rPr>
              <w:t>(ii) Vehicle speed</w:t>
            </w:r>
            <w:r w:rsidRPr="00E72BDE">
              <w:rPr>
                <w:rFonts w:eastAsiaTheme="minorEastAsia" w:hint="eastAsia"/>
                <w:b/>
                <w:lang w:val="en-GB"/>
              </w:rPr>
              <w:t>≥</w:t>
            </w:r>
            <w:r w:rsidRPr="00E72BDE">
              <w:rPr>
                <w:rFonts w:eastAsia="MS Mincho"/>
                <w:b/>
                <w:bCs/>
                <w:color w:val="000000"/>
                <w:lang w:val="en-GB"/>
              </w:rPr>
              <w:t>100km/h</w:t>
            </w:r>
          </w:p>
        </w:tc>
      </w:tr>
    </w:tbl>
    <w:p w14:paraId="598A31DC"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rFonts w:eastAsia="MS Mincho"/>
          <w:b/>
          <w:bCs/>
          <w:color w:val="000000"/>
          <w:lang w:val="en-GB" w:eastAsia="ja-JP"/>
        </w:rPr>
        <w:t>FIGURE 6.2 Experimental results of Data transfer test (x-axis: distance to the RSU)</w:t>
      </w:r>
    </w:p>
    <w:p w14:paraId="25A7AD00"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2CA497F1"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Cs/>
          <w:color w:val="000000"/>
          <w:lang w:val="en-GB" w:eastAsia="ja-JP"/>
        </w:rPr>
      </w:pPr>
      <w:r w:rsidRPr="00E72BDE">
        <w:rPr>
          <w:rFonts w:eastAsia="MS Mincho"/>
          <w:bCs/>
          <w:color w:val="000000"/>
          <w:lang w:val="en-GB" w:eastAsia="ja-JP"/>
        </w:rPr>
        <w:t>Attenuation due to rain should be considered in the millimetre wave band, since ITS application is operated outdoor. Depending on the rainfall rate R (mm/h). The attenuation model is defined as following approximated formula by ITU-R Recommendation P.838-3.</w:t>
      </w:r>
    </w:p>
    <w:p w14:paraId="4165C235"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Cs/>
          <w:color w:val="000000"/>
          <w:lang w:val="en-GB" w:eastAsia="ja-JP"/>
        </w:rPr>
      </w:pPr>
      <w:r w:rsidRPr="00E72BDE">
        <w:rPr>
          <w:rFonts w:eastAsia="MS Mincho"/>
          <w:b/>
          <w:bCs/>
          <w:noProof/>
          <w:color w:val="000000"/>
          <w:lang w:val="en-GB" w:eastAsia="ja-JP"/>
        </w:rPr>
        <mc:AlternateContent>
          <mc:Choice Requires="wps">
            <w:drawing>
              <wp:anchor distT="0" distB="0" distL="114300" distR="114300" simplePos="0" relativeHeight="251660288" behindDoc="0" locked="0" layoutInCell="1" allowOverlap="1" wp14:anchorId="1EA3D096" wp14:editId="0D85D02E">
                <wp:simplePos x="0" y="0"/>
                <wp:positionH relativeFrom="margin">
                  <wp:posOffset>235612</wp:posOffset>
                </wp:positionH>
                <wp:positionV relativeFrom="paragraph">
                  <wp:posOffset>250806</wp:posOffset>
                </wp:positionV>
                <wp:extent cx="3787748" cy="312420"/>
                <wp:effectExtent l="0" t="0" r="0" b="0"/>
                <wp:wrapNone/>
                <wp:docPr id="8222" name="テキスト ボックス 3"/>
                <wp:cNvGraphicFramePr/>
                <a:graphic xmlns:a="http://schemas.openxmlformats.org/drawingml/2006/main">
                  <a:graphicData uri="http://schemas.microsoft.com/office/word/2010/wordprocessingShape">
                    <wps:wsp>
                      <wps:cNvSpPr txBox="1"/>
                      <wps:spPr>
                        <a:xfrm>
                          <a:off x="0" y="0"/>
                          <a:ext cx="3787748" cy="312420"/>
                        </a:xfrm>
                        <a:prstGeom prst="rect">
                          <a:avLst/>
                        </a:prstGeom>
                        <a:noFill/>
                      </wps:spPr>
                      <wps:txbx>
                        <w:txbxContent>
                          <w:p w14:paraId="52BE60E6" w14:textId="77777777" w:rsidR="002C597D" w:rsidRPr="00722B5D" w:rsidRDefault="00000000" w:rsidP="002C597D">
                            <w:pPr>
                              <w:pStyle w:val="NormalWeb"/>
                              <w:spacing w:before="0" w:beforeAutospacing="0" w:after="0" w:afterAutospacing="0"/>
                              <w:rPr>
                                <w:sz w:val="20"/>
                                <w:lang w:val="de-DE"/>
                              </w:rPr>
                            </w:pPr>
                            <m:oMath>
                              <m:sSub>
                                <m:sSubPr>
                                  <m:ctrlPr>
                                    <w:rPr>
                                      <w:rFonts w:ascii="Cambria Math" w:eastAsiaTheme="minorEastAsia" w:hAnsi="Cambria Math" w:cstheme="minorBidi"/>
                                      <w:i/>
                                      <w:iCs/>
                                      <w:color w:val="000000" w:themeColor="text1"/>
                                      <w:kern w:val="24"/>
                                      <w:szCs w:val="36"/>
                                    </w:rPr>
                                  </m:ctrlPr>
                                </m:sSubPr>
                                <m:e>
                                  <m:r>
                                    <w:rPr>
                                      <w:rFonts w:ascii="Cambria Math" w:eastAsiaTheme="minorEastAsia" w:hAnsi="Cambria Math" w:cstheme="minorBidi"/>
                                      <w:color w:val="000000" w:themeColor="text1"/>
                                      <w:kern w:val="24"/>
                                      <w:szCs w:val="36"/>
                                    </w:rPr>
                                    <m:t>λ</m:t>
                                  </m:r>
                                </m:e>
                                <m:sub>
                                  <m:r>
                                    <w:rPr>
                                      <w:rFonts w:ascii="Cambria Math" w:eastAsiaTheme="minorEastAsia" w:hAnsi="Cambria Math" w:cstheme="minorBidi"/>
                                      <w:color w:val="000000" w:themeColor="text1"/>
                                      <w:kern w:val="24"/>
                                      <w:szCs w:val="36"/>
                                    </w:rPr>
                                    <m:t>r</m:t>
                                  </m:r>
                                </m:sub>
                              </m:sSub>
                              <m:d>
                                <m:dPr>
                                  <m:ctrlPr>
                                    <w:rPr>
                                      <w:rFonts w:ascii="Cambria Math" w:eastAsiaTheme="minorEastAsia" w:hAnsi="Cambria Math" w:cstheme="minorBidi"/>
                                      <w:i/>
                                      <w:iCs/>
                                      <w:color w:val="000000" w:themeColor="text1"/>
                                      <w:kern w:val="24"/>
                                      <w:szCs w:val="36"/>
                                    </w:rPr>
                                  </m:ctrlPr>
                                </m:dPr>
                                <m:e>
                                  <m:r>
                                    <w:rPr>
                                      <w:rFonts w:ascii="Cambria Math" w:eastAsiaTheme="minorEastAsia" w:hAnsi="Cambria Math" w:cstheme="minorBidi"/>
                                      <w:color w:val="000000" w:themeColor="text1"/>
                                      <w:kern w:val="24"/>
                                      <w:szCs w:val="36"/>
                                    </w:rPr>
                                    <m:t>f</m:t>
                                  </m:r>
                                  <m:d>
                                    <m:dPr>
                                      <m:ctrlPr>
                                        <w:rPr>
                                          <w:rFonts w:ascii="Cambria Math" w:eastAsiaTheme="minorEastAsia" w:hAnsi="Cambria Math" w:cstheme="minorBidi"/>
                                          <w:i/>
                                          <w:iCs/>
                                          <w:color w:val="000000" w:themeColor="text1"/>
                                          <w:kern w:val="24"/>
                                          <w:szCs w:val="36"/>
                                        </w:rPr>
                                      </m:ctrlPr>
                                    </m:dPr>
                                    <m:e>
                                      <m:r>
                                        <w:rPr>
                                          <w:rFonts w:ascii="Cambria Math" w:eastAsiaTheme="minorEastAsia" w:hAnsi="Cambria Math" w:cstheme="minorBidi"/>
                                          <w:color w:val="000000" w:themeColor="text1"/>
                                          <w:kern w:val="24"/>
                                          <w:szCs w:val="36"/>
                                        </w:rPr>
                                        <m:t>GHz</m:t>
                                      </m:r>
                                    </m:e>
                                  </m:d>
                                  <m:r>
                                    <w:rPr>
                                      <w:rFonts w:ascii="Cambria Math" w:eastAsiaTheme="minorEastAsia" w:hAnsi="Cambria Math" w:cstheme="minorBidi"/>
                                      <w:color w:val="000000" w:themeColor="text1"/>
                                      <w:kern w:val="24"/>
                                      <w:szCs w:val="36"/>
                                      <w:lang w:val="de-DE"/>
                                    </w:rPr>
                                    <m:t>,</m:t>
                                  </m:r>
                                  <m:r>
                                    <w:rPr>
                                      <w:rFonts w:ascii="Cambria Math" w:eastAsiaTheme="minorEastAsia" w:hAnsi="Cambria Math" w:cstheme="minorBidi"/>
                                      <w:color w:val="000000" w:themeColor="text1"/>
                                      <w:kern w:val="24"/>
                                      <w:szCs w:val="36"/>
                                    </w:rPr>
                                    <m:t>R</m:t>
                                  </m:r>
                                </m:e>
                              </m:d>
                              <m:r>
                                <w:rPr>
                                  <w:rFonts w:ascii="Cambria Math" w:eastAsiaTheme="minorEastAsia" w:hAnsi="Cambria Math" w:cstheme="minorBidi"/>
                                  <w:color w:val="000000" w:themeColor="text1"/>
                                  <w:kern w:val="24"/>
                                  <w:szCs w:val="36"/>
                                  <w:lang w:val="de-DE"/>
                                </w:rPr>
                                <m:t>=</m:t>
                              </m:r>
                              <m:sSup>
                                <m:sSupPr>
                                  <m:ctrlPr>
                                    <w:rPr>
                                      <w:rFonts w:ascii="Cambria Math" w:eastAsiaTheme="minorEastAsia" w:hAnsi="Cambria Math" w:cstheme="minorBidi"/>
                                      <w:i/>
                                      <w:iCs/>
                                      <w:color w:val="000000" w:themeColor="text1"/>
                                      <w:kern w:val="24"/>
                                      <w:szCs w:val="36"/>
                                    </w:rPr>
                                  </m:ctrlPr>
                                </m:sSupPr>
                                <m:e>
                                  <m:r>
                                    <w:rPr>
                                      <w:rFonts w:ascii="Cambria Math" w:eastAsiaTheme="minorEastAsia" w:hAnsi="Cambria Math" w:cstheme="minorBidi"/>
                                      <w:color w:val="000000" w:themeColor="text1"/>
                                      <w:kern w:val="24"/>
                                      <w:szCs w:val="36"/>
                                    </w:rPr>
                                    <m:t>k</m:t>
                                  </m:r>
                                  <m:r>
                                    <w:rPr>
                                      <w:rFonts w:ascii="Cambria Math" w:eastAsiaTheme="minorEastAsia" w:hAnsi="Cambria Math" w:cstheme="minorBidi"/>
                                      <w:color w:val="000000" w:themeColor="text1"/>
                                      <w:kern w:val="24"/>
                                      <w:szCs w:val="36"/>
                                      <w:lang w:val="de-DE"/>
                                    </w:rPr>
                                    <m:t>(</m:t>
                                  </m:r>
                                  <m:r>
                                    <w:rPr>
                                      <w:rFonts w:ascii="Cambria Math" w:eastAsiaTheme="minorEastAsia" w:hAnsi="Cambria Math" w:cstheme="minorBidi"/>
                                      <w:color w:val="000000" w:themeColor="text1"/>
                                      <w:kern w:val="24"/>
                                      <w:szCs w:val="36"/>
                                    </w:rPr>
                                    <m:t>f</m:t>
                                  </m:r>
                                  <m:r>
                                    <w:rPr>
                                      <w:rFonts w:ascii="Cambria Math" w:eastAsiaTheme="minorEastAsia" w:hAnsi="Cambria Math" w:cstheme="minorBidi"/>
                                      <w:color w:val="000000" w:themeColor="text1"/>
                                      <w:kern w:val="24"/>
                                      <w:szCs w:val="36"/>
                                      <w:lang w:val="de-DE"/>
                                    </w:rPr>
                                    <m:t>)∙</m:t>
                                  </m:r>
                                  <m:r>
                                    <w:rPr>
                                      <w:rFonts w:ascii="Cambria Math" w:eastAsiaTheme="minorEastAsia" w:hAnsi="Cambria Math" w:cstheme="minorBidi"/>
                                      <w:color w:val="000000" w:themeColor="text1"/>
                                      <w:kern w:val="24"/>
                                      <w:szCs w:val="36"/>
                                    </w:rPr>
                                    <m:t>R</m:t>
                                  </m:r>
                                </m:e>
                                <m:sup>
                                  <m:r>
                                    <w:rPr>
                                      <w:rFonts w:ascii="Cambria Math" w:eastAsiaTheme="minorEastAsia" w:hAnsi="Cambria Math" w:cstheme="minorBidi"/>
                                      <w:color w:val="000000" w:themeColor="text1"/>
                                      <w:kern w:val="24"/>
                                      <w:szCs w:val="36"/>
                                    </w:rPr>
                                    <m:t>a</m:t>
                                  </m:r>
                                  <m:r>
                                    <w:rPr>
                                      <w:rFonts w:ascii="Cambria Math" w:eastAsiaTheme="minorEastAsia" w:hAnsi="Cambria Math" w:cstheme="minorBidi"/>
                                      <w:color w:val="000000" w:themeColor="text1"/>
                                      <w:kern w:val="24"/>
                                      <w:szCs w:val="36"/>
                                      <w:lang w:val="de-DE"/>
                                    </w:rPr>
                                    <m:t>(</m:t>
                                  </m:r>
                                  <m:r>
                                    <w:rPr>
                                      <w:rFonts w:ascii="Cambria Math" w:eastAsiaTheme="minorEastAsia" w:hAnsi="Cambria Math" w:cstheme="minorBidi"/>
                                      <w:color w:val="000000" w:themeColor="text1"/>
                                      <w:kern w:val="24"/>
                                      <w:szCs w:val="36"/>
                                    </w:rPr>
                                    <m:t>f</m:t>
                                  </m:r>
                                  <m:r>
                                    <w:rPr>
                                      <w:rFonts w:ascii="Cambria Math" w:eastAsiaTheme="minorEastAsia" w:hAnsi="Cambria Math" w:cstheme="minorBidi"/>
                                      <w:color w:val="000000" w:themeColor="text1"/>
                                      <w:kern w:val="24"/>
                                      <w:szCs w:val="36"/>
                                      <w:lang w:val="de-DE"/>
                                    </w:rPr>
                                    <m:t>)</m:t>
                                  </m:r>
                                </m:sup>
                              </m:sSup>
                            </m:oMath>
                            <w:r w:rsidR="002C597D" w:rsidRPr="00722B5D">
                              <w:rPr>
                                <w:rFonts w:ascii="Cambria Math" w:eastAsiaTheme="minorEastAsia" w:hAnsi="Cambria Math" w:cstheme="minorBidi"/>
                                <w:i/>
                                <w:iCs/>
                                <w:color w:val="000000" w:themeColor="text1"/>
                                <w:kern w:val="24"/>
                                <w:szCs w:val="36"/>
                                <w:lang w:val="de-DE"/>
                              </w:rPr>
                              <w:t xml:space="preserve">  [dB/km]</w:t>
                            </w:r>
                          </w:p>
                          <w:p w14:paraId="6C983690" w14:textId="77777777" w:rsidR="002C597D" w:rsidRPr="00722B5D" w:rsidRDefault="002C597D" w:rsidP="002C597D">
                            <w:pPr>
                              <w:pStyle w:val="NormalWeb"/>
                              <w:spacing w:before="0" w:beforeAutospacing="0" w:after="0" w:afterAutospacing="0"/>
                              <w:rPr>
                                <w:sz w:val="20"/>
                                <w:lang w:val="de-D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A3D096" id="_x0000_t202" coordsize="21600,21600" o:spt="202" path="m,l,21600r21600,l21600,xe">
                <v:stroke joinstyle="miter"/>
                <v:path gradientshapeok="t" o:connecttype="rect"/>
              </v:shapetype>
              <v:shape id="テキスト ボックス 3" o:spid="_x0000_s1026" type="#_x0000_t202" style="position:absolute;left:0;text-align:left;margin-left:18.55pt;margin-top:19.75pt;width:298.25pt;height:2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" filled="f" stroked="f">
                <v:textbox inset="0,0,0,0">
                  <w:txbxContent>
                    <w:p w14:paraId="52BE60E6" w14:textId="77777777" w:rsidR="002C597D" w:rsidRPr="00722B5D" w:rsidRDefault="00000000" w:rsidP="002C597D">
                      <w:pPr>
                        <w:pStyle w:val="NormalWeb"/>
                        <w:spacing w:before="0" w:beforeAutospacing="0" w:after="0" w:afterAutospacing="0"/>
                        <w:rPr>
                          <w:sz w:val="20"/>
                          <w:lang w:val="de-DE"/>
                        </w:rPr>
                      </w:pPr>
                      <m:oMath>
                        <m:sSub>
                          <m:sSubPr>
                            <m:ctrlPr>
                              <w:rPr>
                                <w:rFonts w:ascii="Cambria Math" w:eastAsiaTheme="minorEastAsia" w:hAnsi="Cambria Math" w:cstheme="minorBidi"/>
                                <w:i/>
                                <w:iCs/>
                                <w:color w:val="000000" w:themeColor="text1"/>
                                <w:kern w:val="24"/>
                                <w:szCs w:val="36"/>
                              </w:rPr>
                            </m:ctrlPr>
                          </m:sSubPr>
                          <m:e>
                            <m:r>
                              <w:rPr>
                                <w:rFonts w:ascii="Cambria Math" w:eastAsiaTheme="minorEastAsia" w:hAnsi="Cambria Math" w:cstheme="minorBidi"/>
                                <w:color w:val="000000" w:themeColor="text1"/>
                                <w:kern w:val="24"/>
                                <w:szCs w:val="36"/>
                              </w:rPr>
                              <m:t>λ</m:t>
                            </m:r>
                          </m:e>
                          <m:sub>
                            <m:r>
                              <w:rPr>
                                <w:rFonts w:ascii="Cambria Math" w:eastAsiaTheme="minorEastAsia" w:hAnsi="Cambria Math" w:cstheme="minorBidi"/>
                                <w:color w:val="000000" w:themeColor="text1"/>
                                <w:kern w:val="24"/>
                                <w:szCs w:val="36"/>
                              </w:rPr>
                              <m:t>r</m:t>
                            </m:r>
                          </m:sub>
                        </m:sSub>
                        <m:d>
                          <m:dPr>
                            <m:ctrlPr>
                              <w:rPr>
                                <w:rFonts w:ascii="Cambria Math" w:eastAsiaTheme="minorEastAsia" w:hAnsi="Cambria Math" w:cstheme="minorBidi"/>
                                <w:i/>
                                <w:iCs/>
                                <w:color w:val="000000" w:themeColor="text1"/>
                                <w:kern w:val="24"/>
                                <w:szCs w:val="36"/>
                              </w:rPr>
                            </m:ctrlPr>
                          </m:dPr>
                          <m:e>
                            <m:r>
                              <w:rPr>
                                <w:rFonts w:ascii="Cambria Math" w:eastAsiaTheme="minorEastAsia" w:hAnsi="Cambria Math" w:cstheme="minorBidi"/>
                                <w:color w:val="000000" w:themeColor="text1"/>
                                <w:kern w:val="24"/>
                                <w:szCs w:val="36"/>
                              </w:rPr>
                              <m:t>f</m:t>
                            </m:r>
                            <m:d>
                              <m:dPr>
                                <m:ctrlPr>
                                  <w:rPr>
                                    <w:rFonts w:ascii="Cambria Math" w:eastAsiaTheme="minorEastAsia" w:hAnsi="Cambria Math" w:cstheme="minorBidi"/>
                                    <w:i/>
                                    <w:iCs/>
                                    <w:color w:val="000000" w:themeColor="text1"/>
                                    <w:kern w:val="24"/>
                                    <w:szCs w:val="36"/>
                                  </w:rPr>
                                </m:ctrlPr>
                              </m:dPr>
                              <m:e>
                                <m:r>
                                  <w:rPr>
                                    <w:rFonts w:ascii="Cambria Math" w:eastAsiaTheme="minorEastAsia" w:hAnsi="Cambria Math" w:cstheme="minorBidi"/>
                                    <w:color w:val="000000" w:themeColor="text1"/>
                                    <w:kern w:val="24"/>
                                    <w:szCs w:val="36"/>
                                  </w:rPr>
                                  <m:t>GHz</m:t>
                                </m:r>
                              </m:e>
                            </m:d>
                            <m:r>
                              <w:rPr>
                                <w:rFonts w:ascii="Cambria Math" w:eastAsiaTheme="minorEastAsia" w:hAnsi="Cambria Math" w:cstheme="minorBidi"/>
                                <w:color w:val="000000" w:themeColor="text1"/>
                                <w:kern w:val="24"/>
                                <w:szCs w:val="36"/>
                                <w:lang w:val="de-DE"/>
                              </w:rPr>
                              <m:t>,</m:t>
                            </m:r>
                            <m:r>
                              <w:rPr>
                                <w:rFonts w:ascii="Cambria Math" w:eastAsiaTheme="minorEastAsia" w:hAnsi="Cambria Math" w:cstheme="minorBidi"/>
                                <w:color w:val="000000" w:themeColor="text1"/>
                                <w:kern w:val="24"/>
                                <w:szCs w:val="36"/>
                              </w:rPr>
                              <m:t>R</m:t>
                            </m:r>
                          </m:e>
                        </m:d>
                        <m:r>
                          <w:rPr>
                            <w:rFonts w:ascii="Cambria Math" w:eastAsiaTheme="minorEastAsia" w:hAnsi="Cambria Math" w:cstheme="minorBidi"/>
                            <w:color w:val="000000" w:themeColor="text1"/>
                            <w:kern w:val="24"/>
                            <w:szCs w:val="36"/>
                            <w:lang w:val="de-DE"/>
                          </w:rPr>
                          <m:t>=</m:t>
                        </m:r>
                        <m:sSup>
                          <m:sSupPr>
                            <m:ctrlPr>
                              <w:rPr>
                                <w:rFonts w:ascii="Cambria Math" w:eastAsiaTheme="minorEastAsia" w:hAnsi="Cambria Math" w:cstheme="minorBidi"/>
                                <w:i/>
                                <w:iCs/>
                                <w:color w:val="000000" w:themeColor="text1"/>
                                <w:kern w:val="24"/>
                                <w:szCs w:val="36"/>
                              </w:rPr>
                            </m:ctrlPr>
                          </m:sSupPr>
                          <m:e>
                            <m:r>
                              <w:rPr>
                                <w:rFonts w:ascii="Cambria Math" w:eastAsiaTheme="minorEastAsia" w:hAnsi="Cambria Math" w:cstheme="minorBidi"/>
                                <w:color w:val="000000" w:themeColor="text1"/>
                                <w:kern w:val="24"/>
                                <w:szCs w:val="36"/>
                              </w:rPr>
                              <m:t>k</m:t>
                            </m:r>
                            <m:r>
                              <w:rPr>
                                <w:rFonts w:ascii="Cambria Math" w:eastAsiaTheme="minorEastAsia" w:hAnsi="Cambria Math" w:cstheme="minorBidi"/>
                                <w:color w:val="000000" w:themeColor="text1"/>
                                <w:kern w:val="24"/>
                                <w:szCs w:val="36"/>
                                <w:lang w:val="de-DE"/>
                              </w:rPr>
                              <m:t>(</m:t>
                            </m:r>
                            <m:r>
                              <w:rPr>
                                <w:rFonts w:ascii="Cambria Math" w:eastAsiaTheme="minorEastAsia" w:hAnsi="Cambria Math" w:cstheme="minorBidi"/>
                                <w:color w:val="000000" w:themeColor="text1"/>
                                <w:kern w:val="24"/>
                                <w:szCs w:val="36"/>
                              </w:rPr>
                              <m:t>f</m:t>
                            </m:r>
                            <m:r>
                              <w:rPr>
                                <w:rFonts w:ascii="Cambria Math" w:eastAsiaTheme="minorEastAsia" w:hAnsi="Cambria Math" w:cstheme="minorBidi"/>
                                <w:color w:val="000000" w:themeColor="text1"/>
                                <w:kern w:val="24"/>
                                <w:szCs w:val="36"/>
                                <w:lang w:val="de-DE"/>
                              </w:rPr>
                              <m:t>)∙</m:t>
                            </m:r>
                            <m:r>
                              <w:rPr>
                                <w:rFonts w:ascii="Cambria Math" w:eastAsiaTheme="minorEastAsia" w:hAnsi="Cambria Math" w:cstheme="minorBidi"/>
                                <w:color w:val="000000" w:themeColor="text1"/>
                                <w:kern w:val="24"/>
                                <w:szCs w:val="36"/>
                              </w:rPr>
                              <m:t>R</m:t>
                            </m:r>
                          </m:e>
                          <m:sup>
                            <m:r>
                              <w:rPr>
                                <w:rFonts w:ascii="Cambria Math" w:eastAsiaTheme="minorEastAsia" w:hAnsi="Cambria Math" w:cstheme="minorBidi"/>
                                <w:color w:val="000000" w:themeColor="text1"/>
                                <w:kern w:val="24"/>
                                <w:szCs w:val="36"/>
                              </w:rPr>
                              <m:t>a</m:t>
                            </m:r>
                            <m:r>
                              <w:rPr>
                                <w:rFonts w:ascii="Cambria Math" w:eastAsiaTheme="minorEastAsia" w:hAnsi="Cambria Math" w:cstheme="minorBidi"/>
                                <w:color w:val="000000" w:themeColor="text1"/>
                                <w:kern w:val="24"/>
                                <w:szCs w:val="36"/>
                                <w:lang w:val="de-DE"/>
                              </w:rPr>
                              <m:t>(</m:t>
                            </m:r>
                            <m:r>
                              <w:rPr>
                                <w:rFonts w:ascii="Cambria Math" w:eastAsiaTheme="minorEastAsia" w:hAnsi="Cambria Math" w:cstheme="minorBidi"/>
                                <w:color w:val="000000" w:themeColor="text1"/>
                                <w:kern w:val="24"/>
                                <w:szCs w:val="36"/>
                              </w:rPr>
                              <m:t>f</m:t>
                            </m:r>
                            <m:r>
                              <w:rPr>
                                <w:rFonts w:ascii="Cambria Math" w:eastAsiaTheme="minorEastAsia" w:hAnsi="Cambria Math" w:cstheme="minorBidi"/>
                                <w:color w:val="000000" w:themeColor="text1"/>
                                <w:kern w:val="24"/>
                                <w:szCs w:val="36"/>
                                <w:lang w:val="de-DE"/>
                              </w:rPr>
                              <m:t>)</m:t>
                            </m:r>
                          </m:sup>
                        </m:sSup>
                      </m:oMath>
                      <w:r w:rsidR="002C597D" w:rsidRPr="00722B5D">
                        <w:rPr>
                          <w:rFonts w:ascii="Cambria Math" w:eastAsiaTheme="minorEastAsia" w:hAnsi="Cambria Math" w:cstheme="minorBidi"/>
                          <w:i/>
                          <w:iCs/>
                          <w:color w:val="000000" w:themeColor="text1"/>
                          <w:kern w:val="24"/>
                          <w:szCs w:val="36"/>
                          <w:lang w:val="de-DE"/>
                        </w:rPr>
                        <w:t xml:space="preserve">  [dB/km]</w:t>
                      </w:r>
                    </w:p>
                    <w:p w14:paraId="6C983690" w14:textId="77777777" w:rsidR="002C597D" w:rsidRPr="00722B5D" w:rsidRDefault="002C597D" w:rsidP="002C597D">
                      <w:pPr>
                        <w:pStyle w:val="NormalWeb"/>
                        <w:spacing w:before="0" w:beforeAutospacing="0" w:after="0" w:afterAutospacing="0"/>
                        <w:rPr>
                          <w:sz w:val="20"/>
                          <w:lang w:val="de-DE"/>
                        </w:rPr>
                      </w:pPr>
                    </w:p>
                  </w:txbxContent>
                </v:textbox>
                <w10:wrap anchorx="margin"/>
              </v:shape>
            </w:pict>
          </mc:Fallback>
        </mc:AlternateContent>
      </w:r>
      <w:r w:rsidRPr="00E72BDE">
        <w:rPr>
          <w:rFonts w:eastAsia="MS Mincho"/>
          <w:bCs/>
          <w:color w:val="000000"/>
          <w:lang w:val="en-GB" w:eastAsia="ja-JP"/>
        </w:rPr>
        <w:t xml:space="preserve"> </w:t>
      </w:r>
    </w:p>
    <w:p w14:paraId="77D833EE"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Cs/>
          <w:color w:val="000000"/>
          <w:lang w:val="en-GB" w:eastAsia="ja-JP"/>
        </w:rPr>
      </w:pPr>
      <w:r w:rsidRPr="00E72BDE">
        <w:rPr>
          <w:rFonts w:eastAsia="MS Mincho"/>
          <w:bCs/>
          <w:color w:val="000000"/>
          <w:lang w:val="en-GB" w:eastAsia="ja-JP"/>
        </w:rPr>
        <w:tab/>
      </w:r>
      <w:r w:rsidRPr="00E72BDE">
        <w:rPr>
          <w:rFonts w:eastAsia="MS Mincho"/>
          <w:bCs/>
          <w:color w:val="000000"/>
          <w:lang w:val="en-GB" w:eastAsia="ja-JP"/>
        </w:rPr>
        <w:tab/>
      </w:r>
      <w:r w:rsidRPr="00E72BDE">
        <w:rPr>
          <w:rFonts w:eastAsia="MS Mincho"/>
          <w:bCs/>
          <w:color w:val="000000"/>
          <w:lang w:val="en-GB" w:eastAsia="ja-JP"/>
        </w:rPr>
        <w:tab/>
      </w:r>
      <w:r w:rsidRPr="00E72BDE">
        <w:rPr>
          <w:rFonts w:eastAsia="MS Mincho"/>
          <w:bCs/>
          <w:color w:val="000000"/>
          <w:lang w:val="en-GB" w:eastAsia="ja-JP"/>
        </w:rPr>
        <w:tab/>
      </w:r>
      <w:r w:rsidRPr="00E72BDE">
        <w:rPr>
          <w:rFonts w:eastAsia="MS Mincho"/>
          <w:bCs/>
          <w:color w:val="000000"/>
          <w:lang w:val="en-GB" w:eastAsia="ja-JP"/>
        </w:rPr>
        <w:tab/>
      </w:r>
      <w:r w:rsidRPr="00E72BDE">
        <w:rPr>
          <w:rFonts w:eastAsia="MS Mincho"/>
          <w:bCs/>
          <w:color w:val="000000"/>
          <w:lang w:val="en-GB" w:eastAsia="ja-JP"/>
        </w:rPr>
        <w:tab/>
      </w:r>
      <w:r w:rsidRPr="00E72BDE">
        <w:rPr>
          <w:rFonts w:eastAsia="MS Mincho"/>
          <w:bCs/>
          <w:color w:val="000000"/>
          <w:lang w:val="en-GB" w:eastAsia="ja-JP"/>
        </w:rPr>
        <w:tab/>
      </w:r>
      <w:r w:rsidRPr="00E72BDE">
        <w:rPr>
          <w:rFonts w:eastAsia="MS Mincho"/>
          <w:bCs/>
          <w:color w:val="000000"/>
          <w:lang w:val="en-GB" w:eastAsia="ja-JP"/>
        </w:rPr>
        <w:tab/>
      </w:r>
      <w:r w:rsidRPr="00E72BDE">
        <w:rPr>
          <w:rFonts w:eastAsia="MS Mincho"/>
          <w:bCs/>
          <w:color w:val="000000"/>
          <w:lang w:val="en-GB" w:eastAsia="ja-JP"/>
        </w:rPr>
        <w:tab/>
      </w:r>
      <w:r w:rsidRPr="00E72BDE">
        <w:rPr>
          <w:rFonts w:eastAsia="MS Mincho"/>
          <w:bCs/>
          <w:color w:val="000000"/>
          <w:lang w:val="en-GB" w:eastAsia="ja-JP"/>
        </w:rPr>
        <w:tab/>
        <w:t>(6.1)</w:t>
      </w:r>
    </w:p>
    <w:p w14:paraId="3C4D3902"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Cs/>
          <w:color w:val="000000"/>
          <w:lang w:val="en-GB" w:eastAsia="ja-JP"/>
        </w:rPr>
      </w:pPr>
    </w:p>
    <w:p w14:paraId="7990CBD4"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Cs/>
          <w:color w:val="000000"/>
          <w:lang w:val="en-GB" w:eastAsia="ja-JP"/>
        </w:rPr>
      </w:pPr>
      <w:r w:rsidRPr="00E72BDE">
        <w:rPr>
          <w:rFonts w:eastAsia="MS Mincho"/>
          <w:bCs/>
          <w:color w:val="000000"/>
          <w:lang w:val="en-GB" w:eastAsia="ja-JP"/>
        </w:rPr>
        <w:t>Here</w:t>
      </w:r>
      <w:r w:rsidRPr="00E72BDE">
        <w:rPr>
          <w:rFonts w:eastAsia="MS Mincho"/>
          <w:bCs/>
          <w:i/>
          <w:color w:val="000000"/>
          <w:lang w:val="en-GB" w:eastAsia="ja-JP"/>
        </w:rPr>
        <w:t xml:space="preserve"> </w:t>
      </w:r>
      <w:r w:rsidRPr="00E72BDE">
        <w:rPr>
          <w:rFonts w:ascii="Symbol" w:eastAsia="MS Mincho" w:hAnsi="Symbol"/>
          <w:bCs/>
          <w:i/>
          <w:color w:val="000000"/>
          <w:lang w:val="en-GB" w:eastAsia="ja-JP"/>
        </w:rPr>
        <w:t></w:t>
      </w:r>
      <w:r w:rsidRPr="00E72BDE">
        <w:rPr>
          <w:rFonts w:eastAsia="MS Mincho"/>
          <w:bCs/>
          <w:i/>
          <w:color w:val="000000"/>
          <w:lang w:val="en-GB" w:eastAsia="ja-JP"/>
        </w:rPr>
        <w:t xml:space="preserve">r(dB/km) </w:t>
      </w:r>
      <w:r w:rsidRPr="00E72BDE">
        <w:rPr>
          <w:rFonts w:eastAsia="MS Mincho"/>
          <w:bCs/>
          <w:color w:val="000000"/>
          <w:lang w:val="en-GB" w:eastAsia="ja-JP"/>
        </w:rPr>
        <w:t xml:space="preserve">is the specific attenuation due to rain, and </w:t>
      </w:r>
      <w:r w:rsidRPr="00E72BDE">
        <w:rPr>
          <w:rFonts w:eastAsia="MS Mincho"/>
          <w:bCs/>
          <w:i/>
          <w:color w:val="000000"/>
          <w:lang w:val="en-GB" w:eastAsia="ja-JP"/>
        </w:rPr>
        <w:t xml:space="preserve">k(f) </w:t>
      </w:r>
      <w:r w:rsidRPr="00E72BDE">
        <w:rPr>
          <w:rFonts w:eastAsia="MS Mincho"/>
          <w:bCs/>
          <w:color w:val="000000"/>
          <w:lang w:val="en-GB" w:eastAsia="ja-JP"/>
        </w:rPr>
        <w:t xml:space="preserve">and </w:t>
      </w:r>
      <w:r w:rsidRPr="00E72BDE">
        <w:rPr>
          <w:rFonts w:eastAsia="MS Mincho"/>
          <w:bCs/>
          <w:i/>
          <w:color w:val="000000"/>
          <w:lang w:val="en-GB" w:eastAsia="ja-JP"/>
        </w:rPr>
        <w:t>a(f)</w:t>
      </w:r>
      <w:r w:rsidRPr="00E72BDE">
        <w:rPr>
          <w:rFonts w:eastAsia="MS Mincho"/>
          <w:bCs/>
          <w:color w:val="000000"/>
          <w:lang w:val="en-GB" w:eastAsia="ja-JP"/>
        </w:rPr>
        <w:t xml:space="preserve"> are approximated by following formula.</w:t>
      </w:r>
    </w:p>
    <w:p w14:paraId="42E87682"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Cs/>
          <w:color w:val="000000"/>
          <w:lang w:val="en-GB" w:eastAsia="ja-JP"/>
        </w:rPr>
      </w:pPr>
    </w:p>
    <w:p w14:paraId="6B1721AE"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Cs/>
          <w:color w:val="000000"/>
          <w:lang w:val="en-GB" w:eastAsia="ja-JP"/>
        </w:rPr>
      </w:pPr>
      <w:r w:rsidRPr="00E72BDE">
        <w:rPr>
          <w:rFonts w:eastAsia="MS Mincho"/>
          <w:b/>
          <w:bCs/>
          <w:noProof/>
          <w:color w:val="000000"/>
          <w:lang w:val="en-GB" w:eastAsia="ja-JP"/>
        </w:rPr>
        <mc:AlternateContent>
          <mc:Choice Requires="wps">
            <w:drawing>
              <wp:anchor distT="0" distB="0" distL="114300" distR="114300" simplePos="0" relativeHeight="251659264" behindDoc="0" locked="0" layoutInCell="1" allowOverlap="1" wp14:anchorId="61902556" wp14:editId="71F55005">
                <wp:simplePos x="0" y="0"/>
                <wp:positionH relativeFrom="column">
                  <wp:posOffset>213360</wp:posOffset>
                </wp:positionH>
                <wp:positionV relativeFrom="paragraph">
                  <wp:posOffset>7620</wp:posOffset>
                </wp:positionV>
                <wp:extent cx="4023360" cy="480060"/>
                <wp:effectExtent l="0" t="0" r="0" b="0"/>
                <wp:wrapNone/>
                <wp:docPr id="12" name="テキスト ボックス 3"/>
                <wp:cNvGraphicFramePr/>
                <a:graphic xmlns:a="http://schemas.openxmlformats.org/drawingml/2006/main">
                  <a:graphicData uri="http://schemas.microsoft.com/office/word/2010/wordprocessingShape">
                    <wps:wsp>
                      <wps:cNvSpPr txBox="1"/>
                      <wps:spPr>
                        <a:xfrm>
                          <a:off x="0" y="0"/>
                          <a:ext cx="4023360" cy="480060"/>
                        </a:xfrm>
                        <a:prstGeom prst="rect">
                          <a:avLst/>
                        </a:prstGeom>
                        <a:noFill/>
                      </wps:spPr>
                      <wps:txbx>
                        <w:txbxContent>
                          <w:p w14:paraId="022070B6" w14:textId="77777777" w:rsidR="002C597D" w:rsidRPr="0042397F" w:rsidRDefault="00000000" w:rsidP="002C597D">
                            <w:pPr>
                              <w:pStyle w:val="NormalWeb"/>
                              <w:spacing w:before="0" w:beforeAutospacing="0" w:after="0" w:afterAutospacing="0"/>
                              <w:rPr>
                                <w:sz w:val="20"/>
                              </w:rPr>
                            </w:pPr>
                            <m:oMathPara>
                              <m:oMathParaPr>
                                <m:jc m:val="left"/>
                              </m:oMathParaPr>
                              <m:oMath>
                                <m:sSup>
                                  <m:sSupPr>
                                    <m:ctrlPr>
                                      <w:rPr>
                                        <w:rFonts w:ascii="Cambria Math" w:eastAsiaTheme="minorEastAsia" w:hAnsi="Cambria Math" w:cstheme="minorBidi"/>
                                        <w:i/>
                                        <w:iCs/>
                                        <w:color w:val="000000" w:themeColor="text1"/>
                                        <w:kern w:val="24"/>
                                        <w:szCs w:val="36"/>
                                      </w:rPr>
                                    </m:ctrlPr>
                                  </m:sSupPr>
                                  <m:e>
                                    <m:r>
                                      <w:rPr>
                                        <w:rFonts w:ascii="Cambria Math" w:eastAsiaTheme="minorEastAsia" w:hAnsi="Cambria Math" w:cstheme="minorBidi"/>
                                        <w:color w:val="000000" w:themeColor="text1"/>
                                        <w:kern w:val="24"/>
                                        <w:szCs w:val="36"/>
                                      </w:rPr>
                                      <m:t>k</m:t>
                                    </m:r>
                                    <m:d>
                                      <m:dPr>
                                        <m:ctrlPr>
                                          <w:rPr>
                                            <w:rFonts w:ascii="Cambria Math" w:eastAsiaTheme="minorEastAsia" w:hAnsi="Cambria Math" w:cstheme="minorBidi"/>
                                            <w:i/>
                                            <w:iCs/>
                                            <w:color w:val="000000" w:themeColor="text1"/>
                                            <w:kern w:val="24"/>
                                            <w:szCs w:val="36"/>
                                          </w:rPr>
                                        </m:ctrlPr>
                                      </m:dPr>
                                      <m:e>
                                        <m:r>
                                          <w:rPr>
                                            <w:rFonts w:ascii="Cambria Math" w:eastAsiaTheme="minorEastAsia" w:hAnsi="Cambria Math" w:cstheme="minorBidi"/>
                                            <w:color w:val="000000" w:themeColor="text1"/>
                                            <w:kern w:val="24"/>
                                            <w:szCs w:val="36"/>
                                          </w:rPr>
                                          <m:t>f</m:t>
                                        </m:r>
                                      </m:e>
                                    </m:d>
                                    <m:r>
                                      <w:rPr>
                                        <w:rFonts w:ascii="Cambria Math" w:eastAsiaTheme="minorEastAsia" w:hAnsi="Cambria Math" w:cstheme="minorBidi"/>
                                        <w:color w:val="000000" w:themeColor="text1"/>
                                        <w:kern w:val="24"/>
                                        <w:szCs w:val="36"/>
                                      </w:rPr>
                                      <m:t>=10</m:t>
                                    </m:r>
                                  </m:e>
                                  <m:sup>
                                    <m:r>
                                      <w:rPr>
                                        <w:rFonts w:ascii="Cambria Math" w:eastAsiaTheme="minorEastAsia" w:hAnsi="Cambria Math" w:cstheme="minorBidi"/>
                                        <w:color w:val="000000" w:themeColor="text1"/>
                                        <w:kern w:val="24"/>
                                        <w:szCs w:val="36"/>
                                      </w:rPr>
                                      <m:t>1.203</m:t>
                                    </m:r>
                                    <m:func>
                                      <m:funcPr>
                                        <m:ctrlPr>
                                          <w:rPr>
                                            <w:rFonts w:ascii="Cambria Math" w:eastAsiaTheme="minorEastAsia" w:hAnsi="Cambria Math" w:cstheme="minorBidi"/>
                                            <w:i/>
                                            <w:iCs/>
                                            <w:color w:val="000000" w:themeColor="text1"/>
                                            <w:kern w:val="24"/>
                                            <w:szCs w:val="36"/>
                                          </w:rPr>
                                        </m:ctrlPr>
                                      </m:funcPr>
                                      <m:fName>
                                        <m:r>
                                          <m:rPr>
                                            <m:sty m:val="p"/>
                                          </m:rPr>
                                          <w:rPr>
                                            <w:rFonts w:ascii="Cambria Math" w:eastAsiaTheme="minorEastAsia" w:hAnsi="Cambria Math" w:cstheme="minorBidi"/>
                                            <w:color w:val="000000" w:themeColor="text1"/>
                                            <w:kern w:val="24"/>
                                            <w:szCs w:val="36"/>
                                          </w:rPr>
                                          <m:t>log</m:t>
                                        </m:r>
                                      </m:fName>
                                      <m:e>
                                        <m:d>
                                          <m:dPr>
                                            <m:ctrlPr>
                                              <w:rPr>
                                                <w:rFonts w:ascii="Cambria Math" w:eastAsiaTheme="minorEastAsia" w:hAnsi="Cambria Math" w:cstheme="minorBidi"/>
                                                <w:i/>
                                                <w:iCs/>
                                                <w:color w:val="000000" w:themeColor="text1"/>
                                                <w:kern w:val="24"/>
                                                <w:szCs w:val="36"/>
                                              </w:rPr>
                                            </m:ctrlPr>
                                          </m:dPr>
                                          <m:e>
                                            <m:r>
                                              <w:rPr>
                                                <w:rFonts w:ascii="Cambria Math" w:eastAsiaTheme="minorEastAsia" w:hAnsi="Cambria Math" w:cstheme="minorBidi"/>
                                                <w:color w:val="000000" w:themeColor="text1"/>
                                                <w:kern w:val="24"/>
                                                <w:szCs w:val="36"/>
                                              </w:rPr>
                                              <m:t>f</m:t>
                                            </m:r>
                                          </m:e>
                                        </m:d>
                                      </m:e>
                                    </m:func>
                                    <m:r>
                                      <w:rPr>
                                        <w:rFonts w:ascii="Cambria Math" w:eastAsiaTheme="minorEastAsia" w:hAnsi="Cambria Math" w:cstheme="minorBidi"/>
                                        <w:color w:val="000000" w:themeColor="text1"/>
                                        <w:kern w:val="24"/>
                                        <w:szCs w:val="36"/>
                                      </w:rPr>
                                      <m:t>-2.290</m:t>
                                    </m:r>
                                  </m:sup>
                                </m:sSup>
                              </m:oMath>
                            </m:oMathPara>
                          </w:p>
                          <w:p w14:paraId="31909870" w14:textId="77777777" w:rsidR="002C597D" w:rsidRPr="0042397F" w:rsidRDefault="002C597D" w:rsidP="002C597D">
                            <w:pPr>
                              <w:pStyle w:val="NormalWeb"/>
                              <w:spacing w:before="0" w:beforeAutospacing="0" w:after="0" w:afterAutospacing="0"/>
                              <w:rPr>
                                <w:sz w:val="20"/>
                              </w:rPr>
                            </w:pPr>
                            <m:oMathPara>
                              <m:oMathParaPr>
                                <m:jc m:val="left"/>
                              </m:oMathParaPr>
                              <m:oMath>
                                <m:r>
                                  <w:rPr>
                                    <w:rFonts w:ascii="Cambria Math" w:eastAsiaTheme="minorEastAsia" w:hAnsi="Cambria Math" w:cstheme="minorBidi"/>
                                    <w:color w:val="000000" w:themeColor="text1"/>
                                    <w:kern w:val="24"/>
                                    <w:szCs w:val="36"/>
                                  </w:rPr>
                                  <m:t>a</m:t>
                                </m:r>
                                <m:d>
                                  <m:dPr>
                                    <m:ctrlPr>
                                      <w:rPr>
                                        <w:rFonts w:ascii="Cambria Math" w:eastAsiaTheme="minorEastAsia" w:hAnsi="Cambria Math" w:cstheme="minorBidi"/>
                                        <w:i/>
                                        <w:iCs/>
                                        <w:color w:val="000000" w:themeColor="text1"/>
                                        <w:kern w:val="24"/>
                                        <w:szCs w:val="36"/>
                                      </w:rPr>
                                    </m:ctrlPr>
                                  </m:dPr>
                                  <m:e>
                                    <m:r>
                                      <w:rPr>
                                        <w:rFonts w:ascii="Cambria Math" w:eastAsiaTheme="minorEastAsia" w:hAnsi="Cambria Math" w:cstheme="minorBidi"/>
                                        <w:color w:val="000000" w:themeColor="text1"/>
                                        <w:kern w:val="24"/>
                                        <w:szCs w:val="36"/>
                                      </w:rPr>
                                      <m:t>f</m:t>
                                    </m:r>
                                  </m:e>
                                </m:d>
                                <m:r>
                                  <w:rPr>
                                    <w:rFonts w:ascii="Cambria Math" w:eastAsiaTheme="minorEastAsia" w:hAnsi="Cambria Math" w:cstheme="minorBidi"/>
                                    <w:color w:val="000000" w:themeColor="text1"/>
                                    <w:kern w:val="24"/>
                                    <w:szCs w:val="36"/>
                                  </w:rPr>
                                  <m:t>=1.703-0.493</m:t>
                                </m:r>
                                <m:r>
                                  <m:rPr>
                                    <m:sty m:val="p"/>
                                  </m:rPr>
                                  <w:rPr>
                                    <w:rFonts w:ascii="Cambria Math" w:eastAsiaTheme="minorEastAsia" w:hAnsi="Cambria Math" w:cstheme="minorBidi"/>
                                    <w:color w:val="000000" w:themeColor="text1"/>
                                    <w:kern w:val="24"/>
                                    <w:szCs w:val="36"/>
                                  </w:rPr>
                                  <m:t>log</m:t>
                                </m:r>
                                <m:r>
                                  <w:rPr>
                                    <w:rFonts w:ascii="Cambria Math" w:eastAsiaTheme="minorEastAsia" w:hAnsi="Cambria Math" w:cstheme="minorBidi"/>
                                    <w:color w:val="000000" w:themeColor="text1"/>
                                    <w:kern w:val="24"/>
                                    <w:szCs w:val="36"/>
                                  </w:rPr>
                                  <m:t>⁡(f)</m:t>
                                </m:r>
                              </m:oMath>
                            </m:oMathPara>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1902556" id="_x0000_s1027" type="#_x0000_t202" style="position:absolute;left:0;text-align:left;margin-left:16.8pt;margin-top:.6pt;width:316.8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" filled="f" stroked="f">
                <v:textbox inset="0,0,0,0">
                  <w:txbxContent>
                    <w:p w14:paraId="022070B6" w14:textId="77777777" w:rsidR="002C597D" w:rsidRPr="0042397F" w:rsidRDefault="00000000" w:rsidP="002C597D">
                      <w:pPr>
                        <w:pStyle w:val="NormalWeb"/>
                        <w:spacing w:before="0" w:beforeAutospacing="0" w:after="0" w:afterAutospacing="0"/>
                        <w:rPr>
                          <w:sz w:val="20"/>
                        </w:rPr>
                      </w:pPr>
                      <m:oMathPara>
                        <m:oMathParaPr>
                          <m:jc m:val="left"/>
                        </m:oMathParaPr>
                        <m:oMath>
                          <m:sSup>
                            <m:sSupPr>
                              <m:ctrlPr>
                                <w:rPr>
                                  <w:rFonts w:ascii="Cambria Math" w:eastAsiaTheme="minorEastAsia" w:hAnsi="Cambria Math" w:cstheme="minorBidi"/>
                                  <w:i/>
                                  <w:iCs/>
                                  <w:color w:val="000000" w:themeColor="text1"/>
                                  <w:kern w:val="24"/>
                                  <w:szCs w:val="36"/>
                                </w:rPr>
                              </m:ctrlPr>
                            </m:sSupPr>
                            <m:e>
                              <m:r>
                                <w:rPr>
                                  <w:rFonts w:ascii="Cambria Math" w:eastAsiaTheme="minorEastAsia" w:hAnsi="Cambria Math" w:cstheme="minorBidi"/>
                                  <w:color w:val="000000" w:themeColor="text1"/>
                                  <w:kern w:val="24"/>
                                  <w:szCs w:val="36"/>
                                </w:rPr>
                                <m:t>k</m:t>
                              </m:r>
                              <m:d>
                                <m:dPr>
                                  <m:ctrlPr>
                                    <w:rPr>
                                      <w:rFonts w:ascii="Cambria Math" w:eastAsiaTheme="minorEastAsia" w:hAnsi="Cambria Math" w:cstheme="minorBidi"/>
                                      <w:i/>
                                      <w:iCs/>
                                      <w:color w:val="000000" w:themeColor="text1"/>
                                      <w:kern w:val="24"/>
                                      <w:szCs w:val="36"/>
                                    </w:rPr>
                                  </m:ctrlPr>
                                </m:dPr>
                                <m:e>
                                  <m:r>
                                    <w:rPr>
                                      <w:rFonts w:ascii="Cambria Math" w:eastAsiaTheme="minorEastAsia" w:hAnsi="Cambria Math" w:cstheme="minorBidi"/>
                                      <w:color w:val="000000" w:themeColor="text1"/>
                                      <w:kern w:val="24"/>
                                      <w:szCs w:val="36"/>
                                    </w:rPr>
                                    <m:t>f</m:t>
                                  </m:r>
                                </m:e>
                              </m:d>
                              <m:r>
                                <w:rPr>
                                  <w:rFonts w:ascii="Cambria Math" w:eastAsiaTheme="minorEastAsia" w:hAnsi="Cambria Math" w:cstheme="minorBidi"/>
                                  <w:color w:val="000000" w:themeColor="text1"/>
                                  <w:kern w:val="24"/>
                                  <w:szCs w:val="36"/>
                                </w:rPr>
                                <m:t>=10</m:t>
                              </m:r>
                            </m:e>
                            <m:sup>
                              <m:r>
                                <w:rPr>
                                  <w:rFonts w:ascii="Cambria Math" w:eastAsiaTheme="minorEastAsia" w:hAnsi="Cambria Math" w:cstheme="minorBidi"/>
                                  <w:color w:val="000000" w:themeColor="text1"/>
                                  <w:kern w:val="24"/>
                                  <w:szCs w:val="36"/>
                                </w:rPr>
                                <m:t>1.203</m:t>
                              </m:r>
                              <m:func>
                                <m:funcPr>
                                  <m:ctrlPr>
                                    <w:rPr>
                                      <w:rFonts w:ascii="Cambria Math" w:eastAsiaTheme="minorEastAsia" w:hAnsi="Cambria Math" w:cstheme="minorBidi"/>
                                      <w:i/>
                                      <w:iCs/>
                                      <w:color w:val="000000" w:themeColor="text1"/>
                                      <w:kern w:val="24"/>
                                      <w:szCs w:val="36"/>
                                    </w:rPr>
                                  </m:ctrlPr>
                                </m:funcPr>
                                <m:fName>
                                  <m:r>
                                    <m:rPr>
                                      <m:sty m:val="p"/>
                                    </m:rPr>
                                    <w:rPr>
                                      <w:rFonts w:ascii="Cambria Math" w:eastAsiaTheme="minorEastAsia" w:hAnsi="Cambria Math" w:cstheme="minorBidi"/>
                                      <w:color w:val="000000" w:themeColor="text1"/>
                                      <w:kern w:val="24"/>
                                      <w:szCs w:val="36"/>
                                    </w:rPr>
                                    <m:t>log</m:t>
                                  </m:r>
                                </m:fName>
                                <m:e>
                                  <m:d>
                                    <m:dPr>
                                      <m:ctrlPr>
                                        <w:rPr>
                                          <w:rFonts w:ascii="Cambria Math" w:eastAsiaTheme="minorEastAsia" w:hAnsi="Cambria Math" w:cstheme="minorBidi"/>
                                          <w:i/>
                                          <w:iCs/>
                                          <w:color w:val="000000" w:themeColor="text1"/>
                                          <w:kern w:val="24"/>
                                          <w:szCs w:val="36"/>
                                        </w:rPr>
                                      </m:ctrlPr>
                                    </m:dPr>
                                    <m:e>
                                      <m:r>
                                        <w:rPr>
                                          <w:rFonts w:ascii="Cambria Math" w:eastAsiaTheme="minorEastAsia" w:hAnsi="Cambria Math" w:cstheme="minorBidi"/>
                                          <w:color w:val="000000" w:themeColor="text1"/>
                                          <w:kern w:val="24"/>
                                          <w:szCs w:val="36"/>
                                        </w:rPr>
                                        <m:t>f</m:t>
                                      </m:r>
                                    </m:e>
                                  </m:d>
                                </m:e>
                              </m:func>
                              <m:r>
                                <w:rPr>
                                  <w:rFonts w:ascii="Cambria Math" w:eastAsiaTheme="minorEastAsia" w:hAnsi="Cambria Math" w:cstheme="minorBidi"/>
                                  <w:color w:val="000000" w:themeColor="text1"/>
                                  <w:kern w:val="24"/>
                                  <w:szCs w:val="36"/>
                                </w:rPr>
                                <m:t>-2.290</m:t>
                              </m:r>
                            </m:sup>
                          </m:sSup>
                        </m:oMath>
                      </m:oMathPara>
                    </w:p>
                    <w:p w14:paraId="31909870" w14:textId="77777777" w:rsidR="002C597D" w:rsidRPr="0042397F" w:rsidRDefault="002C597D" w:rsidP="002C597D">
                      <w:pPr>
                        <w:pStyle w:val="NormalWeb"/>
                        <w:spacing w:before="0" w:beforeAutospacing="0" w:after="0" w:afterAutospacing="0"/>
                        <w:rPr>
                          <w:sz w:val="20"/>
                        </w:rPr>
                      </w:pPr>
                      <m:oMathPara>
                        <m:oMathParaPr>
                          <m:jc m:val="left"/>
                        </m:oMathParaPr>
                        <m:oMath>
                          <m:r>
                            <w:rPr>
                              <w:rFonts w:ascii="Cambria Math" w:eastAsiaTheme="minorEastAsia" w:hAnsi="Cambria Math" w:cstheme="minorBidi"/>
                              <w:color w:val="000000" w:themeColor="text1"/>
                              <w:kern w:val="24"/>
                              <w:szCs w:val="36"/>
                            </w:rPr>
                            <m:t>a</m:t>
                          </m:r>
                          <m:d>
                            <m:dPr>
                              <m:ctrlPr>
                                <w:rPr>
                                  <w:rFonts w:ascii="Cambria Math" w:eastAsiaTheme="minorEastAsia" w:hAnsi="Cambria Math" w:cstheme="minorBidi"/>
                                  <w:i/>
                                  <w:iCs/>
                                  <w:color w:val="000000" w:themeColor="text1"/>
                                  <w:kern w:val="24"/>
                                  <w:szCs w:val="36"/>
                                </w:rPr>
                              </m:ctrlPr>
                            </m:dPr>
                            <m:e>
                              <m:r>
                                <w:rPr>
                                  <w:rFonts w:ascii="Cambria Math" w:eastAsiaTheme="minorEastAsia" w:hAnsi="Cambria Math" w:cstheme="minorBidi"/>
                                  <w:color w:val="000000" w:themeColor="text1"/>
                                  <w:kern w:val="24"/>
                                  <w:szCs w:val="36"/>
                                </w:rPr>
                                <m:t>f</m:t>
                              </m:r>
                            </m:e>
                          </m:d>
                          <m:r>
                            <w:rPr>
                              <w:rFonts w:ascii="Cambria Math" w:eastAsiaTheme="minorEastAsia" w:hAnsi="Cambria Math" w:cstheme="minorBidi"/>
                              <w:color w:val="000000" w:themeColor="text1"/>
                              <w:kern w:val="24"/>
                              <w:szCs w:val="36"/>
                            </w:rPr>
                            <m:t>=1.703-0.493</m:t>
                          </m:r>
                          <m:r>
                            <m:rPr>
                              <m:sty m:val="p"/>
                            </m:rPr>
                            <w:rPr>
                              <w:rFonts w:ascii="Cambria Math" w:eastAsiaTheme="minorEastAsia" w:hAnsi="Cambria Math" w:cstheme="minorBidi"/>
                              <w:color w:val="000000" w:themeColor="text1"/>
                              <w:kern w:val="24"/>
                              <w:szCs w:val="36"/>
                            </w:rPr>
                            <m:t>log</m:t>
                          </m:r>
                          <m:r>
                            <w:rPr>
                              <w:rFonts w:ascii="Cambria Math" w:eastAsiaTheme="minorEastAsia" w:hAnsi="Cambria Math" w:cstheme="minorBidi"/>
                              <w:color w:val="000000" w:themeColor="text1"/>
                              <w:kern w:val="24"/>
                              <w:szCs w:val="36"/>
                            </w:rPr>
                            <m:t>⁡(f)</m:t>
                          </m:r>
                        </m:oMath>
                      </m:oMathPara>
                    </w:p>
                  </w:txbxContent>
                </v:textbox>
              </v:shape>
            </w:pict>
          </mc:Fallback>
        </mc:AlternateContent>
      </w:r>
      <w:r w:rsidRPr="00E72BDE">
        <w:rPr>
          <w:rFonts w:eastAsia="MS Mincho"/>
          <w:b/>
          <w:bCs/>
          <w:color w:val="000000"/>
          <w:lang w:val="en-GB" w:eastAsia="ja-JP"/>
        </w:rPr>
        <w:tab/>
      </w:r>
      <w:r w:rsidRPr="00E72BDE">
        <w:rPr>
          <w:rFonts w:eastAsia="MS Mincho"/>
          <w:b/>
          <w:bCs/>
          <w:color w:val="000000"/>
          <w:lang w:val="en-GB" w:eastAsia="ja-JP"/>
        </w:rPr>
        <w:tab/>
      </w:r>
      <w:r w:rsidRPr="00E72BDE">
        <w:rPr>
          <w:rFonts w:eastAsia="MS Mincho"/>
          <w:b/>
          <w:bCs/>
          <w:color w:val="000000"/>
          <w:lang w:val="en-GB" w:eastAsia="ja-JP"/>
        </w:rPr>
        <w:tab/>
      </w:r>
      <w:r w:rsidRPr="00E72BDE">
        <w:rPr>
          <w:rFonts w:eastAsia="MS Mincho"/>
          <w:b/>
          <w:bCs/>
          <w:color w:val="000000"/>
          <w:lang w:val="en-GB" w:eastAsia="ja-JP"/>
        </w:rPr>
        <w:tab/>
      </w:r>
      <w:r w:rsidRPr="00E72BDE">
        <w:rPr>
          <w:rFonts w:eastAsia="MS Mincho"/>
          <w:b/>
          <w:bCs/>
          <w:color w:val="000000"/>
          <w:lang w:val="en-GB" w:eastAsia="ja-JP"/>
        </w:rPr>
        <w:tab/>
      </w:r>
      <w:r w:rsidRPr="00E72BDE">
        <w:rPr>
          <w:rFonts w:eastAsia="MS Mincho"/>
          <w:b/>
          <w:bCs/>
          <w:color w:val="000000"/>
          <w:lang w:val="en-GB" w:eastAsia="ja-JP"/>
        </w:rPr>
        <w:tab/>
      </w:r>
      <w:r w:rsidRPr="00E72BDE">
        <w:rPr>
          <w:rFonts w:eastAsia="MS Mincho"/>
          <w:b/>
          <w:bCs/>
          <w:color w:val="000000"/>
          <w:lang w:val="en-GB" w:eastAsia="ja-JP"/>
        </w:rPr>
        <w:tab/>
      </w:r>
      <w:r w:rsidRPr="00E72BDE">
        <w:rPr>
          <w:rFonts w:eastAsia="MS Mincho"/>
          <w:b/>
          <w:bCs/>
          <w:color w:val="000000"/>
          <w:lang w:val="en-GB" w:eastAsia="ja-JP"/>
        </w:rPr>
        <w:tab/>
      </w:r>
      <w:r w:rsidRPr="00E72BDE">
        <w:rPr>
          <w:rFonts w:eastAsia="MS Mincho"/>
          <w:b/>
          <w:bCs/>
          <w:color w:val="000000"/>
          <w:lang w:val="en-GB" w:eastAsia="ja-JP"/>
        </w:rPr>
        <w:tab/>
      </w:r>
      <w:r w:rsidRPr="00E72BDE">
        <w:rPr>
          <w:rFonts w:eastAsia="MS Mincho"/>
          <w:bCs/>
          <w:color w:val="000000"/>
          <w:lang w:val="en-GB" w:eastAsia="ja-JP"/>
        </w:rPr>
        <w:tab/>
        <w:t>(6.2)</w:t>
      </w:r>
    </w:p>
    <w:p w14:paraId="717402D9"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0A9E3BBE"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Cs/>
          <w:color w:val="000000"/>
          <w:lang w:val="en-GB" w:eastAsia="ja-JP"/>
        </w:rPr>
      </w:pPr>
    </w:p>
    <w:p w14:paraId="736693B4"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Cs/>
          <w:color w:val="000000"/>
          <w:lang w:val="en-GB" w:eastAsia="ja-JP"/>
        </w:rPr>
      </w:pPr>
      <w:r w:rsidRPr="00E72BDE">
        <w:rPr>
          <w:rFonts w:eastAsia="MS Mincho"/>
          <w:bCs/>
          <w:color w:val="000000"/>
          <w:lang w:val="en-GB" w:eastAsia="ja-JP"/>
        </w:rPr>
        <w:lastRenderedPageBreak/>
        <w:t>At a rain rate of 50 mm/h, the attenuation reaches 18 dB/km, which has a significant effect on transmission over 1-km. However, for inter vehicle or vehicle to infrastructure communication required by ITS applications, it is not so severe degradation because it is about 100m range to be covered.</w:t>
      </w:r>
    </w:p>
    <w:p w14:paraId="6A171FE4"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142F6FC2"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ind w:firstLine="120"/>
        <w:jc w:val="both"/>
        <w:textAlignment w:val="baseline"/>
        <w:rPr>
          <w:rFonts w:eastAsia="MS Mincho"/>
          <w:b/>
          <w:bCs/>
          <w:color w:val="000000"/>
          <w:lang w:val="en-GB" w:eastAsia="ja-JP"/>
        </w:rPr>
      </w:pPr>
      <w:r w:rsidRPr="00E72BDE">
        <w:rPr>
          <w:rFonts w:eastAsia="MS Mincho"/>
          <w:b/>
          <w:bCs/>
          <w:color w:val="000000"/>
          <w:lang w:val="en-GB" w:eastAsia="ja-JP"/>
        </w:rPr>
        <w:t>Frequency usage</w:t>
      </w:r>
    </w:p>
    <w:p w14:paraId="7ADF179A"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Chars="-1" w:left="-2" w:firstLineChars="59" w:firstLine="142"/>
        <w:jc w:val="both"/>
        <w:textAlignment w:val="baseline"/>
        <w:rPr>
          <w:rFonts w:eastAsia="MS Mincho"/>
          <w:bCs/>
          <w:color w:val="000000"/>
          <w:lang w:val="en-GB" w:eastAsia="ja-JP"/>
        </w:rPr>
      </w:pPr>
      <w:r w:rsidRPr="00E72BDE">
        <w:rPr>
          <w:rFonts w:eastAsia="MS Mincho"/>
          <w:bCs/>
          <w:color w:val="000000"/>
          <w:lang w:val="en-GB" w:eastAsia="ja-JP"/>
        </w:rPr>
        <w:t xml:space="preserve">The usage status of 60 GHz band wireless communication systems in APT countries shown in TABLE 6.4. Many APT countries adopted 60 GHz band for wireless LAN or fixed wireless as license exempt. 60 GHz band is not allocated only for ITS usage. </w:t>
      </w:r>
    </w:p>
    <w:p w14:paraId="5B995CA4" w14:textId="3B076F7C" w:rsidR="002C597D" w:rsidRDefault="002C597D" w:rsidP="002C597D">
      <w:pPr>
        <w:pStyle w:val="ListParagraph"/>
        <w:tabs>
          <w:tab w:val="left" w:pos="1134"/>
          <w:tab w:val="left" w:pos="1871"/>
          <w:tab w:val="left" w:pos="2268"/>
        </w:tabs>
        <w:overflowPunct w:val="0"/>
        <w:autoSpaceDE w:val="0"/>
        <w:autoSpaceDN w:val="0"/>
        <w:adjustRightInd w:val="0"/>
        <w:spacing w:before="120"/>
        <w:ind w:leftChars="-1" w:left="-2" w:firstLineChars="59" w:firstLine="142"/>
        <w:jc w:val="both"/>
        <w:textAlignment w:val="baseline"/>
        <w:rPr>
          <w:rFonts w:eastAsia="MS Mincho"/>
          <w:bCs/>
          <w:color w:val="000000"/>
          <w:lang w:val="en-GB" w:eastAsia="ja-JP"/>
        </w:rPr>
      </w:pPr>
    </w:p>
    <w:p w14:paraId="274CCE07" w14:textId="77777777" w:rsidR="00E71085" w:rsidRPr="00E72BDE" w:rsidRDefault="00E71085" w:rsidP="002C597D">
      <w:pPr>
        <w:pStyle w:val="ListParagraph"/>
        <w:tabs>
          <w:tab w:val="left" w:pos="1134"/>
          <w:tab w:val="left" w:pos="1871"/>
          <w:tab w:val="left" w:pos="2268"/>
        </w:tabs>
        <w:overflowPunct w:val="0"/>
        <w:autoSpaceDE w:val="0"/>
        <w:autoSpaceDN w:val="0"/>
        <w:adjustRightInd w:val="0"/>
        <w:spacing w:before="120"/>
        <w:ind w:leftChars="-1" w:left="-2" w:firstLineChars="59" w:firstLine="142"/>
        <w:jc w:val="both"/>
        <w:textAlignment w:val="baseline"/>
        <w:rPr>
          <w:rFonts w:eastAsia="MS Mincho"/>
          <w:bCs/>
          <w:color w:val="000000"/>
          <w:lang w:val="en-GB" w:eastAsia="ja-JP"/>
        </w:rPr>
      </w:pPr>
    </w:p>
    <w:p w14:paraId="2583D66C"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Chars="-1" w:left="-2" w:firstLineChars="59" w:firstLine="142"/>
        <w:jc w:val="both"/>
        <w:textAlignment w:val="baseline"/>
        <w:rPr>
          <w:rFonts w:eastAsia="MS Mincho"/>
          <w:b/>
          <w:bCs/>
          <w:color w:val="000000"/>
          <w:lang w:val="en-GB" w:eastAsia="ja-JP"/>
        </w:rPr>
      </w:pPr>
      <w:r w:rsidRPr="00E72BDE">
        <w:rPr>
          <w:rFonts w:eastAsia="MS Mincho"/>
          <w:b/>
          <w:bCs/>
          <w:color w:val="000000"/>
          <w:lang w:val="en-GB" w:eastAsia="ja-JP"/>
        </w:rPr>
        <w:t xml:space="preserve"> TABLE 6.4 60 GHz band regulations in APT countries</w:t>
      </w:r>
    </w:p>
    <w:p w14:paraId="4DC5B4B7"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Chars="-1" w:left="-2" w:firstLineChars="59" w:firstLine="142"/>
        <w:jc w:val="both"/>
        <w:textAlignment w:val="baseline"/>
        <w:rPr>
          <w:rFonts w:eastAsia="MS Mincho"/>
          <w:b/>
          <w:bCs/>
          <w:color w:val="000000"/>
          <w:lang w:val="en-GB" w:eastAsia="ja-JP"/>
        </w:rPr>
      </w:pPr>
    </w:p>
    <w:tbl>
      <w:tblPr>
        <w:tblStyle w:val="TableGrid"/>
        <w:tblW w:w="0" w:type="auto"/>
        <w:tblInd w:w="-2" w:type="dxa"/>
        <w:tblLook w:val="04A0" w:firstRow="1" w:lastRow="0" w:firstColumn="1" w:lastColumn="0" w:noHBand="0" w:noVBand="1"/>
      </w:tblPr>
      <w:tblGrid>
        <w:gridCol w:w="1273"/>
        <w:gridCol w:w="1276"/>
        <w:gridCol w:w="1559"/>
        <w:gridCol w:w="2126"/>
        <w:gridCol w:w="1401"/>
        <w:gridCol w:w="1528"/>
      </w:tblGrid>
      <w:tr w:rsidR="002C597D" w:rsidRPr="00E72BDE" w14:paraId="0217E0CF" w14:textId="77777777" w:rsidTr="004D1AA0">
        <w:tc>
          <w:tcPr>
            <w:tcW w:w="1273" w:type="dxa"/>
            <w:vMerge w:val="restart"/>
          </w:tcPr>
          <w:p w14:paraId="34B2B543"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Country</w:t>
            </w:r>
          </w:p>
        </w:tc>
        <w:tc>
          <w:tcPr>
            <w:tcW w:w="1276" w:type="dxa"/>
            <w:vMerge w:val="restart"/>
          </w:tcPr>
          <w:p w14:paraId="46E08A94"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Frequency Range [GHz]</w:t>
            </w:r>
          </w:p>
        </w:tc>
        <w:tc>
          <w:tcPr>
            <w:tcW w:w="1559" w:type="dxa"/>
            <w:vMerge w:val="restart"/>
          </w:tcPr>
          <w:p w14:paraId="2F31354B"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Effective isotropic radiated power (EIRP)</w:t>
            </w:r>
          </w:p>
        </w:tc>
        <w:tc>
          <w:tcPr>
            <w:tcW w:w="2126" w:type="dxa"/>
          </w:tcPr>
          <w:p w14:paraId="0DD65CCF"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 xml:space="preserve">Antenna power </w:t>
            </w:r>
          </w:p>
        </w:tc>
        <w:tc>
          <w:tcPr>
            <w:tcW w:w="1401" w:type="dxa"/>
            <w:vMerge w:val="restart"/>
          </w:tcPr>
          <w:p w14:paraId="73B32D83"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Occupied bandwidth</w:t>
            </w:r>
          </w:p>
        </w:tc>
        <w:tc>
          <w:tcPr>
            <w:tcW w:w="1528" w:type="dxa"/>
            <w:vMerge w:val="restart"/>
          </w:tcPr>
          <w:p w14:paraId="3BE60342"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Related standards</w:t>
            </w:r>
          </w:p>
        </w:tc>
      </w:tr>
      <w:tr w:rsidR="002C597D" w:rsidRPr="00E72BDE" w14:paraId="1EBF7B89" w14:textId="77777777" w:rsidTr="004D1AA0">
        <w:tc>
          <w:tcPr>
            <w:tcW w:w="1273" w:type="dxa"/>
            <w:vMerge/>
          </w:tcPr>
          <w:p w14:paraId="691812E7"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276" w:type="dxa"/>
            <w:vMerge/>
          </w:tcPr>
          <w:p w14:paraId="5B9A207B"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559" w:type="dxa"/>
            <w:vMerge/>
          </w:tcPr>
          <w:p w14:paraId="42DCE321"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2126" w:type="dxa"/>
          </w:tcPr>
          <w:p w14:paraId="2F0237AA"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Antenna Gain</w:t>
            </w:r>
          </w:p>
        </w:tc>
        <w:tc>
          <w:tcPr>
            <w:tcW w:w="1401" w:type="dxa"/>
            <w:vMerge/>
          </w:tcPr>
          <w:p w14:paraId="031E43F6"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528" w:type="dxa"/>
            <w:vMerge/>
          </w:tcPr>
          <w:p w14:paraId="3B21E79E"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r>
      <w:tr w:rsidR="002C597D" w:rsidRPr="00E72BDE" w14:paraId="4CDF914B" w14:textId="77777777" w:rsidTr="004D1AA0">
        <w:tc>
          <w:tcPr>
            <w:tcW w:w="1273" w:type="dxa"/>
            <w:vMerge w:val="restart"/>
          </w:tcPr>
          <w:p w14:paraId="32F2E6CD"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Japan</w:t>
            </w:r>
          </w:p>
        </w:tc>
        <w:tc>
          <w:tcPr>
            <w:tcW w:w="1276" w:type="dxa"/>
            <w:vMerge w:val="restart"/>
          </w:tcPr>
          <w:p w14:paraId="2B8D0A82"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57-66</w:t>
            </w:r>
          </w:p>
        </w:tc>
        <w:tc>
          <w:tcPr>
            <w:tcW w:w="1559" w:type="dxa"/>
            <w:vMerge w:val="restart"/>
          </w:tcPr>
          <w:p w14:paraId="5CD8F45E"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40 dBm</w:t>
            </w:r>
          </w:p>
        </w:tc>
        <w:tc>
          <w:tcPr>
            <w:tcW w:w="2126" w:type="dxa"/>
          </w:tcPr>
          <w:p w14:paraId="0A239D82"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 xml:space="preserve">10mW~250 </w:t>
            </w:r>
            <w:proofErr w:type="spellStart"/>
            <w:r w:rsidRPr="00E72BDE">
              <w:rPr>
                <w:rFonts w:eastAsia="MS Mincho"/>
                <w:bCs/>
                <w:color w:val="000000"/>
                <w:lang w:val="en-GB" w:eastAsia="ja-JP"/>
              </w:rPr>
              <w:t>mW</w:t>
            </w:r>
            <w:proofErr w:type="spellEnd"/>
          </w:p>
        </w:tc>
        <w:tc>
          <w:tcPr>
            <w:tcW w:w="1401" w:type="dxa"/>
            <w:vMerge w:val="restart"/>
          </w:tcPr>
          <w:p w14:paraId="135E3229"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2.5GHz</w:t>
            </w:r>
          </w:p>
        </w:tc>
        <w:tc>
          <w:tcPr>
            <w:tcW w:w="1528" w:type="dxa"/>
            <w:vMerge w:val="restart"/>
          </w:tcPr>
          <w:p w14:paraId="1FB70FA3"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ARIBSTD-T117</w:t>
            </w:r>
          </w:p>
        </w:tc>
      </w:tr>
      <w:tr w:rsidR="002C597D" w:rsidRPr="00E72BDE" w14:paraId="76654C75" w14:textId="77777777" w:rsidTr="004D1AA0">
        <w:tc>
          <w:tcPr>
            <w:tcW w:w="1273" w:type="dxa"/>
            <w:vMerge/>
          </w:tcPr>
          <w:p w14:paraId="37D5C31D"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276" w:type="dxa"/>
            <w:vMerge/>
          </w:tcPr>
          <w:p w14:paraId="1EAAF359"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559" w:type="dxa"/>
            <w:vMerge/>
          </w:tcPr>
          <w:p w14:paraId="1F465F92"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2126" w:type="dxa"/>
          </w:tcPr>
          <w:p w14:paraId="69CD2D64"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 xml:space="preserve">10 </w:t>
            </w:r>
            <w:proofErr w:type="spellStart"/>
            <w:r w:rsidRPr="00E72BDE">
              <w:rPr>
                <w:rFonts w:eastAsia="MS Mincho"/>
                <w:bCs/>
                <w:color w:val="000000"/>
                <w:lang w:val="en-GB" w:eastAsia="ja-JP"/>
              </w:rPr>
              <w:t>dBi</w:t>
            </w:r>
            <w:proofErr w:type="spellEnd"/>
            <w:r w:rsidRPr="00E72BDE">
              <w:rPr>
                <w:rFonts w:eastAsia="MS Mincho"/>
                <w:bCs/>
                <w:color w:val="000000"/>
                <w:lang w:val="en-GB" w:eastAsia="ja-JP"/>
              </w:rPr>
              <w:t xml:space="preserve"> min</w:t>
            </w:r>
          </w:p>
        </w:tc>
        <w:tc>
          <w:tcPr>
            <w:tcW w:w="1401" w:type="dxa"/>
            <w:vMerge/>
          </w:tcPr>
          <w:p w14:paraId="7F534EDC"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528" w:type="dxa"/>
            <w:vMerge/>
          </w:tcPr>
          <w:p w14:paraId="3A053F97"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r>
      <w:tr w:rsidR="002C597D" w:rsidRPr="00E72BDE" w14:paraId="37F478FE" w14:textId="77777777" w:rsidTr="004D1AA0">
        <w:tc>
          <w:tcPr>
            <w:tcW w:w="1273" w:type="dxa"/>
            <w:vMerge/>
          </w:tcPr>
          <w:p w14:paraId="27332515"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276" w:type="dxa"/>
            <w:vMerge/>
          </w:tcPr>
          <w:p w14:paraId="702264C7"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559" w:type="dxa"/>
            <w:vMerge w:val="restart"/>
          </w:tcPr>
          <w:p w14:paraId="72811170"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N/A</w:t>
            </w:r>
          </w:p>
        </w:tc>
        <w:tc>
          <w:tcPr>
            <w:tcW w:w="2126" w:type="dxa"/>
          </w:tcPr>
          <w:p w14:paraId="5C86EC4C"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 xml:space="preserve">10 </w:t>
            </w:r>
            <w:proofErr w:type="spellStart"/>
            <w:r w:rsidRPr="00E72BDE">
              <w:rPr>
                <w:rFonts w:eastAsia="MS Mincho"/>
                <w:bCs/>
                <w:color w:val="000000"/>
                <w:lang w:val="en-GB" w:eastAsia="ja-JP"/>
              </w:rPr>
              <w:t>mW</w:t>
            </w:r>
            <w:proofErr w:type="spellEnd"/>
            <w:r w:rsidRPr="00E72BDE">
              <w:rPr>
                <w:rFonts w:eastAsia="MS Mincho"/>
                <w:bCs/>
                <w:color w:val="000000"/>
                <w:lang w:val="en-GB" w:eastAsia="ja-JP"/>
              </w:rPr>
              <w:t xml:space="preserve"> max</w:t>
            </w:r>
          </w:p>
        </w:tc>
        <w:tc>
          <w:tcPr>
            <w:tcW w:w="1401" w:type="dxa"/>
            <w:vMerge w:val="restart"/>
          </w:tcPr>
          <w:p w14:paraId="3F240E21"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N/A</w:t>
            </w:r>
          </w:p>
        </w:tc>
        <w:tc>
          <w:tcPr>
            <w:tcW w:w="1528" w:type="dxa"/>
            <w:vMerge w:val="restart"/>
          </w:tcPr>
          <w:p w14:paraId="653EDEC1"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ARIBSTD-T69</w:t>
            </w:r>
          </w:p>
        </w:tc>
      </w:tr>
      <w:tr w:rsidR="002C597D" w:rsidRPr="00E72BDE" w14:paraId="778D8BD5" w14:textId="77777777" w:rsidTr="004D1AA0">
        <w:tc>
          <w:tcPr>
            <w:tcW w:w="1273" w:type="dxa"/>
            <w:vMerge/>
          </w:tcPr>
          <w:p w14:paraId="38D26ACF"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276" w:type="dxa"/>
            <w:vMerge/>
          </w:tcPr>
          <w:p w14:paraId="7B586C6D"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559" w:type="dxa"/>
            <w:vMerge/>
          </w:tcPr>
          <w:p w14:paraId="0A447AA7"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2126" w:type="dxa"/>
          </w:tcPr>
          <w:p w14:paraId="0021FF43"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47 dBm max</w:t>
            </w:r>
          </w:p>
        </w:tc>
        <w:tc>
          <w:tcPr>
            <w:tcW w:w="1401" w:type="dxa"/>
            <w:vMerge/>
          </w:tcPr>
          <w:p w14:paraId="334A4F5C"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528" w:type="dxa"/>
            <w:vMerge/>
          </w:tcPr>
          <w:p w14:paraId="44D341BB"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r>
      <w:tr w:rsidR="002C597D" w:rsidRPr="00E72BDE" w14:paraId="108FE135" w14:textId="77777777" w:rsidTr="004D1AA0">
        <w:tc>
          <w:tcPr>
            <w:tcW w:w="1273" w:type="dxa"/>
            <w:vMerge w:val="restart"/>
          </w:tcPr>
          <w:p w14:paraId="0C3A4F9C"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Republic of Korea</w:t>
            </w:r>
          </w:p>
        </w:tc>
        <w:tc>
          <w:tcPr>
            <w:tcW w:w="1276" w:type="dxa"/>
            <w:vMerge w:val="restart"/>
          </w:tcPr>
          <w:p w14:paraId="340CD66F"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57-66</w:t>
            </w:r>
          </w:p>
        </w:tc>
        <w:tc>
          <w:tcPr>
            <w:tcW w:w="1559" w:type="dxa"/>
            <w:vMerge w:val="restart"/>
          </w:tcPr>
          <w:p w14:paraId="6B8B3417"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 xml:space="preserve">43 dBm or </w:t>
            </w:r>
          </w:p>
          <w:p w14:paraId="565A5967"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57 dBm (fixed)</w:t>
            </w:r>
          </w:p>
        </w:tc>
        <w:tc>
          <w:tcPr>
            <w:tcW w:w="2126" w:type="dxa"/>
          </w:tcPr>
          <w:p w14:paraId="6324B8C8"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 xml:space="preserve">500 </w:t>
            </w:r>
            <w:proofErr w:type="spellStart"/>
            <w:r w:rsidRPr="00E72BDE">
              <w:rPr>
                <w:rFonts w:eastAsia="MS Mincho"/>
                <w:bCs/>
                <w:color w:val="000000"/>
                <w:lang w:val="en-GB" w:eastAsia="ja-JP"/>
              </w:rPr>
              <w:t>mW</w:t>
            </w:r>
            <w:proofErr w:type="spellEnd"/>
            <w:r w:rsidRPr="00E72BDE">
              <w:rPr>
                <w:rFonts w:eastAsia="MS Mincho"/>
                <w:bCs/>
                <w:color w:val="000000"/>
                <w:lang w:val="en-GB" w:eastAsia="ja-JP"/>
              </w:rPr>
              <w:t xml:space="preserve"> max</w:t>
            </w:r>
          </w:p>
          <w:p w14:paraId="12D1ADDF"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w:t>
            </w:r>
            <w:proofErr w:type="gramStart"/>
            <w:r w:rsidRPr="00E72BDE">
              <w:rPr>
                <w:rFonts w:eastAsia="MS Mincho"/>
                <w:bCs/>
                <w:color w:val="000000"/>
                <w:lang w:val="en-GB" w:eastAsia="ja-JP"/>
              </w:rPr>
              <w:t>directional</w:t>
            </w:r>
            <w:proofErr w:type="gramEnd"/>
            <w:r w:rsidRPr="00E72BDE">
              <w:rPr>
                <w:rFonts w:eastAsia="MS Mincho"/>
                <w:bCs/>
                <w:color w:val="000000"/>
                <w:lang w:val="en-GB" w:eastAsia="ja-JP"/>
              </w:rPr>
              <w:t xml:space="preserve"> antenna)</w:t>
            </w:r>
          </w:p>
        </w:tc>
        <w:tc>
          <w:tcPr>
            <w:tcW w:w="1401" w:type="dxa"/>
            <w:vMerge w:val="restart"/>
          </w:tcPr>
          <w:p w14:paraId="1107F5FE"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N/A</w:t>
            </w:r>
          </w:p>
        </w:tc>
        <w:tc>
          <w:tcPr>
            <w:tcW w:w="1528" w:type="dxa"/>
            <w:vMerge w:val="restart"/>
          </w:tcPr>
          <w:p w14:paraId="7974CAAA"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r>
      <w:tr w:rsidR="002C597D" w:rsidRPr="00E72BDE" w14:paraId="71182CFB" w14:textId="77777777" w:rsidTr="004D1AA0">
        <w:tc>
          <w:tcPr>
            <w:tcW w:w="1273" w:type="dxa"/>
            <w:vMerge/>
          </w:tcPr>
          <w:p w14:paraId="7ABF750F"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276" w:type="dxa"/>
            <w:vMerge/>
          </w:tcPr>
          <w:p w14:paraId="1DFAB33E"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559" w:type="dxa"/>
            <w:vMerge/>
          </w:tcPr>
          <w:p w14:paraId="35BB0F7D"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2126" w:type="dxa"/>
          </w:tcPr>
          <w:p w14:paraId="644E1090"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 xml:space="preserve">100 </w:t>
            </w:r>
            <w:proofErr w:type="spellStart"/>
            <w:r w:rsidRPr="00E72BDE">
              <w:rPr>
                <w:rFonts w:eastAsia="MS Mincho"/>
                <w:bCs/>
                <w:color w:val="000000"/>
                <w:lang w:val="en-GB" w:eastAsia="ja-JP"/>
              </w:rPr>
              <w:t>mW</w:t>
            </w:r>
            <w:proofErr w:type="spellEnd"/>
            <w:r w:rsidRPr="00E72BDE">
              <w:rPr>
                <w:rFonts w:eastAsia="MS Mincho"/>
                <w:bCs/>
                <w:color w:val="000000"/>
                <w:lang w:val="en-GB" w:eastAsia="ja-JP"/>
              </w:rPr>
              <w:t xml:space="preserve"> max</w:t>
            </w:r>
          </w:p>
          <w:p w14:paraId="21DE6292"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r w:rsidRPr="00E72BDE">
              <w:rPr>
                <w:rFonts w:eastAsia="MS Mincho"/>
                <w:bCs/>
                <w:color w:val="000000"/>
                <w:lang w:val="en-GB" w:eastAsia="ja-JP"/>
              </w:rPr>
              <w:t>(</w:t>
            </w:r>
            <w:proofErr w:type="gramStart"/>
            <w:r w:rsidRPr="00E72BDE">
              <w:rPr>
                <w:rFonts w:eastAsia="MS Mincho"/>
                <w:bCs/>
                <w:color w:val="000000"/>
                <w:lang w:val="en-GB" w:eastAsia="ja-JP"/>
              </w:rPr>
              <w:t>omni</w:t>
            </w:r>
            <w:proofErr w:type="gramEnd"/>
            <w:r w:rsidRPr="00E72BDE">
              <w:rPr>
                <w:rFonts w:eastAsia="MS Mincho"/>
                <w:bCs/>
                <w:color w:val="000000"/>
                <w:lang w:val="en-GB" w:eastAsia="ja-JP"/>
              </w:rPr>
              <w:t xml:space="preserve"> antenna)</w:t>
            </w:r>
          </w:p>
        </w:tc>
        <w:tc>
          <w:tcPr>
            <w:tcW w:w="1401" w:type="dxa"/>
            <w:vMerge/>
          </w:tcPr>
          <w:p w14:paraId="6B7830FC"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c>
          <w:tcPr>
            <w:tcW w:w="1528" w:type="dxa"/>
            <w:vMerge/>
          </w:tcPr>
          <w:p w14:paraId="7CFC2B5B" w14:textId="77777777" w:rsidR="002C597D" w:rsidRPr="00E72BDE" w:rsidRDefault="002C597D" w:rsidP="004D1AA0">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Cs/>
                <w:color w:val="000000"/>
                <w:lang w:val="en-GB" w:eastAsia="ja-JP"/>
              </w:rPr>
            </w:pPr>
          </w:p>
        </w:tc>
      </w:tr>
    </w:tbl>
    <w:p w14:paraId="47827AD1"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Chars="-1" w:left="-2" w:firstLineChars="59" w:firstLine="142"/>
        <w:jc w:val="both"/>
        <w:textAlignment w:val="baseline"/>
        <w:rPr>
          <w:rFonts w:eastAsia="MS Mincho"/>
          <w:bCs/>
          <w:i/>
          <w:color w:val="000000"/>
          <w:lang w:val="en-GB" w:eastAsia="ja-JP"/>
        </w:rPr>
      </w:pPr>
    </w:p>
    <w:p w14:paraId="73AE7179"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ind w:firstLine="120"/>
        <w:jc w:val="both"/>
        <w:textAlignment w:val="baseline"/>
        <w:rPr>
          <w:rFonts w:eastAsia="MS Mincho"/>
          <w:b/>
          <w:bCs/>
          <w:color w:val="000000"/>
          <w:lang w:val="en-GB" w:eastAsia="ja-JP"/>
        </w:rPr>
      </w:pPr>
      <w:r w:rsidRPr="00E72BDE">
        <w:rPr>
          <w:rFonts w:eastAsia="MS Mincho"/>
          <w:b/>
          <w:bCs/>
          <w:color w:val="000000"/>
          <w:lang w:val="en-GB" w:eastAsia="ja-JP"/>
        </w:rPr>
        <w:t>Standardization</w:t>
      </w:r>
      <w:r w:rsidRPr="00E72BDE">
        <w:rPr>
          <w:rFonts w:eastAsia="MS Mincho"/>
          <w:b/>
          <w:bCs/>
          <w:color w:val="000000"/>
          <w:lang w:val="en-GB" w:eastAsia="ja-JP"/>
        </w:rPr>
        <w:tab/>
      </w:r>
    </w:p>
    <w:p w14:paraId="00CF29DA" w14:textId="77777777" w:rsidR="002C597D" w:rsidRPr="00E72BDE" w:rsidRDefault="002C597D" w:rsidP="002C597D">
      <w:pPr>
        <w:ind w:firstLineChars="100" w:firstLine="240"/>
        <w:jc w:val="both"/>
        <w:rPr>
          <w:lang w:val="en-GB"/>
        </w:rPr>
      </w:pPr>
      <w:r w:rsidRPr="00E72BDE">
        <w:rPr>
          <w:lang w:val="en-GB"/>
        </w:rPr>
        <w:t>Development of various international standards that assume the use of the millimetre wave bands for ITS applications is underway. ETSI completed a standard in 2011 that defines the use of the 63-64 GHz band.</w:t>
      </w:r>
    </w:p>
    <w:p w14:paraId="26852EEB" w14:textId="77777777" w:rsidR="002C597D" w:rsidRPr="00E72BDE" w:rsidRDefault="002C597D" w:rsidP="002C597D">
      <w:pPr>
        <w:ind w:firstLineChars="100" w:firstLine="240"/>
        <w:jc w:val="both"/>
        <w:rPr>
          <w:lang w:val="en-GB"/>
        </w:rPr>
      </w:pPr>
      <w:r w:rsidRPr="00E72BDE">
        <w:rPr>
          <w:lang w:val="en-GB"/>
        </w:rPr>
        <w:t>These wireless LAN standards have been developed by IEEE, and the IEEE 802.11ad specification has already been published as a 60 GHz band wireless LAN. And the standardization work for IEEE 802.11ay, an extension of IEEE 802.11ad, will be completed shortly. In addition, a task group, IEEE802.11</w:t>
      </w:r>
      <w:proofErr w:type="gramStart"/>
      <w:r w:rsidRPr="00E72BDE">
        <w:rPr>
          <w:lang w:val="en-GB"/>
        </w:rPr>
        <w:t>bd</w:t>
      </w:r>
      <w:r w:rsidRPr="00E72BDE">
        <w:rPr>
          <w:vertAlign w:val="superscript"/>
          <w:lang w:val="en-GB"/>
        </w:rPr>
        <w:t>[</w:t>
      </w:r>
      <w:proofErr w:type="gramEnd"/>
      <w:r w:rsidRPr="00E72BDE">
        <w:rPr>
          <w:vertAlign w:val="superscript"/>
          <w:lang w:val="en-GB"/>
        </w:rPr>
        <w:t>8]</w:t>
      </w:r>
      <w:r w:rsidRPr="00E72BDE">
        <w:rPr>
          <w:lang w:val="en-GB"/>
        </w:rPr>
        <w:t>, has been published</w:t>
      </w:r>
      <w:r w:rsidRPr="00E72BDE" w:rsidDel="00F63C6F">
        <w:rPr>
          <w:rFonts w:eastAsia="MS Mincho"/>
          <w:lang w:val="en-GB" w:eastAsia="ja-JP"/>
        </w:rPr>
        <w:t xml:space="preserve"> </w:t>
      </w:r>
      <w:r w:rsidRPr="00E72BDE">
        <w:rPr>
          <w:rFonts w:eastAsia="MS Mincho"/>
          <w:lang w:val="en-GB" w:eastAsia="ja-JP"/>
        </w:rPr>
        <w:t>in March 2023</w:t>
      </w:r>
      <w:r w:rsidRPr="00E72BDE">
        <w:rPr>
          <w:lang w:val="en-GB"/>
        </w:rPr>
        <w:t xml:space="preserve"> with a scope to optimize IEEE802.11ad and IEEE802.11ay </w:t>
      </w:r>
      <w:r w:rsidRPr="00E72BDE">
        <w:rPr>
          <w:vertAlign w:val="superscript"/>
          <w:lang w:val="en-GB"/>
        </w:rPr>
        <w:t xml:space="preserve">[1], </w:t>
      </w:r>
      <w:r w:rsidRPr="00E72BDE">
        <w:rPr>
          <w:rFonts w:eastAsia="MS Mincho"/>
          <w:vertAlign w:val="superscript"/>
          <w:lang w:val="en-GB" w:eastAsia="ja-JP"/>
        </w:rPr>
        <w:t>[9]</w:t>
      </w:r>
      <w:r w:rsidRPr="00E72BDE">
        <w:rPr>
          <w:lang w:val="en-GB"/>
        </w:rPr>
        <w:t xml:space="preserve"> for future V2X applications, and standardization work is underway.</w:t>
      </w:r>
    </w:p>
    <w:p w14:paraId="5E65B2FB" w14:textId="09D5DDCC" w:rsidR="002C597D" w:rsidRDefault="002C597D" w:rsidP="002C597D">
      <w:pPr>
        <w:jc w:val="both"/>
        <w:rPr>
          <w:lang w:val="en-GB"/>
        </w:rPr>
      </w:pPr>
    </w:p>
    <w:p w14:paraId="6CAA8777" w14:textId="77777777" w:rsidR="00E71085" w:rsidRPr="00E72BDE" w:rsidRDefault="00E71085" w:rsidP="002C597D">
      <w:pPr>
        <w:jc w:val="both"/>
        <w:rPr>
          <w:lang w:val="en-GB"/>
        </w:rPr>
      </w:pPr>
    </w:p>
    <w:p w14:paraId="7E9022B4" w14:textId="77777777" w:rsidR="002C597D" w:rsidRPr="00E72BDE" w:rsidRDefault="002C597D" w:rsidP="002C597D">
      <w:pPr>
        <w:jc w:val="both"/>
        <w:rPr>
          <w:b/>
          <w:lang w:val="en-GB"/>
        </w:rPr>
      </w:pPr>
      <w:r w:rsidRPr="00E72BDE">
        <w:rPr>
          <w:b/>
          <w:lang w:val="en-GB"/>
        </w:rPr>
        <w:t>TABLE 6.5 Global Standard on Millimetre wave ITS</w:t>
      </w:r>
    </w:p>
    <w:p w14:paraId="7A9061E7" w14:textId="77777777" w:rsidR="002C597D" w:rsidRPr="00E72BDE" w:rsidRDefault="002C597D" w:rsidP="002C597D">
      <w:pPr>
        <w:jc w:val="both"/>
        <w:rPr>
          <w:rFonts w:eastAsia="MS Mincho"/>
          <w:b/>
          <w:lang w:val="en-GB"/>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2746"/>
        <w:gridCol w:w="6237"/>
      </w:tblGrid>
      <w:tr w:rsidR="002C597D" w:rsidRPr="00E72BDE" w14:paraId="27AA6F91" w14:textId="77777777" w:rsidTr="004D1AA0">
        <w:trPr>
          <w:trHeight w:val="325"/>
          <w:jc w:val="center"/>
        </w:trPr>
        <w:tc>
          <w:tcPr>
            <w:tcW w:w="763" w:type="dxa"/>
            <w:shd w:val="clear" w:color="auto" w:fill="auto"/>
            <w:vAlign w:val="center"/>
          </w:tcPr>
          <w:p w14:paraId="1008C758" w14:textId="77777777" w:rsidR="002C597D" w:rsidRPr="00E72BDE" w:rsidRDefault="002C597D" w:rsidP="004D1AA0">
            <w:pPr>
              <w:keepNext/>
              <w:tabs>
                <w:tab w:val="left" w:pos="1134"/>
                <w:tab w:val="left" w:pos="1871"/>
                <w:tab w:val="left" w:pos="2268"/>
              </w:tabs>
              <w:overflowPunct w:val="0"/>
              <w:autoSpaceDE w:val="0"/>
              <w:autoSpaceDN w:val="0"/>
              <w:adjustRightInd w:val="0"/>
              <w:spacing w:before="80" w:after="80"/>
              <w:jc w:val="both"/>
              <w:textAlignment w:val="baseline"/>
              <w:rPr>
                <w:rFonts w:ascii="Times New Roman Bold" w:eastAsia="MS Mincho" w:hAnsi="Times New Roman Bold" w:cs="Times New Roman Bold"/>
                <w:b/>
                <w:lang w:val="en-GB" w:eastAsia="ko-KR"/>
              </w:rPr>
            </w:pPr>
            <w:r w:rsidRPr="00E72BDE">
              <w:rPr>
                <w:rFonts w:ascii="Times New Roman Bold" w:eastAsia="MS Mincho" w:hAnsi="Times New Roman Bold" w:cs="Times New Roman Bold"/>
                <w:b/>
                <w:lang w:val="en-GB" w:eastAsia="ko-KR"/>
              </w:rPr>
              <w:lastRenderedPageBreak/>
              <w:t>SDO</w:t>
            </w:r>
          </w:p>
        </w:tc>
        <w:tc>
          <w:tcPr>
            <w:tcW w:w="2746" w:type="dxa"/>
            <w:shd w:val="clear" w:color="auto" w:fill="auto"/>
            <w:vAlign w:val="center"/>
          </w:tcPr>
          <w:p w14:paraId="3BD42827" w14:textId="77777777" w:rsidR="002C597D" w:rsidRPr="00E72BDE" w:rsidRDefault="002C597D" w:rsidP="004D1AA0">
            <w:pPr>
              <w:keepNext/>
              <w:tabs>
                <w:tab w:val="left" w:pos="1134"/>
                <w:tab w:val="left" w:pos="1871"/>
                <w:tab w:val="left" w:pos="2268"/>
              </w:tabs>
              <w:overflowPunct w:val="0"/>
              <w:autoSpaceDE w:val="0"/>
              <w:autoSpaceDN w:val="0"/>
              <w:adjustRightInd w:val="0"/>
              <w:spacing w:before="80" w:after="80"/>
              <w:jc w:val="both"/>
              <w:textAlignment w:val="baseline"/>
              <w:rPr>
                <w:rFonts w:ascii="Times New Roman Bold" w:eastAsia="MS Mincho" w:hAnsi="Times New Roman Bold" w:cs="Times New Roman Bold"/>
                <w:b/>
                <w:lang w:val="en-GB" w:eastAsia="ko-KR"/>
              </w:rPr>
            </w:pPr>
            <w:r w:rsidRPr="00E72BDE">
              <w:rPr>
                <w:rFonts w:ascii="Times New Roman Bold" w:eastAsia="MS Mincho" w:hAnsi="Times New Roman Bold" w:cs="Times New Roman Bold"/>
                <w:b/>
                <w:lang w:val="en-GB" w:eastAsia="ko-KR"/>
              </w:rPr>
              <w:t>Standard No.</w:t>
            </w:r>
          </w:p>
        </w:tc>
        <w:tc>
          <w:tcPr>
            <w:tcW w:w="6237" w:type="dxa"/>
            <w:shd w:val="clear" w:color="auto" w:fill="auto"/>
            <w:vAlign w:val="center"/>
          </w:tcPr>
          <w:p w14:paraId="551527F3" w14:textId="77777777" w:rsidR="002C597D" w:rsidRPr="00E72BDE" w:rsidRDefault="002C597D" w:rsidP="004D1AA0">
            <w:pPr>
              <w:keepNext/>
              <w:tabs>
                <w:tab w:val="left" w:pos="1134"/>
                <w:tab w:val="left" w:pos="1871"/>
                <w:tab w:val="left" w:pos="2268"/>
              </w:tabs>
              <w:overflowPunct w:val="0"/>
              <w:autoSpaceDE w:val="0"/>
              <w:autoSpaceDN w:val="0"/>
              <w:adjustRightInd w:val="0"/>
              <w:spacing w:before="80" w:after="80"/>
              <w:jc w:val="both"/>
              <w:textAlignment w:val="baseline"/>
              <w:rPr>
                <w:rFonts w:ascii="Times New Roman Bold" w:eastAsia="MS Mincho" w:hAnsi="Times New Roman Bold" w:cs="Times New Roman Bold"/>
                <w:b/>
                <w:lang w:val="en-GB" w:eastAsia="ko-KR"/>
              </w:rPr>
            </w:pPr>
            <w:r w:rsidRPr="00E72BDE">
              <w:rPr>
                <w:rFonts w:ascii="Times New Roman Bold" w:eastAsia="MS Mincho" w:hAnsi="Times New Roman Bold" w:cs="Times New Roman Bold"/>
                <w:b/>
                <w:lang w:val="en-GB" w:eastAsia="ko-KR"/>
              </w:rPr>
              <w:t>Standard Title</w:t>
            </w:r>
          </w:p>
        </w:tc>
      </w:tr>
      <w:tr w:rsidR="002C597D" w:rsidRPr="00E72BDE" w14:paraId="1E77A498" w14:textId="77777777" w:rsidTr="004D1AA0">
        <w:trPr>
          <w:trHeight w:val="1014"/>
          <w:jc w:val="center"/>
        </w:trPr>
        <w:tc>
          <w:tcPr>
            <w:tcW w:w="763" w:type="dxa"/>
            <w:vMerge w:val="restart"/>
            <w:shd w:val="clear" w:color="auto" w:fill="auto"/>
            <w:vAlign w:val="center"/>
          </w:tcPr>
          <w:p w14:paraId="5086E2CB"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r w:rsidRPr="00E72BDE">
              <w:rPr>
                <w:rFonts w:eastAsia="MS Mincho"/>
                <w:lang w:val="en-GB" w:eastAsia="ko-KR"/>
              </w:rPr>
              <w:t>ETSI</w:t>
            </w:r>
          </w:p>
          <w:p w14:paraId="61B76CC5"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ja-JP"/>
              </w:rPr>
            </w:pPr>
          </w:p>
        </w:tc>
        <w:tc>
          <w:tcPr>
            <w:tcW w:w="2746" w:type="dxa"/>
            <w:shd w:val="clear" w:color="auto" w:fill="auto"/>
            <w:vAlign w:val="center"/>
          </w:tcPr>
          <w:p w14:paraId="54D4B867"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r w:rsidRPr="00E72BDE">
              <w:rPr>
                <w:rFonts w:eastAsia="MS Mincho"/>
                <w:lang w:val="en-GB" w:eastAsia="ko-KR"/>
              </w:rPr>
              <w:t>EN</w:t>
            </w:r>
          </w:p>
          <w:p w14:paraId="7FB32467"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r w:rsidRPr="00E72BDE">
              <w:rPr>
                <w:rFonts w:eastAsia="Batang"/>
                <w:lang w:val="en-GB"/>
              </w:rPr>
              <w:t>302 686 V1.1.1 (2011-02)</w:t>
            </w:r>
          </w:p>
          <w:p w14:paraId="16886D38"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p>
        </w:tc>
        <w:tc>
          <w:tcPr>
            <w:tcW w:w="6237" w:type="dxa"/>
            <w:shd w:val="clear" w:color="auto" w:fill="auto"/>
            <w:vAlign w:val="center"/>
          </w:tcPr>
          <w:p w14:paraId="0AD2C31B" w14:textId="77777777" w:rsidR="002C597D" w:rsidRPr="00E72BDE" w:rsidRDefault="002C597D" w:rsidP="004D1AA0">
            <w:pPr>
              <w:widowControl w:val="0"/>
              <w:autoSpaceDE w:val="0"/>
              <w:autoSpaceDN w:val="0"/>
              <w:adjustRightInd w:val="0"/>
              <w:jc w:val="both"/>
              <w:rPr>
                <w:rFonts w:eastAsia="Batang"/>
                <w:bCs/>
                <w:lang w:val="en-GB"/>
              </w:rPr>
            </w:pPr>
            <w:r w:rsidRPr="00E72BDE">
              <w:rPr>
                <w:rFonts w:eastAsia="Batang"/>
                <w:bCs/>
                <w:lang w:val="en-GB"/>
              </w:rPr>
              <w:t>Intelligent Transport Systems (ITS</w:t>
            </w:r>
            <w:proofErr w:type="gramStart"/>
            <w:r w:rsidRPr="00E72BDE">
              <w:rPr>
                <w:rFonts w:eastAsia="Batang"/>
                <w:bCs/>
                <w:lang w:val="en-GB"/>
              </w:rPr>
              <w:t>);</w:t>
            </w:r>
            <w:proofErr w:type="gramEnd"/>
          </w:p>
          <w:p w14:paraId="52939A68" w14:textId="77777777" w:rsidR="002C597D" w:rsidRPr="00E72BDE" w:rsidRDefault="002C597D" w:rsidP="004D1AA0">
            <w:pPr>
              <w:widowControl w:val="0"/>
              <w:autoSpaceDE w:val="0"/>
              <w:autoSpaceDN w:val="0"/>
              <w:adjustRightInd w:val="0"/>
              <w:jc w:val="both"/>
              <w:rPr>
                <w:rFonts w:eastAsia="Batang"/>
                <w:bCs/>
                <w:lang w:val="en-GB"/>
              </w:rPr>
            </w:pPr>
            <w:r w:rsidRPr="00E72BDE">
              <w:rPr>
                <w:rFonts w:eastAsia="Batang"/>
                <w:bCs/>
                <w:lang w:val="en-GB"/>
              </w:rPr>
              <w:t>Radiocommunications equipment operating</w:t>
            </w:r>
          </w:p>
          <w:p w14:paraId="03975915" w14:textId="77777777" w:rsidR="002C597D" w:rsidRPr="00E72BDE" w:rsidRDefault="002C597D" w:rsidP="004D1AA0">
            <w:pPr>
              <w:widowControl w:val="0"/>
              <w:autoSpaceDE w:val="0"/>
              <w:autoSpaceDN w:val="0"/>
              <w:adjustRightInd w:val="0"/>
              <w:jc w:val="both"/>
              <w:rPr>
                <w:rFonts w:eastAsia="Batang"/>
                <w:bCs/>
                <w:lang w:val="en-GB"/>
              </w:rPr>
            </w:pPr>
            <w:r w:rsidRPr="00E72BDE">
              <w:rPr>
                <w:rFonts w:eastAsia="Batang"/>
                <w:bCs/>
                <w:lang w:val="en-GB"/>
              </w:rPr>
              <w:t xml:space="preserve">in the 63 GHz to 64 GHz frequency </w:t>
            </w:r>
            <w:proofErr w:type="gramStart"/>
            <w:r w:rsidRPr="00E72BDE">
              <w:rPr>
                <w:rFonts w:eastAsia="Batang"/>
                <w:bCs/>
                <w:lang w:val="en-GB"/>
              </w:rPr>
              <w:t>band;</w:t>
            </w:r>
            <w:proofErr w:type="gramEnd"/>
          </w:p>
          <w:p w14:paraId="6041312D" w14:textId="77777777" w:rsidR="002C597D" w:rsidRPr="00E72BDE" w:rsidRDefault="002C597D" w:rsidP="004D1AA0">
            <w:pPr>
              <w:widowControl w:val="0"/>
              <w:autoSpaceDE w:val="0"/>
              <w:autoSpaceDN w:val="0"/>
              <w:adjustRightInd w:val="0"/>
              <w:jc w:val="both"/>
              <w:rPr>
                <w:rFonts w:eastAsia="Batang"/>
                <w:bCs/>
                <w:lang w:val="en-GB"/>
              </w:rPr>
            </w:pPr>
            <w:r w:rsidRPr="00E72BDE">
              <w:rPr>
                <w:rFonts w:eastAsia="Batang"/>
                <w:bCs/>
                <w:lang w:val="en-GB"/>
              </w:rPr>
              <w:t>Harmonized EN covering the essential requirements</w:t>
            </w:r>
          </w:p>
          <w:p w14:paraId="40086E2E"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algun Gothic"/>
                <w:lang w:val="en-GB" w:eastAsia="ko-KR"/>
              </w:rPr>
            </w:pPr>
            <w:r w:rsidRPr="00E72BDE">
              <w:rPr>
                <w:rFonts w:eastAsia="Batang"/>
                <w:bCs/>
                <w:lang w:val="en-GB"/>
              </w:rPr>
              <w:t>of article 3.2 of the R&amp;TTE Directive</w:t>
            </w:r>
          </w:p>
        </w:tc>
      </w:tr>
      <w:tr w:rsidR="002C597D" w:rsidRPr="00E72BDE" w14:paraId="31EE9F5A" w14:textId="77777777" w:rsidTr="004D1AA0">
        <w:trPr>
          <w:trHeight w:val="1069"/>
          <w:jc w:val="center"/>
        </w:trPr>
        <w:tc>
          <w:tcPr>
            <w:tcW w:w="763" w:type="dxa"/>
            <w:vMerge/>
            <w:shd w:val="clear" w:color="auto" w:fill="auto"/>
            <w:vAlign w:val="center"/>
          </w:tcPr>
          <w:p w14:paraId="6EF21270"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ja-JP"/>
              </w:rPr>
            </w:pPr>
          </w:p>
        </w:tc>
        <w:tc>
          <w:tcPr>
            <w:tcW w:w="2746" w:type="dxa"/>
            <w:shd w:val="clear" w:color="auto" w:fill="auto"/>
            <w:vAlign w:val="center"/>
          </w:tcPr>
          <w:p w14:paraId="57BA4DDE"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ja-JP"/>
              </w:rPr>
            </w:pPr>
            <w:r w:rsidRPr="00E72BDE">
              <w:rPr>
                <w:rFonts w:eastAsia="Batang"/>
                <w:lang w:val="en-GB"/>
              </w:rPr>
              <w:t>TR 103 583 V1.1.1 (2019-08)</w:t>
            </w:r>
          </w:p>
        </w:tc>
        <w:tc>
          <w:tcPr>
            <w:tcW w:w="6237" w:type="dxa"/>
            <w:shd w:val="clear" w:color="auto" w:fill="auto"/>
            <w:vAlign w:val="center"/>
          </w:tcPr>
          <w:p w14:paraId="214A2F2B" w14:textId="77777777" w:rsidR="002C597D" w:rsidRPr="00E72BDE" w:rsidRDefault="002C597D" w:rsidP="004D1AA0">
            <w:pPr>
              <w:widowControl w:val="0"/>
              <w:autoSpaceDE w:val="0"/>
              <w:autoSpaceDN w:val="0"/>
              <w:adjustRightInd w:val="0"/>
              <w:jc w:val="both"/>
              <w:rPr>
                <w:rFonts w:eastAsia="Batang"/>
                <w:bCs/>
                <w:lang w:val="en-GB"/>
              </w:rPr>
            </w:pPr>
            <w:r w:rsidRPr="00E72BDE">
              <w:rPr>
                <w:rFonts w:eastAsia="Batang"/>
                <w:bCs/>
                <w:lang w:val="en-GB"/>
              </w:rPr>
              <w:t>System Reference document (</w:t>
            </w:r>
            <w:proofErr w:type="spellStart"/>
            <w:r w:rsidRPr="00E72BDE">
              <w:rPr>
                <w:rFonts w:eastAsia="Batang"/>
                <w:bCs/>
                <w:lang w:val="en-GB"/>
              </w:rPr>
              <w:t>SRdoc</w:t>
            </w:r>
            <w:proofErr w:type="spellEnd"/>
            <w:proofErr w:type="gramStart"/>
            <w:r w:rsidRPr="00E72BDE">
              <w:rPr>
                <w:rFonts w:eastAsia="Batang"/>
                <w:bCs/>
                <w:lang w:val="en-GB"/>
              </w:rPr>
              <w:t>);</w:t>
            </w:r>
            <w:proofErr w:type="gramEnd"/>
          </w:p>
          <w:p w14:paraId="36003F37" w14:textId="77777777" w:rsidR="002C597D" w:rsidRPr="00E72BDE" w:rsidRDefault="002C597D" w:rsidP="004D1AA0">
            <w:pPr>
              <w:widowControl w:val="0"/>
              <w:autoSpaceDE w:val="0"/>
              <w:autoSpaceDN w:val="0"/>
              <w:adjustRightInd w:val="0"/>
              <w:jc w:val="both"/>
              <w:rPr>
                <w:rFonts w:eastAsia="Batang"/>
                <w:bCs/>
                <w:lang w:val="en-GB"/>
              </w:rPr>
            </w:pPr>
            <w:r w:rsidRPr="00E72BDE">
              <w:rPr>
                <w:rFonts w:eastAsia="Batang"/>
                <w:bCs/>
                <w:lang w:val="en-GB"/>
              </w:rPr>
              <w:t>Technical characteristics of</w:t>
            </w:r>
          </w:p>
          <w:p w14:paraId="4285FC78" w14:textId="77777777" w:rsidR="002C597D" w:rsidRPr="00E72BDE" w:rsidRDefault="002C597D" w:rsidP="004D1AA0">
            <w:pPr>
              <w:widowControl w:val="0"/>
              <w:autoSpaceDE w:val="0"/>
              <w:autoSpaceDN w:val="0"/>
              <w:adjustRightInd w:val="0"/>
              <w:jc w:val="both"/>
              <w:rPr>
                <w:rFonts w:eastAsia="Batang"/>
                <w:bCs/>
                <w:lang w:val="en-GB"/>
              </w:rPr>
            </w:pPr>
            <w:r w:rsidRPr="00E72BDE">
              <w:rPr>
                <w:rFonts w:eastAsia="Batang"/>
                <w:bCs/>
                <w:lang w:val="en-GB"/>
              </w:rPr>
              <w:t>Multiple Gigabit Wireless Systems (MGWS)</w:t>
            </w:r>
          </w:p>
          <w:p w14:paraId="2933591E"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Theme="minorHAnsi" w:eastAsia="MS Mincho" w:hAnsiTheme="minorHAnsi" w:cstheme="minorBidi"/>
                <w:lang w:val="en-GB" w:eastAsia="ko-KR"/>
              </w:rPr>
            </w:pPr>
            <w:r w:rsidRPr="00E72BDE">
              <w:rPr>
                <w:rFonts w:eastAsia="Batang"/>
                <w:bCs/>
                <w:lang w:val="en-GB"/>
              </w:rPr>
              <w:t>in radio spectrum between 57 GHz and 71 GHz</w:t>
            </w:r>
          </w:p>
        </w:tc>
      </w:tr>
    </w:tbl>
    <w:p w14:paraId="2A64162A" w14:textId="77777777" w:rsidR="002C597D" w:rsidRPr="00E72BDE" w:rsidRDefault="002C597D" w:rsidP="002C597D">
      <w:pPr>
        <w:jc w:val="both"/>
        <w:rPr>
          <w:b/>
          <w:lang w:val="en-GB"/>
        </w:rPr>
      </w:pPr>
    </w:p>
    <w:p w14:paraId="5CB31442" w14:textId="77777777" w:rsidR="002C597D" w:rsidRPr="00E72BDE" w:rsidRDefault="002C597D" w:rsidP="002C597D">
      <w:pPr>
        <w:jc w:val="both"/>
        <w:rPr>
          <w:b/>
          <w:lang w:val="en-GB"/>
        </w:rPr>
      </w:pPr>
    </w:p>
    <w:p w14:paraId="5D1D215C" w14:textId="77777777" w:rsidR="002C597D" w:rsidRPr="00E72BDE" w:rsidRDefault="002C597D" w:rsidP="002C597D">
      <w:pPr>
        <w:jc w:val="both"/>
        <w:rPr>
          <w:b/>
          <w:lang w:val="en-GB"/>
        </w:rPr>
      </w:pPr>
      <w:r w:rsidRPr="00E72BDE">
        <w:rPr>
          <w:b/>
          <w:lang w:val="en-GB"/>
        </w:rPr>
        <w:t>TABLE 6.6 Global Standard on Millimetre wave Connectivity</w:t>
      </w:r>
    </w:p>
    <w:p w14:paraId="4195AA27" w14:textId="77777777" w:rsidR="002C597D" w:rsidRPr="00E72BDE" w:rsidRDefault="002C597D" w:rsidP="002C597D">
      <w:pPr>
        <w:jc w:val="both"/>
        <w:rPr>
          <w:rFonts w:eastAsia="MS Mincho"/>
          <w:b/>
          <w:lang w:val="en-GB"/>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2746"/>
        <w:gridCol w:w="6237"/>
      </w:tblGrid>
      <w:tr w:rsidR="002C597D" w:rsidRPr="00E72BDE" w14:paraId="3BC6271B" w14:textId="77777777" w:rsidTr="004D1AA0">
        <w:trPr>
          <w:trHeight w:val="325"/>
          <w:jc w:val="center"/>
        </w:trPr>
        <w:tc>
          <w:tcPr>
            <w:tcW w:w="763" w:type="dxa"/>
            <w:shd w:val="clear" w:color="auto" w:fill="auto"/>
            <w:vAlign w:val="center"/>
          </w:tcPr>
          <w:p w14:paraId="25AD6AF1" w14:textId="77777777" w:rsidR="002C597D" w:rsidRPr="00E72BDE" w:rsidRDefault="002C597D" w:rsidP="004D1AA0">
            <w:pPr>
              <w:keepNext/>
              <w:tabs>
                <w:tab w:val="left" w:pos="1134"/>
                <w:tab w:val="left" w:pos="1871"/>
                <w:tab w:val="left" w:pos="2268"/>
              </w:tabs>
              <w:overflowPunct w:val="0"/>
              <w:autoSpaceDE w:val="0"/>
              <w:autoSpaceDN w:val="0"/>
              <w:adjustRightInd w:val="0"/>
              <w:spacing w:before="80" w:after="80"/>
              <w:jc w:val="both"/>
              <w:textAlignment w:val="baseline"/>
              <w:rPr>
                <w:rFonts w:eastAsia="MS Mincho"/>
                <w:b/>
                <w:lang w:val="en-GB" w:eastAsia="ko-KR"/>
              </w:rPr>
            </w:pPr>
            <w:r w:rsidRPr="00E72BDE">
              <w:rPr>
                <w:rFonts w:eastAsia="MS Mincho"/>
                <w:b/>
                <w:lang w:val="en-GB" w:eastAsia="ko-KR"/>
              </w:rPr>
              <w:t>SDO</w:t>
            </w:r>
          </w:p>
        </w:tc>
        <w:tc>
          <w:tcPr>
            <w:tcW w:w="2746" w:type="dxa"/>
            <w:shd w:val="clear" w:color="auto" w:fill="auto"/>
            <w:vAlign w:val="center"/>
          </w:tcPr>
          <w:p w14:paraId="08EC720D" w14:textId="77777777" w:rsidR="002C597D" w:rsidRPr="00E72BDE" w:rsidRDefault="002C597D" w:rsidP="004D1AA0">
            <w:pPr>
              <w:keepNext/>
              <w:tabs>
                <w:tab w:val="left" w:pos="1134"/>
                <w:tab w:val="left" w:pos="1871"/>
                <w:tab w:val="left" w:pos="2268"/>
              </w:tabs>
              <w:overflowPunct w:val="0"/>
              <w:autoSpaceDE w:val="0"/>
              <w:autoSpaceDN w:val="0"/>
              <w:adjustRightInd w:val="0"/>
              <w:spacing w:before="80" w:after="80"/>
              <w:jc w:val="both"/>
              <w:textAlignment w:val="baseline"/>
              <w:rPr>
                <w:rFonts w:eastAsia="MS Mincho"/>
                <w:b/>
                <w:lang w:val="en-GB" w:eastAsia="ko-KR"/>
              </w:rPr>
            </w:pPr>
            <w:r w:rsidRPr="00E72BDE">
              <w:rPr>
                <w:rFonts w:eastAsia="MS Mincho"/>
                <w:b/>
                <w:lang w:val="en-GB" w:eastAsia="ko-KR"/>
              </w:rPr>
              <w:t>Standard No.</w:t>
            </w:r>
          </w:p>
        </w:tc>
        <w:tc>
          <w:tcPr>
            <w:tcW w:w="6237" w:type="dxa"/>
            <w:shd w:val="clear" w:color="auto" w:fill="auto"/>
            <w:vAlign w:val="center"/>
          </w:tcPr>
          <w:p w14:paraId="71E00FAC" w14:textId="77777777" w:rsidR="002C597D" w:rsidRPr="00E72BDE" w:rsidRDefault="002C597D" w:rsidP="004D1AA0">
            <w:pPr>
              <w:keepNext/>
              <w:tabs>
                <w:tab w:val="left" w:pos="1134"/>
                <w:tab w:val="left" w:pos="1871"/>
                <w:tab w:val="left" w:pos="2268"/>
              </w:tabs>
              <w:overflowPunct w:val="0"/>
              <w:autoSpaceDE w:val="0"/>
              <w:autoSpaceDN w:val="0"/>
              <w:adjustRightInd w:val="0"/>
              <w:spacing w:before="80" w:after="80"/>
              <w:jc w:val="both"/>
              <w:textAlignment w:val="baseline"/>
              <w:rPr>
                <w:rFonts w:eastAsia="MS Mincho"/>
                <w:b/>
                <w:lang w:val="en-GB" w:eastAsia="ko-KR"/>
              </w:rPr>
            </w:pPr>
            <w:r w:rsidRPr="00E72BDE">
              <w:rPr>
                <w:rFonts w:eastAsia="MS Mincho"/>
                <w:b/>
                <w:lang w:val="en-GB" w:eastAsia="ko-KR"/>
              </w:rPr>
              <w:t>Standard Title (Status)</w:t>
            </w:r>
          </w:p>
        </w:tc>
      </w:tr>
      <w:tr w:rsidR="002C597D" w:rsidRPr="00E72BDE" w14:paraId="38E57412" w14:textId="77777777" w:rsidTr="004D1AA0">
        <w:trPr>
          <w:trHeight w:val="663"/>
          <w:jc w:val="center"/>
        </w:trPr>
        <w:tc>
          <w:tcPr>
            <w:tcW w:w="763" w:type="dxa"/>
            <w:vMerge w:val="restart"/>
            <w:shd w:val="clear" w:color="auto" w:fill="auto"/>
            <w:vAlign w:val="center"/>
          </w:tcPr>
          <w:p w14:paraId="3BD706C2"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r w:rsidRPr="00E72BDE">
              <w:rPr>
                <w:rFonts w:eastAsia="MS Mincho"/>
                <w:lang w:val="en-GB" w:eastAsia="ko-KR"/>
              </w:rPr>
              <w:t>IEEE</w:t>
            </w:r>
          </w:p>
          <w:p w14:paraId="432B130C"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ja-JP"/>
              </w:rPr>
            </w:pPr>
          </w:p>
        </w:tc>
        <w:tc>
          <w:tcPr>
            <w:tcW w:w="2746" w:type="dxa"/>
            <w:shd w:val="clear" w:color="auto" w:fill="auto"/>
            <w:vAlign w:val="center"/>
          </w:tcPr>
          <w:p w14:paraId="668693A4"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r w:rsidRPr="00E72BDE">
              <w:rPr>
                <w:rFonts w:eastAsia="MS Mincho"/>
                <w:lang w:val="en-GB" w:eastAsia="ko-KR"/>
              </w:rPr>
              <w:t>IEEE802.11ad</w:t>
            </w:r>
          </w:p>
          <w:p w14:paraId="53DAE414"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p>
        </w:tc>
        <w:tc>
          <w:tcPr>
            <w:tcW w:w="6237" w:type="dxa"/>
            <w:shd w:val="clear" w:color="auto" w:fill="auto"/>
            <w:vAlign w:val="center"/>
          </w:tcPr>
          <w:p w14:paraId="0F6CA384"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lang w:val="en-GB"/>
              </w:rPr>
            </w:pPr>
            <w:r w:rsidRPr="00E72BDE">
              <w:rPr>
                <w:rStyle w:val="sub-heading3"/>
                <w:lang w:val="en-GB"/>
              </w:rPr>
              <w:t>Enhancements for Very High Throughput in the 60 GHz Band</w:t>
            </w:r>
            <w:r w:rsidRPr="00E72BDE">
              <w:rPr>
                <w:lang w:val="en-GB"/>
              </w:rPr>
              <w:t xml:space="preserve"> </w:t>
            </w:r>
          </w:p>
          <w:p w14:paraId="55C9C708"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r w:rsidRPr="00E72BDE">
              <w:rPr>
                <w:lang w:val="en-GB"/>
              </w:rPr>
              <w:t>(Published December 2012)</w:t>
            </w:r>
          </w:p>
        </w:tc>
      </w:tr>
      <w:tr w:rsidR="002C597D" w:rsidRPr="00E72BDE" w14:paraId="7FEF3F76" w14:textId="77777777" w:rsidTr="004D1AA0">
        <w:trPr>
          <w:trHeight w:val="630"/>
          <w:jc w:val="center"/>
        </w:trPr>
        <w:tc>
          <w:tcPr>
            <w:tcW w:w="763" w:type="dxa"/>
            <w:vMerge/>
            <w:shd w:val="clear" w:color="auto" w:fill="auto"/>
            <w:vAlign w:val="center"/>
          </w:tcPr>
          <w:p w14:paraId="55A29B2C"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ja-JP"/>
              </w:rPr>
            </w:pPr>
          </w:p>
        </w:tc>
        <w:tc>
          <w:tcPr>
            <w:tcW w:w="2746" w:type="dxa"/>
            <w:shd w:val="clear" w:color="auto" w:fill="auto"/>
            <w:vAlign w:val="center"/>
          </w:tcPr>
          <w:p w14:paraId="5A27CF82"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ja-JP"/>
              </w:rPr>
            </w:pPr>
            <w:r w:rsidRPr="00E72BDE">
              <w:rPr>
                <w:rFonts w:eastAsia="Batang"/>
                <w:lang w:val="en-GB"/>
              </w:rPr>
              <w:t>IEEE802.11ay</w:t>
            </w:r>
          </w:p>
        </w:tc>
        <w:tc>
          <w:tcPr>
            <w:tcW w:w="6237" w:type="dxa"/>
            <w:shd w:val="clear" w:color="auto" w:fill="auto"/>
            <w:vAlign w:val="center"/>
          </w:tcPr>
          <w:p w14:paraId="445096FA"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lang w:val="en-GB"/>
              </w:rPr>
            </w:pPr>
            <w:r w:rsidRPr="00E72BDE">
              <w:rPr>
                <w:lang w:val="en-GB"/>
              </w:rPr>
              <w:t>Enhanced Throughput for Operation in License-Exempt Bands above 45 GHz</w:t>
            </w:r>
          </w:p>
          <w:p w14:paraId="62BCCC1C"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r w:rsidRPr="00E72BDE">
              <w:rPr>
                <w:lang w:val="en-GB"/>
              </w:rPr>
              <w:t>(Published in July 2021)</w:t>
            </w:r>
          </w:p>
        </w:tc>
      </w:tr>
      <w:tr w:rsidR="002C597D" w:rsidRPr="00E72BDE" w14:paraId="6C8451B3" w14:textId="77777777" w:rsidTr="004D1AA0">
        <w:trPr>
          <w:trHeight w:val="47"/>
          <w:jc w:val="center"/>
        </w:trPr>
        <w:tc>
          <w:tcPr>
            <w:tcW w:w="763" w:type="dxa"/>
            <w:vMerge/>
            <w:shd w:val="clear" w:color="auto" w:fill="auto"/>
            <w:vAlign w:val="center"/>
          </w:tcPr>
          <w:p w14:paraId="18628449"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ja-JP"/>
              </w:rPr>
            </w:pPr>
          </w:p>
        </w:tc>
        <w:tc>
          <w:tcPr>
            <w:tcW w:w="2746" w:type="dxa"/>
            <w:shd w:val="clear" w:color="auto" w:fill="auto"/>
            <w:vAlign w:val="center"/>
          </w:tcPr>
          <w:p w14:paraId="1679A616"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Theme="minorEastAsia"/>
                <w:lang w:val="en-GB" w:eastAsia="ja-JP"/>
              </w:rPr>
            </w:pPr>
            <w:r w:rsidRPr="00E72BDE">
              <w:rPr>
                <w:rFonts w:eastAsiaTheme="minorEastAsia"/>
                <w:lang w:val="en-GB" w:eastAsia="ja-JP"/>
              </w:rPr>
              <w:t>IEEE802.11bd</w:t>
            </w:r>
          </w:p>
        </w:tc>
        <w:tc>
          <w:tcPr>
            <w:tcW w:w="6237" w:type="dxa"/>
            <w:shd w:val="clear" w:color="auto" w:fill="auto"/>
            <w:vAlign w:val="center"/>
          </w:tcPr>
          <w:p w14:paraId="53E54AFF" w14:textId="77777777" w:rsidR="002C597D" w:rsidRPr="00E72BDE" w:rsidRDefault="002C597D" w:rsidP="004D1AA0">
            <w:pPr>
              <w:widowControl w:val="0"/>
              <w:autoSpaceDE w:val="0"/>
              <w:autoSpaceDN w:val="0"/>
              <w:adjustRightInd w:val="0"/>
              <w:jc w:val="both"/>
              <w:rPr>
                <w:rStyle w:val="sub-heading3"/>
                <w:rFonts w:hint="eastAsia"/>
                <w:lang w:val="en-GB"/>
              </w:rPr>
            </w:pPr>
            <w:r w:rsidRPr="00E72BDE">
              <w:rPr>
                <w:rStyle w:val="sub-heading3"/>
                <w:lang w:val="en-GB"/>
              </w:rPr>
              <w:t>Enhancements for Next Generation V2X Enhancements for Next Generation V2X</w:t>
            </w:r>
          </w:p>
          <w:p w14:paraId="1E7AEA89" w14:textId="77777777" w:rsidR="002C597D" w:rsidRPr="00E72BDE" w:rsidRDefault="002C597D" w:rsidP="004D1AA0">
            <w:pPr>
              <w:jc w:val="both"/>
              <w:rPr>
                <w:rFonts w:ascii="Segoe UI" w:eastAsia="MS PGothic" w:hAnsi="Segoe UI" w:cs="Segoe UI"/>
                <w:sz w:val="21"/>
                <w:szCs w:val="21"/>
                <w:lang w:val="en-GB" w:eastAsia="ja-JP"/>
              </w:rPr>
            </w:pPr>
            <w:r w:rsidRPr="00E72BDE">
              <w:rPr>
                <w:rStyle w:val="sub-heading3"/>
                <w:lang w:val="en-GB"/>
              </w:rPr>
              <w:t>(</w:t>
            </w:r>
            <w:r w:rsidRPr="00E72BDE">
              <w:rPr>
                <w:rFonts w:eastAsia="MS PGothic"/>
                <w:lang w:val="en-GB" w:eastAsia="ja-JP"/>
              </w:rPr>
              <w:t>Published in March 2023</w:t>
            </w:r>
            <w:r w:rsidRPr="00E72BDE">
              <w:rPr>
                <w:rFonts w:ascii="Segoe UI" w:eastAsia="MS PGothic" w:hAnsi="Segoe UI" w:cs="Segoe UI"/>
                <w:lang w:val="en-GB" w:eastAsia="ja-JP"/>
              </w:rPr>
              <w:t>)</w:t>
            </w:r>
          </w:p>
        </w:tc>
      </w:tr>
    </w:tbl>
    <w:p w14:paraId="2B3F2841"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112"/>
        <w:jc w:val="both"/>
        <w:textAlignment w:val="baseline"/>
        <w:rPr>
          <w:rFonts w:eastAsia="MS Mincho"/>
          <w:b/>
          <w:bCs/>
          <w:color w:val="000000"/>
          <w:lang w:val="en-GB" w:eastAsia="ja-JP"/>
        </w:rPr>
      </w:pPr>
    </w:p>
    <w:p w14:paraId="30F81291"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112"/>
        <w:jc w:val="both"/>
        <w:textAlignment w:val="baseline"/>
        <w:rPr>
          <w:rFonts w:eastAsia="MS Mincho"/>
          <w:b/>
          <w:bCs/>
          <w:color w:val="000000"/>
          <w:lang w:val="en-GB" w:eastAsia="ja-JP"/>
        </w:rPr>
      </w:pPr>
    </w:p>
    <w:p w14:paraId="37ED0D0F"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ind w:firstLine="120"/>
        <w:jc w:val="both"/>
        <w:textAlignment w:val="baseline"/>
        <w:rPr>
          <w:rFonts w:eastAsia="MS Mincho"/>
          <w:b/>
          <w:bCs/>
          <w:color w:val="000000"/>
          <w:lang w:val="en-GB" w:eastAsia="ja-JP"/>
        </w:rPr>
      </w:pPr>
      <w:r w:rsidRPr="00E72BDE">
        <w:rPr>
          <w:rFonts w:eastAsia="MS Mincho"/>
          <w:b/>
          <w:bCs/>
          <w:color w:val="000000"/>
          <w:lang w:val="en-GB" w:eastAsia="ja-JP"/>
        </w:rPr>
        <w:t>Applications</w:t>
      </w:r>
    </w:p>
    <w:p w14:paraId="1C1ABDC3"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left="425"/>
        <w:jc w:val="both"/>
        <w:textAlignment w:val="baseline"/>
        <w:rPr>
          <w:rFonts w:eastAsia="MS Mincho"/>
          <w:bCs/>
          <w:i/>
          <w:color w:val="000000"/>
          <w:lang w:val="en-GB" w:eastAsia="ja-JP"/>
        </w:rPr>
      </w:pPr>
    </w:p>
    <w:p w14:paraId="48EE95FD"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Chars="-1" w:left="-2" w:firstLineChars="59" w:firstLine="142"/>
        <w:jc w:val="both"/>
        <w:textAlignment w:val="baseline"/>
        <w:rPr>
          <w:rFonts w:eastAsia="MS Mincho"/>
          <w:bCs/>
          <w:i/>
          <w:color w:val="000000"/>
          <w:lang w:val="en-GB" w:eastAsia="ja-JP"/>
        </w:rPr>
      </w:pPr>
      <w:r w:rsidRPr="00E72BDE">
        <w:rPr>
          <w:rFonts w:eastAsia="MS Mincho"/>
          <w:b/>
          <w:bCs/>
          <w:color w:val="000000"/>
          <w:lang w:val="en-GB" w:eastAsia="ja-JP"/>
        </w:rPr>
        <w:t xml:space="preserve">6.5.1 Video sharing in truck platooning </w:t>
      </w:r>
    </w:p>
    <w:p w14:paraId="03FCF4F0"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rPr>
          <w:rFonts w:eastAsia="MS Mincho"/>
          <w:bCs/>
          <w:color w:val="000000"/>
          <w:lang w:val="en-GB" w:eastAsia="ja-JP"/>
        </w:rPr>
      </w:pPr>
      <w:r w:rsidRPr="00E72BDE">
        <w:rPr>
          <w:color w:val="222222"/>
          <w:lang w:val="en-GB"/>
        </w:rPr>
        <w:t xml:space="preserve">In truck </w:t>
      </w:r>
      <w:r w:rsidRPr="00E72BDE">
        <w:rPr>
          <w:rFonts w:eastAsiaTheme="minorEastAsia"/>
          <w:color w:val="222222"/>
          <w:lang w:val="en-GB" w:eastAsia="ja-JP"/>
        </w:rPr>
        <w:t>platooning</w:t>
      </w:r>
      <w:r w:rsidRPr="00E72BDE">
        <w:rPr>
          <w:color w:val="222222"/>
          <w:lang w:val="en-GB"/>
        </w:rPr>
        <w:t xml:space="preserve">, real time video sharing </w:t>
      </w:r>
      <w:r w:rsidRPr="00E72BDE">
        <w:rPr>
          <w:rFonts w:eastAsiaTheme="minorEastAsia"/>
          <w:color w:val="222222"/>
          <w:lang w:val="en-GB" w:eastAsia="ja-JP"/>
        </w:rPr>
        <w:t>among tracks</w:t>
      </w:r>
      <w:r w:rsidRPr="00E72BDE">
        <w:rPr>
          <w:color w:val="222222"/>
          <w:lang w:val="en-GB"/>
        </w:rPr>
        <w:t xml:space="preserve"> is required. A millimetre wave narrow beam is effective for image sharing with little interference</w:t>
      </w:r>
      <w:r w:rsidRPr="00E72BDE">
        <w:rPr>
          <w:rFonts w:eastAsiaTheme="minorEastAsia"/>
          <w:color w:val="222222"/>
          <w:lang w:val="en-GB" w:eastAsia="ja-JP"/>
        </w:rPr>
        <w:t xml:space="preserve"> for surround vehicles</w:t>
      </w:r>
      <w:r w:rsidRPr="00E72BDE">
        <w:rPr>
          <w:color w:val="222222"/>
          <w:lang w:val="en-GB"/>
        </w:rPr>
        <w:t>.</w:t>
      </w:r>
    </w:p>
    <w:p w14:paraId="1A4D4F7D"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992"/>
        <w:jc w:val="both"/>
        <w:textAlignment w:val="baseline"/>
        <w:rPr>
          <w:rFonts w:eastAsia="MS Mincho"/>
          <w:b/>
          <w:bCs/>
          <w:color w:val="000000"/>
          <w:lang w:val="en-GB" w:eastAsia="ja-JP"/>
        </w:rPr>
      </w:pPr>
    </w:p>
    <w:p w14:paraId="22EF4002"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992"/>
        <w:jc w:val="both"/>
        <w:textAlignment w:val="baseline"/>
        <w:rPr>
          <w:rFonts w:eastAsia="MS Mincho"/>
          <w:b/>
          <w:bCs/>
          <w:color w:val="000000"/>
          <w:lang w:val="en-GB" w:eastAsia="ja-JP"/>
        </w:rPr>
      </w:pPr>
      <w:r w:rsidRPr="00E72BDE">
        <w:rPr>
          <w:rFonts w:eastAsia="MS Mincho"/>
          <w:b/>
          <w:bCs/>
          <w:noProof/>
          <w:color w:val="000000"/>
          <w:lang w:val="en-GB" w:eastAsia="ja-JP"/>
        </w:rPr>
        <w:drawing>
          <wp:inline distT="0" distB="0" distL="0" distR="0" wp14:anchorId="6B0BD2B7" wp14:editId="3F9F9CE8">
            <wp:extent cx="4114800" cy="1437247"/>
            <wp:effectExtent l="0" t="0" r="0" b="0"/>
            <wp:docPr id="8196" name="図 3" descr="道路, 雪, レゴ, ケーキ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図 3" descr="道路, 雪, レゴ, ケーキ が含まれている画像&#10;&#10;自動的に生成された説明"/>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2008" cy="1436272"/>
                    </a:xfrm>
                    <a:prstGeom prst="rect">
                      <a:avLst/>
                    </a:prstGeom>
                    <a:noFill/>
                    <a:ln>
                      <a:noFill/>
                    </a:ln>
                  </pic:spPr>
                </pic:pic>
              </a:graphicData>
            </a:graphic>
          </wp:inline>
        </w:drawing>
      </w:r>
    </w:p>
    <w:p w14:paraId="4F775F26"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992"/>
        <w:jc w:val="both"/>
        <w:textAlignment w:val="baseline"/>
        <w:rPr>
          <w:rFonts w:eastAsia="MS Mincho"/>
          <w:b/>
          <w:bCs/>
          <w:color w:val="000000"/>
          <w:lang w:val="en-GB" w:eastAsia="ja-JP"/>
        </w:rPr>
      </w:pPr>
      <w:r w:rsidRPr="00E72BDE">
        <w:rPr>
          <w:rFonts w:eastAsia="MS Mincho"/>
          <w:b/>
          <w:bCs/>
          <w:color w:val="000000"/>
          <w:lang w:val="en-GB" w:eastAsia="ja-JP"/>
        </w:rPr>
        <w:t>FIGURE 6.3 Low Latency Video Sharing among Platooning Tracks</w:t>
      </w:r>
    </w:p>
    <w:p w14:paraId="318A0727"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992"/>
        <w:jc w:val="both"/>
        <w:textAlignment w:val="baseline"/>
        <w:rPr>
          <w:rFonts w:eastAsia="MS Mincho"/>
          <w:b/>
          <w:bCs/>
          <w:color w:val="000000"/>
          <w:lang w:val="en-GB" w:eastAsia="ja-JP"/>
        </w:rPr>
      </w:pPr>
    </w:p>
    <w:p w14:paraId="17412E8C"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Cs/>
          <w:color w:val="000000"/>
          <w:lang w:val="en-GB" w:eastAsia="ja-JP"/>
        </w:rPr>
      </w:pPr>
      <w:r w:rsidRPr="00E72BDE">
        <w:rPr>
          <w:rFonts w:eastAsia="MS Mincho"/>
          <w:bCs/>
          <w:color w:val="000000"/>
          <w:lang w:val="en-GB" w:eastAsia="ja-JP"/>
        </w:rPr>
        <w:lastRenderedPageBreak/>
        <w:t xml:space="preserve">A platooning using three trucks was conducted on a test course. It was confirmed that the images taken by the cameras installed on each truck can be shared on the display installed in the cabin of the first truck. Latency of the video streaming system was measured excluding the camera and the </w:t>
      </w:r>
      <w:proofErr w:type="gramStart"/>
      <w:r w:rsidRPr="00E72BDE">
        <w:rPr>
          <w:rFonts w:eastAsia="MS Mincho"/>
          <w:bCs/>
          <w:color w:val="000000"/>
          <w:lang w:val="en-GB" w:eastAsia="ja-JP"/>
        </w:rPr>
        <w:t>display, and</w:t>
      </w:r>
      <w:proofErr w:type="gramEnd"/>
      <w:r w:rsidRPr="00E72BDE">
        <w:rPr>
          <w:rFonts w:eastAsia="MS Mincho"/>
          <w:bCs/>
          <w:color w:val="000000"/>
          <w:lang w:val="en-GB" w:eastAsia="ja-JP"/>
        </w:rPr>
        <w:t xml:space="preserve"> confirmed that the average latency was 53 milliseconds. From this result and the delay time of the camera and the display in the preliminary experiment being 42 </w:t>
      </w:r>
      <w:proofErr w:type="spellStart"/>
      <w:r w:rsidRPr="00E72BDE">
        <w:rPr>
          <w:rFonts w:eastAsia="MS Mincho"/>
          <w:bCs/>
          <w:color w:val="000000"/>
          <w:lang w:val="en-GB" w:eastAsia="ja-JP"/>
        </w:rPr>
        <w:t>ms</w:t>
      </w:r>
      <w:proofErr w:type="spellEnd"/>
      <w:r w:rsidRPr="00E72BDE">
        <w:rPr>
          <w:rFonts w:eastAsia="MS Mincho"/>
          <w:bCs/>
          <w:color w:val="000000"/>
          <w:lang w:val="en-GB" w:eastAsia="ja-JP"/>
        </w:rPr>
        <w:t xml:space="preserve"> on average, it was confirmed that the delay time of the whole video streaming system was 95 </w:t>
      </w:r>
      <w:proofErr w:type="spellStart"/>
      <w:r w:rsidRPr="00E72BDE">
        <w:rPr>
          <w:rFonts w:eastAsia="MS Mincho"/>
          <w:bCs/>
          <w:color w:val="000000"/>
          <w:lang w:val="en-GB" w:eastAsia="ja-JP"/>
        </w:rPr>
        <w:t>ms</w:t>
      </w:r>
      <w:proofErr w:type="spellEnd"/>
      <w:r w:rsidRPr="00E72BDE">
        <w:rPr>
          <w:rFonts w:eastAsia="MS Mincho"/>
          <w:bCs/>
          <w:color w:val="000000"/>
          <w:lang w:val="en-GB" w:eastAsia="ja-JP"/>
        </w:rPr>
        <w:t xml:space="preserve">. From the above results, it was confirmed the demonstration of high-definition video streaming in less than 100 </w:t>
      </w:r>
      <w:proofErr w:type="spellStart"/>
      <w:r w:rsidRPr="00E72BDE">
        <w:rPr>
          <w:rFonts w:eastAsia="MS Mincho"/>
          <w:bCs/>
          <w:color w:val="000000"/>
          <w:lang w:val="en-GB" w:eastAsia="ja-JP"/>
        </w:rPr>
        <w:t>ms</w:t>
      </w:r>
      <w:proofErr w:type="spellEnd"/>
      <w:r w:rsidRPr="00E72BDE">
        <w:rPr>
          <w:rFonts w:eastAsia="MS Mincho"/>
          <w:bCs/>
          <w:color w:val="000000"/>
          <w:lang w:val="en-GB" w:eastAsia="ja-JP"/>
        </w:rPr>
        <w:t xml:space="preserve"> in platooning using three trucks.</w:t>
      </w:r>
    </w:p>
    <w:p w14:paraId="3AA3805C"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2D80188C"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263A8582"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2E208D1E"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r w:rsidRPr="00E72BDE">
        <w:rPr>
          <w:rFonts w:eastAsia="MS Mincho"/>
          <w:b/>
          <w:bCs/>
          <w:noProof/>
          <w:color w:val="000000"/>
          <w:lang w:val="en-GB" w:eastAsia="ja-JP"/>
        </w:rPr>
        <w:drawing>
          <wp:inline distT="0" distB="0" distL="0" distR="0" wp14:anchorId="695355CF" wp14:editId="3D0FC4C2">
            <wp:extent cx="4815840" cy="2852908"/>
            <wp:effectExtent l="0" t="0" r="3810" b="508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4828523" cy="2860421"/>
                    </a:xfrm>
                    <a:prstGeom prst="rect">
                      <a:avLst/>
                    </a:prstGeom>
                  </pic:spPr>
                </pic:pic>
              </a:graphicData>
            </a:graphic>
          </wp:inline>
        </w:drawing>
      </w:r>
    </w:p>
    <w:p w14:paraId="31D276EA"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7228BFA1"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rFonts w:eastAsia="MS Mincho"/>
          <w:b/>
          <w:bCs/>
          <w:noProof/>
          <w:color w:val="000000"/>
          <w:lang w:val="en-GB" w:eastAsia="ja-JP"/>
        </w:rPr>
        <w:drawing>
          <wp:inline distT="0" distB="0" distL="0" distR="0" wp14:anchorId="20FC2929" wp14:editId="04C3C5D7">
            <wp:extent cx="3003919" cy="1819275"/>
            <wp:effectExtent l="0" t="0" r="6350" b="0"/>
            <wp:docPr id="4" name="図 4" descr="高速道路を走るトラッ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高速道路を走るトラック&#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3013831" cy="1825278"/>
                    </a:xfrm>
                    <a:prstGeom prst="rect">
                      <a:avLst/>
                    </a:prstGeom>
                  </pic:spPr>
                </pic:pic>
              </a:graphicData>
            </a:graphic>
          </wp:inline>
        </w:drawing>
      </w:r>
    </w:p>
    <w:p w14:paraId="204C6E6A"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rFonts w:eastAsia="MS Mincho"/>
          <w:b/>
          <w:bCs/>
          <w:color w:val="000000"/>
          <w:lang w:val="en-GB" w:eastAsia="ja-JP"/>
        </w:rPr>
        <w:t>FIGURE 6.4 Platooning Test Trucks</w:t>
      </w:r>
    </w:p>
    <w:p w14:paraId="2F3493C7"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0F1606C6"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Cs/>
          <w:color w:val="000000"/>
          <w:lang w:val="en-GB" w:eastAsia="ja-JP"/>
        </w:rPr>
      </w:pPr>
      <w:r w:rsidRPr="00E72BDE">
        <w:rPr>
          <w:rFonts w:eastAsia="MS Mincho"/>
          <w:b/>
          <w:bCs/>
          <w:color w:val="000000"/>
          <w:lang w:val="en-GB" w:eastAsia="ja-JP"/>
        </w:rPr>
        <w:t xml:space="preserve">6.5.2 Raw sensor data sharing for see-through and cooperative perception </w:t>
      </w:r>
      <w:r w:rsidRPr="00E72BDE">
        <w:rPr>
          <w:rFonts w:eastAsia="MS Mincho"/>
          <w:color w:val="000000"/>
          <w:vertAlign w:val="superscript"/>
          <w:lang w:val="en-GB" w:eastAsia="ja-JP"/>
        </w:rPr>
        <w:t>[11]</w:t>
      </w:r>
    </w:p>
    <w:p w14:paraId="5B0E865C"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Cs/>
          <w:color w:val="000000"/>
          <w:lang w:val="en-GB" w:eastAsia="ja-JP"/>
        </w:rPr>
      </w:pPr>
      <w:r w:rsidRPr="00E72BDE">
        <w:rPr>
          <w:rFonts w:eastAsia="MS Mincho"/>
          <w:bCs/>
          <w:color w:val="000000"/>
          <w:lang w:val="en-GB" w:eastAsia="ja-JP"/>
        </w:rPr>
        <w:t xml:space="preserve">  Raw data obtained by camera, LiDAR and radars are shared between infrastructures and vehicles over high bandwidth V2X communication. Sensor fusion technique consolidates variety of raw and object data to enable accurate object detection at a </w:t>
      </w:r>
      <w:proofErr w:type="gramStart"/>
      <w:r w:rsidRPr="00E72BDE">
        <w:rPr>
          <w:rFonts w:eastAsia="MS Mincho"/>
          <w:bCs/>
          <w:color w:val="000000"/>
          <w:lang w:val="en-GB" w:eastAsia="ja-JP"/>
        </w:rPr>
        <w:t>vehicle, and</w:t>
      </w:r>
      <w:proofErr w:type="gramEnd"/>
      <w:r w:rsidRPr="00E72BDE">
        <w:rPr>
          <w:rFonts w:eastAsia="MS Mincho"/>
          <w:bCs/>
          <w:color w:val="000000"/>
          <w:lang w:val="en-GB" w:eastAsia="ja-JP"/>
        </w:rPr>
        <w:t xml:space="preserve"> provides see-through view to the driver for safety (FIGURE 6.5 – right). Millimetre wave is capable of carrying large raw data even in dense traffic in urban cities (FIGURE 6.5 – left).</w:t>
      </w:r>
    </w:p>
    <w:p w14:paraId="57456C9C"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lang w:val="en-GB" w:eastAsia="ja-JP"/>
        </w:rPr>
      </w:pPr>
      <w:r w:rsidRPr="00E72BDE">
        <w:rPr>
          <w:rFonts w:eastAsia="MS Mincho"/>
          <w:bCs/>
          <w:color w:val="000000"/>
          <w:lang w:val="en-GB" w:eastAsia="ja-JP"/>
        </w:rPr>
        <w:lastRenderedPageBreak/>
        <w:t xml:space="preserve">  Thanks to large bandwidth, </w:t>
      </w:r>
      <w:proofErr w:type="gramStart"/>
      <w:r w:rsidRPr="00E72BDE">
        <w:rPr>
          <w:rFonts w:eastAsia="MS Mincho"/>
          <w:bCs/>
          <w:color w:val="000000"/>
          <w:lang w:val="en-GB" w:eastAsia="ja-JP"/>
        </w:rPr>
        <w:t>i.e.</w:t>
      </w:r>
      <w:proofErr w:type="gramEnd"/>
      <w:r w:rsidRPr="00E72BDE">
        <w:rPr>
          <w:rFonts w:eastAsia="MS Mincho"/>
          <w:bCs/>
          <w:color w:val="000000"/>
          <w:lang w:val="en-GB" w:eastAsia="ja-JP"/>
        </w:rPr>
        <w:t xml:space="preserve"> high sampling rate, millimetre wave also enables accurate ranging between vehicle to vehicle, and vehicle to RSU by measuring accurate time-of-flight of communication packets. </w:t>
      </w:r>
    </w:p>
    <w:p w14:paraId="1D6479CF"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992"/>
        <w:jc w:val="both"/>
        <w:textAlignment w:val="baseline"/>
        <w:rPr>
          <w:rFonts w:eastAsia="MS Mincho"/>
          <w:b/>
          <w:bCs/>
          <w:color w:val="000000"/>
          <w:lang w:val="en-GB" w:eastAsia="ja-JP"/>
        </w:rPr>
      </w:pPr>
      <w:r w:rsidRPr="00E72BDE">
        <w:rPr>
          <w:rFonts w:eastAsia="MS Mincho"/>
          <w:b/>
          <w:bCs/>
          <w:noProof/>
          <w:color w:val="000000"/>
          <w:lang w:val="en-GB" w:eastAsia="ja-JP"/>
        </w:rPr>
        <w:drawing>
          <wp:inline distT="0" distB="0" distL="0" distR="0" wp14:anchorId="65898891" wp14:editId="68491D1B">
            <wp:extent cx="2156460" cy="1379220"/>
            <wp:effectExtent l="0" t="0" r="0" b="0"/>
            <wp:docPr id="3" name="図 3" descr="I2V2V_25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2V2V_25perc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460" cy="1379220"/>
                    </a:xfrm>
                    <a:prstGeom prst="rect">
                      <a:avLst/>
                    </a:prstGeom>
                    <a:noFill/>
                    <a:ln>
                      <a:noFill/>
                    </a:ln>
                  </pic:spPr>
                </pic:pic>
              </a:graphicData>
            </a:graphic>
          </wp:inline>
        </w:drawing>
      </w:r>
      <w:r w:rsidRPr="00E72BDE">
        <w:rPr>
          <w:rFonts w:eastAsia="MS Mincho"/>
          <w:b/>
          <w:bCs/>
          <w:color w:val="000000"/>
          <w:lang w:val="en-GB" w:eastAsia="ja-JP"/>
        </w:rPr>
        <w:t xml:space="preserve"> </w:t>
      </w:r>
      <w:r w:rsidRPr="00E72BDE">
        <w:rPr>
          <w:rFonts w:eastAsia="MS Mincho"/>
          <w:b/>
          <w:bCs/>
          <w:noProof/>
          <w:color w:val="000000"/>
          <w:lang w:val="en-GB" w:eastAsia="ja-JP"/>
        </w:rPr>
        <w:drawing>
          <wp:inline distT="0" distB="0" distL="0" distR="0" wp14:anchorId="57EE8D5E" wp14:editId="75B232F3">
            <wp:extent cx="2524125" cy="1357056"/>
            <wp:effectExtent l="0" t="0" r="0" b="0"/>
            <wp:docPr id="7" name="図 7" descr="道路, 屋内, テーブル,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道路, 屋内, テーブル, 建物 が含まれている画像&#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2524841" cy="1357441"/>
                    </a:xfrm>
                    <a:prstGeom prst="rect">
                      <a:avLst/>
                    </a:prstGeom>
                  </pic:spPr>
                </pic:pic>
              </a:graphicData>
            </a:graphic>
          </wp:inline>
        </w:drawing>
      </w:r>
    </w:p>
    <w:p w14:paraId="32A1CB93"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992"/>
        <w:jc w:val="center"/>
        <w:textAlignment w:val="baseline"/>
        <w:rPr>
          <w:rFonts w:eastAsia="MS Mincho"/>
          <w:b/>
          <w:bCs/>
          <w:color w:val="000000"/>
          <w:lang w:val="en-GB" w:eastAsia="ja-JP"/>
        </w:rPr>
      </w:pPr>
      <w:r w:rsidRPr="00E72BDE">
        <w:rPr>
          <w:rFonts w:eastAsia="MS Mincho"/>
          <w:b/>
          <w:bCs/>
          <w:color w:val="000000"/>
          <w:lang w:val="en-GB" w:eastAsia="ja-JP"/>
        </w:rPr>
        <w:t>FIGURE 6.5 See-through view construction using V2V, I2V2V communication</w:t>
      </w:r>
    </w:p>
    <w:p w14:paraId="040B83EC"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992"/>
        <w:jc w:val="both"/>
        <w:textAlignment w:val="baseline"/>
        <w:rPr>
          <w:rFonts w:eastAsia="MS Mincho"/>
          <w:b/>
          <w:bCs/>
          <w:color w:val="000000"/>
          <w:lang w:val="en-GB" w:eastAsia="ja-JP"/>
        </w:rPr>
      </w:pPr>
    </w:p>
    <w:p w14:paraId="48D0AD15"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
          <w:bCs/>
          <w:color w:val="000000"/>
          <w:lang w:val="en-GB" w:eastAsia="ja-JP"/>
        </w:rPr>
      </w:pPr>
      <w:r w:rsidRPr="00E72BDE">
        <w:rPr>
          <w:rFonts w:eastAsia="MS Mincho"/>
          <w:b/>
          <w:bCs/>
          <w:color w:val="000000"/>
          <w:lang w:val="en-GB" w:eastAsia="ja-JP"/>
        </w:rPr>
        <w:t xml:space="preserve">    6.5.3 High volume data uploading/downloading for big data analysis </w:t>
      </w:r>
      <w:r w:rsidRPr="00E72BDE">
        <w:rPr>
          <w:rFonts w:eastAsia="MS Mincho"/>
          <w:color w:val="000000"/>
          <w:vertAlign w:val="superscript"/>
          <w:lang w:val="en-GB" w:eastAsia="ja-JP"/>
        </w:rPr>
        <w:t>[12]-[14]</w:t>
      </w:r>
    </w:p>
    <w:p w14:paraId="088CC8E3"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color w:val="222222"/>
          <w:lang w:val="en-GB"/>
        </w:rPr>
      </w:pPr>
      <w:r w:rsidRPr="00E72BDE">
        <w:rPr>
          <w:color w:val="222222"/>
          <w:lang w:val="en-GB"/>
        </w:rPr>
        <w:t>Millimetre wave</w:t>
      </w:r>
      <w:r w:rsidRPr="00E72BDE">
        <w:rPr>
          <w:rFonts w:eastAsiaTheme="minorEastAsia"/>
          <w:color w:val="222222"/>
          <w:lang w:val="en-GB" w:eastAsia="ja-JP"/>
        </w:rPr>
        <w:t xml:space="preserve"> is </w:t>
      </w:r>
      <w:r w:rsidRPr="00E72BDE">
        <w:rPr>
          <w:color w:val="222222"/>
          <w:lang w:val="en-GB"/>
        </w:rPr>
        <w:t xml:space="preserve">capable of multi-gigabit high speed transmission. It is effective for instant downloading of large capacity contents such as 3D map. It is also possible to instantaneously upload accumulated data such as driving recorders to the server as shown in FIGURE 6.6. In addition, the millimetre wave is also suitable for backhaul communication over a distance of a few hundred meters due to the directivity of the narrow beam width, and service area can be expanded with the multi-hop function, connecting </w:t>
      </w:r>
      <w:proofErr w:type="gramStart"/>
      <w:r w:rsidRPr="00E72BDE">
        <w:rPr>
          <w:color w:val="222222"/>
          <w:lang w:val="en-GB"/>
        </w:rPr>
        <w:t>street lights</w:t>
      </w:r>
      <w:proofErr w:type="gramEnd"/>
      <w:r w:rsidRPr="00E72BDE">
        <w:rPr>
          <w:color w:val="222222"/>
          <w:lang w:val="en-GB"/>
        </w:rPr>
        <w:t xml:space="preserve"> or utility poles. Uploaded data can be transferred into cloud server via core network, such as fibre, 4G/5G network. </w:t>
      </w:r>
    </w:p>
    <w:p w14:paraId="1C03602B"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color w:val="222222"/>
          <w:lang w:val="en-GB"/>
        </w:rPr>
      </w:pPr>
      <w:r w:rsidRPr="00E72BDE">
        <w:rPr>
          <w:color w:val="222222"/>
          <w:lang w:val="en-GB"/>
        </w:rPr>
        <w:t>As further extension of FIGURE 6.7 in the future, controlling of millimetre</w:t>
      </w:r>
      <w:r w:rsidRPr="00E72BDE">
        <w:rPr>
          <w:rFonts w:ascii="MS Mincho" w:eastAsia="MS Mincho" w:hAnsi="MS Mincho"/>
          <w:color w:val="222222"/>
          <w:lang w:val="en-GB" w:eastAsia="ja-JP"/>
        </w:rPr>
        <w:t xml:space="preserve"> </w:t>
      </w:r>
      <w:r w:rsidRPr="00E72BDE">
        <w:rPr>
          <w:color w:val="222222"/>
          <w:lang w:val="en-GB"/>
        </w:rPr>
        <w:t xml:space="preserve">wave links by overlaying with 4G / 5G </w:t>
      </w:r>
      <w:proofErr w:type="spellStart"/>
      <w:r w:rsidRPr="00E72BDE">
        <w:rPr>
          <w:color w:val="222222"/>
          <w:lang w:val="en-GB"/>
        </w:rPr>
        <w:t>macrocells</w:t>
      </w:r>
      <w:proofErr w:type="spellEnd"/>
      <w:r w:rsidRPr="00E72BDE">
        <w:rPr>
          <w:color w:val="222222"/>
          <w:lang w:val="en-GB"/>
        </w:rPr>
        <w:t xml:space="preserve"> can be considered as shown in FIGURE 6.8 </w:t>
      </w:r>
      <w:r w:rsidRPr="00E72BDE">
        <w:rPr>
          <w:color w:val="222222"/>
          <w:vertAlign w:val="superscript"/>
          <w:lang w:val="en-GB"/>
        </w:rPr>
        <w:t>[15]</w:t>
      </w:r>
      <w:r w:rsidRPr="00E72BDE">
        <w:rPr>
          <w:color w:val="222222"/>
          <w:lang w:val="en-GB"/>
        </w:rPr>
        <w:t xml:space="preserve">. In this example, millimetre wave link is connected to the 4G / 5G core network by a "Gateway" installed in an RSU. A </w:t>
      </w:r>
      <w:proofErr w:type="spellStart"/>
      <w:r w:rsidRPr="00E72BDE">
        <w:rPr>
          <w:color w:val="222222"/>
          <w:lang w:val="en-GB"/>
        </w:rPr>
        <w:t>macrocell</w:t>
      </w:r>
      <w:proofErr w:type="spellEnd"/>
      <w:r w:rsidRPr="00E72BDE">
        <w:rPr>
          <w:color w:val="222222"/>
          <w:lang w:val="en-GB"/>
        </w:rPr>
        <w:t xml:space="preserve"> by Radio Access Network (RAN), connected to terminals as V-N, covers wider area than millimetre wave local network. Local network can be employed not only millimetre wave link but also microwave bands side link (</w:t>
      </w:r>
      <w:proofErr w:type="spellStart"/>
      <w:r w:rsidRPr="00E72BDE">
        <w:rPr>
          <w:color w:val="222222"/>
          <w:lang w:val="en-GB"/>
        </w:rPr>
        <w:t>eg.</w:t>
      </w:r>
      <w:proofErr w:type="spellEnd"/>
      <w:r w:rsidRPr="00E72BDE">
        <w:rPr>
          <w:color w:val="222222"/>
          <w:lang w:val="en-GB"/>
        </w:rPr>
        <w:t xml:space="preserve"> C-V2X or DSRC). Gateway bridges </w:t>
      </w:r>
      <w:proofErr w:type="spellStart"/>
      <w:r w:rsidRPr="00E72BDE">
        <w:rPr>
          <w:color w:val="222222"/>
          <w:lang w:val="en-GB"/>
        </w:rPr>
        <w:t>macrocell</w:t>
      </w:r>
      <w:proofErr w:type="spellEnd"/>
      <w:r w:rsidRPr="00E72BDE">
        <w:rPr>
          <w:color w:val="222222"/>
          <w:lang w:val="en-GB"/>
        </w:rPr>
        <w:t xml:space="preserve"> and local network, and manage optimum radio access, it enables to offload microcell huge data traffic.</w:t>
      </w:r>
    </w:p>
    <w:p w14:paraId="488D11D6"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noProof/>
          <w:lang w:val="en-GB" w:eastAsia="ja-JP"/>
        </w:rPr>
        <w:drawing>
          <wp:inline distT="0" distB="0" distL="0" distR="0" wp14:anchorId="50599262" wp14:editId="1751880E">
            <wp:extent cx="5478780" cy="148694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1722" cy="1487743"/>
                    </a:xfrm>
                    <a:prstGeom prst="rect">
                      <a:avLst/>
                    </a:prstGeom>
                    <a:noFill/>
                    <a:ln>
                      <a:noFill/>
                    </a:ln>
                  </pic:spPr>
                </pic:pic>
              </a:graphicData>
            </a:graphic>
          </wp:inline>
        </w:drawing>
      </w:r>
    </w:p>
    <w:p w14:paraId="66F20BC4"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rFonts w:eastAsia="MS Mincho"/>
          <w:b/>
          <w:bCs/>
          <w:color w:val="000000"/>
          <w:lang w:val="en-GB" w:eastAsia="ja-JP"/>
        </w:rPr>
        <w:t>FIGURE 6.6 3D Map Instant Downloading or Recorded Data Instant Uploading between Vehicles and RSU</w:t>
      </w:r>
    </w:p>
    <w:p w14:paraId="6EBA53EA"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7D321F8E"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r w:rsidRPr="00E72BDE">
        <w:rPr>
          <w:noProof/>
          <w:lang w:val="en-GB" w:eastAsia="ja-JP"/>
        </w:rPr>
        <w:lastRenderedPageBreak/>
        <w:drawing>
          <wp:inline distT="0" distB="0" distL="0" distR="0" wp14:anchorId="2DDD3B62" wp14:editId="1B3BDE38">
            <wp:extent cx="5824855" cy="2474595"/>
            <wp:effectExtent l="0" t="0" r="4445" b="1905"/>
            <wp:docPr id="23" name="図 23"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時計 が含まれている画像&#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5824855" cy="2474595"/>
                    </a:xfrm>
                    <a:prstGeom prst="rect">
                      <a:avLst/>
                    </a:prstGeom>
                  </pic:spPr>
                </pic:pic>
              </a:graphicData>
            </a:graphic>
          </wp:inline>
        </w:drawing>
      </w:r>
    </w:p>
    <w:p w14:paraId="06F18BFE"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7B94370F"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rFonts w:eastAsia="MS Mincho"/>
          <w:b/>
          <w:bCs/>
          <w:color w:val="000000"/>
          <w:lang w:val="en-GB" w:eastAsia="ja-JP"/>
        </w:rPr>
        <w:t>FIGURE 6.7 Area expansion by multi-hop for high-volume data communication</w:t>
      </w:r>
    </w:p>
    <w:p w14:paraId="0011259A"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2CDC2ED5" w14:textId="77777777" w:rsidR="002C597D" w:rsidRPr="00E72BDE" w:rsidRDefault="002C597D" w:rsidP="002C597D">
      <w:pPr>
        <w:snapToGrid w:val="0"/>
        <w:ind w:firstLineChars="100" w:firstLine="240"/>
        <w:jc w:val="both"/>
        <w:rPr>
          <w:lang w:val="en-GB" w:eastAsia="ja-JP"/>
        </w:rPr>
      </w:pPr>
      <w:r w:rsidRPr="00E72BDE">
        <w:rPr>
          <w:noProof/>
          <w:lang w:val="en-GB" w:eastAsia="ja-JP"/>
        </w:rPr>
        <w:drawing>
          <wp:inline distT="0" distB="0" distL="0" distR="0" wp14:anchorId="62C8C5FC" wp14:editId="4B6044DD">
            <wp:extent cx="5824855" cy="2729680"/>
            <wp:effectExtent l="0" t="0" r="444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4855" cy="2729680"/>
                    </a:xfrm>
                    <a:prstGeom prst="rect">
                      <a:avLst/>
                    </a:prstGeom>
                    <a:noFill/>
                    <a:ln>
                      <a:noFill/>
                    </a:ln>
                  </pic:spPr>
                </pic:pic>
              </a:graphicData>
            </a:graphic>
          </wp:inline>
        </w:drawing>
      </w:r>
    </w:p>
    <w:p w14:paraId="15FD6977" w14:textId="77777777" w:rsidR="002C597D" w:rsidRPr="00E72BDE" w:rsidRDefault="002C597D" w:rsidP="002C597D">
      <w:pPr>
        <w:snapToGrid w:val="0"/>
        <w:ind w:firstLineChars="100" w:firstLine="240"/>
        <w:jc w:val="both"/>
        <w:rPr>
          <w:lang w:val="en-GB" w:eastAsia="ja-JP"/>
        </w:rPr>
      </w:pPr>
    </w:p>
    <w:p w14:paraId="35C3B14E" w14:textId="77777777" w:rsidR="002C597D" w:rsidRPr="00E72BDE" w:rsidRDefault="002C597D" w:rsidP="002C597D">
      <w:pPr>
        <w:snapToGrid w:val="0"/>
        <w:ind w:firstLineChars="100" w:firstLine="240"/>
        <w:jc w:val="both"/>
        <w:rPr>
          <w:lang w:val="en-GB" w:eastAsia="ja-JP"/>
        </w:rPr>
      </w:pPr>
    </w:p>
    <w:p w14:paraId="2F75C438" w14:textId="77777777" w:rsidR="002C597D" w:rsidRPr="00E72BDE" w:rsidRDefault="002C597D" w:rsidP="002C597D">
      <w:pPr>
        <w:snapToGrid w:val="0"/>
        <w:ind w:firstLineChars="100" w:firstLine="240"/>
        <w:jc w:val="center"/>
        <w:rPr>
          <w:lang w:val="en-GB" w:eastAsia="ja-JP"/>
        </w:rPr>
      </w:pPr>
      <w:r w:rsidRPr="00E72BDE">
        <w:rPr>
          <w:b/>
          <w:lang w:val="en-GB" w:eastAsia="ja-JP"/>
        </w:rPr>
        <w:t xml:space="preserve">FIGURE 6.8 Millimetre wave link management by overlaying with 4G/5G </w:t>
      </w:r>
      <w:proofErr w:type="spellStart"/>
      <w:r w:rsidRPr="00E72BDE">
        <w:rPr>
          <w:b/>
          <w:lang w:val="en-GB" w:eastAsia="ja-JP"/>
        </w:rPr>
        <w:t>macrocell</w:t>
      </w:r>
      <w:proofErr w:type="spellEnd"/>
    </w:p>
    <w:p w14:paraId="53F56BBD" w14:textId="77777777" w:rsidR="002C597D" w:rsidRPr="00E72BDE" w:rsidRDefault="002C597D" w:rsidP="002C597D">
      <w:pPr>
        <w:snapToGrid w:val="0"/>
        <w:ind w:firstLineChars="100" w:firstLine="240"/>
        <w:jc w:val="both"/>
        <w:rPr>
          <w:rFonts w:eastAsia="MS Mincho"/>
          <w:lang w:val="en-GB" w:eastAsia="ja-JP"/>
        </w:rPr>
      </w:pPr>
    </w:p>
    <w:p w14:paraId="093311DF" w14:textId="77777777" w:rsidR="002C597D" w:rsidRPr="00E72BDE" w:rsidRDefault="002C597D" w:rsidP="002C597D">
      <w:pPr>
        <w:snapToGrid w:val="0"/>
        <w:ind w:firstLineChars="100" w:firstLine="240"/>
        <w:jc w:val="both"/>
        <w:rPr>
          <w:rFonts w:eastAsia="MS Mincho"/>
          <w:lang w:val="en-GB" w:eastAsia="ja-JP"/>
        </w:rPr>
      </w:pPr>
    </w:p>
    <w:p w14:paraId="0741542F" w14:textId="77777777" w:rsidR="002C597D" w:rsidRPr="00E72BDE" w:rsidRDefault="002C597D" w:rsidP="002C597D">
      <w:pPr>
        <w:snapToGrid w:val="0"/>
        <w:ind w:firstLineChars="100" w:firstLine="240"/>
        <w:jc w:val="both"/>
        <w:rPr>
          <w:lang w:val="en-GB" w:eastAsia="ja-JP"/>
        </w:rPr>
      </w:pPr>
      <w:r w:rsidRPr="00E72BDE">
        <w:rPr>
          <w:lang w:val="en-GB" w:eastAsia="ja-JP"/>
        </w:rPr>
        <w:t xml:space="preserve">FIGURE 6.9, </w:t>
      </w:r>
      <w:r w:rsidRPr="00E72BDE">
        <w:rPr>
          <w:rFonts w:eastAsia="MS Mincho"/>
          <w:lang w:val="en-GB" w:eastAsia="ja-JP"/>
        </w:rPr>
        <w:t xml:space="preserve">6.10 and Table 6.7 </w:t>
      </w:r>
      <w:r w:rsidRPr="00E72BDE">
        <w:rPr>
          <w:lang w:val="en-GB" w:eastAsia="ja-JP"/>
        </w:rPr>
        <w:t xml:space="preserve">shows the measurement results of 60 GHz-band wireless LAN performances installing on OBU and RSU. When traveling at 60 km/h, the amount of transmitted data size exceeded more than 1 </w:t>
      </w:r>
      <w:proofErr w:type="spellStart"/>
      <w:r w:rsidRPr="00E72BDE">
        <w:rPr>
          <w:lang w:val="en-GB" w:eastAsia="ja-JP"/>
        </w:rPr>
        <w:t>Gbyte</w:t>
      </w:r>
      <w:proofErr w:type="spellEnd"/>
      <w:r w:rsidRPr="00E72BDE">
        <w:rPr>
          <w:lang w:val="en-GB" w:eastAsia="ja-JP"/>
        </w:rPr>
        <w:t xml:space="preserve"> at a distance of 10 m from the RSU. It is 8.5 seconds after link-setup. As described above, 60 GHz wireless LAN system is feasible for instant huge data exchange as an ITS application.</w:t>
      </w:r>
    </w:p>
    <w:p w14:paraId="70473D14" w14:textId="77777777" w:rsidR="002C597D" w:rsidRPr="00E72BDE" w:rsidRDefault="002C597D" w:rsidP="002C597D">
      <w:pPr>
        <w:snapToGrid w:val="0"/>
        <w:ind w:firstLineChars="100" w:firstLine="240"/>
        <w:jc w:val="both"/>
        <w:rPr>
          <w:lang w:val="en-GB" w:eastAsia="ja-JP"/>
        </w:rPr>
      </w:pPr>
    </w:p>
    <w:p w14:paraId="77FF1655" w14:textId="77777777" w:rsidR="002C597D" w:rsidRPr="00E72BDE" w:rsidRDefault="002C597D" w:rsidP="002C597D">
      <w:pPr>
        <w:pStyle w:val="Caption"/>
        <w:keepNext/>
        <w:ind w:left="960"/>
        <w:jc w:val="both"/>
        <w:rPr>
          <w:sz w:val="24"/>
          <w:szCs w:val="24"/>
          <w:lang w:val="en-GB"/>
        </w:rPr>
      </w:pPr>
    </w:p>
    <w:p w14:paraId="1008B4A4" w14:textId="77777777" w:rsidR="002C597D" w:rsidRPr="00E72BDE" w:rsidRDefault="002C597D" w:rsidP="002C597D">
      <w:pPr>
        <w:jc w:val="both"/>
        <w:rPr>
          <w:rFonts w:eastAsiaTheme="minorEastAsia"/>
          <w:lang w:val="en-GB" w:eastAsia="ja-JP"/>
        </w:rPr>
      </w:pPr>
    </w:p>
    <w:p w14:paraId="3906B180" w14:textId="77777777" w:rsidR="002C597D" w:rsidRPr="00E72BDE" w:rsidRDefault="002C597D" w:rsidP="002C597D">
      <w:pPr>
        <w:pStyle w:val="Caption"/>
        <w:keepNext/>
        <w:ind w:left="960"/>
        <w:jc w:val="both"/>
        <w:rPr>
          <w:color w:val="auto"/>
          <w:sz w:val="24"/>
          <w:szCs w:val="24"/>
          <w:lang w:val="en-GB"/>
        </w:rPr>
      </w:pPr>
      <w:r w:rsidRPr="00E72BDE">
        <w:rPr>
          <w:b/>
          <w:i w:val="0"/>
          <w:color w:val="auto"/>
          <w:sz w:val="24"/>
          <w:szCs w:val="24"/>
          <w:lang w:val="en-GB"/>
        </w:rPr>
        <w:t>TABLE 6.7 Evaluation Condition of 60 GHz Wireless LAN for V-I application</w:t>
      </w:r>
    </w:p>
    <w:tbl>
      <w:tblPr>
        <w:tblStyle w:val="TableGrid"/>
        <w:tblW w:w="0" w:type="auto"/>
        <w:jc w:val="center"/>
        <w:tblLook w:val="04A0" w:firstRow="1" w:lastRow="0" w:firstColumn="1" w:lastColumn="0" w:noHBand="0" w:noVBand="1"/>
      </w:tblPr>
      <w:tblGrid>
        <w:gridCol w:w="1863"/>
        <w:gridCol w:w="1180"/>
        <w:gridCol w:w="2672"/>
      </w:tblGrid>
      <w:tr w:rsidR="002C597D" w:rsidRPr="00E72BDE" w14:paraId="691E744F" w14:textId="77777777" w:rsidTr="004D1AA0">
        <w:trPr>
          <w:trHeight w:val="319"/>
          <w:jc w:val="center"/>
        </w:trPr>
        <w:tc>
          <w:tcPr>
            <w:tcW w:w="3043" w:type="dxa"/>
            <w:gridSpan w:val="2"/>
            <w:vAlign w:val="center"/>
          </w:tcPr>
          <w:p w14:paraId="50D43EA3" w14:textId="77777777" w:rsidR="002C597D" w:rsidRPr="00E72BDE" w:rsidRDefault="002C597D" w:rsidP="004D1AA0">
            <w:pPr>
              <w:snapToGrid w:val="0"/>
              <w:jc w:val="both"/>
              <w:rPr>
                <w:b/>
                <w:lang w:val="en-GB"/>
              </w:rPr>
            </w:pPr>
            <w:r w:rsidRPr="00E72BDE">
              <w:rPr>
                <w:b/>
                <w:lang w:val="en-GB"/>
              </w:rPr>
              <w:t>Item</w:t>
            </w:r>
          </w:p>
        </w:tc>
        <w:tc>
          <w:tcPr>
            <w:tcW w:w="2672" w:type="dxa"/>
            <w:vAlign w:val="center"/>
          </w:tcPr>
          <w:p w14:paraId="7973C376" w14:textId="77777777" w:rsidR="002C597D" w:rsidRPr="00E72BDE" w:rsidRDefault="002C597D" w:rsidP="004D1AA0">
            <w:pPr>
              <w:snapToGrid w:val="0"/>
              <w:jc w:val="both"/>
              <w:rPr>
                <w:b/>
                <w:lang w:val="en-GB"/>
              </w:rPr>
            </w:pPr>
            <w:r w:rsidRPr="00E72BDE">
              <w:rPr>
                <w:b/>
                <w:lang w:val="en-GB"/>
              </w:rPr>
              <w:t>Value</w:t>
            </w:r>
          </w:p>
        </w:tc>
      </w:tr>
      <w:tr w:rsidR="002C597D" w:rsidRPr="00E72BDE" w14:paraId="64407DAD" w14:textId="77777777" w:rsidTr="004D1AA0">
        <w:trPr>
          <w:trHeight w:val="305"/>
          <w:jc w:val="center"/>
        </w:trPr>
        <w:tc>
          <w:tcPr>
            <w:tcW w:w="3043" w:type="dxa"/>
            <w:gridSpan w:val="2"/>
            <w:vAlign w:val="center"/>
          </w:tcPr>
          <w:p w14:paraId="5060F103" w14:textId="77777777" w:rsidR="002C597D" w:rsidRPr="00E72BDE" w:rsidRDefault="002C597D" w:rsidP="004D1AA0">
            <w:pPr>
              <w:snapToGrid w:val="0"/>
              <w:jc w:val="both"/>
              <w:rPr>
                <w:lang w:val="en-GB"/>
              </w:rPr>
            </w:pPr>
            <w:r w:rsidRPr="00E72BDE">
              <w:rPr>
                <w:lang w:val="en-GB"/>
              </w:rPr>
              <w:lastRenderedPageBreak/>
              <w:t>RSU antenna height</w:t>
            </w:r>
          </w:p>
        </w:tc>
        <w:tc>
          <w:tcPr>
            <w:tcW w:w="2672" w:type="dxa"/>
            <w:vAlign w:val="center"/>
          </w:tcPr>
          <w:p w14:paraId="320AD2A9" w14:textId="77777777" w:rsidR="002C597D" w:rsidRPr="00E72BDE" w:rsidRDefault="002C597D" w:rsidP="004D1AA0">
            <w:pPr>
              <w:snapToGrid w:val="0"/>
              <w:jc w:val="both"/>
              <w:rPr>
                <w:lang w:val="en-GB"/>
              </w:rPr>
            </w:pPr>
            <w:r w:rsidRPr="00E72BDE">
              <w:rPr>
                <w:lang w:val="en-GB"/>
              </w:rPr>
              <w:t>2 m</w:t>
            </w:r>
          </w:p>
        </w:tc>
      </w:tr>
      <w:tr w:rsidR="002C597D" w:rsidRPr="00E72BDE" w14:paraId="5AAD6135" w14:textId="77777777" w:rsidTr="004D1AA0">
        <w:trPr>
          <w:trHeight w:val="319"/>
          <w:jc w:val="center"/>
        </w:trPr>
        <w:tc>
          <w:tcPr>
            <w:tcW w:w="3043" w:type="dxa"/>
            <w:gridSpan w:val="2"/>
            <w:vAlign w:val="center"/>
          </w:tcPr>
          <w:p w14:paraId="19223F59" w14:textId="77777777" w:rsidR="002C597D" w:rsidRPr="00E72BDE" w:rsidRDefault="002C597D" w:rsidP="004D1AA0">
            <w:pPr>
              <w:snapToGrid w:val="0"/>
              <w:jc w:val="both"/>
              <w:rPr>
                <w:lang w:val="en-GB"/>
              </w:rPr>
            </w:pPr>
            <w:r w:rsidRPr="00E72BDE">
              <w:rPr>
                <w:lang w:val="en-GB"/>
              </w:rPr>
              <w:t>OBU antenna height</w:t>
            </w:r>
          </w:p>
        </w:tc>
        <w:tc>
          <w:tcPr>
            <w:tcW w:w="2672" w:type="dxa"/>
            <w:vAlign w:val="center"/>
          </w:tcPr>
          <w:p w14:paraId="51E50994" w14:textId="77777777" w:rsidR="002C597D" w:rsidRPr="00E72BDE" w:rsidRDefault="002C597D" w:rsidP="004D1AA0">
            <w:pPr>
              <w:snapToGrid w:val="0"/>
              <w:jc w:val="both"/>
              <w:rPr>
                <w:lang w:val="en-GB"/>
              </w:rPr>
            </w:pPr>
            <w:r w:rsidRPr="00E72BDE">
              <w:rPr>
                <w:lang w:val="en-GB"/>
              </w:rPr>
              <w:t>1.4 m</w:t>
            </w:r>
          </w:p>
        </w:tc>
      </w:tr>
      <w:tr w:rsidR="002C597D" w:rsidRPr="00E72BDE" w14:paraId="464193EC" w14:textId="77777777" w:rsidTr="004D1AA0">
        <w:trPr>
          <w:trHeight w:val="562"/>
          <w:jc w:val="center"/>
        </w:trPr>
        <w:tc>
          <w:tcPr>
            <w:tcW w:w="1863" w:type="dxa"/>
            <w:vAlign w:val="center"/>
          </w:tcPr>
          <w:p w14:paraId="4877246A" w14:textId="77777777" w:rsidR="002C597D" w:rsidRPr="00E72BDE" w:rsidRDefault="002C597D" w:rsidP="004D1AA0">
            <w:pPr>
              <w:snapToGrid w:val="0"/>
              <w:jc w:val="both"/>
              <w:rPr>
                <w:lang w:val="en-GB"/>
              </w:rPr>
            </w:pPr>
            <w:r w:rsidRPr="00E72BDE">
              <w:rPr>
                <w:lang w:val="en-GB"/>
              </w:rPr>
              <w:t>Antenna tilt</w:t>
            </w:r>
          </w:p>
          <w:p w14:paraId="1DBCE182" w14:textId="77777777" w:rsidR="002C597D" w:rsidRPr="00E72BDE" w:rsidRDefault="002C597D" w:rsidP="004D1AA0">
            <w:pPr>
              <w:snapToGrid w:val="0"/>
              <w:jc w:val="both"/>
              <w:rPr>
                <w:lang w:val="en-GB"/>
              </w:rPr>
            </w:pPr>
            <w:r w:rsidRPr="00E72BDE">
              <w:rPr>
                <w:lang w:val="en-GB"/>
              </w:rPr>
              <w:t>RSU/OBU</w:t>
            </w:r>
          </w:p>
        </w:tc>
        <w:tc>
          <w:tcPr>
            <w:tcW w:w="1180" w:type="dxa"/>
            <w:vAlign w:val="center"/>
          </w:tcPr>
          <w:p w14:paraId="7223FA63" w14:textId="77777777" w:rsidR="002C597D" w:rsidRPr="00E72BDE" w:rsidRDefault="002C597D" w:rsidP="004D1AA0">
            <w:pPr>
              <w:snapToGrid w:val="0"/>
              <w:jc w:val="both"/>
              <w:rPr>
                <w:lang w:val="en-GB"/>
              </w:rPr>
            </w:pPr>
            <w:r w:rsidRPr="00E72BDE">
              <w:rPr>
                <w:lang w:val="en-GB"/>
              </w:rPr>
              <w:t>Elevation</w:t>
            </w:r>
          </w:p>
        </w:tc>
        <w:tc>
          <w:tcPr>
            <w:tcW w:w="2672" w:type="dxa"/>
            <w:vAlign w:val="center"/>
          </w:tcPr>
          <w:p w14:paraId="694990B6" w14:textId="77777777" w:rsidR="002C597D" w:rsidRPr="00E72BDE" w:rsidRDefault="002C597D" w:rsidP="004D1AA0">
            <w:pPr>
              <w:snapToGrid w:val="0"/>
              <w:jc w:val="both"/>
              <w:rPr>
                <w:lang w:val="en-GB"/>
              </w:rPr>
            </w:pPr>
            <w:r w:rsidRPr="00E72BDE">
              <w:rPr>
                <w:lang w:val="en-GB"/>
              </w:rPr>
              <w:t>0°</w:t>
            </w:r>
          </w:p>
        </w:tc>
      </w:tr>
      <w:tr w:rsidR="002C597D" w:rsidRPr="00E72BDE" w14:paraId="46F134B7" w14:textId="77777777" w:rsidTr="004D1AA0">
        <w:trPr>
          <w:trHeight w:val="305"/>
          <w:jc w:val="center"/>
        </w:trPr>
        <w:tc>
          <w:tcPr>
            <w:tcW w:w="3043" w:type="dxa"/>
            <w:gridSpan w:val="2"/>
            <w:vAlign w:val="center"/>
          </w:tcPr>
          <w:p w14:paraId="5CD49D99" w14:textId="77777777" w:rsidR="002C597D" w:rsidRPr="00E72BDE" w:rsidRDefault="002C597D" w:rsidP="004D1AA0">
            <w:pPr>
              <w:snapToGrid w:val="0"/>
              <w:jc w:val="both"/>
              <w:rPr>
                <w:lang w:val="en-GB"/>
              </w:rPr>
            </w:pPr>
            <w:r w:rsidRPr="00E72BDE">
              <w:rPr>
                <w:rFonts w:eastAsia="MS Mincho"/>
                <w:lang w:val="en-GB"/>
              </w:rPr>
              <w:t>Driving Range</w:t>
            </w:r>
          </w:p>
        </w:tc>
        <w:tc>
          <w:tcPr>
            <w:tcW w:w="2672" w:type="dxa"/>
            <w:vAlign w:val="center"/>
          </w:tcPr>
          <w:p w14:paraId="63AEE0C1" w14:textId="77777777" w:rsidR="002C597D" w:rsidRPr="00E72BDE" w:rsidRDefault="002C597D" w:rsidP="004D1AA0">
            <w:pPr>
              <w:snapToGrid w:val="0"/>
              <w:jc w:val="both"/>
              <w:rPr>
                <w:lang w:val="en-GB"/>
              </w:rPr>
            </w:pPr>
            <w:r w:rsidRPr="00E72BDE">
              <w:rPr>
                <w:lang w:val="en-GB"/>
              </w:rPr>
              <w:t>0</w:t>
            </w:r>
            <w:r w:rsidRPr="00E72BDE">
              <w:rPr>
                <w:rFonts w:hint="eastAsia"/>
                <w:lang w:val="en-GB"/>
              </w:rPr>
              <w:t>～</w:t>
            </w:r>
            <w:r w:rsidRPr="00E72BDE">
              <w:rPr>
                <w:lang w:val="en-GB"/>
              </w:rPr>
              <w:t>300m</w:t>
            </w:r>
          </w:p>
        </w:tc>
      </w:tr>
      <w:tr w:rsidR="002C597D" w:rsidRPr="00E72BDE" w14:paraId="605F514F" w14:textId="77777777" w:rsidTr="004D1AA0">
        <w:trPr>
          <w:trHeight w:val="319"/>
          <w:jc w:val="center"/>
        </w:trPr>
        <w:tc>
          <w:tcPr>
            <w:tcW w:w="3043" w:type="dxa"/>
            <w:gridSpan w:val="2"/>
            <w:vAlign w:val="center"/>
          </w:tcPr>
          <w:p w14:paraId="2E8019D6" w14:textId="77777777" w:rsidR="002C597D" w:rsidRPr="00E72BDE" w:rsidRDefault="002C597D" w:rsidP="004D1AA0">
            <w:pPr>
              <w:snapToGrid w:val="0"/>
              <w:jc w:val="both"/>
              <w:rPr>
                <w:lang w:val="en-GB"/>
              </w:rPr>
            </w:pPr>
            <w:r w:rsidRPr="00E72BDE">
              <w:rPr>
                <w:lang w:val="en-GB"/>
              </w:rPr>
              <w:t>Vehicle velocity</w:t>
            </w:r>
          </w:p>
        </w:tc>
        <w:tc>
          <w:tcPr>
            <w:tcW w:w="2672" w:type="dxa"/>
            <w:vAlign w:val="center"/>
          </w:tcPr>
          <w:p w14:paraId="036BF9EB" w14:textId="77777777" w:rsidR="002C597D" w:rsidRPr="00E72BDE" w:rsidRDefault="002C597D" w:rsidP="004D1AA0">
            <w:pPr>
              <w:snapToGrid w:val="0"/>
              <w:jc w:val="both"/>
              <w:rPr>
                <w:lang w:val="en-GB"/>
              </w:rPr>
            </w:pPr>
            <w:r w:rsidRPr="00E72BDE">
              <w:rPr>
                <w:lang w:val="en-GB"/>
              </w:rPr>
              <w:t xml:space="preserve">60 km/h </w:t>
            </w:r>
          </w:p>
        </w:tc>
      </w:tr>
      <w:tr w:rsidR="002C597D" w:rsidRPr="00E72BDE" w14:paraId="66F1DB80" w14:textId="77777777" w:rsidTr="004D1AA0">
        <w:trPr>
          <w:trHeight w:val="319"/>
          <w:jc w:val="center"/>
        </w:trPr>
        <w:tc>
          <w:tcPr>
            <w:tcW w:w="3043" w:type="dxa"/>
            <w:gridSpan w:val="2"/>
            <w:vAlign w:val="center"/>
          </w:tcPr>
          <w:p w14:paraId="43BF3298" w14:textId="77777777" w:rsidR="002C597D" w:rsidRPr="00E72BDE" w:rsidRDefault="002C597D" w:rsidP="004D1AA0">
            <w:pPr>
              <w:snapToGrid w:val="0"/>
              <w:jc w:val="both"/>
              <w:rPr>
                <w:lang w:val="en-GB"/>
              </w:rPr>
            </w:pPr>
            <w:r w:rsidRPr="00E72BDE">
              <w:rPr>
                <w:lang w:val="en-GB"/>
              </w:rPr>
              <w:t>Carrier frequency</w:t>
            </w:r>
          </w:p>
        </w:tc>
        <w:tc>
          <w:tcPr>
            <w:tcW w:w="2672" w:type="dxa"/>
            <w:vAlign w:val="center"/>
          </w:tcPr>
          <w:p w14:paraId="1904C477" w14:textId="77777777" w:rsidR="002C597D" w:rsidRPr="00E72BDE" w:rsidRDefault="002C597D" w:rsidP="004D1AA0">
            <w:pPr>
              <w:snapToGrid w:val="0"/>
              <w:jc w:val="both"/>
              <w:rPr>
                <w:lang w:val="en-GB"/>
              </w:rPr>
            </w:pPr>
            <w:r w:rsidRPr="00E72BDE">
              <w:rPr>
                <w:lang w:val="en-GB"/>
              </w:rPr>
              <w:t>60.48 GHz</w:t>
            </w:r>
          </w:p>
        </w:tc>
      </w:tr>
      <w:tr w:rsidR="002C597D" w:rsidRPr="00E72BDE" w14:paraId="0507167A" w14:textId="77777777" w:rsidTr="004D1AA0">
        <w:trPr>
          <w:trHeight w:val="319"/>
          <w:jc w:val="center"/>
        </w:trPr>
        <w:tc>
          <w:tcPr>
            <w:tcW w:w="3043" w:type="dxa"/>
            <w:gridSpan w:val="2"/>
            <w:vAlign w:val="center"/>
          </w:tcPr>
          <w:p w14:paraId="677EA845" w14:textId="77777777" w:rsidR="002C597D" w:rsidRPr="00E72BDE" w:rsidRDefault="002C597D" w:rsidP="004D1AA0">
            <w:pPr>
              <w:snapToGrid w:val="0"/>
              <w:jc w:val="both"/>
              <w:rPr>
                <w:lang w:val="en-GB"/>
              </w:rPr>
            </w:pPr>
            <w:r w:rsidRPr="00E72BDE">
              <w:rPr>
                <w:lang w:val="en-GB"/>
              </w:rPr>
              <w:t>Beam scanning direction</w:t>
            </w:r>
          </w:p>
        </w:tc>
        <w:tc>
          <w:tcPr>
            <w:tcW w:w="2672" w:type="dxa"/>
            <w:vAlign w:val="center"/>
          </w:tcPr>
          <w:p w14:paraId="010A590E" w14:textId="77777777" w:rsidR="002C597D" w:rsidRPr="00E72BDE" w:rsidRDefault="002C597D" w:rsidP="004D1AA0">
            <w:pPr>
              <w:snapToGrid w:val="0"/>
              <w:jc w:val="both"/>
              <w:rPr>
                <w:lang w:val="en-GB"/>
              </w:rPr>
            </w:pPr>
            <w:r w:rsidRPr="00E72BDE">
              <w:rPr>
                <w:lang w:val="en-GB"/>
              </w:rPr>
              <w:t>Elevation</w:t>
            </w:r>
          </w:p>
        </w:tc>
      </w:tr>
    </w:tbl>
    <w:p w14:paraId="7BF5F61F" w14:textId="520DF653" w:rsidR="002C597D" w:rsidRPr="00E72BDE" w:rsidRDefault="002C597D" w:rsidP="002C597D">
      <w:pPr>
        <w:jc w:val="both"/>
        <w:rPr>
          <w:lang w:val="en-GB"/>
        </w:rPr>
      </w:pPr>
    </w:p>
    <w:tbl>
      <w:tblPr>
        <w:tblStyle w:val="TableGrid"/>
        <w:tblpPr w:leftFromText="142" w:rightFromText="142" w:vertAnchor="text" w:horzAnchor="margin"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221"/>
      </w:tblGrid>
      <w:tr w:rsidR="002C597D" w:rsidRPr="00E72BDE" w14:paraId="04D413A9" w14:textId="77777777" w:rsidTr="004D1AA0">
        <w:trPr>
          <w:trHeight w:val="856"/>
        </w:trPr>
        <w:tc>
          <w:tcPr>
            <w:tcW w:w="8675" w:type="dxa"/>
            <w:gridSpan w:val="2"/>
          </w:tcPr>
          <w:p w14:paraId="25F00A9E" w14:textId="72360854" w:rsidR="002C597D" w:rsidRPr="00E72BDE" w:rsidRDefault="00A33EAF" w:rsidP="004D1AA0">
            <w:pPr>
              <w:snapToGrid w:val="0"/>
              <w:jc w:val="both"/>
              <w:rPr>
                <w:rFonts w:ascii="MS PMincho" w:hAnsi="MS PMincho"/>
                <w:color w:val="3366FF"/>
                <w:lang w:val="en-GB"/>
              </w:rPr>
            </w:pPr>
            <w:r w:rsidRPr="00C42C20">
              <w:rPr>
                <w:noProof/>
                <w:lang w:val="en-GB"/>
              </w:rPr>
              <mc:AlternateContent>
                <mc:Choice Requires="wps">
                  <w:drawing>
                    <wp:anchor distT="45720" distB="45720" distL="114300" distR="114300" simplePos="0" relativeHeight="251668480" behindDoc="0" locked="0" layoutInCell="1" allowOverlap="1" wp14:anchorId="189BA9C7" wp14:editId="130561D7">
                      <wp:simplePos x="0" y="0"/>
                      <wp:positionH relativeFrom="column">
                        <wp:posOffset>1792605</wp:posOffset>
                      </wp:positionH>
                      <wp:positionV relativeFrom="paragraph">
                        <wp:posOffset>971340</wp:posOffset>
                      </wp:positionV>
                      <wp:extent cx="499110" cy="241222"/>
                      <wp:effectExtent l="0" t="0" r="0" b="698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41222"/>
                              </a:xfrm>
                              <a:prstGeom prst="rect">
                                <a:avLst/>
                              </a:prstGeom>
                              <a:solidFill>
                                <a:schemeClr val="bg1"/>
                              </a:solidFill>
                              <a:ln w="9525">
                                <a:noFill/>
                                <a:miter lim="800000"/>
                                <a:headEnd/>
                                <a:tailEnd/>
                              </a:ln>
                            </wps:spPr>
                            <wps:txbx>
                              <w:txbxContent>
                                <w:p w14:paraId="2D38F5C4" w14:textId="09DF3C5C" w:rsidR="00A33EAF" w:rsidRPr="00ED47F9" w:rsidRDefault="00A33EAF" w:rsidP="00ED47F9">
                                  <w:pPr>
                                    <w:jc w:val="center"/>
                                    <w:rPr>
                                      <w:rFonts w:asciiTheme="minorHAnsi" w:hAnsiTheme="minorHAnsi" w:cstheme="minorHAnsi"/>
                                      <w:sz w:val="21"/>
                                      <w:szCs w:val="21"/>
                                    </w:rPr>
                                  </w:pPr>
                                  <w:r>
                                    <w:rPr>
                                      <w:rFonts w:asciiTheme="minorHAnsi" w:hAnsiTheme="minorHAnsi" w:cstheme="minorHAnsi"/>
                                      <w:sz w:val="21"/>
                                      <w:szCs w:val="21"/>
                                    </w:rPr>
                                    <w:t>OBU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BA9C7" id="テキスト ボックス 2" o:spid="_x0000_s1028" type="#_x0000_t202" style="position:absolute;left:0;text-align:left;margin-left:141.15pt;margin-top:76.5pt;width:39.3pt;height:1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" fillcolor="white [3212]" stroked="f">
                      <v:textbox>
                        <w:txbxContent>
                          <w:p w14:paraId="2D38F5C4" w14:textId="09DF3C5C" w:rsidR="00A33EAF" w:rsidRPr="00ED47F9" w:rsidRDefault="00A33EAF" w:rsidP="00ED47F9">
                            <w:pPr>
                              <w:jc w:val="center"/>
                              <w:rPr>
                                <w:rFonts w:asciiTheme="minorHAnsi" w:hAnsiTheme="minorHAnsi" w:cstheme="minorHAnsi"/>
                                <w:sz w:val="21"/>
                                <w:szCs w:val="21"/>
                              </w:rPr>
                            </w:pPr>
                            <w:r>
                              <w:rPr>
                                <w:rFonts w:asciiTheme="minorHAnsi" w:hAnsiTheme="minorHAnsi" w:cstheme="minorHAnsi"/>
                                <w:sz w:val="21"/>
                                <w:szCs w:val="21"/>
                              </w:rPr>
                              <w:t>OBU</w:t>
                            </w:r>
                          </w:p>
                        </w:txbxContent>
                      </v:textbox>
                    </v:shape>
                  </w:pict>
                </mc:Fallback>
              </mc:AlternateContent>
            </w:r>
            <w:r w:rsidR="00B5283B" w:rsidRPr="00C42C20">
              <w:rPr>
                <w:noProof/>
                <w:lang w:val="en-GB"/>
              </w:rPr>
              <mc:AlternateContent>
                <mc:Choice Requires="wps">
                  <w:drawing>
                    <wp:anchor distT="45720" distB="45720" distL="114300" distR="114300" simplePos="0" relativeHeight="251666432" behindDoc="0" locked="0" layoutInCell="1" allowOverlap="1" wp14:anchorId="77D18927" wp14:editId="461E45F2">
                      <wp:simplePos x="0" y="0"/>
                      <wp:positionH relativeFrom="column">
                        <wp:posOffset>857040</wp:posOffset>
                      </wp:positionH>
                      <wp:positionV relativeFrom="paragraph">
                        <wp:posOffset>86789</wp:posOffset>
                      </wp:positionV>
                      <wp:extent cx="499110" cy="241222"/>
                      <wp:effectExtent l="0" t="0" r="0" b="698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41222"/>
                              </a:xfrm>
                              <a:prstGeom prst="rect">
                                <a:avLst/>
                              </a:prstGeom>
                              <a:solidFill>
                                <a:schemeClr val="bg1"/>
                              </a:solidFill>
                              <a:ln w="9525">
                                <a:noFill/>
                                <a:miter lim="800000"/>
                                <a:headEnd/>
                                <a:tailEnd/>
                              </a:ln>
                            </wps:spPr>
                            <wps:txbx>
                              <w:txbxContent>
                                <w:p w14:paraId="35125501" w14:textId="4D5DFBDA" w:rsidR="00B5283B" w:rsidRPr="00ED47F9" w:rsidRDefault="00B5283B" w:rsidP="00ED47F9">
                                  <w:pPr>
                                    <w:jc w:val="center"/>
                                    <w:rPr>
                                      <w:rFonts w:asciiTheme="minorHAnsi" w:hAnsiTheme="minorHAnsi" w:cstheme="minorHAnsi"/>
                                      <w:sz w:val="21"/>
                                      <w:szCs w:val="21"/>
                                    </w:rPr>
                                  </w:pPr>
                                  <w:r>
                                    <w:rPr>
                                      <w:rFonts w:asciiTheme="minorHAnsi" w:hAnsiTheme="minorHAnsi" w:cstheme="minorHAnsi"/>
                                      <w:sz w:val="21"/>
                                      <w:szCs w:val="21"/>
                                    </w:rPr>
                                    <w:t>RSU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18927" id="_x0000_s1029" type="#_x0000_t202" style="position:absolute;left:0;text-align:left;margin-left:67.5pt;margin-top:6.85pt;width:39.3pt;height:1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" fillcolor="white [3212]" stroked="f">
                      <v:textbox>
                        <w:txbxContent>
                          <w:p w14:paraId="35125501" w14:textId="4D5DFBDA" w:rsidR="00B5283B" w:rsidRPr="00ED47F9" w:rsidRDefault="00B5283B" w:rsidP="00ED47F9">
                            <w:pPr>
                              <w:jc w:val="center"/>
                              <w:rPr>
                                <w:rFonts w:asciiTheme="minorHAnsi" w:hAnsiTheme="minorHAnsi" w:cstheme="minorHAnsi"/>
                                <w:sz w:val="21"/>
                                <w:szCs w:val="21"/>
                              </w:rPr>
                            </w:pPr>
                            <w:r>
                              <w:rPr>
                                <w:rFonts w:asciiTheme="minorHAnsi" w:hAnsiTheme="minorHAnsi" w:cstheme="minorHAnsi"/>
                                <w:sz w:val="21"/>
                                <w:szCs w:val="21"/>
                              </w:rPr>
                              <w:t>RSU</w:t>
                            </w:r>
                          </w:p>
                        </w:txbxContent>
                      </v:textbox>
                    </v:shape>
                  </w:pict>
                </mc:Fallback>
              </mc:AlternateContent>
            </w:r>
            <w:r w:rsidR="002C597D" w:rsidRPr="00E72BDE">
              <w:rPr>
                <w:rFonts w:ascii="MS PMincho" w:hAnsi="MS PMincho"/>
                <w:noProof/>
                <w:color w:val="3366FF"/>
                <w:lang w:val="en-GB" w:eastAsia="ja-JP"/>
              </w:rPr>
              <w:drawing>
                <wp:inline distT="0" distB="0" distL="0" distR="0" wp14:anchorId="473EB6D7" wp14:editId="1DEA7F3F">
                  <wp:extent cx="4590440" cy="2522220"/>
                  <wp:effectExtent l="0" t="0" r="635" b="0"/>
                  <wp:docPr id="17" name="図 17" descr="道路を走る車&#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道路を走る車&#10;&#10;中程度の精度で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4601156" cy="2528108"/>
                          </a:xfrm>
                          <a:prstGeom prst="rect">
                            <a:avLst/>
                          </a:prstGeom>
                        </pic:spPr>
                      </pic:pic>
                    </a:graphicData>
                  </a:graphic>
                </wp:inline>
              </w:drawing>
            </w:r>
          </w:p>
        </w:tc>
      </w:tr>
      <w:tr w:rsidR="002C597D" w:rsidRPr="00E72BDE" w14:paraId="2926D642" w14:textId="77777777" w:rsidTr="004D1AA0">
        <w:tc>
          <w:tcPr>
            <w:tcW w:w="8675" w:type="dxa"/>
            <w:gridSpan w:val="2"/>
          </w:tcPr>
          <w:p w14:paraId="57030014" w14:textId="77777777" w:rsidR="002C597D" w:rsidRPr="00E72BDE" w:rsidRDefault="002C597D" w:rsidP="004D1AA0">
            <w:pPr>
              <w:snapToGrid w:val="0"/>
              <w:jc w:val="both"/>
              <w:rPr>
                <w:rFonts w:ascii="MS PMincho" w:hAnsi="MS PMincho"/>
                <w:color w:val="3366FF"/>
                <w:lang w:val="en-GB"/>
              </w:rPr>
            </w:pPr>
          </w:p>
        </w:tc>
      </w:tr>
      <w:tr w:rsidR="002C597D" w:rsidRPr="00E72BDE" w14:paraId="3579A96C" w14:textId="77777777" w:rsidTr="004D1AA0">
        <w:tc>
          <w:tcPr>
            <w:tcW w:w="4454" w:type="dxa"/>
          </w:tcPr>
          <w:p w14:paraId="51F67765" w14:textId="77777777" w:rsidR="002C597D" w:rsidRPr="00E72BDE" w:rsidRDefault="002C597D" w:rsidP="004D1AA0">
            <w:pPr>
              <w:snapToGrid w:val="0"/>
              <w:jc w:val="both"/>
              <w:rPr>
                <w:rFonts w:ascii="MS PMincho" w:hAnsi="MS PMincho"/>
                <w:color w:val="3366FF"/>
                <w:lang w:val="en-GB"/>
              </w:rPr>
            </w:pPr>
            <w:r w:rsidRPr="00E72BDE">
              <w:rPr>
                <w:rFonts w:ascii="MS PMincho" w:hAnsi="MS PMincho"/>
                <w:noProof/>
                <w:color w:val="3366FF"/>
                <w:lang w:val="en-GB" w:eastAsia="ja-JP"/>
              </w:rPr>
              <w:drawing>
                <wp:inline distT="0" distB="0" distL="0" distR="0" wp14:anchorId="3052785D" wp14:editId="66E06538">
                  <wp:extent cx="1792739" cy="1438910"/>
                  <wp:effectExtent l="0" t="0" r="0" b="8890"/>
                  <wp:docPr id="18" name="図 18" descr="フロント, 座る, コンピュータ,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フロント, 座る, コンピュータ, 男 が含まれている画像&#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1806968" cy="1450331"/>
                          </a:xfrm>
                          <a:prstGeom prst="rect">
                            <a:avLst/>
                          </a:prstGeom>
                        </pic:spPr>
                      </pic:pic>
                    </a:graphicData>
                  </a:graphic>
                </wp:inline>
              </w:drawing>
            </w:r>
          </w:p>
        </w:tc>
        <w:tc>
          <w:tcPr>
            <w:tcW w:w="4221" w:type="dxa"/>
          </w:tcPr>
          <w:p w14:paraId="774F3A3A" w14:textId="77777777" w:rsidR="002C597D" w:rsidRPr="00E72BDE" w:rsidRDefault="002C597D" w:rsidP="004D1AA0">
            <w:pPr>
              <w:snapToGrid w:val="0"/>
              <w:jc w:val="both"/>
              <w:rPr>
                <w:rFonts w:ascii="MS PMincho" w:hAnsi="MS PMincho"/>
                <w:color w:val="3366FF"/>
                <w:lang w:val="en-GB"/>
              </w:rPr>
            </w:pPr>
            <w:r w:rsidRPr="00E72BDE">
              <w:rPr>
                <w:rFonts w:ascii="MS PMincho" w:hAnsi="MS PMincho"/>
                <w:noProof/>
                <w:color w:val="3366FF"/>
                <w:lang w:val="en-GB" w:eastAsia="ja-JP"/>
              </w:rPr>
              <w:drawing>
                <wp:inline distT="0" distB="0" distL="0" distR="0" wp14:anchorId="49980297" wp14:editId="67A82E40">
                  <wp:extent cx="1812147" cy="1447800"/>
                  <wp:effectExtent l="0" t="0" r="0" b="0"/>
                  <wp:docPr id="19" name="図 19" descr="屋内, 座る, 車,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屋内, 座る, 車, テーブル が含まれている画像&#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1821721" cy="1455449"/>
                          </a:xfrm>
                          <a:prstGeom prst="rect">
                            <a:avLst/>
                          </a:prstGeom>
                        </pic:spPr>
                      </pic:pic>
                    </a:graphicData>
                  </a:graphic>
                </wp:inline>
              </w:drawing>
            </w:r>
          </w:p>
        </w:tc>
      </w:tr>
      <w:tr w:rsidR="002C597D" w:rsidRPr="00E72BDE" w14:paraId="4582A8D3" w14:textId="77777777" w:rsidTr="004D1AA0">
        <w:tc>
          <w:tcPr>
            <w:tcW w:w="4454" w:type="dxa"/>
          </w:tcPr>
          <w:p w14:paraId="176572DF" w14:textId="77777777" w:rsidR="002C597D" w:rsidRPr="00E72BDE" w:rsidRDefault="002C597D" w:rsidP="004D1AA0">
            <w:pPr>
              <w:snapToGrid w:val="0"/>
              <w:ind w:left="240" w:hangingChars="100" w:hanging="240"/>
              <w:jc w:val="both"/>
              <w:rPr>
                <w:rFonts w:eastAsiaTheme="minorEastAsia"/>
                <w:lang w:val="en-GB"/>
              </w:rPr>
            </w:pPr>
            <w:r w:rsidRPr="00E72BDE">
              <w:rPr>
                <w:rFonts w:eastAsiaTheme="minorEastAsia"/>
                <w:lang w:val="en-GB"/>
              </w:rPr>
              <w:t>RSU</w:t>
            </w:r>
          </w:p>
          <w:p w14:paraId="29F4984D" w14:textId="77777777" w:rsidR="002C597D" w:rsidRPr="00E72BDE" w:rsidRDefault="002C597D" w:rsidP="004D1AA0">
            <w:pPr>
              <w:snapToGrid w:val="0"/>
              <w:ind w:left="240" w:hangingChars="100" w:hanging="240"/>
              <w:jc w:val="both"/>
              <w:rPr>
                <w:lang w:val="en-GB"/>
              </w:rPr>
            </w:pPr>
          </w:p>
        </w:tc>
        <w:tc>
          <w:tcPr>
            <w:tcW w:w="4221" w:type="dxa"/>
          </w:tcPr>
          <w:p w14:paraId="278379CC" w14:textId="77777777" w:rsidR="002C597D" w:rsidRPr="00E72BDE" w:rsidRDefault="002C597D" w:rsidP="004D1AA0">
            <w:pPr>
              <w:snapToGrid w:val="0"/>
              <w:jc w:val="both"/>
              <w:rPr>
                <w:rFonts w:eastAsiaTheme="minorEastAsia"/>
                <w:lang w:val="en-GB"/>
              </w:rPr>
            </w:pPr>
            <w:r w:rsidRPr="00E72BDE">
              <w:rPr>
                <w:lang w:val="en-GB"/>
              </w:rPr>
              <w:t>OBU</w:t>
            </w:r>
          </w:p>
          <w:p w14:paraId="79E446F2" w14:textId="77777777" w:rsidR="002C597D" w:rsidRPr="00E72BDE" w:rsidRDefault="002C597D" w:rsidP="004D1AA0">
            <w:pPr>
              <w:keepNext/>
              <w:snapToGrid w:val="0"/>
              <w:jc w:val="both"/>
              <w:rPr>
                <w:lang w:val="en-GB"/>
              </w:rPr>
            </w:pPr>
          </w:p>
        </w:tc>
      </w:tr>
    </w:tbl>
    <w:p w14:paraId="40938AAF" w14:textId="77777777" w:rsidR="002C597D" w:rsidRPr="00E72BDE" w:rsidRDefault="002C597D" w:rsidP="002C597D">
      <w:pPr>
        <w:pStyle w:val="Caption"/>
        <w:ind w:left="960"/>
        <w:jc w:val="both"/>
        <w:rPr>
          <w:sz w:val="24"/>
          <w:szCs w:val="24"/>
          <w:lang w:val="en-GB"/>
        </w:rPr>
      </w:pPr>
      <w:bookmarkStart w:id="2" w:name="_Ref376381"/>
    </w:p>
    <w:bookmarkEnd w:id="2"/>
    <w:p w14:paraId="773C21DB" w14:textId="77777777" w:rsidR="002C597D" w:rsidRPr="00E72BDE" w:rsidRDefault="002C597D" w:rsidP="002C597D">
      <w:pPr>
        <w:jc w:val="both"/>
        <w:rPr>
          <w:lang w:val="en-GB"/>
        </w:rPr>
      </w:pPr>
    </w:p>
    <w:p w14:paraId="58EBB6EF" w14:textId="77777777" w:rsidR="002C597D" w:rsidRPr="00E72BDE" w:rsidRDefault="002C597D" w:rsidP="002C597D">
      <w:pPr>
        <w:jc w:val="both"/>
        <w:rPr>
          <w:lang w:val="en-GB"/>
        </w:rPr>
      </w:pPr>
    </w:p>
    <w:p w14:paraId="65D5C9B6" w14:textId="77777777" w:rsidR="002C597D" w:rsidRPr="00E72BDE" w:rsidRDefault="002C597D" w:rsidP="002C597D">
      <w:pPr>
        <w:jc w:val="both"/>
        <w:rPr>
          <w:lang w:val="en-GB"/>
        </w:rPr>
      </w:pPr>
      <w:r w:rsidRPr="00E72BDE">
        <w:rPr>
          <w:noProof/>
          <w:lang w:val="en-GB" w:eastAsia="ja-JP"/>
        </w:rPr>
        <w:lastRenderedPageBreak/>
        <w:drawing>
          <wp:inline distT="0" distB="0" distL="0" distR="0" wp14:anchorId="3A032D75" wp14:editId="26F3C409">
            <wp:extent cx="4743450" cy="3524250"/>
            <wp:effectExtent l="0" t="0" r="0" b="0"/>
            <wp:docPr id="10" name="図 1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ダイアグラム&#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4743450" cy="3524250"/>
                    </a:xfrm>
                    <a:prstGeom prst="rect">
                      <a:avLst/>
                    </a:prstGeom>
                  </pic:spPr>
                </pic:pic>
              </a:graphicData>
            </a:graphic>
          </wp:inline>
        </w:drawing>
      </w:r>
    </w:p>
    <w:p w14:paraId="55A8319E" w14:textId="77777777" w:rsidR="002C597D" w:rsidRPr="00E72BDE" w:rsidRDefault="002C597D" w:rsidP="002C597D">
      <w:pPr>
        <w:jc w:val="both"/>
        <w:rPr>
          <w:lang w:val="en-GB"/>
        </w:rPr>
      </w:pPr>
    </w:p>
    <w:p w14:paraId="308466D2" w14:textId="77777777" w:rsidR="002C597D" w:rsidRPr="00E72BDE" w:rsidRDefault="002C597D" w:rsidP="002C597D">
      <w:pPr>
        <w:pStyle w:val="Caption"/>
        <w:ind w:left="960"/>
        <w:jc w:val="center"/>
        <w:rPr>
          <w:b/>
          <w:i w:val="0"/>
          <w:color w:val="auto"/>
          <w:sz w:val="24"/>
          <w:szCs w:val="24"/>
          <w:lang w:val="en-GB"/>
        </w:rPr>
      </w:pPr>
      <w:r w:rsidRPr="00E72BDE">
        <w:rPr>
          <w:b/>
          <w:i w:val="0"/>
          <w:color w:val="auto"/>
          <w:sz w:val="24"/>
          <w:szCs w:val="24"/>
          <w:lang w:val="en-GB"/>
        </w:rPr>
        <w:t>FIGURE 6.9 Field Test Setup</w:t>
      </w:r>
    </w:p>
    <w:p w14:paraId="626959C2"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leftChars="277" w:left="665"/>
        <w:jc w:val="both"/>
        <w:textAlignment w:val="baseline"/>
        <w:rPr>
          <w:rFonts w:eastAsia="MS Mincho"/>
          <w:b/>
          <w:bCs/>
          <w:color w:val="000000"/>
          <w:lang w:val="en-GB" w:eastAsia="ja-JP"/>
        </w:rPr>
      </w:pPr>
    </w:p>
    <w:p w14:paraId="7EA54EA6"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leftChars="277" w:left="665"/>
        <w:jc w:val="both"/>
        <w:textAlignment w:val="baseline"/>
        <w:rPr>
          <w:rFonts w:eastAsia="MS Mincho"/>
          <w:b/>
          <w:bCs/>
          <w:color w:val="000000"/>
          <w:lang w:val="en-GB" w:eastAsia="ja-JP"/>
        </w:rPr>
      </w:pPr>
      <w:r w:rsidRPr="00E72BDE">
        <w:rPr>
          <w:rFonts w:eastAsia="MS Mincho"/>
          <w:b/>
          <w:bCs/>
          <w:noProof/>
          <w:color w:val="000000"/>
          <w:lang w:val="en-GB" w:eastAsia="ja-JP"/>
        </w:rPr>
        <w:drawing>
          <wp:inline distT="0" distB="0" distL="0" distR="0" wp14:anchorId="70B461A3" wp14:editId="53129849">
            <wp:extent cx="5162550" cy="3867150"/>
            <wp:effectExtent l="0" t="0" r="0" b="0"/>
            <wp:docPr id="20" name="図 2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 折れ線グラフ&#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5162550" cy="3867150"/>
                    </a:xfrm>
                    <a:prstGeom prst="rect">
                      <a:avLst/>
                    </a:prstGeom>
                  </pic:spPr>
                </pic:pic>
              </a:graphicData>
            </a:graphic>
          </wp:inline>
        </w:drawing>
      </w:r>
    </w:p>
    <w:p w14:paraId="26C73B14"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rFonts w:eastAsia="MS Mincho"/>
          <w:b/>
          <w:bCs/>
          <w:color w:val="000000"/>
          <w:lang w:val="en-GB" w:eastAsia="ja-JP"/>
        </w:rPr>
        <w:t>FIGURE 6.10 Measurement Results</w:t>
      </w:r>
    </w:p>
    <w:p w14:paraId="44324302" w14:textId="37DCB0D3" w:rsidR="002C597D" w:rsidRDefault="002C597D"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p>
    <w:p w14:paraId="287853D0" w14:textId="77777777" w:rsidR="009C369F" w:rsidRPr="00E72BDE" w:rsidRDefault="009C369F" w:rsidP="002C597D">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p>
    <w:p w14:paraId="57418E46" w14:textId="77777777" w:rsidR="002C597D" w:rsidRPr="00E72BDE" w:rsidRDefault="002C597D" w:rsidP="002C597D">
      <w:pPr>
        <w:pStyle w:val="ListParagraph"/>
        <w:numPr>
          <w:ilvl w:val="0"/>
          <w:numId w:val="27"/>
        </w:numPr>
        <w:tabs>
          <w:tab w:val="left" w:pos="1134"/>
          <w:tab w:val="left" w:pos="1871"/>
          <w:tab w:val="left" w:pos="2268"/>
        </w:tabs>
        <w:overflowPunct w:val="0"/>
        <w:autoSpaceDE w:val="0"/>
        <w:autoSpaceDN w:val="0"/>
        <w:adjustRightInd w:val="0"/>
        <w:spacing w:before="120"/>
        <w:ind w:firstLine="120"/>
        <w:jc w:val="both"/>
        <w:textAlignment w:val="baseline"/>
        <w:rPr>
          <w:rFonts w:eastAsia="MS Mincho"/>
          <w:b/>
          <w:bCs/>
          <w:color w:val="000000"/>
          <w:lang w:val="en-GB" w:eastAsia="ja-JP"/>
        </w:rPr>
      </w:pPr>
      <w:r w:rsidRPr="00E72BDE">
        <w:rPr>
          <w:rFonts w:eastAsia="MS Mincho"/>
          <w:b/>
          <w:bCs/>
          <w:color w:val="000000"/>
          <w:lang w:val="en-GB" w:eastAsia="ja-JP"/>
        </w:rPr>
        <w:lastRenderedPageBreak/>
        <w:t>Millimetre wave advanced sensing for ITS applications</w:t>
      </w:r>
    </w:p>
    <w:p w14:paraId="08FBF883" w14:textId="77777777" w:rsidR="002C597D" w:rsidRPr="00E72BDE" w:rsidRDefault="002C597D" w:rsidP="002C597D">
      <w:pPr>
        <w:tabs>
          <w:tab w:val="left" w:pos="0"/>
          <w:tab w:val="left" w:pos="1871"/>
          <w:tab w:val="left" w:pos="2268"/>
        </w:tabs>
        <w:overflowPunct w:val="0"/>
        <w:autoSpaceDE w:val="0"/>
        <w:autoSpaceDN w:val="0"/>
        <w:adjustRightInd w:val="0"/>
        <w:spacing w:before="120"/>
        <w:ind w:firstLineChars="50" w:firstLine="120"/>
        <w:jc w:val="both"/>
        <w:textAlignment w:val="baseline"/>
        <w:rPr>
          <w:rFonts w:eastAsia="MS Mincho"/>
          <w:iCs/>
          <w:lang w:val="en-GB" w:eastAsia="ja-JP"/>
        </w:rPr>
      </w:pPr>
      <w:r w:rsidRPr="00E72BDE">
        <w:rPr>
          <w:rFonts w:eastAsia="MS Mincho"/>
          <w:iCs/>
          <w:lang w:val="en-GB" w:eastAsia="ja-JP"/>
        </w:rPr>
        <w:t>High-resolution sensors are essential for automated driving and ADAS, and while LiDAR and image sensors are the mainstream, radar with excellent environmental resistance is also indispensable. Millimetre</w:t>
      </w:r>
      <w:r w:rsidRPr="00E72BDE">
        <w:rPr>
          <w:rFonts w:eastAsia="MS Mincho" w:hint="eastAsia"/>
          <w:iCs/>
          <w:lang w:val="en-GB" w:eastAsia="ja-JP"/>
        </w:rPr>
        <w:t xml:space="preserve"> </w:t>
      </w:r>
      <w:r w:rsidRPr="00E72BDE">
        <w:rPr>
          <w:rFonts w:eastAsia="MS Mincho"/>
          <w:iCs/>
          <w:lang w:val="en-GB" w:eastAsia="ja-JP"/>
        </w:rPr>
        <w:t>wave band radar can achieve higher range-resolution by utilizing to its broad bandwidth.  MIMO technology thanks to realize higher angle-resolution, then 3-D imaging radar research are becoming active. Additionally new research field is also underway for new applications that combine radar with communication capabilities.</w:t>
      </w:r>
    </w:p>
    <w:p w14:paraId="45796E57" w14:textId="77777777" w:rsidR="002C597D" w:rsidRPr="00E72BDE" w:rsidRDefault="002C597D" w:rsidP="002C597D">
      <w:pPr>
        <w:tabs>
          <w:tab w:val="left" w:pos="0"/>
          <w:tab w:val="left" w:pos="1871"/>
          <w:tab w:val="left" w:pos="2268"/>
        </w:tabs>
        <w:overflowPunct w:val="0"/>
        <w:autoSpaceDE w:val="0"/>
        <w:autoSpaceDN w:val="0"/>
        <w:adjustRightInd w:val="0"/>
        <w:spacing w:before="120"/>
        <w:jc w:val="both"/>
        <w:textAlignment w:val="baseline"/>
        <w:rPr>
          <w:rFonts w:eastAsia="MS Mincho"/>
          <w:i/>
          <w:color w:val="000000"/>
          <w:lang w:val="en-GB" w:eastAsia="ja-JP"/>
        </w:rPr>
      </w:pPr>
    </w:p>
    <w:p w14:paraId="5E8AD4A6"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r w:rsidRPr="00E72BDE">
        <w:rPr>
          <w:rFonts w:eastAsia="MS Mincho"/>
          <w:b/>
          <w:bCs/>
          <w:color w:val="000000"/>
          <w:lang w:val="en-GB" w:eastAsia="ja-JP"/>
        </w:rPr>
        <w:t>Overview</w:t>
      </w:r>
    </w:p>
    <w:p w14:paraId="0F0CC45E" w14:textId="77777777" w:rsidR="002C597D" w:rsidRPr="00E72BDE" w:rsidRDefault="002C597D" w:rsidP="002C597D">
      <w:pPr>
        <w:pStyle w:val="ListParagraph"/>
        <w:tabs>
          <w:tab w:val="left" w:pos="1871"/>
          <w:tab w:val="left" w:pos="2268"/>
        </w:tabs>
        <w:overflowPunct w:val="0"/>
        <w:autoSpaceDE w:val="0"/>
        <w:autoSpaceDN w:val="0"/>
        <w:adjustRightInd w:val="0"/>
        <w:spacing w:before="120"/>
        <w:ind w:left="0" w:firstLineChars="59" w:firstLine="142"/>
        <w:jc w:val="both"/>
        <w:textAlignment w:val="baseline"/>
        <w:rPr>
          <w:rFonts w:eastAsia="MS Mincho"/>
          <w:bCs/>
          <w:color w:val="000000"/>
          <w:lang w:val="en-GB" w:eastAsia="ja-JP"/>
        </w:rPr>
      </w:pPr>
      <w:r w:rsidRPr="00E72BDE">
        <w:rPr>
          <w:rFonts w:eastAsia="MS Mincho"/>
          <w:bCs/>
          <w:color w:val="000000"/>
          <w:lang w:val="en-GB" w:eastAsia="ja-JP"/>
        </w:rPr>
        <w:t xml:space="preserve">24, 77, and 79 GHz bands are already allocated as radars for ITS applications in APT Report on “The Usage of ITS in APT Countries” (APT/AWG/REP-18(REV.2). 60 GHz band is also considered for radar. In Japan, 60 to 61 GHz is already allocated for radar, such as collision avoidance and traffic monitoring and etc. Furthermore, from 57 to 64 GHz, Japan is studying to expand the bandwidth for advanced sensor to improve range resolution. Introduction of 60 GHz band sensors based on the coexistence function of IEEE802.11ad and/or IEEE802.11ay standards, are considered. </w:t>
      </w:r>
    </w:p>
    <w:p w14:paraId="77D5F860" w14:textId="77777777" w:rsidR="002C597D" w:rsidRPr="00E72BDE" w:rsidRDefault="002C597D" w:rsidP="002C597D">
      <w:pPr>
        <w:pStyle w:val="ListParagraph"/>
        <w:tabs>
          <w:tab w:val="left" w:pos="1871"/>
          <w:tab w:val="left" w:pos="2268"/>
        </w:tabs>
        <w:overflowPunct w:val="0"/>
        <w:autoSpaceDE w:val="0"/>
        <w:autoSpaceDN w:val="0"/>
        <w:adjustRightInd w:val="0"/>
        <w:spacing w:before="120"/>
        <w:ind w:left="0" w:firstLineChars="50" w:firstLine="120"/>
        <w:jc w:val="both"/>
        <w:textAlignment w:val="baseline"/>
        <w:rPr>
          <w:rFonts w:eastAsia="MS Mincho"/>
          <w:bCs/>
          <w:color w:val="000000"/>
          <w:lang w:val="en-GB" w:eastAsia="ja-JP"/>
        </w:rPr>
      </w:pPr>
      <w:r w:rsidRPr="00E72BDE">
        <w:rPr>
          <w:rFonts w:eastAsia="MS Mincho"/>
          <w:bCs/>
          <w:color w:val="000000"/>
          <w:lang w:val="en-GB" w:eastAsia="ja-JP"/>
        </w:rPr>
        <w:t>In-vehicle, broadband radar can realize various sensor applications such as individual passenger detection and vital sensing. Outside of vehicle, infrastructure radar detecting pedestrians is also available, and it can be used in combination with communication functions to deliver sensor data to the vehicles.</w:t>
      </w:r>
    </w:p>
    <w:p w14:paraId="66A67DD9"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1C36DB28"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r w:rsidRPr="00E72BDE">
        <w:rPr>
          <w:rFonts w:eastAsia="MS Mincho"/>
          <w:b/>
          <w:bCs/>
          <w:color w:val="000000"/>
          <w:lang w:val="en-GB" w:eastAsia="ja-JP"/>
        </w:rPr>
        <w:t>Technical characteristics</w:t>
      </w:r>
    </w:p>
    <w:p w14:paraId="7F824187" w14:textId="77777777" w:rsidR="002C597D" w:rsidRPr="00E72BDE" w:rsidRDefault="002C597D" w:rsidP="002C597D">
      <w:pPr>
        <w:spacing w:before="120"/>
        <w:ind w:firstLineChars="100" w:firstLine="240"/>
        <w:jc w:val="both"/>
      </w:pPr>
      <w:r w:rsidRPr="00E72BDE">
        <w:rPr>
          <w:color w:val="000000"/>
          <w:shd w:val="clear" w:color="auto" w:fill="FFFFFF"/>
        </w:rPr>
        <w:t>APT has published a report on "Usage of Intelligent Transportation Systems in APT Countries (</w:t>
      </w:r>
      <w:r w:rsidRPr="00E72BDE">
        <w:t>APT/AWG/Rep-18 (Rev2)) that studied enabling technologies including automotive radar, such as (1)Low Power Automotive Radar at 24GHz, (2)High Resolution Short Range Automotive Radar operating at 79 GHz (77-81 GHz), (3)</w:t>
      </w:r>
      <w:proofErr w:type="spellStart"/>
      <w:r w:rsidRPr="00E72BDE">
        <w:t>Ultra Wide</w:t>
      </w:r>
      <w:proofErr w:type="spellEnd"/>
      <w:r w:rsidRPr="00E72BDE">
        <w:t xml:space="preserve"> Band (UWB) Radar, (4)Vehicle mounted Radar, (5)Radar for road incident detection system, and (6)Radar for Cooperative driving support.</w:t>
      </w:r>
    </w:p>
    <w:p w14:paraId="4318DA7E" w14:textId="77777777" w:rsidR="002C597D" w:rsidRPr="00E72BDE" w:rsidRDefault="002C597D" w:rsidP="002C597D">
      <w:pPr>
        <w:ind w:firstLineChars="100" w:firstLine="240"/>
        <w:jc w:val="both"/>
      </w:pPr>
      <w:r w:rsidRPr="00E72BDE">
        <w:t>Vehicle-mounted radar operating at 76 to 81 GHz, as described in Section 5.2, is being deployed in various applications such as Adaptive Cruise Control (ACC) and Collision Avoidance (CA) radar, Blind Spot Detection (BSD), Lane-Change Assist (LCA) and Rear-Traffic-Crossing-Alert (RTCA), as its resolution and detection range performance increase with the progress of practical applications of ADAS and automated driving.</w:t>
      </w:r>
    </w:p>
    <w:p w14:paraId="2B82F6C1" w14:textId="77777777" w:rsidR="002C597D" w:rsidRPr="00E72BDE" w:rsidRDefault="002C597D" w:rsidP="002C597D">
      <w:pPr>
        <w:ind w:firstLineChars="100" w:firstLine="240"/>
        <w:jc w:val="both"/>
      </w:pPr>
      <w:r w:rsidRPr="00E72BDE">
        <w:t xml:space="preserve">MIMO technology is being adopted as a technology to improve spatial resolution. While 2D scanning used to only detect obstacles in the horizontal direction and measure relative distance and relative velocity, 3D scanning is now capable of detecting the approximate shape of obstacles and even separating multiple objects. It is so called 3D-radar, since it can detect 3-dimentional image and relative velocity of each </w:t>
      </w:r>
      <w:r w:rsidRPr="00E72BDE">
        <w:rPr>
          <w:rFonts w:eastAsia="MS Mincho"/>
          <w:lang w:eastAsia="ja-JP"/>
        </w:rPr>
        <w:t xml:space="preserve">3D </w:t>
      </w:r>
      <w:r w:rsidRPr="00E72BDE">
        <w:t xml:space="preserve">point cloud.  </w:t>
      </w:r>
    </w:p>
    <w:p w14:paraId="5A4121EE" w14:textId="77777777" w:rsidR="002C597D" w:rsidRPr="00E72BDE" w:rsidRDefault="002C597D" w:rsidP="002C597D">
      <w:pPr>
        <w:ind w:firstLineChars="100" w:firstLine="240"/>
        <w:jc w:val="both"/>
      </w:pPr>
      <w:r w:rsidRPr="00E72BDE">
        <w:t xml:space="preserve"> In the 60 GHz band, research and development of sensors that use its broadband nature to achieve higher range resolution is underway. Such higher-resolution sensors are expected to be applied to gesture sensors and biometric sensors because they can capture the movement of the human body.</w:t>
      </w:r>
    </w:p>
    <w:p w14:paraId="0FBF7CCF"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color w:val="000000"/>
          <w:lang w:eastAsia="ja-JP"/>
        </w:rPr>
      </w:pPr>
    </w:p>
    <w:p w14:paraId="4023C068"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r w:rsidRPr="00E72BDE">
        <w:rPr>
          <w:rFonts w:eastAsia="MS Mincho"/>
          <w:b/>
          <w:bCs/>
          <w:color w:val="000000"/>
          <w:lang w:val="en-GB" w:eastAsia="ja-JP"/>
        </w:rPr>
        <w:t>Frequency usage</w:t>
      </w:r>
      <w:r w:rsidRPr="00E72BDE">
        <w:rPr>
          <w:rFonts w:eastAsia="MS Mincho"/>
          <w:b/>
          <w:bCs/>
          <w:color w:val="000000"/>
          <w:lang w:val="en-GB" w:eastAsia="ja-JP"/>
        </w:rPr>
        <w:tab/>
      </w:r>
    </w:p>
    <w:p w14:paraId="369919E4"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Cs/>
          <w:color w:val="000000"/>
          <w:lang w:val="en-GB" w:eastAsia="ja-JP"/>
        </w:rPr>
      </w:pPr>
      <w:r w:rsidRPr="00E72BDE">
        <w:rPr>
          <w:rFonts w:eastAsia="MS Mincho"/>
          <w:bCs/>
          <w:color w:val="000000"/>
          <w:lang w:val="en-GB" w:eastAsia="ja-JP"/>
        </w:rPr>
        <w:t xml:space="preserve">In Japan, anti-collision radar in 60 GHz band has been already defined. Additionally, two types of radars were defined in January 2021, as shown in TABLE 7.2. Broadband more than a few </w:t>
      </w:r>
      <w:r w:rsidRPr="00E72BDE">
        <w:rPr>
          <w:rFonts w:eastAsia="MS Mincho"/>
          <w:bCs/>
          <w:color w:val="000000"/>
          <w:lang w:val="en-GB" w:eastAsia="ja-JP"/>
        </w:rPr>
        <w:lastRenderedPageBreak/>
        <w:t>GHz-BW enables to detect even 3-D image of obstacles. Various applications, such as passenger detection and gesture sensors, are being developed for in-vehicle practical use.</w:t>
      </w:r>
    </w:p>
    <w:p w14:paraId="2A831DF1"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color w:val="000000"/>
          <w:lang w:val="en-GB" w:eastAsia="ja-JP"/>
        </w:rPr>
      </w:pPr>
    </w:p>
    <w:p w14:paraId="03205F6D"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color w:val="000000"/>
          <w:lang w:val="en-GB" w:eastAsia="ja-JP"/>
        </w:rPr>
      </w:pPr>
    </w:p>
    <w:p w14:paraId="0BF986E8"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100" w:firstLine="241"/>
        <w:jc w:val="center"/>
        <w:textAlignment w:val="baseline"/>
        <w:rPr>
          <w:rFonts w:eastAsia="MS Mincho"/>
          <w:b/>
          <w:color w:val="000000"/>
          <w:lang w:val="en-GB" w:eastAsia="ja-JP"/>
        </w:rPr>
      </w:pPr>
      <w:r w:rsidRPr="00E72BDE">
        <w:rPr>
          <w:rFonts w:eastAsia="MS Mincho"/>
          <w:b/>
          <w:color w:val="000000"/>
          <w:lang w:val="en-GB" w:eastAsia="ja-JP"/>
        </w:rPr>
        <w:t>TABLE 7.1 60 GHz-band radar specifications in APT countries</w:t>
      </w:r>
    </w:p>
    <w:p w14:paraId="7EB92F7F"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color w:val="000000"/>
          <w:lang w:val="en-GB" w:eastAsia="ja-JP"/>
        </w:rPr>
      </w:pPr>
    </w:p>
    <w:tbl>
      <w:tblPr>
        <w:tblStyle w:val="TableGrid"/>
        <w:tblW w:w="9209" w:type="dxa"/>
        <w:jc w:val="center"/>
        <w:tblLayout w:type="fixed"/>
        <w:tblLook w:val="04A0" w:firstRow="1" w:lastRow="0" w:firstColumn="1" w:lastColumn="0" w:noHBand="0" w:noVBand="1"/>
      </w:tblPr>
      <w:tblGrid>
        <w:gridCol w:w="1413"/>
        <w:gridCol w:w="992"/>
        <w:gridCol w:w="2268"/>
        <w:gridCol w:w="1134"/>
        <w:gridCol w:w="1134"/>
        <w:gridCol w:w="1134"/>
        <w:gridCol w:w="1134"/>
      </w:tblGrid>
      <w:tr w:rsidR="002C597D" w:rsidRPr="00E72BDE" w14:paraId="23A1349C" w14:textId="77777777" w:rsidTr="004D1AA0">
        <w:trPr>
          <w:jc w:val="center"/>
        </w:trPr>
        <w:tc>
          <w:tcPr>
            <w:tcW w:w="2405" w:type="dxa"/>
            <w:gridSpan w:val="2"/>
          </w:tcPr>
          <w:p w14:paraId="21601B55"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2268" w:type="dxa"/>
          </w:tcPr>
          <w:p w14:paraId="7F054E56"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roofErr w:type="spellStart"/>
            <w:r w:rsidRPr="00E72BDE">
              <w:rPr>
                <w:rFonts w:eastAsia="MS Mincho"/>
                <w:bCs/>
                <w:color w:val="000000"/>
                <w:lang w:val="en-GB" w:eastAsia="ja-JP"/>
              </w:rPr>
              <w:t>Rep.Korea</w:t>
            </w:r>
            <w:proofErr w:type="spellEnd"/>
          </w:p>
        </w:tc>
        <w:tc>
          <w:tcPr>
            <w:tcW w:w="4536" w:type="dxa"/>
            <w:gridSpan w:val="4"/>
          </w:tcPr>
          <w:p w14:paraId="099B3DDE"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Japan</w:t>
            </w:r>
          </w:p>
        </w:tc>
      </w:tr>
      <w:tr w:rsidR="002C597D" w:rsidRPr="00E72BDE" w14:paraId="4B78BCCF" w14:textId="77777777" w:rsidTr="004D1AA0">
        <w:trPr>
          <w:jc w:val="center"/>
        </w:trPr>
        <w:tc>
          <w:tcPr>
            <w:tcW w:w="2405" w:type="dxa"/>
            <w:gridSpan w:val="2"/>
          </w:tcPr>
          <w:p w14:paraId="7A6BF8AB"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Frequency [GHz]</w:t>
            </w:r>
          </w:p>
        </w:tc>
        <w:tc>
          <w:tcPr>
            <w:tcW w:w="2268" w:type="dxa"/>
          </w:tcPr>
          <w:p w14:paraId="1B2FBA93"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57-66</w:t>
            </w:r>
          </w:p>
        </w:tc>
        <w:tc>
          <w:tcPr>
            <w:tcW w:w="1134" w:type="dxa"/>
          </w:tcPr>
          <w:p w14:paraId="11155606"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60-61</w:t>
            </w:r>
          </w:p>
        </w:tc>
        <w:tc>
          <w:tcPr>
            <w:tcW w:w="1134" w:type="dxa"/>
          </w:tcPr>
          <w:p w14:paraId="7A91D5A1"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57-66</w:t>
            </w:r>
          </w:p>
        </w:tc>
        <w:tc>
          <w:tcPr>
            <w:tcW w:w="2268" w:type="dxa"/>
            <w:gridSpan w:val="2"/>
          </w:tcPr>
          <w:p w14:paraId="47BD7D32"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57-64</w:t>
            </w:r>
          </w:p>
        </w:tc>
      </w:tr>
      <w:tr w:rsidR="002C597D" w:rsidRPr="00E72BDE" w14:paraId="7F050379" w14:textId="77777777" w:rsidTr="004D1AA0">
        <w:trPr>
          <w:jc w:val="center"/>
        </w:trPr>
        <w:tc>
          <w:tcPr>
            <w:tcW w:w="1413" w:type="dxa"/>
            <w:vMerge w:val="restart"/>
          </w:tcPr>
          <w:p w14:paraId="71F01C46"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Antenna Power</w:t>
            </w:r>
          </w:p>
          <w:p w14:paraId="2379A9C9"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[dBm]</w:t>
            </w:r>
          </w:p>
        </w:tc>
        <w:tc>
          <w:tcPr>
            <w:tcW w:w="992" w:type="dxa"/>
          </w:tcPr>
          <w:p w14:paraId="0D733D58"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Ave.</w:t>
            </w:r>
          </w:p>
        </w:tc>
        <w:tc>
          <w:tcPr>
            <w:tcW w:w="2268" w:type="dxa"/>
          </w:tcPr>
          <w:p w14:paraId="19050AB9"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7179260F"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10</w:t>
            </w:r>
          </w:p>
        </w:tc>
        <w:tc>
          <w:tcPr>
            <w:tcW w:w="1134" w:type="dxa"/>
          </w:tcPr>
          <w:p w14:paraId="4FB5F8E5"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24</w:t>
            </w:r>
          </w:p>
        </w:tc>
        <w:tc>
          <w:tcPr>
            <w:tcW w:w="1134" w:type="dxa"/>
          </w:tcPr>
          <w:p w14:paraId="131A5551"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7447BC05"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0</w:t>
            </w:r>
          </w:p>
        </w:tc>
      </w:tr>
      <w:tr w:rsidR="002C597D" w:rsidRPr="00E72BDE" w14:paraId="1044E6AE" w14:textId="77777777" w:rsidTr="004D1AA0">
        <w:trPr>
          <w:jc w:val="center"/>
        </w:trPr>
        <w:tc>
          <w:tcPr>
            <w:tcW w:w="1413" w:type="dxa"/>
            <w:vMerge/>
          </w:tcPr>
          <w:p w14:paraId="7E633C4E"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992" w:type="dxa"/>
          </w:tcPr>
          <w:p w14:paraId="400D6636"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Peak</w:t>
            </w:r>
          </w:p>
        </w:tc>
        <w:tc>
          <w:tcPr>
            <w:tcW w:w="2268" w:type="dxa"/>
          </w:tcPr>
          <w:p w14:paraId="5D16F26B"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27</w:t>
            </w:r>
          </w:p>
        </w:tc>
        <w:tc>
          <w:tcPr>
            <w:tcW w:w="1134" w:type="dxa"/>
          </w:tcPr>
          <w:p w14:paraId="545ED3AD"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54EB87C3"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6AC41D9A"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10</w:t>
            </w:r>
          </w:p>
        </w:tc>
        <w:tc>
          <w:tcPr>
            <w:tcW w:w="1134" w:type="dxa"/>
          </w:tcPr>
          <w:p w14:paraId="00B08E04"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12</w:t>
            </w:r>
          </w:p>
        </w:tc>
      </w:tr>
      <w:tr w:rsidR="002C597D" w:rsidRPr="00E72BDE" w14:paraId="0863783F" w14:textId="77777777" w:rsidTr="004D1AA0">
        <w:trPr>
          <w:jc w:val="center"/>
        </w:trPr>
        <w:tc>
          <w:tcPr>
            <w:tcW w:w="1413" w:type="dxa"/>
            <w:vMerge w:val="restart"/>
          </w:tcPr>
          <w:p w14:paraId="3E524FAB"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PSD</w:t>
            </w:r>
          </w:p>
          <w:p w14:paraId="76C729C6"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[dBm/MHz]</w:t>
            </w:r>
          </w:p>
        </w:tc>
        <w:tc>
          <w:tcPr>
            <w:tcW w:w="992" w:type="dxa"/>
          </w:tcPr>
          <w:p w14:paraId="519A8092"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Ave.</w:t>
            </w:r>
          </w:p>
        </w:tc>
        <w:tc>
          <w:tcPr>
            <w:tcW w:w="2268" w:type="dxa"/>
          </w:tcPr>
          <w:p w14:paraId="2F4353C1"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44F0F079"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6A46383B"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22E82D51"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401F35E5"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r>
      <w:tr w:rsidR="002C597D" w:rsidRPr="00E72BDE" w14:paraId="0FED3065" w14:textId="77777777" w:rsidTr="004D1AA0">
        <w:trPr>
          <w:jc w:val="center"/>
        </w:trPr>
        <w:tc>
          <w:tcPr>
            <w:tcW w:w="1413" w:type="dxa"/>
            <w:vMerge/>
          </w:tcPr>
          <w:p w14:paraId="6B08CB7F"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992" w:type="dxa"/>
          </w:tcPr>
          <w:p w14:paraId="4B73B355"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Peak</w:t>
            </w:r>
          </w:p>
        </w:tc>
        <w:tc>
          <w:tcPr>
            <w:tcW w:w="2268" w:type="dxa"/>
          </w:tcPr>
          <w:p w14:paraId="30B3A8CF" w14:textId="77777777" w:rsidR="002C597D" w:rsidRPr="00E72BDE" w:rsidRDefault="002C597D" w:rsidP="004D1AA0">
            <w:pPr>
              <w:spacing w:line="320" w:lineRule="exact"/>
              <w:jc w:val="both"/>
              <w:rPr>
                <w:rFonts w:eastAsia="MS Mincho"/>
                <w:bCs/>
                <w:color w:val="000000"/>
                <w:lang w:val="en-GB" w:eastAsia="ja-JP"/>
              </w:rPr>
            </w:pPr>
          </w:p>
        </w:tc>
        <w:tc>
          <w:tcPr>
            <w:tcW w:w="1134" w:type="dxa"/>
          </w:tcPr>
          <w:p w14:paraId="775FDA5F"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33497229"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23AD6E48"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4F6C7C66"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r>
      <w:tr w:rsidR="002C597D" w:rsidRPr="00E72BDE" w14:paraId="66AEAFB2" w14:textId="77777777" w:rsidTr="004D1AA0">
        <w:trPr>
          <w:jc w:val="center"/>
        </w:trPr>
        <w:tc>
          <w:tcPr>
            <w:tcW w:w="2405" w:type="dxa"/>
            <w:gridSpan w:val="2"/>
          </w:tcPr>
          <w:p w14:paraId="19665648"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Antenna Gain [dB]</w:t>
            </w:r>
          </w:p>
        </w:tc>
        <w:tc>
          <w:tcPr>
            <w:tcW w:w="2268" w:type="dxa"/>
          </w:tcPr>
          <w:p w14:paraId="0608B57E"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&lt;16</w:t>
            </w:r>
          </w:p>
        </w:tc>
        <w:tc>
          <w:tcPr>
            <w:tcW w:w="1134" w:type="dxa"/>
          </w:tcPr>
          <w:p w14:paraId="17275222"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&lt;40</w:t>
            </w:r>
          </w:p>
        </w:tc>
        <w:tc>
          <w:tcPr>
            <w:tcW w:w="1134" w:type="dxa"/>
          </w:tcPr>
          <w:p w14:paraId="5A868E09"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&gt;10</w:t>
            </w:r>
          </w:p>
        </w:tc>
        <w:tc>
          <w:tcPr>
            <w:tcW w:w="2268" w:type="dxa"/>
            <w:gridSpan w:val="2"/>
          </w:tcPr>
          <w:p w14:paraId="7703C522"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N/A</w:t>
            </w:r>
          </w:p>
        </w:tc>
      </w:tr>
      <w:tr w:rsidR="002C597D" w:rsidRPr="00E72BDE" w14:paraId="6EBFC1FC" w14:textId="77777777" w:rsidTr="004D1AA0">
        <w:trPr>
          <w:jc w:val="center"/>
        </w:trPr>
        <w:tc>
          <w:tcPr>
            <w:tcW w:w="1413" w:type="dxa"/>
            <w:vMerge w:val="restart"/>
          </w:tcPr>
          <w:p w14:paraId="569733BA"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EIRP</w:t>
            </w:r>
          </w:p>
          <w:p w14:paraId="01A84E46"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[dBm]</w:t>
            </w:r>
          </w:p>
        </w:tc>
        <w:tc>
          <w:tcPr>
            <w:tcW w:w="992" w:type="dxa"/>
          </w:tcPr>
          <w:p w14:paraId="30CF95E4"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Ave.</w:t>
            </w:r>
          </w:p>
        </w:tc>
        <w:tc>
          <w:tcPr>
            <w:tcW w:w="2268" w:type="dxa"/>
          </w:tcPr>
          <w:p w14:paraId="26B62A17" w14:textId="77777777" w:rsidR="002C597D" w:rsidRPr="00E72BDE" w:rsidRDefault="002C597D" w:rsidP="004D1AA0">
            <w:pPr>
              <w:spacing w:line="320" w:lineRule="exact"/>
              <w:jc w:val="both"/>
              <w:rPr>
                <w:rFonts w:eastAsia="MS Mincho"/>
                <w:bCs/>
                <w:color w:val="000000"/>
                <w:lang w:val="en-GB" w:eastAsia="ja-JP"/>
              </w:rPr>
            </w:pPr>
          </w:p>
        </w:tc>
        <w:tc>
          <w:tcPr>
            <w:tcW w:w="1134" w:type="dxa"/>
          </w:tcPr>
          <w:p w14:paraId="357986AA"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123002D6"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40</w:t>
            </w:r>
          </w:p>
        </w:tc>
        <w:tc>
          <w:tcPr>
            <w:tcW w:w="1134" w:type="dxa"/>
          </w:tcPr>
          <w:p w14:paraId="56E98A15"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13</w:t>
            </w:r>
          </w:p>
        </w:tc>
        <w:tc>
          <w:tcPr>
            <w:tcW w:w="1134" w:type="dxa"/>
          </w:tcPr>
          <w:p w14:paraId="58632643"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17</w:t>
            </w:r>
          </w:p>
        </w:tc>
      </w:tr>
      <w:tr w:rsidR="002C597D" w:rsidRPr="00E72BDE" w14:paraId="69E11B20" w14:textId="77777777" w:rsidTr="004D1AA0">
        <w:trPr>
          <w:jc w:val="center"/>
        </w:trPr>
        <w:tc>
          <w:tcPr>
            <w:tcW w:w="1413" w:type="dxa"/>
            <w:vMerge/>
          </w:tcPr>
          <w:p w14:paraId="4D81E518"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992" w:type="dxa"/>
          </w:tcPr>
          <w:p w14:paraId="0B3EB000"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Peak</w:t>
            </w:r>
          </w:p>
        </w:tc>
        <w:tc>
          <w:tcPr>
            <w:tcW w:w="2268" w:type="dxa"/>
          </w:tcPr>
          <w:p w14:paraId="7EF2A126"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43</w:t>
            </w:r>
          </w:p>
        </w:tc>
        <w:tc>
          <w:tcPr>
            <w:tcW w:w="1134" w:type="dxa"/>
          </w:tcPr>
          <w:p w14:paraId="3D1D3500"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24872721"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6FF4E691"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213E30C1"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r>
      <w:tr w:rsidR="002C597D" w:rsidRPr="00E72BDE" w14:paraId="25C4F6D3" w14:textId="77777777" w:rsidTr="004D1AA0">
        <w:trPr>
          <w:jc w:val="center"/>
        </w:trPr>
        <w:tc>
          <w:tcPr>
            <w:tcW w:w="2405" w:type="dxa"/>
            <w:gridSpan w:val="2"/>
          </w:tcPr>
          <w:p w14:paraId="7BDA919C"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Modulation</w:t>
            </w:r>
          </w:p>
        </w:tc>
        <w:tc>
          <w:tcPr>
            <w:tcW w:w="2268" w:type="dxa"/>
          </w:tcPr>
          <w:p w14:paraId="0B10F899"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N/A</w:t>
            </w:r>
          </w:p>
        </w:tc>
        <w:tc>
          <w:tcPr>
            <w:tcW w:w="1134" w:type="dxa"/>
          </w:tcPr>
          <w:p w14:paraId="251DC0DA"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N/A</w:t>
            </w:r>
          </w:p>
        </w:tc>
        <w:tc>
          <w:tcPr>
            <w:tcW w:w="1134" w:type="dxa"/>
          </w:tcPr>
          <w:p w14:paraId="017C38AD"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N/A</w:t>
            </w:r>
          </w:p>
        </w:tc>
        <w:tc>
          <w:tcPr>
            <w:tcW w:w="1134" w:type="dxa"/>
          </w:tcPr>
          <w:p w14:paraId="1596F148"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FMCW</w:t>
            </w:r>
          </w:p>
        </w:tc>
        <w:tc>
          <w:tcPr>
            <w:tcW w:w="1134" w:type="dxa"/>
          </w:tcPr>
          <w:p w14:paraId="5AB325FB"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Pulse</w:t>
            </w:r>
          </w:p>
        </w:tc>
      </w:tr>
      <w:tr w:rsidR="002C597D" w:rsidRPr="00E72BDE" w14:paraId="4468D0A9" w14:textId="77777777" w:rsidTr="004D1AA0">
        <w:trPr>
          <w:jc w:val="center"/>
        </w:trPr>
        <w:tc>
          <w:tcPr>
            <w:tcW w:w="2405" w:type="dxa"/>
            <w:gridSpan w:val="2"/>
          </w:tcPr>
          <w:p w14:paraId="103DB65A"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OBW [GHz]</w:t>
            </w:r>
          </w:p>
        </w:tc>
        <w:tc>
          <w:tcPr>
            <w:tcW w:w="2268" w:type="dxa"/>
          </w:tcPr>
          <w:p w14:paraId="2A8948ED"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6FBF88B5"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&lt;0.5</w:t>
            </w:r>
          </w:p>
        </w:tc>
        <w:tc>
          <w:tcPr>
            <w:tcW w:w="1134" w:type="dxa"/>
          </w:tcPr>
          <w:p w14:paraId="21EC7514"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&lt;9</w:t>
            </w:r>
          </w:p>
        </w:tc>
        <w:tc>
          <w:tcPr>
            <w:tcW w:w="2268" w:type="dxa"/>
            <w:gridSpan w:val="2"/>
          </w:tcPr>
          <w:p w14:paraId="07543458"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&lt;7</w:t>
            </w:r>
          </w:p>
        </w:tc>
      </w:tr>
      <w:tr w:rsidR="002C597D" w:rsidRPr="00E72BDE" w14:paraId="5AE91D93" w14:textId="77777777" w:rsidTr="004D1AA0">
        <w:trPr>
          <w:jc w:val="center"/>
        </w:trPr>
        <w:tc>
          <w:tcPr>
            <w:tcW w:w="2405" w:type="dxa"/>
            <w:gridSpan w:val="2"/>
          </w:tcPr>
          <w:p w14:paraId="0419C22F"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Duty Cycle [%]</w:t>
            </w:r>
          </w:p>
        </w:tc>
        <w:tc>
          <w:tcPr>
            <w:tcW w:w="2268" w:type="dxa"/>
          </w:tcPr>
          <w:p w14:paraId="6B3B2FEE"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58AAB9C4"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N/A</w:t>
            </w:r>
          </w:p>
        </w:tc>
        <w:tc>
          <w:tcPr>
            <w:tcW w:w="1134" w:type="dxa"/>
          </w:tcPr>
          <w:p w14:paraId="28A57B3B"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N/A</w:t>
            </w:r>
          </w:p>
        </w:tc>
        <w:tc>
          <w:tcPr>
            <w:tcW w:w="2268" w:type="dxa"/>
            <w:gridSpan w:val="2"/>
          </w:tcPr>
          <w:p w14:paraId="6F7556E7" w14:textId="77777777" w:rsidR="002C597D" w:rsidRPr="00E72BDE" w:rsidRDefault="002C597D" w:rsidP="004D1AA0">
            <w:pPr>
              <w:spacing w:line="320" w:lineRule="exact"/>
              <w:jc w:val="both"/>
              <w:rPr>
                <w:rFonts w:eastAsia="MS Mincho"/>
                <w:bCs/>
                <w:color w:val="000000"/>
                <w:lang w:val="en-GB"/>
              </w:rPr>
            </w:pPr>
            <w:r w:rsidRPr="00E72BDE">
              <w:rPr>
                <w:rFonts w:eastAsia="MS Mincho"/>
                <w:bCs/>
                <w:color w:val="000000"/>
                <w:lang w:val="en-GB"/>
              </w:rPr>
              <w:t>&lt;10</w:t>
            </w:r>
          </w:p>
          <w:p w14:paraId="0393DF45"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rPr>
              <w:t>(less than 3.3msec every 33</w:t>
            </w:r>
            <w:proofErr w:type="gramStart"/>
            <w:r w:rsidRPr="00E72BDE">
              <w:rPr>
                <w:rFonts w:eastAsia="MS Mincho"/>
                <w:bCs/>
                <w:color w:val="000000"/>
                <w:lang w:val="en-GB"/>
              </w:rPr>
              <w:t>msec )</w:t>
            </w:r>
            <w:proofErr w:type="gramEnd"/>
          </w:p>
        </w:tc>
      </w:tr>
      <w:tr w:rsidR="002C597D" w:rsidRPr="00E72BDE" w14:paraId="1825EBE0" w14:textId="77777777" w:rsidTr="004D1AA0">
        <w:trPr>
          <w:jc w:val="center"/>
        </w:trPr>
        <w:tc>
          <w:tcPr>
            <w:tcW w:w="2405" w:type="dxa"/>
            <w:gridSpan w:val="2"/>
          </w:tcPr>
          <w:p w14:paraId="3C20837E"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Carrier Sense</w:t>
            </w:r>
          </w:p>
        </w:tc>
        <w:tc>
          <w:tcPr>
            <w:tcW w:w="2268" w:type="dxa"/>
          </w:tcPr>
          <w:p w14:paraId="4661529D"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N/A</w:t>
            </w:r>
          </w:p>
        </w:tc>
        <w:tc>
          <w:tcPr>
            <w:tcW w:w="1134" w:type="dxa"/>
          </w:tcPr>
          <w:p w14:paraId="1EAB22B6"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N/A</w:t>
            </w:r>
          </w:p>
        </w:tc>
        <w:tc>
          <w:tcPr>
            <w:tcW w:w="1134" w:type="dxa"/>
          </w:tcPr>
          <w:p w14:paraId="265F5325"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Required</w:t>
            </w:r>
          </w:p>
        </w:tc>
        <w:tc>
          <w:tcPr>
            <w:tcW w:w="2268" w:type="dxa"/>
            <w:gridSpan w:val="2"/>
          </w:tcPr>
          <w:p w14:paraId="320580AB"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N/A</w:t>
            </w:r>
          </w:p>
        </w:tc>
      </w:tr>
      <w:tr w:rsidR="002C597D" w:rsidRPr="00E72BDE" w14:paraId="7E5D84B1" w14:textId="77777777" w:rsidTr="004D1AA0">
        <w:trPr>
          <w:jc w:val="center"/>
        </w:trPr>
        <w:tc>
          <w:tcPr>
            <w:tcW w:w="2405" w:type="dxa"/>
            <w:gridSpan w:val="2"/>
          </w:tcPr>
          <w:p w14:paraId="01D6BC5B"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Reference STD</w:t>
            </w:r>
          </w:p>
        </w:tc>
        <w:tc>
          <w:tcPr>
            <w:tcW w:w="2268" w:type="dxa"/>
          </w:tcPr>
          <w:p w14:paraId="2604A994"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p>
        </w:tc>
        <w:tc>
          <w:tcPr>
            <w:tcW w:w="1134" w:type="dxa"/>
          </w:tcPr>
          <w:p w14:paraId="1BEA674A"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sz w:val="22"/>
                <w:lang w:val="en-GB" w:eastAsia="ja-JP"/>
              </w:rPr>
              <w:t>ARIB-STD-T48</w:t>
            </w:r>
          </w:p>
        </w:tc>
        <w:tc>
          <w:tcPr>
            <w:tcW w:w="1134" w:type="dxa"/>
          </w:tcPr>
          <w:p w14:paraId="0A89482B"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lang w:val="en-GB" w:eastAsia="ja-JP"/>
              </w:rPr>
              <w:t>IEEE</w:t>
            </w:r>
          </w:p>
          <w:p w14:paraId="4FA25BA2"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802.11ay</w:t>
            </w:r>
          </w:p>
        </w:tc>
        <w:tc>
          <w:tcPr>
            <w:tcW w:w="1134" w:type="dxa"/>
          </w:tcPr>
          <w:p w14:paraId="22A230AB" w14:textId="77777777" w:rsidR="002C597D" w:rsidRPr="00E72BDE" w:rsidRDefault="002C597D" w:rsidP="004D1AA0">
            <w:pPr>
              <w:spacing w:line="320" w:lineRule="exact"/>
              <w:jc w:val="both"/>
              <w:rPr>
                <w:rFonts w:eastAsia="MS Mincho"/>
                <w:bCs/>
                <w:color w:val="000000"/>
                <w:sz w:val="22"/>
                <w:lang w:val="en-GB" w:eastAsia="ja-JP"/>
              </w:rPr>
            </w:pPr>
            <w:r w:rsidRPr="00E72BDE">
              <w:rPr>
                <w:rFonts w:eastAsia="MS Mincho"/>
                <w:bCs/>
                <w:color w:val="000000"/>
                <w:sz w:val="22"/>
                <w:lang w:val="en-GB" w:eastAsia="ja-JP"/>
              </w:rPr>
              <w:t>ARIB</w:t>
            </w:r>
          </w:p>
          <w:p w14:paraId="4331C94B" w14:textId="77777777" w:rsidR="002C597D" w:rsidRPr="00E72BDE" w:rsidRDefault="002C597D" w:rsidP="004D1AA0">
            <w:pPr>
              <w:spacing w:line="320" w:lineRule="exact"/>
              <w:jc w:val="both"/>
              <w:rPr>
                <w:rFonts w:eastAsia="MS Mincho"/>
                <w:bCs/>
                <w:color w:val="000000"/>
                <w:lang w:val="en-GB" w:eastAsia="ja-JP"/>
              </w:rPr>
            </w:pPr>
            <w:r w:rsidRPr="00E72BDE">
              <w:rPr>
                <w:rFonts w:eastAsia="MS Mincho"/>
                <w:bCs/>
                <w:color w:val="000000"/>
                <w:sz w:val="22"/>
                <w:lang w:val="en-GB" w:eastAsia="ja-JP"/>
              </w:rPr>
              <w:t>STD-T73</w:t>
            </w:r>
          </w:p>
        </w:tc>
        <w:tc>
          <w:tcPr>
            <w:tcW w:w="1134" w:type="dxa"/>
          </w:tcPr>
          <w:p w14:paraId="68040C6C" w14:textId="77777777" w:rsidR="002C597D" w:rsidRPr="00E72BDE" w:rsidRDefault="002C597D" w:rsidP="004D1AA0">
            <w:pPr>
              <w:tabs>
                <w:tab w:val="left" w:pos="1134"/>
                <w:tab w:val="left" w:pos="1871"/>
                <w:tab w:val="left" w:pos="2268"/>
              </w:tabs>
              <w:overflowPunct w:val="0"/>
              <w:autoSpaceDE w:val="0"/>
              <w:autoSpaceDN w:val="0"/>
              <w:adjustRightInd w:val="0"/>
              <w:spacing w:line="320" w:lineRule="exact"/>
              <w:jc w:val="both"/>
              <w:textAlignment w:val="baseline"/>
              <w:rPr>
                <w:rFonts w:eastAsia="MS Mincho"/>
                <w:bCs/>
                <w:color w:val="000000"/>
                <w:lang w:val="en-GB" w:eastAsia="ja-JP"/>
              </w:rPr>
            </w:pPr>
            <w:r w:rsidRPr="00E72BDE">
              <w:rPr>
                <w:rFonts w:eastAsia="MS Mincho"/>
                <w:bCs/>
                <w:color w:val="000000"/>
                <w:lang w:val="en-GB" w:eastAsia="ja-JP"/>
              </w:rPr>
              <w:t>TBD</w:t>
            </w:r>
          </w:p>
        </w:tc>
      </w:tr>
    </w:tbl>
    <w:p w14:paraId="64B864FF"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11077DA8"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r w:rsidRPr="00E72BDE">
        <w:rPr>
          <w:rFonts w:eastAsia="MS Mincho"/>
          <w:b/>
          <w:bCs/>
          <w:color w:val="000000"/>
          <w:lang w:val="en-GB" w:eastAsia="ja-JP"/>
        </w:rPr>
        <w:t>Standardization</w:t>
      </w:r>
      <w:r w:rsidRPr="00E72BDE">
        <w:rPr>
          <w:rFonts w:eastAsia="MS Mincho"/>
          <w:b/>
          <w:bCs/>
          <w:color w:val="000000"/>
          <w:lang w:val="en-GB" w:eastAsia="ja-JP"/>
        </w:rPr>
        <w:tab/>
      </w:r>
    </w:p>
    <w:p w14:paraId="676C4289"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Cs/>
          <w:color w:val="000000"/>
          <w:lang w:val="en-GB" w:eastAsia="ja-JP"/>
        </w:rPr>
      </w:pPr>
      <w:r w:rsidRPr="00E72BDE">
        <w:rPr>
          <w:rFonts w:eastAsia="MS Mincho"/>
          <w:bCs/>
          <w:color w:val="000000"/>
          <w:lang w:val="en-GB" w:eastAsia="ja-JP"/>
        </w:rPr>
        <w:t>IEEE802.11WG established 11bf (WLAN Sensing) task group in January 2012 and started a standardization work of sensing, cooperating with existing wireless LAN signals. In addition to the 2.4 and 5 GHz bands, 60 GHz band are considered to realize high resolution sensing and imaging. In IEEE802.11</w:t>
      </w:r>
      <w:proofErr w:type="gramStart"/>
      <w:r w:rsidRPr="00E72BDE">
        <w:rPr>
          <w:rFonts w:eastAsia="MS Mincho"/>
          <w:bCs/>
          <w:color w:val="000000"/>
          <w:lang w:val="en-GB" w:eastAsia="ja-JP"/>
        </w:rPr>
        <w:t>bd</w:t>
      </w:r>
      <w:r w:rsidRPr="00E72BDE">
        <w:rPr>
          <w:rFonts w:eastAsia="MS Mincho"/>
          <w:bCs/>
          <w:color w:val="000000"/>
          <w:vertAlign w:val="superscript"/>
          <w:lang w:val="en-GB" w:eastAsia="ja-JP"/>
        </w:rPr>
        <w:t>[</w:t>
      </w:r>
      <w:proofErr w:type="gramEnd"/>
      <w:r w:rsidRPr="00E72BDE">
        <w:rPr>
          <w:rFonts w:eastAsia="MS Mincho"/>
          <w:bCs/>
          <w:color w:val="000000"/>
          <w:vertAlign w:val="superscript"/>
          <w:lang w:val="en-GB" w:eastAsia="ja-JP"/>
        </w:rPr>
        <w:t>8]</w:t>
      </w:r>
      <w:r w:rsidRPr="00E72BDE">
        <w:rPr>
          <w:rFonts w:eastAsia="MS Mincho"/>
          <w:bCs/>
          <w:color w:val="000000"/>
          <w:lang w:val="en-GB" w:eastAsia="ja-JP"/>
        </w:rPr>
        <w:t xml:space="preserve"> (Next Generation V2X), as shown in Chapter 6, the communication technologies operating in 5.9 GHz and 60 GHz are standardized. Additionally, a ranging function using time of flight is also considered, referring IEEE802.11</w:t>
      </w:r>
      <w:proofErr w:type="gramStart"/>
      <w:r w:rsidRPr="00E72BDE">
        <w:rPr>
          <w:rFonts w:eastAsia="MS Mincho"/>
          <w:bCs/>
          <w:color w:val="000000"/>
          <w:lang w:val="en-GB" w:eastAsia="ja-JP"/>
        </w:rPr>
        <w:t>az</w:t>
      </w:r>
      <w:r w:rsidRPr="00E72BDE">
        <w:rPr>
          <w:rFonts w:eastAsia="MS Mincho"/>
          <w:bCs/>
          <w:color w:val="000000"/>
          <w:vertAlign w:val="superscript"/>
          <w:lang w:val="en-GB" w:eastAsia="ja-JP"/>
        </w:rPr>
        <w:t>[</w:t>
      </w:r>
      <w:proofErr w:type="gramEnd"/>
      <w:r w:rsidRPr="00E72BDE">
        <w:rPr>
          <w:rFonts w:eastAsia="MS Mincho"/>
          <w:bCs/>
          <w:color w:val="000000"/>
          <w:vertAlign w:val="superscript"/>
          <w:lang w:val="en-GB" w:eastAsia="ja-JP"/>
        </w:rPr>
        <w:t>10]</w:t>
      </w:r>
      <w:r w:rsidRPr="00E72BDE">
        <w:rPr>
          <w:rFonts w:eastAsia="MS Mincho"/>
          <w:bCs/>
          <w:color w:val="000000"/>
          <w:lang w:val="en-GB" w:eastAsia="ja-JP"/>
        </w:rPr>
        <w:t xml:space="preserve"> (Enhancements for Positioning). </w:t>
      </w:r>
    </w:p>
    <w:p w14:paraId="3F417DED"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Cs/>
          <w:color w:val="000000"/>
          <w:lang w:val="en-GB" w:eastAsia="ja-JP"/>
        </w:rPr>
      </w:pPr>
    </w:p>
    <w:p w14:paraId="4E88C61D" w14:textId="77777777" w:rsidR="002C597D" w:rsidRPr="00E72BDE" w:rsidRDefault="002C597D" w:rsidP="002C597D">
      <w:pPr>
        <w:jc w:val="both"/>
        <w:rPr>
          <w:b/>
          <w:lang w:val="en-GB"/>
        </w:rPr>
      </w:pPr>
      <w:r w:rsidRPr="00E72BDE">
        <w:rPr>
          <w:b/>
          <w:lang w:val="en-GB"/>
        </w:rPr>
        <w:t xml:space="preserve">TABLE 7.2 Global Standard on </w:t>
      </w:r>
      <w:r w:rsidRPr="00E72BDE">
        <w:rPr>
          <w:rFonts w:eastAsia="MS Mincho"/>
          <w:b/>
          <w:lang w:val="en-GB" w:eastAsia="ja-JP"/>
        </w:rPr>
        <w:t>Millimetre Wave</w:t>
      </w:r>
      <w:r w:rsidRPr="00E72BDE">
        <w:rPr>
          <w:b/>
          <w:lang w:val="en-GB"/>
        </w:rPr>
        <w:t xml:space="preserve"> </w:t>
      </w:r>
      <w:r w:rsidRPr="00E72BDE">
        <w:rPr>
          <w:rFonts w:eastAsia="MS Mincho"/>
          <w:b/>
          <w:lang w:val="en-GB" w:eastAsia="ja-JP"/>
        </w:rPr>
        <w:t>Advanced</w:t>
      </w:r>
      <w:r w:rsidRPr="00E72BDE">
        <w:rPr>
          <w:b/>
          <w:lang w:val="en-GB"/>
        </w:rPr>
        <w:t xml:space="preserve"> </w:t>
      </w:r>
      <w:r w:rsidRPr="00E72BDE">
        <w:rPr>
          <w:rFonts w:eastAsia="MS Mincho"/>
          <w:b/>
          <w:lang w:val="en-GB" w:eastAsia="ja-JP"/>
        </w:rPr>
        <w:t>Sensing</w:t>
      </w:r>
    </w:p>
    <w:p w14:paraId="70251848" w14:textId="77777777" w:rsidR="002C597D" w:rsidRPr="00E72BDE" w:rsidRDefault="002C597D" w:rsidP="002C597D">
      <w:pPr>
        <w:jc w:val="both"/>
        <w:rPr>
          <w:rFonts w:eastAsia="MS Mincho"/>
          <w:b/>
          <w:lang w:val="en-GB"/>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2746"/>
        <w:gridCol w:w="6237"/>
      </w:tblGrid>
      <w:tr w:rsidR="002C597D" w:rsidRPr="00E72BDE" w14:paraId="6B5C5500" w14:textId="77777777" w:rsidTr="004D1AA0">
        <w:trPr>
          <w:trHeight w:val="325"/>
          <w:jc w:val="center"/>
        </w:trPr>
        <w:tc>
          <w:tcPr>
            <w:tcW w:w="763" w:type="dxa"/>
            <w:shd w:val="clear" w:color="auto" w:fill="auto"/>
            <w:vAlign w:val="center"/>
          </w:tcPr>
          <w:p w14:paraId="5A216283" w14:textId="77777777" w:rsidR="002C597D" w:rsidRPr="00E72BDE" w:rsidRDefault="002C597D" w:rsidP="004D1AA0">
            <w:pPr>
              <w:keepNext/>
              <w:tabs>
                <w:tab w:val="left" w:pos="1134"/>
                <w:tab w:val="left" w:pos="1871"/>
                <w:tab w:val="left" w:pos="2268"/>
              </w:tabs>
              <w:overflowPunct w:val="0"/>
              <w:autoSpaceDE w:val="0"/>
              <w:autoSpaceDN w:val="0"/>
              <w:adjustRightInd w:val="0"/>
              <w:spacing w:before="80" w:after="80"/>
              <w:jc w:val="both"/>
              <w:textAlignment w:val="baseline"/>
              <w:rPr>
                <w:rFonts w:eastAsia="MS Mincho"/>
                <w:b/>
                <w:lang w:val="en-GB" w:eastAsia="ko-KR"/>
              </w:rPr>
            </w:pPr>
            <w:r w:rsidRPr="00E72BDE">
              <w:rPr>
                <w:rFonts w:eastAsia="MS Mincho"/>
                <w:b/>
                <w:lang w:val="en-GB" w:eastAsia="ko-KR"/>
              </w:rPr>
              <w:t>SDO</w:t>
            </w:r>
          </w:p>
        </w:tc>
        <w:tc>
          <w:tcPr>
            <w:tcW w:w="2746" w:type="dxa"/>
            <w:shd w:val="clear" w:color="auto" w:fill="auto"/>
            <w:vAlign w:val="center"/>
          </w:tcPr>
          <w:p w14:paraId="4DCD2C35" w14:textId="77777777" w:rsidR="002C597D" w:rsidRPr="00E72BDE" w:rsidRDefault="002C597D" w:rsidP="004D1AA0">
            <w:pPr>
              <w:keepNext/>
              <w:tabs>
                <w:tab w:val="left" w:pos="1134"/>
                <w:tab w:val="left" w:pos="1871"/>
                <w:tab w:val="left" w:pos="2268"/>
              </w:tabs>
              <w:overflowPunct w:val="0"/>
              <w:autoSpaceDE w:val="0"/>
              <w:autoSpaceDN w:val="0"/>
              <w:adjustRightInd w:val="0"/>
              <w:spacing w:before="80" w:after="80"/>
              <w:jc w:val="both"/>
              <w:textAlignment w:val="baseline"/>
              <w:rPr>
                <w:rFonts w:eastAsia="MS Mincho"/>
                <w:b/>
                <w:lang w:val="en-GB" w:eastAsia="ko-KR"/>
              </w:rPr>
            </w:pPr>
            <w:r w:rsidRPr="00E72BDE">
              <w:rPr>
                <w:rFonts w:eastAsia="MS Mincho"/>
                <w:b/>
                <w:lang w:val="en-GB" w:eastAsia="ko-KR"/>
              </w:rPr>
              <w:t>Standard No.</w:t>
            </w:r>
          </w:p>
        </w:tc>
        <w:tc>
          <w:tcPr>
            <w:tcW w:w="6237" w:type="dxa"/>
            <w:shd w:val="clear" w:color="auto" w:fill="auto"/>
            <w:vAlign w:val="center"/>
          </w:tcPr>
          <w:p w14:paraId="5325C751" w14:textId="77777777" w:rsidR="002C597D" w:rsidRPr="00E72BDE" w:rsidRDefault="002C597D" w:rsidP="004D1AA0">
            <w:pPr>
              <w:keepNext/>
              <w:tabs>
                <w:tab w:val="left" w:pos="1134"/>
                <w:tab w:val="left" w:pos="1871"/>
                <w:tab w:val="left" w:pos="2268"/>
              </w:tabs>
              <w:overflowPunct w:val="0"/>
              <w:autoSpaceDE w:val="0"/>
              <w:autoSpaceDN w:val="0"/>
              <w:adjustRightInd w:val="0"/>
              <w:spacing w:before="80" w:after="80"/>
              <w:jc w:val="both"/>
              <w:textAlignment w:val="baseline"/>
              <w:rPr>
                <w:rFonts w:eastAsia="MS Mincho"/>
                <w:b/>
                <w:lang w:val="en-GB" w:eastAsia="ko-KR"/>
              </w:rPr>
            </w:pPr>
            <w:r w:rsidRPr="00E72BDE">
              <w:rPr>
                <w:rFonts w:eastAsia="MS Mincho"/>
                <w:b/>
                <w:lang w:val="en-GB" w:eastAsia="ko-KR"/>
              </w:rPr>
              <w:t>Standard Title (Status)</w:t>
            </w:r>
          </w:p>
        </w:tc>
      </w:tr>
      <w:tr w:rsidR="002C597D" w:rsidRPr="00E72BDE" w14:paraId="7CFD3A20" w14:textId="77777777" w:rsidTr="004D1AA0">
        <w:trPr>
          <w:trHeight w:val="477"/>
          <w:jc w:val="center"/>
        </w:trPr>
        <w:tc>
          <w:tcPr>
            <w:tcW w:w="763" w:type="dxa"/>
            <w:vMerge w:val="restart"/>
            <w:shd w:val="clear" w:color="auto" w:fill="auto"/>
            <w:vAlign w:val="center"/>
          </w:tcPr>
          <w:p w14:paraId="5035D464"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ja-JP"/>
              </w:rPr>
            </w:pPr>
            <w:r w:rsidRPr="00E72BDE">
              <w:rPr>
                <w:rFonts w:eastAsia="MS Mincho"/>
                <w:lang w:val="en-GB" w:eastAsia="ko-KR"/>
              </w:rPr>
              <w:t>IEEE</w:t>
            </w:r>
          </w:p>
        </w:tc>
        <w:tc>
          <w:tcPr>
            <w:tcW w:w="2746" w:type="dxa"/>
            <w:shd w:val="clear" w:color="auto" w:fill="auto"/>
            <w:vAlign w:val="center"/>
          </w:tcPr>
          <w:p w14:paraId="3C21CFAE"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algun Gothic"/>
                <w:lang w:val="en-GB" w:eastAsia="ko-KR"/>
              </w:rPr>
            </w:pPr>
            <w:r w:rsidRPr="00E72BDE">
              <w:rPr>
                <w:rFonts w:eastAsia="MS Mincho"/>
                <w:lang w:val="en-GB" w:eastAsia="ko-KR"/>
              </w:rPr>
              <w:t>IEEE802.11bf</w:t>
            </w:r>
          </w:p>
        </w:tc>
        <w:tc>
          <w:tcPr>
            <w:tcW w:w="6237" w:type="dxa"/>
            <w:shd w:val="clear" w:color="auto" w:fill="auto"/>
            <w:vAlign w:val="center"/>
          </w:tcPr>
          <w:p w14:paraId="78290765" w14:textId="77777777" w:rsidR="002C597D" w:rsidRPr="00E72BDE" w:rsidRDefault="002C597D" w:rsidP="004D1AA0">
            <w:pPr>
              <w:jc w:val="both"/>
              <w:rPr>
                <w:rFonts w:eastAsiaTheme="minorEastAsia"/>
                <w:lang w:val="en-GB"/>
              </w:rPr>
            </w:pPr>
            <w:r w:rsidRPr="00E72BDE">
              <w:rPr>
                <w:lang w:val="en-GB"/>
              </w:rPr>
              <w:t>Enhancements for WLAN Sensing</w:t>
            </w:r>
          </w:p>
          <w:p w14:paraId="590DAEF1"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r w:rsidRPr="00E72BDE">
              <w:rPr>
                <w:rStyle w:val="sub-heading3"/>
                <w:lang w:val="en-GB"/>
              </w:rPr>
              <w:t>(Established in January 2021)</w:t>
            </w:r>
          </w:p>
        </w:tc>
      </w:tr>
      <w:tr w:rsidR="002C597D" w:rsidRPr="00E72BDE" w14:paraId="52FA986B" w14:textId="77777777" w:rsidTr="004D1AA0">
        <w:trPr>
          <w:trHeight w:val="477"/>
          <w:jc w:val="center"/>
        </w:trPr>
        <w:tc>
          <w:tcPr>
            <w:tcW w:w="763" w:type="dxa"/>
            <w:vMerge/>
            <w:shd w:val="clear" w:color="auto" w:fill="auto"/>
            <w:vAlign w:val="center"/>
          </w:tcPr>
          <w:p w14:paraId="19ABD104"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p>
        </w:tc>
        <w:tc>
          <w:tcPr>
            <w:tcW w:w="2746" w:type="dxa"/>
            <w:shd w:val="clear" w:color="auto" w:fill="auto"/>
            <w:vAlign w:val="center"/>
          </w:tcPr>
          <w:p w14:paraId="6F7E55CD"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ja-JP"/>
              </w:rPr>
            </w:pPr>
            <w:r w:rsidRPr="00E72BDE">
              <w:rPr>
                <w:rFonts w:eastAsia="MS Mincho"/>
                <w:lang w:val="en-GB" w:eastAsia="ja-JP"/>
              </w:rPr>
              <w:t>IEEE802.11bd</w:t>
            </w:r>
          </w:p>
        </w:tc>
        <w:tc>
          <w:tcPr>
            <w:tcW w:w="6237" w:type="dxa"/>
            <w:shd w:val="clear" w:color="auto" w:fill="auto"/>
            <w:vAlign w:val="center"/>
          </w:tcPr>
          <w:p w14:paraId="5CAE8106" w14:textId="77777777" w:rsidR="002C597D" w:rsidRPr="00E72BDE" w:rsidRDefault="002C597D" w:rsidP="004D1AA0">
            <w:pPr>
              <w:widowControl w:val="0"/>
              <w:autoSpaceDE w:val="0"/>
              <w:autoSpaceDN w:val="0"/>
              <w:adjustRightInd w:val="0"/>
              <w:jc w:val="both"/>
              <w:rPr>
                <w:rStyle w:val="sub-heading3"/>
                <w:rFonts w:hint="eastAsia"/>
                <w:lang w:val="en-GB"/>
              </w:rPr>
            </w:pPr>
            <w:r w:rsidRPr="00E72BDE">
              <w:rPr>
                <w:rStyle w:val="sub-heading3"/>
                <w:lang w:val="en-GB"/>
              </w:rPr>
              <w:t>Enhancements for Next Generation V2X</w:t>
            </w:r>
          </w:p>
          <w:p w14:paraId="2D989E38" w14:textId="77777777" w:rsidR="002C597D" w:rsidRPr="00E72BDE" w:rsidRDefault="002C597D" w:rsidP="004D1AA0">
            <w:pPr>
              <w:jc w:val="both"/>
              <w:rPr>
                <w:lang w:val="en-GB"/>
              </w:rPr>
            </w:pPr>
            <w:r w:rsidRPr="00E72BDE">
              <w:rPr>
                <w:rStyle w:val="sub-heading3"/>
                <w:lang w:val="en-GB"/>
              </w:rPr>
              <w:t>(</w:t>
            </w:r>
            <w:r w:rsidRPr="00E72BDE">
              <w:rPr>
                <w:rFonts w:eastAsia="MS PGothic"/>
                <w:lang w:val="en-GB" w:eastAsia="ja-JP"/>
              </w:rPr>
              <w:t>Published in March 2023</w:t>
            </w:r>
            <w:r w:rsidRPr="00E72BDE">
              <w:rPr>
                <w:rFonts w:ascii="Segoe UI" w:eastAsia="MS PGothic" w:hAnsi="Segoe UI" w:cs="Segoe UI"/>
                <w:lang w:val="en-GB" w:eastAsia="ja-JP"/>
              </w:rPr>
              <w:t>)</w:t>
            </w:r>
          </w:p>
        </w:tc>
      </w:tr>
      <w:tr w:rsidR="002C597D" w:rsidRPr="00E72BDE" w14:paraId="60337034" w14:textId="77777777" w:rsidTr="004D1AA0">
        <w:trPr>
          <w:trHeight w:val="477"/>
          <w:jc w:val="center"/>
        </w:trPr>
        <w:tc>
          <w:tcPr>
            <w:tcW w:w="763" w:type="dxa"/>
            <w:vMerge/>
            <w:shd w:val="clear" w:color="auto" w:fill="auto"/>
            <w:vAlign w:val="center"/>
          </w:tcPr>
          <w:p w14:paraId="72B6250C"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ko-KR"/>
              </w:rPr>
            </w:pPr>
          </w:p>
        </w:tc>
        <w:tc>
          <w:tcPr>
            <w:tcW w:w="2746" w:type="dxa"/>
            <w:shd w:val="clear" w:color="auto" w:fill="auto"/>
            <w:vAlign w:val="center"/>
          </w:tcPr>
          <w:p w14:paraId="50B837F1" w14:textId="77777777" w:rsidR="002C597D" w:rsidRPr="00E72BDE" w:rsidRDefault="002C597D" w:rsidP="004D1AA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eastAsia="MS Mincho"/>
                <w:lang w:val="en-GB" w:eastAsia="ja-JP"/>
              </w:rPr>
            </w:pPr>
            <w:r w:rsidRPr="00E72BDE">
              <w:rPr>
                <w:rFonts w:eastAsia="MS Mincho"/>
                <w:lang w:val="en-GB" w:eastAsia="ja-JP"/>
              </w:rPr>
              <w:t>IEEE802.11az</w:t>
            </w:r>
          </w:p>
        </w:tc>
        <w:tc>
          <w:tcPr>
            <w:tcW w:w="6237" w:type="dxa"/>
            <w:shd w:val="clear" w:color="auto" w:fill="auto"/>
            <w:vAlign w:val="center"/>
          </w:tcPr>
          <w:p w14:paraId="4646F8AF" w14:textId="77777777" w:rsidR="002C597D" w:rsidRPr="00E72BDE" w:rsidRDefault="002C597D" w:rsidP="004D1AA0">
            <w:pPr>
              <w:widowControl w:val="0"/>
              <w:autoSpaceDE w:val="0"/>
              <w:autoSpaceDN w:val="0"/>
              <w:adjustRightInd w:val="0"/>
              <w:jc w:val="both"/>
              <w:rPr>
                <w:rStyle w:val="sub-heading3"/>
                <w:rFonts w:eastAsia="MS Mincho" w:hint="eastAsia"/>
                <w:lang w:val="en-GB" w:eastAsia="ja-JP"/>
              </w:rPr>
            </w:pPr>
            <w:r w:rsidRPr="00E72BDE">
              <w:rPr>
                <w:rStyle w:val="sub-heading3"/>
                <w:rFonts w:eastAsia="MS Mincho"/>
                <w:lang w:val="en-GB" w:eastAsia="ja-JP"/>
              </w:rPr>
              <w:t>Enhancements for Positioning</w:t>
            </w:r>
          </w:p>
          <w:p w14:paraId="2BBF2D23" w14:textId="77777777" w:rsidR="002C597D" w:rsidRPr="00E72BDE" w:rsidRDefault="002C597D" w:rsidP="004D1AA0">
            <w:pPr>
              <w:widowControl w:val="0"/>
              <w:autoSpaceDE w:val="0"/>
              <w:autoSpaceDN w:val="0"/>
              <w:adjustRightInd w:val="0"/>
              <w:jc w:val="both"/>
              <w:rPr>
                <w:rStyle w:val="sub-heading3"/>
                <w:rFonts w:eastAsia="MS Mincho" w:hint="eastAsia"/>
                <w:lang w:val="en-GB" w:eastAsia="ja-JP"/>
              </w:rPr>
            </w:pPr>
            <w:r w:rsidRPr="00E72BDE">
              <w:rPr>
                <w:rStyle w:val="sub-heading3"/>
                <w:rFonts w:eastAsia="MS Mincho"/>
                <w:lang w:val="en-GB" w:eastAsia="ja-JP"/>
              </w:rPr>
              <w:t>(Published in March 2023)</w:t>
            </w:r>
          </w:p>
        </w:tc>
      </w:tr>
    </w:tbl>
    <w:p w14:paraId="30646896"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p>
    <w:p w14:paraId="170D1956" w14:textId="77777777" w:rsidR="002C597D" w:rsidRPr="00E72BDE" w:rsidRDefault="002C597D" w:rsidP="002C597D">
      <w:pPr>
        <w:pStyle w:val="ListParagraph"/>
        <w:numPr>
          <w:ilvl w:val="1"/>
          <w:numId w:val="27"/>
        </w:num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r w:rsidRPr="00E72BDE">
        <w:rPr>
          <w:rFonts w:eastAsia="MS Mincho"/>
          <w:b/>
          <w:bCs/>
          <w:color w:val="000000"/>
          <w:lang w:val="en-GB" w:eastAsia="ja-JP"/>
        </w:rPr>
        <w:t>Applications</w:t>
      </w:r>
      <w:r w:rsidRPr="00E72BDE">
        <w:rPr>
          <w:rFonts w:eastAsia="MS Mincho"/>
          <w:b/>
          <w:bCs/>
          <w:color w:val="000000"/>
          <w:lang w:val="en-GB" w:eastAsia="ja-JP"/>
        </w:rPr>
        <w:tab/>
      </w:r>
    </w:p>
    <w:p w14:paraId="6C91BFB9"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992"/>
        <w:jc w:val="both"/>
        <w:textAlignment w:val="baseline"/>
        <w:rPr>
          <w:rFonts w:eastAsia="MS Mincho"/>
          <w:b/>
          <w:bCs/>
          <w:color w:val="000000"/>
          <w:lang w:val="en-GB" w:eastAsia="ja-JP"/>
        </w:rPr>
      </w:pPr>
    </w:p>
    <w:p w14:paraId="2E7500FD" w14:textId="77777777" w:rsidR="002C597D" w:rsidRPr="00E72BDE" w:rsidRDefault="002C597D" w:rsidP="002C597D">
      <w:pPr>
        <w:pStyle w:val="ListParagraph"/>
        <w:numPr>
          <w:ilvl w:val="2"/>
          <w:numId w:val="27"/>
        </w:numPr>
        <w:tabs>
          <w:tab w:val="left" w:pos="1134"/>
          <w:tab w:val="left" w:pos="1871"/>
          <w:tab w:val="left" w:pos="2268"/>
        </w:tabs>
        <w:overflowPunct w:val="0"/>
        <w:autoSpaceDE w:val="0"/>
        <w:autoSpaceDN w:val="0"/>
        <w:adjustRightInd w:val="0"/>
        <w:spacing w:before="120"/>
        <w:jc w:val="both"/>
        <w:textAlignment w:val="baseline"/>
        <w:rPr>
          <w:rFonts w:eastAsia="MS Mincho"/>
          <w:b/>
          <w:bCs/>
          <w:color w:val="000000"/>
          <w:lang w:val="en-GB" w:eastAsia="ja-JP"/>
        </w:rPr>
      </w:pPr>
      <w:r w:rsidRPr="00E72BDE">
        <w:rPr>
          <w:rFonts w:eastAsia="MS Mincho"/>
          <w:b/>
          <w:bCs/>
          <w:color w:val="000000"/>
          <w:lang w:val="en-GB" w:eastAsia="ja-JP"/>
        </w:rPr>
        <w:t xml:space="preserve">Passenger detection and driver </w:t>
      </w:r>
      <w:proofErr w:type="gramStart"/>
      <w:r w:rsidRPr="00E72BDE">
        <w:rPr>
          <w:rFonts w:eastAsia="MS Mincho"/>
          <w:b/>
          <w:bCs/>
          <w:color w:val="000000"/>
          <w:lang w:val="en-GB" w:eastAsia="ja-JP"/>
        </w:rPr>
        <w:t>monitoring</w:t>
      </w:r>
      <w:r w:rsidRPr="00E72BDE">
        <w:rPr>
          <w:rFonts w:eastAsia="MS Mincho"/>
          <w:color w:val="000000"/>
          <w:vertAlign w:val="superscript"/>
          <w:lang w:val="en-GB" w:eastAsia="ja-JP"/>
        </w:rPr>
        <w:t>[</w:t>
      </w:r>
      <w:proofErr w:type="gramEnd"/>
      <w:r w:rsidRPr="00E72BDE">
        <w:rPr>
          <w:rFonts w:eastAsia="MS Mincho"/>
          <w:color w:val="000000"/>
          <w:vertAlign w:val="superscript"/>
          <w:lang w:val="en-GB" w:eastAsia="ja-JP"/>
        </w:rPr>
        <w:t>16]</w:t>
      </w:r>
    </w:p>
    <w:p w14:paraId="59B3A939"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Cs/>
          <w:color w:val="000000"/>
          <w:lang w:val="en-GB" w:eastAsia="ja-JP"/>
        </w:rPr>
      </w:pPr>
      <w:r w:rsidRPr="00E72BDE">
        <w:rPr>
          <w:rFonts w:eastAsia="MS Mincho"/>
          <w:bCs/>
          <w:color w:val="000000"/>
          <w:lang w:val="en-GB" w:eastAsia="ja-JP"/>
        </w:rPr>
        <w:t xml:space="preserve"> There have been some fatal accidents due to heat stroke caused by leaving children or toddlers on the in-vehicle seats, and accidents due to sudden changes of driver’s health condition. In order to avoid such accidents, passenger detection and driver health monitoring are required with non-contact, then the use of 60 GHz radar is being considered as one of the sensors. FIGURE 7.1 is an example application of passenger detection. By using 60 GHz radar sensors, it is possible to detect an infant on the rear seat even if it is under the blanket. Also, if the sensor is placed near the driver's seat, driver's breathing and heartbeat can be detected.</w:t>
      </w:r>
    </w:p>
    <w:p w14:paraId="7E57C821" w14:textId="77777777" w:rsidR="008560A3" w:rsidRDefault="008560A3" w:rsidP="008560A3">
      <w:pPr>
        <w:jc w:val="center"/>
        <w:rPr>
          <w:rFonts w:eastAsia="MS Mincho"/>
          <w:b/>
          <w:bCs/>
          <w:color w:val="000000"/>
          <w:lang w:val="en-GB" w:eastAsia="ja-JP"/>
        </w:rPr>
      </w:pPr>
      <w:r w:rsidRPr="004E13C3">
        <w:rPr>
          <w:noProof/>
          <w:lang w:val="en-GB" w:eastAsia="ja-JP"/>
        </w:rPr>
        <w:drawing>
          <wp:inline distT="0" distB="0" distL="0" distR="0" wp14:anchorId="5012A2A1" wp14:editId="75F5ED5A">
            <wp:extent cx="2533650" cy="1619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7_1.jpg"/>
                    <pic:cNvPicPr/>
                  </pic:nvPicPr>
                  <pic:blipFill>
                    <a:blip r:embed="rId26">
                      <a:extLst>
                        <a:ext uri="{28A0092B-C50C-407E-A947-70E740481C1C}">
                          <a14:useLocalDpi xmlns:a14="http://schemas.microsoft.com/office/drawing/2010/main" val="0"/>
                        </a:ext>
                      </a:extLst>
                    </a:blip>
                    <a:stretch>
                      <a:fillRect/>
                    </a:stretch>
                  </pic:blipFill>
                  <pic:spPr>
                    <a:xfrm>
                      <a:off x="0" y="0"/>
                      <a:ext cx="2533650" cy="1619250"/>
                    </a:xfrm>
                    <a:prstGeom prst="rect">
                      <a:avLst/>
                    </a:prstGeom>
                  </pic:spPr>
                </pic:pic>
              </a:graphicData>
            </a:graphic>
          </wp:inline>
        </w:drawing>
      </w:r>
      <w:r w:rsidRPr="008560A3">
        <w:rPr>
          <w:rFonts w:eastAsia="MS Mincho"/>
          <w:b/>
          <w:bCs/>
          <w:color w:val="000000"/>
          <w:lang w:val="en-GB" w:eastAsia="ja-JP"/>
        </w:rPr>
        <w:t xml:space="preserve"> </w:t>
      </w:r>
    </w:p>
    <w:p w14:paraId="14C30ED5" w14:textId="2B991ED6" w:rsidR="004D37BD" w:rsidRDefault="008560A3" w:rsidP="004D37BD">
      <w:pPr>
        <w:jc w:val="center"/>
        <w:rPr>
          <w:rFonts w:eastAsia="MS Mincho"/>
          <w:b/>
          <w:bCs/>
          <w:color w:val="000000"/>
          <w:lang w:val="en-GB" w:eastAsia="ja-JP"/>
        </w:rPr>
      </w:pPr>
      <w:r w:rsidRPr="004E13C3">
        <w:rPr>
          <w:rFonts w:eastAsia="MS Mincho"/>
          <w:b/>
          <w:bCs/>
          <w:color w:val="000000"/>
          <w:lang w:val="en-GB" w:eastAsia="ja-JP"/>
        </w:rPr>
        <w:t xml:space="preserve">FIGURE </w:t>
      </w:r>
      <w:proofErr w:type="gramStart"/>
      <w:r w:rsidRPr="004E13C3">
        <w:rPr>
          <w:rFonts w:eastAsia="MS Mincho"/>
          <w:b/>
          <w:bCs/>
          <w:color w:val="000000"/>
          <w:lang w:val="en-GB" w:eastAsia="ja-JP"/>
        </w:rPr>
        <w:t>7.1  Passenger</w:t>
      </w:r>
      <w:proofErr w:type="gramEnd"/>
      <w:r w:rsidRPr="004E13C3">
        <w:rPr>
          <w:rFonts w:eastAsia="MS Mincho"/>
          <w:b/>
          <w:bCs/>
          <w:color w:val="000000"/>
          <w:lang w:val="en-GB" w:eastAsia="ja-JP"/>
        </w:rPr>
        <w:t xml:space="preserve"> detection by using 60 GHz-band sensor</w:t>
      </w:r>
    </w:p>
    <w:p w14:paraId="57199BAB" w14:textId="637F708F" w:rsidR="00C63F56" w:rsidRDefault="00C63F56" w:rsidP="00C63F56">
      <w:p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p>
    <w:p w14:paraId="2B0E1C48" w14:textId="4BE9CFB1" w:rsidR="00693BDD" w:rsidRPr="00E40B72" w:rsidRDefault="00693BDD" w:rsidP="00E40B72">
      <w:pPr>
        <w:pStyle w:val="ListParagraph"/>
        <w:numPr>
          <w:ilvl w:val="2"/>
          <w:numId w:val="38"/>
        </w:numPr>
        <w:rPr>
          <w:b/>
          <w:bCs/>
          <w:vanish/>
          <w:lang w:val="en-GB" w:eastAsia="ja-JP"/>
        </w:rPr>
      </w:pPr>
      <w:r w:rsidRPr="00E40B72">
        <w:rPr>
          <w:b/>
          <w:bCs/>
          <w:lang w:val="en-GB" w:eastAsia="ja-JP"/>
        </w:rPr>
        <w:t>Improving communication performance utilizing positioning data</w:t>
      </w:r>
    </w:p>
    <w:p w14:paraId="0D931AE8" w14:textId="4A343B26" w:rsidR="005B1451" w:rsidRDefault="005B1451" w:rsidP="00E40B72">
      <w:pPr>
        <w:pStyle w:val="ListParagraph"/>
        <w:tabs>
          <w:tab w:val="left" w:pos="1134"/>
          <w:tab w:val="left" w:pos="1871"/>
          <w:tab w:val="left" w:pos="2268"/>
        </w:tabs>
        <w:overflowPunct w:val="0"/>
        <w:autoSpaceDE w:val="0"/>
        <w:autoSpaceDN w:val="0"/>
        <w:adjustRightInd w:val="0"/>
        <w:spacing w:before="120"/>
        <w:ind w:left="0" w:firstLineChars="50" w:firstLine="120"/>
        <w:jc w:val="center"/>
        <w:textAlignment w:val="baseline"/>
        <w:rPr>
          <w:rFonts w:eastAsia="MS Mincho"/>
          <w:bCs/>
          <w:color w:val="000000"/>
          <w:lang w:val="en-GB" w:eastAsia="ja-JP"/>
        </w:rPr>
      </w:pPr>
    </w:p>
    <w:p w14:paraId="7FC92EE4" w14:textId="6D6FB90E" w:rsidR="002C597D" w:rsidRPr="00E72BDE" w:rsidRDefault="005B1451" w:rsidP="005B1451">
      <w:pPr>
        <w:pStyle w:val="ListParagraph"/>
        <w:tabs>
          <w:tab w:val="left" w:pos="1134"/>
          <w:tab w:val="left" w:pos="1871"/>
          <w:tab w:val="left" w:pos="2268"/>
        </w:tabs>
        <w:overflowPunct w:val="0"/>
        <w:autoSpaceDE w:val="0"/>
        <w:autoSpaceDN w:val="0"/>
        <w:adjustRightInd w:val="0"/>
        <w:spacing w:before="120"/>
        <w:ind w:left="0" w:firstLineChars="50" w:firstLine="120"/>
        <w:jc w:val="both"/>
        <w:textAlignment w:val="baseline"/>
        <w:rPr>
          <w:rFonts w:eastAsia="MS Mincho"/>
          <w:bCs/>
          <w:color w:val="000000"/>
          <w:lang w:val="en-GB" w:eastAsia="ja-JP"/>
        </w:rPr>
      </w:pPr>
      <w:r>
        <w:rPr>
          <w:rFonts w:eastAsia="MS Mincho"/>
          <w:bCs/>
          <w:color w:val="000000"/>
          <w:lang w:val="en-GB" w:eastAsia="ja-JP"/>
        </w:rPr>
        <w:t>I</w:t>
      </w:r>
      <w:r w:rsidR="002C597D" w:rsidRPr="00E72BDE">
        <w:rPr>
          <w:rFonts w:eastAsia="MS Mincho"/>
          <w:bCs/>
          <w:color w:val="000000"/>
          <w:lang w:val="en-GB" w:eastAsia="ja-JP"/>
        </w:rPr>
        <w:t xml:space="preserve">n Section 6.5, high volume data upload and download applications are shown. Service area of </w:t>
      </w:r>
      <w:proofErr w:type="spellStart"/>
      <w:r w:rsidR="002C597D" w:rsidRPr="00E72BDE">
        <w:rPr>
          <w:rFonts w:eastAsia="MS Mincho"/>
          <w:bCs/>
          <w:color w:val="000000"/>
          <w:lang w:val="en-GB" w:eastAsia="ja-JP"/>
        </w:rPr>
        <w:t>mmW</w:t>
      </w:r>
      <w:proofErr w:type="spellEnd"/>
      <w:r w:rsidR="002C597D" w:rsidRPr="00E72BDE">
        <w:rPr>
          <w:rFonts w:eastAsia="MS Mincho"/>
          <w:bCs/>
          <w:color w:val="000000"/>
          <w:lang w:val="en-GB" w:eastAsia="ja-JP"/>
        </w:rPr>
        <w:t xml:space="preserve"> communication is basically around 100m to 200m. There is a problem that the transmission speed cannot be achieved more than 1 Gbps near 100m, which is the edge of the service area. System throughput can be improved by priority allocating radio resources to vehicles that are approaching to the RSU as shown in FIGURE 7.2. Relative distance can be measured by measuring the turnaround time during exchanging communication packets and measuring the reflected wave as a radar, it is possible to share communication and radar with one radio device. The fusion of radar and communication system will be developed in the next several years as next step of </w:t>
      </w:r>
      <w:proofErr w:type="spellStart"/>
      <w:r w:rsidR="002C597D" w:rsidRPr="00E72BDE">
        <w:rPr>
          <w:rFonts w:eastAsia="MS Mincho"/>
          <w:bCs/>
          <w:color w:val="000000"/>
          <w:lang w:val="en-GB" w:eastAsia="ja-JP"/>
        </w:rPr>
        <w:t>mmW</w:t>
      </w:r>
      <w:proofErr w:type="spellEnd"/>
      <w:r w:rsidR="002C597D" w:rsidRPr="00E72BDE">
        <w:rPr>
          <w:rFonts w:eastAsia="MS Mincho"/>
          <w:bCs/>
          <w:color w:val="000000"/>
          <w:lang w:val="en-GB" w:eastAsia="ja-JP"/>
        </w:rPr>
        <w:t xml:space="preserve"> V2X system as shown in 6.5.3. </w:t>
      </w:r>
    </w:p>
    <w:p w14:paraId="6418D424"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Cs/>
          <w:color w:val="000000"/>
          <w:lang w:val="en-GB" w:eastAsia="ja-JP"/>
        </w:rPr>
      </w:pPr>
      <w:r w:rsidRPr="00E72BDE">
        <w:rPr>
          <w:rFonts w:eastAsia="MS Mincho"/>
          <w:bCs/>
          <w:color w:val="000000"/>
          <w:lang w:val="en-GB" w:eastAsia="ja-JP"/>
        </w:rPr>
        <w:t>Furthermore, as shown in FIGURE 7.3, in case of V-I communication by using millimetre wave, there will be shadowing area behind vehicles. In this shadowing area, millimetre wave link performance will extremely degrade.  When shadowing area can be predicted, overall system throughput will be improved by avoiding radio resource allocation for the shadowing area. Various technologies can be considered for predicting the shadowing area, one of methods is to predict by each vehicle location from RSU by using radio sensing technology.</w:t>
      </w:r>
    </w:p>
    <w:p w14:paraId="278F57E6"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0" w:firstLineChars="50" w:firstLine="120"/>
        <w:jc w:val="both"/>
        <w:textAlignment w:val="baseline"/>
        <w:rPr>
          <w:rFonts w:eastAsia="MS Mincho"/>
          <w:bCs/>
          <w:color w:val="000000"/>
          <w:lang w:val="en-GB" w:eastAsia="ja-JP"/>
        </w:rPr>
      </w:pPr>
    </w:p>
    <w:p w14:paraId="412BDED5"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
          <w:bCs/>
          <w:color w:val="000000"/>
          <w:lang w:val="en-GB" w:eastAsia="ja-JP"/>
        </w:rPr>
      </w:pPr>
      <w:r w:rsidRPr="00E72BDE">
        <w:rPr>
          <w:noProof/>
          <w:lang w:val="en-GB" w:eastAsia="ja-JP"/>
        </w:rPr>
        <w:lastRenderedPageBreak/>
        <w:drawing>
          <wp:inline distT="0" distB="0" distL="0" distR="0" wp14:anchorId="5501C083" wp14:editId="3F4335F6">
            <wp:extent cx="5824855" cy="2369820"/>
            <wp:effectExtent l="0" t="0" r="4445" b="0"/>
            <wp:docPr id="21" name="図 2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ダイアグラム&#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5824855" cy="2369820"/>
                    </a:xfrm>
                    <a:prstGeom prst="rect">
                      <a:avLst/>
                    </a:prstGeom>
                  </pic:spPr>
                </pic:pic>
              </a:graphicData>
            </a:graphic>
          </wp:inline>
        </w:drawing>
      </w:r>
    </w:p>
    <w:p w14:paraId="4B1067C5"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r w:rsidRPr="00E72BDE">
        <w:rPr>
          <w:rFonts w:eastAsia="MS Mincho"/>
          <w:b/>
          <w:bCs/>
          <w:color w:val="000000"/>
          <w:lang w:val="en-GB" w:eastAsia="ja-JP"/>
        </w:rPr>
        <w:t>FIGURE 7.2 Fusion of radar and communication for radio resource management</w:t>
      </w:r>
    </w:p>
    <w:p w14:paraId="4F69DAF7"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p>
    <w:p w14:paraId="2B020CE0"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0"/>
        <w:jc w:val="both"/>
        <w:textAlignment w:val="baseline"/>
        <w:rPr>
          <w:rFonts w:eastAsia="MS Mincho"/>
          <w:b/>
          <w:bCs/>
          <w:color w:val="000000"/>
          <w:lang w:val="en-GB" w:eastAsia="ja-JP"/>
        </w:rPr>
      </w:pPr>
      <w:r w:rsidRPr="00E72BDE">
        <w:rPr>
          <w:rFonts w:eastAsia="MS Mincho"/>
          <w:b/>
          <w:bCs/>
          <w:noProof/>
          <w:color w:val="000000"/>
          <w:lang w:val="en-GB" w:eastAsia="ja-JP"/>
        </w:rPr>
        <w:drawing>
          <wp:inline distT="0" distB="0" distL="0" distR="0" wp14:anchorId="1079E614" wp14:editId="2F7C3A39">
            <wp:extent cx="5824855" cy="2865120"/>
            <wp:effectExtent l="0" t="0" r="4445" b="0"/>
            <wp:docPr id="16" name="図 1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ダイアグラム&#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5824855" cy="2865120"/>
                    </a:xfrm>
                    <a:prstGeom prst="rect">
                      <a:avLst/>
                    </a:prstGeom>
                  </pic:spPr>
                </pic:pic>
              </a:graphicData>
            </a:graphic>
          </wp:inline>
        </w:drawing>
      </w:r>
    </w:p>
    <w:p w14:paraId="08B4AA5F"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r w:rsidRPr="00E72BDE">
        <w:rPr>
          <w:rFonts w:eastAsia="MS Mincho"/>
          <w:b/>
          <w:bCs/>
          <w:color w:val="000000"/>
          <w:lang w:val="en-GB" w:eastAsia="ja-JP"/>
        </w:rPr>
        <w:t>FIGURE 7.3 Radio resource management by predicting shadowing area</w:t>
      </w:r>
    </w:p>
    <w:p w14:paraId="15F8AC72" w14:textId="77777777" w:rsidR="002C597D" w:rsidRPr="00E72BDE" w:rsidRDefault="002C597D" w:rsidP="002C597D">
      <w:pPr>
        <w:tabs>
          <w:tab w:val="left" w:pos="1134"/>
          <w:tab w:val="left" w:pos="1871"/>
          <w:tab w:val="left" w:pos="2268"/>
        </w:tabs>
        <w:overflowPunct w:val="0"/>
        <w:autoSpaceDE w:val="0"/>
        <w:autoSpaceDN w:val="0"/>
        <w:adjustRightInd w:val="0"/>
        <w:spacing w:before="120"/>
        <w:jc w:val="both"/>
        <w:textAlignment w:val="baseline"/>
        <w:rPr>
          <w:rFonts w:eastAsia="MS Mincho"/>
          <w:bCs/>
          <w:color w:val="000000"/>
          <w:lang w:val="en-GB" w:eastAsia="ja-JP"/>
        </w:rPr>
      </w:pPr>
    </w:p>
    <w:p w14:paraId="7FFC5226" w14:textId="77777777" w:rsidR="002C597D" w:rsidRPr="00E72BDE" w:rsidRDefault="002C597D" w:rsidP="002C597D">
      <w:pPr>
        <w:tabs>
          <w:tab w:val="left" w:pos="1134"/>
          <w:tab w:val="left" w:pos="1871"/>
          <w:tab w:val="left" w:pos="2268"/>
        </w:tabs>
        <w:overflowPunct w:val="0"/>
        <w:autoSpaceDE w:val="0"/>
        <w:autoSpaceDN w:val="0"/>
        <w:adjustRightInd w:val="0"/>
        <w:spacing w:before="120"/>
        <w:ind w:firstLineChars="50" w:firstLine="120"/>
        <w:jc w:val="both"/>
        <w:textAlignment w:val="baseline"/>
        <w:rPr>
          <w:rFonts w:eastAsia="MS Mincho"/>
          <w:bCs/>
          <w:color w:val="000000"/>
          <w:lang w:val="en-GB" w:eastAsia="ja-JP"/>
        </w:rPr>
      </w:pPr>
      <w:r w:rsidRPr="00E72BDE">
        <w:rPr>
          <w:rFonts w:eastAsia="MS Mincho"/>
          <w:bCs/>
          <w:color w:val="000000"/>
          <w:lang w:val="en-GB" w:eastAsia="ja-JP"/>
        </w:rPr>
        <w:t xml:space="preserve">The effectiveness of the method to improve communication quality by predicting the shadowing region was verified by experiments. Figure 7.4 shows the test installation. Assuming that a test vehicle approaches the RSU (coordinates = 0) from 100m and a truck with 3m height is parked at 50m, the position of the truck is detected from the </w:t>
      </w:r>
      <w:proofErr w:type="gramStart"/>
      <w:r w:rsidRPr="00E72BDE">
        <w:rPr>
          <w:rFonts w:eastAsia="MS Mincho"/>
          <w:bCs/>
          <w:color w:val="000000"/>
          <w:lang w:val="en-GB" w:eastAsia="ja-JP"/>
        </w:rPr>
        <w:t>RSU</w:t>
      </w:r>
      <w:proofErr w:type="gramEnd"/>
      <w:r w:rsidRPr="00E72BDE">
        <w:rPr>
          <w:rFonts w:eastAsia="MS Mincho"/>
          <w:bCs/>
          <w:color w:val="000000"/>
          <w:lang w:val="en-GB" w:eastAsia="ja-JP"/>
        </w:rPr>
        <w:t xml:space="preserve"> and the shielded area was predicted. In this verification, millimetre wave radar was used for positioning the truck from the RSU. Since millimetre wave communication performance is extremely low in the shadowing area, in order to keep connectivity, a microwave-based link as a macro-cell should be connected in advance. In this verification, 2.4</w:t>
      </w:r>
      <w:r w:rsidRPr="00E72BDE">
        <w:rPr>
          <w:rFonts w:eastAsia="MS Mincho" w:hint="eastAsia"/>
          <w:bCs/>
          <w:color w:val="000000"/>
          <w:lang w:val="en-GB" w:eastAsia="ja-JP"/>
        </w:rPr>
        <w:t xml:space="preserve"> </w:t>
      </w:r>
      <w:r w:rsidRPr="00E72BDE">
        <w:rPr>
          <w:rFonts w:eastAsia="MS Mincho"/>
          <w:bCs/>
          <w:color w:val="000000"/>
          <w:lang w:val="en-GB" w:eastAsia="ja-JP"/>
        </w:rPr>
        <w:t xml:space="preserve">GHz wireless LAN, IEEE802.11n was employed as the macro-cell. Figure 7.5 compares the result of forcibly switching to IEEE802.11n in the predicted shadowing area with the result of switching based on the millimetre wave received field strength indication (RSSI). Forcibly switching to IEEE802.11n in areas where shadowing was expected reduces throughput, </w:t>
      </w:r>
      <w:proofErr w:type="gramStart"/>
      <w:r w:rsidRPr="00E72BDE">
        <w:rPr>
          <w:rFonts w:eastAsia="MS Mincho"/>
          <w:bCs/>
          <w:color w:val="000000"/>
          <w:lang w:val="en-GB" w:eastAsia="ja-JP"/>
        </w:rPr>
        <w:t>however</w:t>
      </w:r>
      <w:proofErr w:type="gramEnd"/>
      <w:r w:rsidRPr="00E72BDE">
        <w:rPr>
          <w:rFonts w:eastAsia="MS Mincho"/>
          <w:bCs/>
          <w:color w:val="000000"/>
          <w:lang w:val="en-GB" w:eastAsia="ja-JP"/>
        </w:rPr>
        <w:t xml:space="preserve"> suppresses blocking periods, which interrupts communication when switching. In the case of switching by millimetre wave RSSI, frequent switching between millimetre wave and microwave will cause blocking that interrupts communication. It means </w:t>
      </w:r>
      <w:r w:rsidRPr="00E72BDE">
        <w:rPr>
          <w:rFonts w:eastAsia="MS Mincho"/>
          <w:bCs/>
          <w:color w:val="000000"/>
          <w:lang w:val="en-GB" w:eastAsia="ja-JP"/>
        </w:rPr>
        <w:lastRenderedPageBreak/>
        <w:t>that forcibly switching by using prediction of millimetre wave shadowing area can be improved link reliability.</w:t>
      </w:r>
      <w:r w:rsidRPr="00E72BDE">
        <w:rPr>
          <w:rFonts w:eastAsia="MS Mincho"/>
          <w:bCs/>
          <w:color w:val="000000"/>
          <w:lang w:val="en-GB" w:eastAsia="ja-JP"/>
        </w:rPr>
        <w:t xml:space="preserve">　</w:t>
      </w:r>
      <w:r w:rsidRPr="00E72BDE">
        <w:rPr>
          <w:lang w:val="en-GB"/>
        </w:rPr>
        <w:t xml:space="preserve"> </w:t>
      </w:r>
    </w:p>
    <w:p w14:paraId="0DE8799D"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p>
    <w:p w14:paraId="2A8E2E9D"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p>
    <w:p w14:paraId="2B9F07D1"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0"/>
        <w:jc w:val="center"/>
        <w:textAlignment w:val="baseline"/>
        <w:rPr>
          <w:rFonts w:eastAsia="MS Mincho"/>
          <w:b/>
          <w:bCs/>
          <w:color w:val="000000"/>
          <w:lang w:val="en-GB" w:eastAsia="ja-JP"/>
        </w:rPr>
      </w:pPr>
      <w:r w:rsidRPr="00E72BDE">
        <w:rPr>
          <w:noProof/>
          <w:lang w:val="en-GB" w:eastAsia="ja-JP"/>
        </w:rPr>
        <w:drawing>
          <wp:inline distT="0" distB="0" distL="0" distR="0" wp14:anchorId="4BD275F2" wp14:editId="6403AB90">
            <wp:extent cx="5426077" cy="4731026"/>
            <wp:effectExtent l="0" t="0" r="3175" b="0"/>
            <wp:docPr id="8256" name="図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0424" cy="4734816"/>
                    </a:xfrm>
                    <a:prstGeom prst="rect">
                      <a:avLst/>
                    </a:prstGeom>
                    <a:noFill/>
                    <a:ln>
                      <a:noFill/>
                    </a:ln>
                  </pic:spPr>
                </pic:pic>
              </a:graphicData>
            </a:graphic>
          </wp:inline>
        </w:drawing>
      </w:r>
    </w:p>
    <w:p w14:paraId="0EFB9B0B"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r w:rsidRPr="00E72BDE">
        <w:rPr>
          <w:rFonts w:eastAsia="MS Mincho"/>
          <w:b/>
          <w:bCs/>
          <w:color w:val="000000"/>
          <w:lang w:val="en-GB" w:eastAsia="ja-JP"/>
        </w:rPr>
        <w:t>FIGURE 7.4 Verification setup of radio resource management by predicting shadowing area</w:t>
      </w:r>
    </w:p>
    <w:p w14:paraId="6577BEB9"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p>
    <w:p w14:paraId="3DDCB538"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0"/>
        <w:jc w:val="center"/>
        <w:textAlignment w:val="baseline"/>
        <w:rPr>
          <w:rFonts w:eastAsia="MS Mincho"/>
          <w:b/>
          <w:bCs/>
          <w:color w:val="000000"/>
          <w:lang w:val="en-GB" w:eastAsia="ja-JP"/>
        </w:rPr>
      </w:pPr>
      <w:r w:rsidRPr="00E72BDE">
        <w:rPr>
          <w:noProof/>
          <w:lang w:val="en-GB" w:eastAsia="ja-JP"/>
        </w:rPr>
        <w:lastRenderedPageBreak/>
        <w:drawing>
          <wp:inline distT="0" distB="0" distL="0" distR="0" wp14:anchorId="7BD9ADAB" wp14:editId="68E86AB6">
            <wp:extent cx="4911130" cy="3718311"/>
            <wp:effectExtent l="0" t="0" r="0" b="0"/>
            <wp:docPr id="8257" name="図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4959" cy="3721210"/>
                    </a:xfrm>
                    <a:prstGeom prst="rect">
                      <a:avLst/>
                    </a:prstGeom>
                    <a:noFill/>
                    <a:ln>
                      <a:noFill/>
                    </a:ln>
                  </pic:spPr>
                </pic:pic>
              </a:graphicData>
            </a:graphic>
          </wp:inline>
        </w:drawing>
      </w:r>
    </w:p>
    <w:p w14:paraId="57210267"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r w:rsidRPr="00E72BDE">
        <w:rPr>
          <w:rFonts w:eastAsia="MS Mincho"/>
          <w:b/>
          <w:bCs/>
          <w:color w:val="000000"/>
          <w:lang w:val="en-GB" w:eastAsia="ja-JP"/>
        </w:rPr>
        <w:t>(a) Throughput performance with shadowing prediction</w:t>
      </w:r>
    </w:p>
    <w:p w14:paraId="28661A30"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p>
    <w:p w14:paraId="70076512"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0"/>
        <w:jc w:val="center"/>
        <w:textAlignment w:val="baseline"/>
        <w:rPr>
          <w:rFonts w:eastAsia="MS Mincho"/>
          <w:b/>
          <w:bCs/>
          <w:color w:val="000000"/>
          <w:lang w:val="en-GB" w:eastAsia="ja-JP"/>
        </w:rPr>
      </w:pPr>
      <w:r w:rsidRPr="00E72BDE">
        <w:rPr>
          <w:noProof/>
          <w:lang w:val="en-GB" w:eastAsia="ja-JP"/>
        </w:rPr>
        <w:drawing>
          <wp:inline distT="0" distB="0" distL="0" distR="0" wp14:anchorId="3752B00B" wp14:editId="7A386D5C">
            <wp:extent cx="5118292" cy="4028943"/>
            <wp:effectExtent l="0" t="0" r="0" b="0"/>
            <wp:docPr id="8258" name="図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3533" cy="4040940"/>
                    </a:xfrm>
                    <a:prstGeom prst="rect">
                      <a:avLst/>
                    </a:prstGeom>
                    <a:noFill/>
                    <a:ln>
                      <a:noFill/>
                    </a:ln>
                  </pic:spPr>
                </pic:pic>
              </a:graphicData>
            </a:graphic>
          </wp:inline>
        </w:drawing>
      </w:r>
    </w:p>
    <w:p w14:paraId="66BD683C"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r w:rsidRPr="00E72BDE">
        <w:rPr>
          <w:rFonts w:eastAsia="MS Mincho"/>
          <w:b/>
          <w:bCs/>
          <w:color w:val="000000"/>
          <w:lang w:val="en-GB" w:eastAsia="ja-JP"/>
        </w:rPr>
        <w:t>(b) Throughput performance without shadowing prediction</w:t>
      </w:r>
    </w:p>
    <w:p w14:paraId="0B54BA04"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r w:rsidRPr="00E72BDE">
        <w:rPr>
          <w:rFonts w:eastAsia="MS Mincho"/>
          <w:b/>
          <w:bCs/>
          <w:color w:val="000000"/>
          <w:lang w:val="en-GB" w:eastAsia="ja-JP"/>
        </w:rPr>
        <w:t>FIGURE 7.5 Test results of radio resource management by predicting shadowing area</w:t>
      </w:r>
    </w:p>
    <w:p w14:paraId="4C70D45D" w14:textId="77777777" w:rsidR="002C597D" w:rsidRPr="00E72BDE" w:rsidRDefault="002C597D" w:rsidP="002C597D">
      <w:pPr>
        <w:ind w:firstLineChars="50" w:firstLine="120"/>
        <w:jc w:val="both"/>
        <w:rPr>
          <w:rFonts w:eastAsiaTheme="minorEastAsia"/>
          <w:lang w:val="en-GB" w:eastAsia="ja-JP"/>
        </w:rPr>
      </w:pPr>
      <w:r w:rsidRPr="00E72BDE">
        <w:rPr>
          <w:rFonts w:eastAsiaTheme="minorEastAsia"/>
          <w:lang w:val="en-GB" w:eastAsia="ja-JP"/>
        </w:rPr>
        <w:lastRenderedPageBreak/>
        <w:t xml:space="preserve">In addition to millimetre-wave radar, prediction accuracy can be improved by using multiple sensor data, such as cameras and </w:t>
      </w:r>
      <w:proofErr w:type="spellStart"/>
      <w:r w:rsidRPr="00E72BDE">
        <w:rPr>
          <w:rFonts w:eastAsiaTheme="minorEastAsia"/>
          <w:lang w:val="en-GB" w:eastAsia="ja-JP"/>
        </w:rPr>
        <w:t>LiDARs</w:t>
      </w:r>
      <w:proofErr w:type="spellEnd"/>
      <w:r w:rsidRPr="00E72BDE">
        <w:rPr>
          <w:rFonts w:eastAsiaTheme="minorEastAsia"/>
          <w:lang w:val="en-GB" w:eastAsia="ja-JP"/>
        </w:rPr>
        <w:t>, to predict shadowing areas and vehicle driving paths. As an example of location prediction using path information and the Kalman filter, a</w:t>
      </w:r>
      <w:r w:rsidRPr="00E72BDE">
        <w:rPr>
          <w:rFonts w:eastAsia="MS Mincho"/>
          <w:lang w:val="en-GB" w:eastAsia="ja-JP"/>
        </w:rPr>
        <w:t>n</w:t>
      </w:r>
      <w:r w:rsidRPr="00E72BDE">
        <w:rPr>
          <w:rFonts w:eastAsiaTheme="minorEastAsia"/>
          <w:lang w:val="en-GB" w:eastAsia="ja-JP"/>
        </w:rPr>
        <w:t xml:space="preserve"> experimental result has been shown in 7.6, where data from 3-millimetre wave radars were integrated to improve the driving path prediction accuracy </w:t>
      </w:r>
      <w:r w:rsidRPr="00E72BDE">
        <w:rPr>
          <w:rFonts w:eastAsiaTheme="minorEastAsia"/>
          <w:vertAlign w:val="superscript"/>
          <w:lang w:val="en-GB" w:eastAsia="ja-JP"/>
        </w:rPr>
        <w:t>[17]</w:t>
      </w:r>
      <w:r w:rsidRPr="00E72BDE">
        <w:rPr>
          <w:rFonts w:eastAsiaTheme="minorEastAsia"/>
          <w:lang w:val="en-GB" w:eastAsia="ja-JP"/>
        </w:rPr>
        <w:t>. The path information includes possible locations on the road and vector information. The state equation incorporates the prediction of the current position and correction by the path information using the equation of motion based on the previously detected position and speed. The Kalman filter interpolates route information uninterrupted, even if there are areas that cannot be detected by the radar due to obstacles, thereby enabling position estimation within the shadowing area.</w:t>
      </w:r>
    </w:p>
    <w:p w14:paraId="1F8FD45F" w14:textId="77777777" w:rsidR="002C597D" w:rsidRPr="00E72BDE" w:rsidRDefault="002C597D" w:rsidP="002C597D">
      <w:pPr>
        <w:ind w:firstLineChars="50" w:firstLine="120"/>
        <w:jc w:val="both"/>
        <w:rPr>
          <w:rFonts w:eastAsia="MS Mincho"/>
          <w:lang w:val="en-GB" w:eastAsia="ja-JP"/>
        </w:rPr>
      </w:pPr>
    </w:p>
    <w:p w14:paraId="6BD2F928" w14:textId="77777777" w:rsidR="002C597D" w:rsidRPr="00E72BDE" w:rsidRDefault="002C597D" w:rsidP="002C597D">
      <w:pPr>
        <w:jc w:val="center"/>
        <w:rPr>
          <w:rFonts w:eastAsiaTheme="minorEastAsia"/>
          <w:lang w:val="en-GB" w:eastAsia="ja-JP"/>
        </w:rPr>
      </w:pPr>
      <w:r w:rsidRPr="00E72BDE">
        <w:rPr>
          <w:rFonts w:eastAsiaTheme="minorEastAsia"/>
          <w:noProof/>
          <w:lang w:val="en-GB" w:eastAsia="ja-JP"/>
        </w:rPr>
        <w:drawing>
          <wp:inline distT="0" distB="0" distL="0" distR="0" wp14:anchorId="61C85AAE" wp14:editId="5E4BB394">
            <wp:extent cx="4090670" cy="1938655"/>
            <wp:effectExtent l="0" t="0" r="5080" b="4445"/>
            <wp:docPr id="33" name="図 33" descr="図形, 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図形, タイムライン&#10;&#10;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0670" cy="1938655"/>
                    </a:xfrm>
                    <a:prstGeom prst="rect">
                      <a:avLst/>
                    </a:prstGeom>
                    <a:noFill/>
                    <a:ln>
                      <a:noFill/>
                    </a:ln>
                  </pic:spPr>
                </pic:pic>
              </a:graphicData>
            </a:graphic>
          </wp:inline>
        </w:drawing>
      </w:r>
    </w:p>
    <w:p w14:paraId="17AD59A9" w14:textId="77777777" w:rsidR="002C597D" w:rsidRPr="00E72BDE" w:rsidRDefault="002C597D" w:rsidP="002C597D">
      <w:pPr>
        <w:pStyle w:val="ListParagraph"/>
        <w:numPr>
          <w:ilvl w:val="0"/>
          <w:numId w:val="33"/>
        </w:num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rFonts w:eastAsia="MS Mincho"/>
          <w:b/>
          <w:bCs/>
          <w:color w:val="000000"/>
          <w:lang w:val="en-GB" w:eastAsia="ja-JP"/>
        </w:rPr>
        <w:t>Multiple Sensor (Radars) setup</w:t>
      </w:r>
    </w:p>
    <w:p w14:paraId="7055720C" w14:textId="77777777" w:rsidR="002C597D" w:rsidRPr="00E72BDE" w:rsidRDefault="002C597D" w:rsidP="002C597D">
      <w:pPr>
        <w:pStyle w:val="ListParagraph"/>
        <w:tabs>
          <w:tab w:val="left" w:pos="1134"/>
          <w:tab w:val="left" w:pos="2268"/>
        </w:tabs>
        <w:overflowPunct w:val="0"/>
        <w:autoSpaceDE w:val="0"/>
        <w:autoSpaceDN w:val="0"/>
        <w:adjustRightInd w:val="0"/>
        <w:spacing w:before="120"/>
        <w:ind w:leftChars="-269" w:left="-3" w:hangingChars="267" w:hanging="643"/>
        <w:jc w:val="center"/>
        <w:textAlignment w:val="baseline"/>
        <w:rPr>
          <w:rFonts w:eastAsia="MS Mincho"/>
          <w:b/>
          <w:bCs/>
          <w:color w:val="000000"/>
          <w:lang w:val="en-GB" w:eastAsia="ja-JP"/>
        </w:rPr>
      </w:pPr>
    </w:p>
    <w:p w14:paraId="19052568" w14:textId="77777777" w:rsidR="002C597D" w:rsidRPr="00E72BDE" w:rsidRDefault="002C597D" w:rsidP="002C597D">
      <w:pPr>
        <w:pStyle w:val="ListParagraph"/>
        <w:tabs>
          <w:tab w:val="left" w:pos="1134"/>
          <w:tab w:val="left" w:pos="2268"/>
        </w:tabs>
        <w:overflowPunct w:val="0"/>
        <w:autoSpaceDE w:val="0"/>
        <w:autoSpaceDN w:val="0"/>
        <w:adjustRightInd w:val="0"/>
        <w:spacing w:before="120"/>
        <w:ind w:leftChars="-269" w:left="-5" w:hangingChars="267" w:hanging="641"/>
        <w:jc w:val="center"/>
        <w:textAlignment w:val="baseline"/>
        <w:rPr>
          <w:rFonts w:eastAsia="MS Mincho"/>
          <w:b/>
          <w:bCs/>
          <w:color w:val="000000"/>
          <w:lang w:val="en-GB" w:eastAsia="ja-JP"/>
        </w:rPr>
      </w:pPr>
      <w:r w:rsidRPr="00E72BDE">
        <w:rPr>
          <w:noProof/>
          <w:lang w:val="en-GB"/>
        </w:rPr>
        <w:drawing>
          <wp:inline distT="0" distB="0" distL="0" distR="0" wp14:anchorId="193523F6" wp14:editId="26B15D20">
            <wp:extent cx="5200938" cy="211258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1734" cy="2116965"/>
                    </a:xfrm>
                    <a:prstGeom prst="rect">
                      <a:avLst/>
                    </a:prstGeom>
                    <a:noFill/>
                    <a:ln>
                      <a:noFill/>
                    </a:ln>
                  </pic:spPr>
                </pic:pic>
              </a:graphicData>
            </a:graphic>
          </wp:inline>
        </w:drawing>
      </w:r>
    </w:p>
    <w:p w14:paraId="7578C1BF" w14:textId="77777777" w:rsidR="002C597D" w:rsidRPr="00E72BDE" w:rsidRDefault="002C597D" w:rsidP="002C597D">
      <w:pPr>
        <w:pStyle w:val="ListParagraph"/>
        <w:numPr>
          <w:ilvl w:val="0"/>
          <w:numId w:val="33"/>
        </w:numPr>
        <w:tabs>
          <w:tab w:val="left" w:pos="1134"/>
          <w:tab w:val="left" w:pos="1871"/>
          <w:tab w:val="left" w:pos="2268"/>
        </w:tabs>
        <w:overflowPunct w:val="0"/>
        <w:autoSpaceDE w:val="0"/>
        <w:autoSpaceDN w:val="0"/>
        <w:adjustRightInd w:val="0"/>
        <w:spacing w:before="120"/>
        <w:jc w:val="center"/>
        <w:textAlignment w:val="baseline"/>
        <w:rPr>
          <w:rFonts w:eastAsia="MS Mincho"/>
          <w:b/>
          <w:bCs/>
          <w:color w:val="000000"/>
          <w:lang w:val="en-GB" w:eastAsia="ja-JP"/>
        </w:rPr>
      </w:pPr>
      <w:r w:rsidRPr="00E72BDE">
        <w:rPr>
          <w:rFonts w:eastAsia="MS Mincho"/>
          <w:b/>
          <w:bCs/>
          <w:color w:val="000000"/>
          <w:lang w:val="en-GB" w:eastAsia="ja-JP"/>
        </w:rPr>
        <w:t>Test result of driving path prediction</w:t>
      </w:r>
    </w:p>
    <w:p w14:paraId="34ADBAB8"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both"/>
        <w:textAlignment w:val="baseline"/>
        <w:rPr>
          <w:rFonts w:eastAsia="MS Mincho"/>
          <w:b/>
          <w:bCs/>
          <w:color w:val="000000"/>
          <w:lang w:val="en-GB" w:eastAsia="ja-JP"/>
        </w:rPr>
      </w:pPr>
      <w:r w:rsidRPr="00E72BDE">
        <w:rPr>
          <w:rFonts w:eastAsia="MS Mincho"/>
          <w:b/>
          <w:bCs/>
          <w:color w:val="000000"/>
          <w:lang w:val="en-GB" w:eastAsia="ja-JP"/>
        </w:rPr>
        <w:t xml:space="preserve"> FIGURE 7.6 Position estimation test in a millimetre-wave shadowing area</w:t>
      </w:r>
    </w:p>
    <w:p w14:paraId="07E0E1EA" w14:textId="77777777" w:rsidR="002C597D" w:rsidRPr="00E72BDE" w:rsidRDefault="002C597D" w:rsidP="002C597D">
      <w:pPr>
        <w:ind w:firstLineChars="50" w:firstLine="120"/>
        <w:jc w:val="both"/>
        <w:rPr>
          <w:rFonts w:eastAsia="MS Mincho"/>
          <w:lang w:val="en-GB" w:eastAsia="ja-JP"/>
        </w:rPr>
      </w:pPr>
    </w:p>
    <w:p w14:paraId="594782E8" w14:textId="77777777" w:rsidR="002C597D" w:rsidRPr="00E72BDE" w:rsidRDefault="002C597D" w:rsidP="002C597D">
      <w:pPr>
        <w:ind w:firstLineChars="50" w:firstLine="120"/>
        <w:jc w:val="both"/>
        <w:rPr>
          <w:rFonts w:eastAsia="MS Mincho"/>
          <w:lang w:val="en-GB" w:eastAsia="ja-JP"/>
        </w:rPr>
      </w:pPr>
    </w:p>
    <w:p w14:paraId="2775E143" w14:textId="77777777" w:rsidR="002C597D" w:rsidRPr="00E72BDE" w:rsidRDefault="002C597D" w:rsidP="002C597D">
      <w:pPr>
        <w:pStyle w:val="ListParagraph"/>
        <w:numPr>
          <w:ilvl w:val="2"/>
          <w:numId w:val="29"/>
        </w:numPr>
        <w:tabs>
          <w:tab w:val="left" w:pos="1134"/>
          <w:tab w:val="left" w:pos="1871"/>
          <w:tab w:val="left" w:pos="2268"/>
        </w:tabs>
        <w:overflowPunct w:val="0"/>
        <w:autoSpaceDE w:val="0"/>
        <w:autoSpaceDN w:val="0"/>
        <w:adjustRightInd w:val="0"/>
        <w:spacing w:before="120"/>
        <w:jc w:val="both"/>
        <w:textAlignment w:val="baseline"/>
        <w:rPr>
          <w:b/>
          <w:bCs/>
          <w:lang w:val="en-GB" w:eastAsia="ja-JP"/>
        </w:rPr>
      </w:pPr>
      <w:r w:rsidRPr="00E72BDE">
        <w:rPr>
          <w:b/>
          <w:bCs/>
          <w:lang w:val="en-GB" w:eastAsia="ja-JP"/>
        </w:rPr>
        <w:t xml:space="preserve">Adaptive sensor data sharing utilizing relative positioning data  </w:t>
      </w:r>
    </w:p>
    <w:p w14:paraId="704F9F27" w14:textId="77777777" w:rsidR="002C597D" w:rsidRPr="00E72BDE" w:rsidRDefault="002C597D" w:rsidP="002C597D">
      <w:pPr>
        <w:spacing w:before="120"/>
        <w:ind w:firstLineChars="50" w:firstLine="120"/>
        <w:jc w:val="both"/>
        <w:rPr>
          <w:rFonts w:eastAsiaTheme="minorEastAsia"/>
          <w:lang w:val="en-GB" w:eastAsia="ja-JP"/>
        </w:rPr>
      </w:pPr>
      <w:r w:rsidRPr="00E72BDE">
        <w:rPr>
          <w:rFonts w:eastAsiaTheme="minorEastAsia"/>
          <w:lang w:val="en-GB" w:eastAsia="ja-JP"/>
        </w:rPr>
        <w:t>As shown in 7.5.2, the fusion of radar and communication is effective for improving communication performance. Further improvements in communication reliability and low latency will allow appropriate sensor data to be delivered to the only appropriate vehicle with low latency, by utilizing relative location. It is expected to be a function that supports the automatic driving L4 around 2025 to 2030. FIGURE 7.7 is (a) sharing of blind spot images between infrastructure and vehicles, and (b) is the case between vehicles.</w:t>
      </w:r>
    </w:p>
    <w:p w14:paraId="399996E0" w14:textId="77777777" w:rsidR="002C597D" w:rsidRPr="00E72BDE" w:rsidRDefault="002C597D" w:rsidP="002C597D">
      <w:pPr>
        <w:ind w:firstLineChars="50" w:firstLine="120"/>
        <w:jc w:val="center"/>
        <w:rPr>
          <w:rFonts w:eastAsiaTheme="minorEastAsia"/>
          <w:lang w:val="en-GB" w:eastAsia="ja-JP"/>
        </w:rPr>
      </w:pPr>
      <w:r w:rsidRPr="00E72BDE">
        <w:rPr>
          <w:rFonts w:eastAsiaTheme="minorEastAsia"/>
          <w:noProof/>
          <w:lang w:val="en-GB" w:eastAsia="ja-JP"/>
        </w:rPr>
        <w:lastRenderedPageBreak/>
        <w:drawing>
          <wp:inline distT="0" distB="0" distL="0" distR="0" wp14:anchorId="7D4E5669" wp14:editId="4155E66B">
            <wp:extent cx="5684292" cy="2349813"/>
            <wp:effectExtent l="0" t="0" r="0" b="0"/>
            <wp:docPr id="13"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ダイアグラム&#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5699398" cy="2356058"/>
                    </a:xfrm>
                    <a:prstGeom prst="rect">
                      <a:avLst/>
                    </a:prstGeom>
                  </pic:spPr>
                </pic:pic>
              </a:graphicData>
            </a:graphic>
          </wp:inline>
        </w:drawing>
      </w:r>
    </w:p>
    <w:p w14:paraId="543DE504" w14:textId="77777777" w:rsidR="002C597D" w:rsidRPr="00E72BDE" w:rsidRDefault="002C597D" w:rsidP="002C597D">
      <w:pPr>
        <w:jc w:val="center"/>
        <w:rPr>
          <w:rFonts w:eastAsiaTheme="minorEastAsia"/>
          <w:lang w:val="en-GB" w:eastAsia="ja-JP"/>
        </w:rPr>
      </w:pPr>
    </w:p>
    <w:p w14:paraId="6587BBE5" w14:textId="77777777" w:rsidR="002C597D" w:rsidRPr="00E72BDE" w:rsidRDefault="002C597D" w:rsidP="002C597D">
      <w:pPr>
        <w:pStyle w:val="ListParagraph"/>
        <w:numPr>
          <w:ilvl w:val="0"/>
          <w:numId w:val="30"/>
        </w:numPr>
        <w:jc w:val="center"/>
        <w:rPr>
          <w:rFonts w:eastAsiaTheme="minorEastAsia"/>
          <w:b/>
          <w:lang w:val="en-GB" w:eastAsia="ja-JP"/>
        </w:rPr>
      </w:pPr>
      <w:r w:rsidRPr="00E72BDE">
        <w:rPr>
          <w:rFonts w:eastAsiaTheme="minorEastAsia"/>
          <w:b/>
          <w:lang w:val="en-GB" w:eastAsia="ja-JP"/>
        </w:rPr>
        <w:t>V-I case</w:t>
      </w:r>
    </w:p>
    <w:p w14:paraId="23401A2F" w14:textId="77777777" w:rsidR="002C597D" w:rsidRPr="00E72BDE" w:rsidRDefault="002C597D" w:rsidP="002C597D">
      <w:pPr>
        <w:pStyle w:val="ListParagraph"/>
        <w:ind w:left="360"/>
        <w:jc w:val="center"/>
        <w:rPr>
          <w:rFonts w:eastAsiaTheme="minorEastAsia"/>
          <w:lang w:val="en-GB" w:eastAsia="ja-JP"/>
        </w:rPr>
      </w:pPr>
      <w:r w:rsidRPr="00E72BDE">
        <w:rPr>
          <w:rFonts w:eastAsiaTheme="minorEastAsia"/>
          <w:noProof/>
          <w:lang w:val="en-GB" w:eastAsia="ja-JP"/>
        </w:rPr>
        <w:drawing>
          <wp:inline distT="0" distB="0" distL="0" distR="0" wp14:anchorId="17755C7B" wp14:editId="0C69AAB6">
            <wp:extent cx="5486400" cy="1577796"/>
            <wp:effectExtent l="0" t="0" r="0" b="3810"/>
            <wp:docPr id="14" name="図 14"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ダイアグラム&#10;&#10;低い精度で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5535621" cy="1591951"/>
                    </a:xfrm>
                    <a:prstGeom prst="rect">
                      <a:avLst/>
                    </a:prstGeom>
                  </pic:spPr>
                </pic:pic>
              </a:graphicData>
            </a:graphic>
          </wp:inline>
        </w:drawing>
      </w:r>
    </w:p>
    <w:p w14:paraId="6D393651" w14:textId="77777777" w:rsidR="002C597D" w:rsidRPr="00E72BDE" w:rsidRDefault="002C597D" w:rsidP="002C597D">
      <w:pPr>
        <w:jc w:val="center"/>
        <w:rPr>
          <w:rFonts w:eastAsiaTheme="minorEastAsia"/>
          <w:lang w:val="en-GB" w:eastAsia="ja-JP"/>
        </w:rPr>
      </w:pPr>
    </w:p>
    <w:p w14:paraId="46E5B8F0" w14:textId="77777777" w:rsidR="002C597D" w:rsidRPr="00E72BDE" w:rsidRDefault="002C597D" w:rsidP="002C597D">
      <w:pPr>
        <w:pStyle w:val="ListParagraph"/>
        <w:numPr>
          <w:ilvl w:val="0"/>
          <w:numId w:val="30"/>
        </w:numPr>
        <w:jc w:val="center"/>
        <w:rPr>
          <w:rFonts w:eastAsiaTheme="minorEastAsia"/>
          <w:b/>
          <w:lang w:val="en-GB" w:eastAsia="ja-JP"/>
        </w:rPr>
      </w:pPr>
      <w:r w:rsidRPr="00E72BDE">
        <w:rPr>
          <w:rFonts w:eastAsiaTheme="minorEastAsia"/>
          <w:b/>
          <w:lang w:val="en-GB" w:eastAsia="ja-JP"/>
        </w:rPr>
        <w:t>V-V case</w:t>
      </w:r>
    </w:p>
    <w:p w14:paraId="75F49E3C" w14:textId="77777777" w:rsidR="002C597D" w:rsidRPr="00E72BDE" w:rsidRDefault="002C597D" w:rsidP="002C597D">
      <w:pPr>
        <w:jc w:val="center"/>
        <w:rPr>
          <w:rFonts w:eastAsiaTheme="minorEastAsia"/>
          <w:lang w:val="en-GB" w:eastAsia="ja-JP"/>
        </w:rPr>
      </w:pPr>
    </w:p>
    <w:p w14:paraId="446755D6" w14:textId="77777777" w:rsidR="002C597D" w:rsidRPr="00E72BDE" w:rsidRDefault="002C597D" w:rsidP="002C597D">
      <w:pPr>
        <w:pStyle w:val="ListParagraph"/>
        <w:tabs>
          <w:tab w:val="left" w:pos="1134"/>
          <w:tab w:val="left" w:pos="1871"/>
          <w:tab w:val="left" w:pos="2268"/>
        </w:tabs>
        <w:overflowPunct w:val="0"/>
        <w:autoSpaceDE w:val="0"/>
        <w:autoSpaceDN w:val="0"/>
        <w:adjustRightInd w:val="0"/>
        <w:spacing w:before="120"/>
        <w:ind w:left="1418"/>
        <w:jc w:val="center"/>
        <w:textAlignment w:val="baseline"/>
        <w:rPr>
          <w:rFonts w:eastAsia="MS Mincho"/>
          <w:b/>
          <w:bCs/>
          <w:color w:val="000000"/>
          <w:lang w:val="en-GB" w:eastAsia="ja-JP"/>
        </w:rPr>
      </w:pPr>
      <w:r w:rsidRPr="00E72BDE">
        <w:rPr>
          <w:rFonts w:eastAsia="MS Mincho"/>
          <w:b/>
          <w:bCs/>
          <w:color w:val="000000"/>
          <w:lang w:val="en-GB" w:eastAsia="ja-JP"/>
        </w:rPr>
        <w:t>FIGURE 7.7 Fusion of radar and communication for sensor data sharing</w:t>
      </w:r>
    </w:p>
    <w:p w14:paraId="4B54DE44" w14:textId="77777777" w:rsidR="002C597D" w:rsidRPr="00E72BDE" w:rsidRDefault="002C597D" w:rsidP="002C597D">
      <w:pPr>
        <w:jc w:val="center"/>
        <w:rPr>
          <w:rFonts w:eastAsiaTheme="minorEastAsia"/>
          <w:b/>
          <w:lang w:val="en-GB" w:eastAsia="ja-JP"/>
        </w:rPr>
      </w:pPr>
    </w:p>
    <w:p w14:paraId="11DFA348" w14:textId="77777777" w:rsidR="002C597D" w:rsidRPr="00E72BDE" w:rsidRDefault="002C597D" w:rsidP="002C597D">
      <w:pPr>
        <w:jc w:val="center"/>
        <w:rPr>
          <w:b/>
          <w:lang w:val="en-GB"/>
        </w:rPr>
      </w:pPr>
    </w:p>
    <w:p w14:paraId="4B87CD0F" w14:textId="77777777" w:rsidR="002C597D" w:rsidRPr="00E72BDE" w:rsidRDefault="002C597D" w:rsidP="002C597D">
      <w:pPr>
        <w:spacing w:after="120"/>
        <w:jc w:val="both"/>
        <w:rPr>
          <w:b/>
          <w:lang w:val="en-GB"/>
        </w:rPr>
      </w:pPr>
    </w:p>
    <w:p w14:paraId="33D2925D" w14:textId="77777777" w:rsidR="002C597D" w:rsidRPr="00E72BDE" w:rsidRDefault="002C597D" w:rsidP="002C597D">
      <w:pPr>
        <w:pStyle w:val="ListParagraph"/>
        <w:keepNext/>
        <w:ind w:left="420"/>
        <w:jc w:val="both"/>
        <w:outlineLvl w:val="0"/>
        <w:rPr>
          <w:b/>
          <w:bCs/>
          <w:vanish/>
          <w:u w:val="single"/>
          <w:lang w:val="en-GB"/>
        </w:rPr>
      </w:pPr>
    </w:p>
    <w:p w14:paraId="3045D26D" w14:textId="77777777" w:rsidR="002C597D" w:rsidRPr="00E72BDE" w:rsidRDefault="002C597D" w:rsidP="002C597D">
      <w:pPr>
        <w:rPr>
          <w:lang w:val="en-GB"/>
        </w:rPr>
      </w:pPr>
      <w:r w:rsidRPr="00E72BDE">
        <w:rPr>
          <w:b/>
          <w:bCs/>
          <w:lang w:val="en-GB"/>
        </w:rPr>
        <w:tab/>
        <w:t>8. Results of Studies</w:t>
      </w:r>
    </w:p>
    <w:p w14:paraId="01A674DF" w14:textId="77777777" w:rsidR="002C597D" w:rsidRPr="00E72BDE" w:rsidRDefault="002C597D" w:rsidP="002C597D">
      <w:pPr>
        <w:spacing w:before="120"/>
        <w:ind w:firstLineChars="100" w:firstLine="240"/>
        <w:jc w:val="both"/>
      </w:pPr>
      <w:r w:rsidRPr="00E72BDE">
        <w:t>ITS applications deployed in the APT countries were categorized into electronic toll collection (ETC), vehicle information, communications, and automotive radar, etc. A survey of these applications and required radiocommunication technologies were studied and reported in APT/AWG/REP-18(Rev2).</w:t>
      </w:r>
    </w:p>
    <w:p w14:paraId="69DE373F" w14:textId="2269890C" w:rsidR="002C597D" w:rsidRPr="00E72BDE" w:rsidRDefault="002C597D" w:rsidP="002C597D">
      <w:pPr>
        <w:ind w:firstLineChars="100" w:firstLine="240"/>
        <w:jc w:val="both"/>
      </w:pPr>
      <w:r w:rsidRPr="00E72BDE">
        <w:t xml:space="preserve">International deployment of V2X based cooperative systems is widely considered for the realization </w:t>
      </w:r>
      <w:r w:rsidRPr="003139A9">
        <w:t xml:space="preserve">of ADAS and autonomous driving Level3/Level4. In addition to </w:t>
      </w:r>
      <w:proofErr w:type="spellStart"/>
      <w:proofErr w:type="gramStart"/>
      <w:r w:rsidRPr="003139A9">
        <w:t>Europe</w:t>
      </w:r>
      <w:r w:rsidR="003714D8" w:rsidRPr="003139A9">
        <w:t>,</w:t>
      </w:r>
      <w:r w:rsidRPr="003139A9">
        <w:t>North</w:t>
      </w:r>
      <w:proofErr w:type="spellEnd"/>
      <w:proofErr w:type="gramEnd"/>
      <w:r w:rsidRPr="003139A9">
        <w:t xml:space="preserve"> America, </w:t>
      </w:r>
      <w:r w:rsidR="003714D8" w:rsidRPr="003139A9">
        <w:t xml:space="preserve">and </w:t>
      </w:r>
      <w:r w:rsidRPr="003139A9">
        <w:t>several countries in Asia-Pacific region frequency band 5 855-5</w:t>
      </w:r>
      <w:r w:rsidRPr="003139A9">
        <w:rPr>
          <w:rFonts w:ascii="MS Mincho" w:eastAsia="MS Mincho" w:hAnsi="MS Mincho" w:hint="eastAsia"/>
          <w:lang w:eastAsia="ja-JP"/>
        </w:rPr>
        <w:t xml:space="preserve"> </w:t>
      </w:r>
      <w:r w:rsidRPr="003139A9">
        <w:t xml:space="preserve">925 MHz </w:t>
      </w:r>
      <w:r w:rsidR="00086662" w:rsidRPr="003139A9">
        <w:t>is</w:t>
      </w:r>
      <w:r w:rsidR="000C117A" w:rsidRPr="003139A9">
        <w:t xml:space="preserve"> </w:t>
      </w:r>
      <w:r w:rsidRPr="003139A9">
        <w:t>assigned for co</w:t>
      </w:r>
      <w:r w:rsidRPr="00E72BDE">
        <w:t xml:space="preserve">operative systems, and </w:t>
      </w:r>
      <w:r w:rsidR="0025319C">
        <w:rPr>
          <w:rFonts w:eastAsia="MS Mincho" w:hint="eastAsia"/>
          <w:lang w:eastAsia="ja-JP"/>
        </w:rPr>
        <w:t>i</w:t>
      </w:r>
      <w:r w:rsidR="0025319C">
        <w:rPr>
          <w:rFonts w:eastAsia="MS Mincho"/>
          <w:lang w:eastAsia="ja-JP"/>
        </w:rPr>
        <w:t xml:space="preserve">mplementation of </w:t>
      </w:r>
      <w:r w:rsidRPr="00E72BDE">
        <w:t xml:space="preserve">practical applications </w:t>
      </w:r>
      <w:r w:rsidR="002C5450">
        <w:t>is</w:t>
      </w:r>
      <w:r w:rsidRPr="00E72BDE">
        <w:t xml:space="preserve"> underway. On the other hand, as vehicle-mounted and roadside sensors become increasingly higher-resolution, expanding bandwidth will be needed in the future, the </w:t>
      </w:r>
      <w:proofErr w:type="spellStart"/>
      <w:r w:rsidRPr="00E72BDE">
        <w:t>millimetre</w:t>
      </w:r>
      <w:proofErr w:type="spellEnd"/>
      <w:r w:rsidRPr="00E72BDE">
        <w:t xml:space="preserve"> wave band is expected to be used as one of the broadband communications. This report studies a survey of existing </w:t>
      </w:r>
      <w:proofErr w:type="spellStart"/>
      <w:r w:rsidRPr="00E72BDE">
        <w:t>millimetre</w:t>
      </w:r>
      <w:proofErr w:type="spellEnd"/>
      <w:r w:rsidRPr="00E72BDE">
        <w:rPr>
          <w:rFonts w:ascii="MS Mincho" w:eastAsia="MS Mincho" w:hAnsi="MS Mincho" w:hint="eastAsia"/>
          <w:lang w:eastAsia="ja-JP"/>
        </w:rPr>
        <w:t xml:space="preserve"> </w:t>
      </w:r>
      <w:r w:rsidRPr="00E72BDE">
        <w:t>wave band standards defined in 3GPP and IEEE802.11, etc., as well as prior research and demonstration experiments in the APT countries that have applied these standards for future ITS applications.</w:t>
      </w:r>
    </w:p>
    <w:p w14:paraId="0CFA5A7C" w14:textId="77777777" w:rsidR="002C597D" w:rsidRPr="00E72BDE" w:rsidRDefault="002C597D" w:rsidP="002C597D">
      <w:pPr>
        <w:ind w:firstLineChars="100" w:firstLine="240"/>
        <w:jc w:val="both"/>
      </w:pPr>
      <w:r w:rsidRPr="00E72BDE">
        <w:t xml:space="preserve">Although there are no millimeter wave frequency bands for communications allocated for ITS dedicated applications, such as 5.9 GHz and 760 MHz bands, this report introduced some prior </w:t>
      </w:r>
      <w:r w:rsidRPr="00E72BDE">
        <w:lastRenderedPageBreak/>
        <w:t>research on the use of the 28 GHz band as 5G-NR and 60 GHz band as advanced wireless LAN is underway for ITS applications.</w:t>
      </w:r>
    </w:p>
    <w:p w14:paraId="7B6E09E1" w14:textId="77777777" w:rsidR="002C597D" w:rsidRPr="00E72BDE" w:rsidRDefault="002C597D" w:rsidP="002C597D">
      <w:pPr>
        <w:ind w:firstLineChars="100" w:firstLine="240"/>
        <w:jc w:val="both"/>
      </w:pPr>
      <w:r w:rsidRPr="00E72BDE">
        <w:t xml:space="preserve">Conventional </w:t>
      </w:r>
      <w:proofErr w:type="spellStart"/>
      <w:r w:rsidRPr="00E72BDE">
        <w:t>millimetre</w:t>
      </w:r>
      <w:proofErr w:type="spellEnd"/>
      <w:r w:rsidRPr="00E72BDE">
        <w:t xml:space="preserve"> wave radar operating in 76-81 GHz band has already been put into practical use for several years, this report additionally studied advanced sensing applications by using high-resolution capability of </w:t>
      </w:r>
      <w:proofErr w:type="spellStart"/>
      <w:r w:rsidRPr="00E72BDE">
        <w:t>millimetre</w:t>
      </w:r>
      <w:proofErr w:type="spellEnd"/>
      <w:r w:rsidRPr="00E72BDE">
        <w:t xml:space="preserve"> wave bands, such as in-vehicle passenger sensor. Furthermore, research on new applications that integrate sensors and communications has begun, </w:t>
      </w:r>
    </w:p>
    <w:p w14:paraId="477DFDD7" w14:textId="77777777" w:rsidR="002C597D" w:rsidRPr="00E72BDE" w:rsidRDefault="002C597D" w:rsidP="002C597D">
      <w:pPr>
        <w:ind w:firstLineChars="100" w:firstLine="240"/>
        <w:jc w:val="both"/>
        <w:rPr>
          <w:rFonts w:eastAsia="MS Mincho"/>
          <w:lang w:eastAsia="ja-JP"/>
        </w:rPr>
      </w:pPr>
      <w:r w:rsidRPr="00E72BDE">
        <w:rPr>
          <w:rFonts w:eastAsia="MS Mincho"/>
          <w:lang w:eastAsia="ja-JP"/>
        </w:rPr>
        <w:t>One of them is sensing and ranging technology that applies radio propagation for communication. Sensing and ranging technologies based on 60 GHz band communication technology have been standardized in IEEE802.11az, IEEE802.11bd, and IEEE802.11bf. It is effective as a simple positioning method and is expected to be used in future ITS applications.</w:t>
      </w:r>
    </w:p>
    <w:p w14:paraId="477FF9BF" w14:textId="77777777" w:rsidR="002C597D" w:rsidRPr="00E72BDE" w:rsidRDefault="002C597D" w:rsidP="002C597D">
      <w:pPr>
        <w:ind w:firstLineChars="50" w:firstLine="120"/>
        <w:jc w:val="both"/>
        <w:rPr>
          <w:rFonts w:eastAsia="MS Mincho"/>
          <w:lang w:eastAsia="ja-JP"/>
        </w:rPr>
      </w:pPr>
      <w:r w:rsidRPr="00E72BDE">
        <w:rPr>
          <w:rFonts w:eastAsia="MS Mincho"/>
          <w:lang w:eastAsia="ja-JP"/>
        </w:rPr>
        <w:t xml:space="preserve">The other is to use sensing information from dedicated radar devices such as operating in 76-81 GHz band to predict shadowing during </w:t>
      </w:r>
      <w:proofErr w:type="spellStart"/>
      <w:r w:rsidRPr="00E72BDE">
        <w:rPr>
          <w:rFonts w:eastAsia="MS Mincho"/>
          <w:lang w:eastAsia="ja-JP"/>
        </w:rPr>
        <w:t>mmW</w:t>
      </w:r>
      <w:proofErr w:type="spellEnd"/>
      <w:r w:rsidRPr="00E72BDE">
        <w:rPr>
          <w:rFonts w:eastAsia="MS Mincho"/>
          <w:lang w:eastAsia="ja-JP"/>
        </w:rPr>
        <w:t xml:space="preserve"> communications, such as 60 GHz band. High-resolution radar has proven useful for real-time propagation path prediction for communication.</w:t>
      </w:r>
    </w:p>
    <w:p w14:paraId="139CE9A8" w14:textId="77777777" w:rsidR="002C597D" w:rsidRPr="00E72BDE" w:rsidRDefault="002C597D" w:rsidP="002C597D">
      <w:pPr>
        <w:ind w:firstLineChars="100" w:firstLine="240"/>
        <w:jc w:val="both"/>
      </w:pPr>
      <w:proofErr w:type="gramStart"/>
      <w:r w:rsidRPr="00E72BDE">
        <w:t>Thus</w:t>
      </w:r>
      <w:proofErr w:type="gramEnd"/>
      <w:r w:rsidRPr="00E72BDE">
        <w:t xml:space="preserve"> </w:t>
      </w:r>
      <w:proofErr w:type="spellStart"/>
      <w:r w:rsidRPr="00E72BDE">
        <w:t>millimetre</w:t>
      </w:r>
      <w:proofErr w:type="spellEnd"/>
      <w:r w:rsidRPr="00E72BDE">
        <w:t xml:space="preserve"> wave bands are expected to find future applications in the ITS field.</w:t>
      </w:r>
    </w:p>
    <w:p w14:paraId="05BCA0A3" w14:textId="77777777" w:rsidR="002C597D" w:rsidRPr="00E72BDE" w:rsidRDefault="002C597D" w:rsidP="002C597D">
      <w:pPr>
        <w:rPr>
          <w:lang w:val="en-GB"/>
        </w:rPr>
      </w:pPr>
    </w:p>
    <w:p w14:paraId="306B2F15" w14:textId="77777777" w:rsidR="002C597D" w:rsidRPr="00E72BDE" w:rsidRDefault="002C597D" w:rsidP="002C597D">
      <w:pPr>
        <w:rPr>
          <w:b/>
          <w:bCs/>
          <w:lang w:val="en-GB"/>
        </w:rPr>
      </w:pPr>
    </w:p>
    <w:p w14:paraId="1AFA165E" w14:textId="77777777" w:rsidR="002C597D" w:rsidRPr="00E72BDE" w:rsidRDefault="002C597D" w:rsidP="002C597D">
      <w:pPr>
        <w:pStyle w:val="ListParagraph"/>
        <w:ind w:left="851"/>
        <w:jc w:val="center"/>
        <w:rPr>
          <w:b/>
          <w:bCs/>
          <w:lang w:val="en-GB"/>
        </w:rPr>
      </w:pPr>
      <w:r w:rsidRPr="00E72BDE">
        <w:rPr>
          <w:b/>
          <w:bCs/>
          <w:lang w:val="en-GB"/>
        </w:rPr>
        <w:t>References</w:t>
      </w:r>
    </w:p>
    <w:p w14:paraId="0738D08B" w14:textId="77777777" w:rsidR="002C597D" w:rsidRPr="00E72BDE" w:rsidRDefault="002C597D" w:rsidP="002C597D">
      <w:pPr>
        <w:rPr>
          <w:i/>
          <w:iCs/>
          <w:lang w:val="en-GB" w:eastAsia="ja-JP"/>
        </w:rPr>
      </w:pPr>
    </w:p>
    <w:p w14:paraId="29A52769" w14:textId="77777777" w:rsidR="002C597D" w:rsidRPr="00E72BDE" w:rsidRDefault="002C597D" w:rsidP="002C597D">
      <w:pPr>
        <w:widowControl w:val="0"/>
        <w:autoSpaceDE w:val="0"/>
        <w:autoSpaceDN w:val="0"/>
        <w:adjustRightInd w:val="0"/>
        <w:ind w:left="360" w:hangingChars="150" w:hanging="360"/>
        <w:jc w:val="both"/>
        <w:rPr>
          <w:rFonts w:eastAsia="Batang"/>
          <w:color w:val="131413"/>
          <w:lang w:val="en-GB"/>
        </w:rPr>
      </w:pPr>
    </w:p>
    <w:p w14:paraId="3FE5A27D" w14:textId="77777777" w:rsidR="002C597D" w:rsidRPr="00E72BDE" w:rsidRDefault="002C597D" w:rsidP="002C597D">
      <w:pPr>
        <w:widowControl w:val="0"/>
        <w:autoSpaceDE w:val="0"/>
        <w:autoSpaceDN w:val="0"/>
        <w:adjustRightInd w:val="0"/>
        <w:ind w:left="360" w:hangingChars="150" w:hanging="360"/>
        <w:jc w:val="both"/>
        <w:rPr>
          <w:lang w:val="en-GB"/>
        </w:rPr>
      </w:pPr>
      <w:r w:rsidRPr="00E72BDE">
        <w:rPr>
          <w:lang w:val="en-GB"/>
        </w:rPr>
        <w:t>[1] 802.11-2020 - IEEE Standard for Information Technology--Telecommunications and Information Exchange between Systems - Local and Metropolitan Area Networks--Specific Requirements - Part 11: Wireless LAN Medium Access Control (MAC) and Physical Layer (PHY) Specifications,” Dec. 2021</w:t>
      </w:r>
    </w:p>
    <w:p w14:paraId="679769DA" w14:textId="77777777" w:rsidR="002C597D" w:rsidRPr="00E72BDE" w:rsidRDefault="002C597D" w:rsidP="002C597D">
      <w:pPr>
        <w:widowControl w:val="0"/>
        <w:autoSpaceDE w:val="0"/>
        <w:autoSpaceDN w:val="0"/>
        <w:adjustRightInd w:val="0"/>
        <w:ind w:left="360" w:hangingChars="150" w:hanging="360"/>
        <w:jc w:val="both"/>
        <w:rPr>
          <w:rFonts w:eastAsia="Batang"/>
          <w:color w:val="131413"/>
          <w:lang w:val="en-GB"/>
        </w:rPr>
      </w:pPr>
    </w:p>
    <w:p w14:paraId="36C4C53C" w14:textId="77777777" w:rsidR="002C597D" w:rsidRPr="00E72BDE" w:rsidRDefault="002C597D" w:rsidP="002C597D">
      <w:pPr>
        <w:widowControl w:val="0"/>
        <w:autoSpaceDE w:val="0"/>
        <w:autoSpaceDN w:val="0"/>
        <w:adjustRightInd w:val="0"/>
        <w:ind w:left="360" w:hangingChars="150" w:hanging="360"/>
        <w:jc w:val="both"/>
        <w:rPr>
          <w:rFonts w:eastAsia="Batang"/>
          <w:color w:val="131413"/>
          <w:lang w:val="en-GB"/>
        </w:rPr>
      </w:pPr>
      <w:r w:rsidRPr="00E72BDE">
        <w:rPr>
          <w:rFonts w:eastAsia="Batang"/>
          <w:color w:val="131413"/>
          <w:lang w:val="en-GB"/>
        </w:rPr>
        <w:t xml:space="preserve">[2] K. Sakaguchi, R. Fukatsu, T. Yu et al., “Towards </w:t>
      </w:r>
      <w:proofErr w:type="spellStart"/>
      <w:r w:rsidRPr="00E72BDE">
        <w:rPr>
          <w:rFonts w:eastAsia="Batang"/>
          <w:color w:val="131413"/>
          <w:lang w:val="en-GB"/>
        </w:rPr>
        <w:t>mmWave</w:t>
      </w:r>
      <w:proofErr w:type="spellEnd"/>
      <w:r w:rsidRPr="00E72BDE">
        <w:rPr>
          <w:rFonts w:ascii="MS Mincho" w:eastAsia="MS Mincho" w:hAnsi="MS Mincho"/>
          <w:color w:val="131413"/>
          <w:lang w:val="en-GB" w:eastAsia="ja-JP"/>
        </w:rPr>
        <w:t xml:space="preserve"> </w:t>
      </w:r>
      <w:r w:rsidRPr="00E72BDE">
        <w:rPr>
          <w:rFonts w:eastAsia="Batang"/>
          <w:color w:val="131413"/>
          <w:lang w:val="en-GB"/>
        </w:rPr>
        <w:t>V2X in 5G and beyond to support automated driving,” IEICE Transactions on Communications, vol. E104.B, no. 6, pp. 587–603, 2021.</w:t>
      </w:r>
    </w:p>
    <w:p w14:paraId="35CF5DFF" w14:textId="77777777" w:rsidR="002C597D" w:rsidRPr="00E72BDE" w:rsidRDefault="002C597D" w:rsidP="002C597D">
      <w:pPr>
        <w:widowControl w:val="0"/>
        <w:autoSpaceDE w:val="0"/>
        <w:autoSpaceDN w:val="0"/>
        <w:adjustRightInd w:val="0"/>
        <w:ind w:left="360" w:hangingChars="150" w:hanging="360"/>
        <w:jc w:val="both"/>
        <w:rPr>
          <w:rFonts w:eastAsia="Batang"/>
          <w:color w:val="131413"/>
          <w:lang w:val="en-GB"/>
        </w:rPr>
      </w:pPr>
    </w:p>
    <w:p w14:paraId="6F55D940" w14:textId="77777777" w:rsidR="002C597D" w:rsidRPr="00E72BDE" w:rsidRDefault="002C597D" w:rsidP="002C597D">
      <w:pPr>
        <w:widowControl w:val="0"/>
        <w:autoSpaceDE w:val="0"/>
        <w:autoSpaceDN w:val="0"/>
        <w:adjustRightInd w:val="0"/>
        <w:ind w:leftChars="1" w:left="362" w:hangingChars="150" w:hanging="360"/>
        <w:rPr>
          <w:rFonts w:eastAsia="Batang"/>
        </w:rPr>
      </w:pPr>
      <w:r w:rsidRPr="00E72BDE">
        <w:rPr>
          <w:rFonts w:eastAsia="MS Mincho"/>
          <w:color w:val="131413"/>
          <w:lang w:val="en-GB" w:eastAsia="ja-JP"/>
        </w:rPr>
        <w:t>[3] K. Takahashi, et al.,” Evolution</w:t>
      </w:r>
      <w:r w:rsidRPr="00E72BDE">
        <w:rPr>
          <w:rFonts w:eastAsia="Batang"/>
        </w:rPr>
        <w:t xml:space="preserve"> of Millimeter-Wave Multi-Antenna Systems in the IoT</w:t>
      </w:r>
      <w:r w:rsidRPr="00E72BDE">
        <w:rPr>
          <w:rFonts w:ascii="MS Mincho" w:eastAsia="MS Mincho" w:hAnsi="MS Mincho"/>
          <w:lang w:eastAsia="ja-JP"/>
        </w:rPr>
        <w:t xml:space="preserve"> </w:t>
      </w:r>
      <w:r w:rsidRPr="00E72BDE">
        <w:rPr>
          <w:rFonts w:eastAsia="Batang"/>
        </w:rPr>
        <w:t>Era,” IEICE Trans on Electronics, Vol., E100-C, No.10 Oct.,2017</w:t>
      </w:r>
    </w:p>
    <w:p w14:paraId="4B7C4F61" w14:textId="77777777" w:rsidR="002C597D" w:rsidRPr="00E72BDE" w:rsidRDefault="002C597D" w:rsidP="002C597D">
      <w:pPr>
        <w:widowControl w:val="0"/>
        <w:autoSpaceDE w:val="0"/>
        <w:autoSpaceDN w:val="0"/>
        <w:adjustRightInd w:val="0"/>
        <w:ind w:leftChars="1" w:left="302" w:hangingChars="150" w:hanging="300"/>
        <w:rPr>
          <w:rFonts w:eastAsia="MS Mincho"/>
          <w:color w:val="131413"/>
          <w:sz w:val="20"/>
          <w:szCs w:val="20"/>
          <w:lang w:val="en-GB" w:eastAsia="ja-JP"/>
        </w:rPr>
      </w:pPr>
    </w:p>
    <w:p w14:paraId="7AFE2210" w14:textId="77777777" w:rsidR="002C597D" w:rsidRPr="00E72BDE" w:rsidRDefault="002C597D" w:rsidP="002C597D">
      <w:pPr>
        <w:widowControl w:val="0"/>
        <w:autoSpaceDE w:val="0"/>
        <w:autoSpaceDN w:val="0"/>
        <w:adjustRightInd w:val="0"/>
        <w:ind w:left="360" w:hangingChars="150" w:hanging="360"/>
        <w:jc w:val="both"/>
        <w:rPr>
          <w:rFonts w:eastAsia="MS Mincho"/>
          <w:color w:val="131413"/>
          <w:lang w:val="en-GB" w:eastAsia="ja-JP"/>
        </w:rPr>
      </w:pPr>
      <w:r w:rsidRPr="00E72BDE">
        <w:rPr>
          <w:rFonts w:eastAsia="MS Mincho"/>
          <w:lang w:val="en-GB" w:eastAsia="ja-JP"/>
        </w:rPr>
        <w:t>[4] D. Kong, et al., “</w:t>
      </w:r>
      <w:r w:rsidRPr="00E72BDE">
        <w:rPr>
          <w:lang w:val="en-GB"/>
        </w:rPr>
        <w:t xml:space="preserve">V2I </w:t>
      </w:r>
      <w:proofErr w:type="spellStart"/>
      <w:r w:rsidRPr="00E72BDE">
        <w:rPr>
          <w:lang w:val="en-GB"/>
        </w:rPr>
        <w:t>mmWave</w:t>
      </w:r>
      <w:proofErr w:type="spellEnd"/>
      <w:r w:rsidRPr="00E72BDE">
        <w:rPr>
          <w:lang w:val="en-GB"/>
        </w:rPr>
        <w:t xml:space="preserve"> Connectivity for Highway scenarios,” 2018 IEEE PIMRC, Sep. 2018</w:t>
      </w:r>
    </w:p>
    <w:p w14:paraId="026DBA40" w14:textId="77777777" w:rsidR="002C597D" w:rsidRPr="00E72BDE" w:rsidRDefault="002C597D" w:rsidP="002C597D">
      <w:pPr>
        <w:widowControl w:val="0"/>
        <w:autoSpaceDE w:val="0"/>
        <w:autoSpaceDN w:val="0"/>
        <w:adjustRightInd w:val="0"/>
        <w:ind w:left="360" w:hangingChars="150" w:hanging="360"/>
        <w:jc w:val="both"/>
        <w:rPr>
          <w:rFonts w:eastAsia="MS Mincho"/>
          <w:color w:val="131413"/>
          <w:lang w:val="en-GB" w:eastAsia="ja-JP"/>
        </w:rPr>
      </w:pPr>
    </w:p>
    <w:p w14:paraId="468ED53C" w14:textId="77777777" w:rsidR="002C597D" w:rsidRPr="00E72BDE" w:rsidRDefault="002C597D" w:rsidP="002C597D">
      <w:pPr>
        <w:widowControl w:val="0"/>
        <w:autoSpaceDE w:val="0"/>
        <w:autoSpaceDN w:val="0"/>
        <w:adjustRightInd w:val="0"/>
        <w:ind w:left="360" w:hangingChars="150" w:hanging="360"/>
        <w:jc w:val="both"/>
        <w:rPr>
          <w:lang w:val="en-GB"/>
        </w:rPr>
      </w:pPr>
      <w:r w:rsidRPr="00E72BDE">
        <w:rPr>
          <w:rFonts w:eastAsia="MS Mincho"/>
          <w:lang w:val="en-GB" w:eastAsia="ja-JP"/>
        </w:rPr>
        <w:t xml:space="preserve">[5] T. </w:t>
      </w:r>
      <w:proofErr w:type="spellStart"/>
      <w:r w:rsidRPr="00E72BDE">
        <w:rPr>
          <w:rFonts w:eastAsia="MS Mincho"/>
          <w:lang w:val="en-GB" w:eastAsia="ja-JP"/>
        </w:rPr>
        <w:t>Zugno</w:t>
      </w:r>
      <w:proofErr w:type="spellEnd"/>
      <w:r w:rsidRPr="00E72BDE">
        <w:rPr>
          <w:rFonts w:eastAsia="MS Mincho"/>
          <w:lang w:val="en-GB" w:eastAsia="ja-JP"/>
        </w:rPr>
        <w:t>, et al., “T</w:t>
      </w:r>
      <w:r w:rsidRPr="00E72BDE">
        <w:rPr>
          <w:lang w:val="en-GB"/>
        </w:rPr>
        <w:t xml:space="preserve">oward Standardization of </w:t>
      </w:r>
      <w:proofErr w:type="spellStart"/>
      <w:r w:rsidRPr="00E72BDE">
        <w:rPr>
          <w:lang w:val="en-GB"/>
        </w:rPr>
        <w:t>Millimeter</w:t>
      </w:r>
      <w:proofErr w:type="spellEnd"/>
      <w:r w:rsidRPr="00E72BDE">
        <w:rPr>
          <w:lang w:val="en-GB"/>
        </w:rPr>
        <w:t>-Wave Vehicle-to-Vehicle Networks: Open Challenges and Performance Evaluation,” IEEE Communications Magazine Vol.58, Issue 9, Sep.2020</w:t>
      </w:r>
    </w:p>
    <w:p w14:paraId="70972A2D" w14:textId="77777777" w:rsidR="002C597D" w:rsidRPr="00E72BDE" w:rsidRDefault="002C597D" w:rsidP="002C597D">
      <w:pPr>
        <w:widowControl w:val="0"/>
        <w:autoSpaceDE w:val="0"/>
        <w:autoSpaceDN w:val="0"/>
        <w:adjustRightInd w:val="0"/>
        <w:ind w:left="360" w:hangingChars="150" w:hanging="360"/>
        <w:jc w:val="both"/>
        <w:rPr>
          <w:lang w:val="en-GB"/>
        </w:rPr>
      </w:pPr>
    </w:p>
    <w:p w14:paraId="7239E6D9" w14:textId="77777777" w:rsidR="002C597D" w:rsidRPr="00E72BDE" w:rsidRDefault="002C597D" w:rsidP="002C597D">
      <w:pPr>
        <w:widowControl w:val="0"/>
        <w:autoSpaceDE w:val="0"/>
        <w:autoSpaceDN w:val="0"/>
        <w:adjustRightInd w:val="0"/>
        <w:ind w:left="360" w:hangingChars="150" w:hanging="360"/>
        <w:jc w:val="both"/>
        <w:rPr>
          <w:lang w:val="en-GB"/>
        </w:rPr>
      </w:pPr>
      <w:r w:rsidRPr="00E72BDE">
        <w:rPr>
          <w:rFonts w:eastAsia="MS Mincho"/>
          <w:color w:val="131413"/>
          <w:lang w:val="en-GB" w:eastAsia="ja-JP"/>
        </w:rPr>
        <w:t xml:space="preserve">[6] T. </w:t>
      </w:r>
      <w:proofErr w:type="spellStart"/>
      <w:r w:rsidRPr="00E72BDE">
        <w:rPr>
          <w:rFonts w:eastAsia="MS Mincho"/>
          <w:color w:val="131413"/>
          <w:lang w:val="en-GB" w:eastAsia="ja-JP"/>
        </w:rPr>
        <w:t>Iwakuni</w:t>
      </w:r>
      <w:proofErr w:type="spellEnd"/>
      <w:r w:rsidRPr="00E72BDE">
        <w:rPr>
          <w:rFonts w:eastAsia="MS Mincho"/>
          <w:color w:val="131413"/>
          <w:lang w:val="en-GB" w:eastAsia="ja-JP"/>
        </w:rPr>
        <w:t xml:space="preserve"> et al., “</w:t>
      </w:r>
      <w:proofErr w:type="spellStart"/>
      <w:r w:rsidRPr="00E72BDE">
        <w:rPr>
          <w:lang w:val="en-GB"/>
        </w:rPr>
        <w:t>Millimeter</w:t>
      </w:r>
      <w:proofErr w:type="spellEnd"/>
      <w:r w:rsidRPr="00E72BDE">
        <w:rPr>
          <w:lang w:val="en-GB"/>
        </w:rPr>
        <w:t>-Wave Handover Experiment in 293 km/h Mobility Environment using Position Estimated from Wireless Communication Signal,” 2021 IEEE VTC2021-Fall Sep. 2021</w:t>
      </w:r>
    </w:p>
    <w:p w14:paraId="3259FF41" w14:textId="77777777" w:rsidR="002C597D" w:rsidRPr="00E72BDE" w:rsidRDefault="002C597D" w:rsidP="002C597D">
      <w:pPr>
        <w:widowControl w:val="0"/>
        <w:autoSpaceDE w:val="0"/>
        <w:autoSpaceDN w:val="0"/>
        <w:adjustRightInd w:val="0"/>
        <w:ind w:left="360" w:hangingChars="150" w:hanging="360"/>
        <w:jc w:val="both"/>
        <w:rPr>
          <w:rFonts w:eastAsia="MS Mincho"/>
          <w:lang w:val="en-GB" w:eastAsia="ja-JP"/>
        </w:rPr>
      </w:pPr>
    </w:p>
    <w:p w14:paraId="41A23429" w14:textId="77777777" w:rsidR="002C597D" w:rsidRPr="00E72BDE" w:rsidRDefault="002C597D" w:rsidP="002C597D">
      <w:pPr>
        <w:pStyle w:val="CommentText"/>
        <w:ind w:left="480" w:hangingChars="200" w:hanging="480"/>
        <w:jc w:val="both"/>
        <w:rPr>
          <w:rFonts w:eastAsia="MS Mincho"/>
          <w:lang w:val="en-GB" w:eastAsia="ja-JP"/>
        </w:rPr>
      </w:pPr>
      <w:r w:rsidRPr="00E72BDE">
        <w:rPr>
          <w:rFonts w:eastAsia="MS Mincho"/>
          <w:lang w:val="en-GB" w:eastAsia="ja-JP"/>
        </w:rPr>
        <w:t xml:space="preserve">[7] H. Motozuka et al., “Preliminary test results of 11ad-based 60GHz </w:t>
      </w:r>
      <w:proofErr w:type="spellStart"/>
      <w:r w:rsidRPr="00E72BDE">
        <w:rPr>
          <w:rFonts w:eastAsia="MS Mincho"/>
          <w:lang w:val="en-GB" w:eastAsia="ja-JP"/>
        </w:rPr>
        <w:t>mmW</w:t>
      </w:r>
      <w:proofErr w:type="spellEnd"/>
      <w:r w:rsidRPr="00E72BDE">
        <w:rPr>
          <w:rFonts w:eastAsia="MS Mincho"/>
          <w:lang w:val="en-GB" w:eastAsia="ja-JP"/>
        </w:rPr>
        <w:t xml:space="preserve"> for V2I use cases,” IEEE802.11-19/0100r0, Jan. 2019</w:t>
      </w:r>
    </w:p>
    <w:p w14:paraId="06B7D0AE" w14:textId="77777777" w:rsidR="002C597D" w:rsidRPr="00E72BDE" w:rsidRDefault="002C597D" w:rsidP="002C597D">
      <w:pPr>
        <w:widowControl w:val="0"/>
        <w:autoSpaceDE w:val="0"/>
        <w:autoSpaceDN w:val="0"/>
        <w:adjustRightInd w:val="0"/>
        <w:ind w:left="360" w:hangingChars="150" w:hanging="360"/>
        <w:jc w:val="both"/>
        <w:rPr>
          <w:rFonts w:eastAsia="MS Mincho"/>
          <w:lang w:val="en-GB" w:eastAsia="ja-JP"/>
        </w:rPr>
      </w:pPr>
    </w:p>
    <w:p w14:paraId="54CD5723" w14:textId="77777777" w:rsidR="002C597D" w:rsidRPr="00E72BDE" w:rsidRDefault="002C597D" w:rsidP="002C597D">
      <w:pPr>
        <w:widowControl w:val="0"/>
        <w:autoSpaceDE w:val="0"/>
        <w:autoSpaceDN w:val="0"/>
        <w:adjustRightInd w:val="0"/>
        <w:ind w:left="360" w:hangingChars="150" w:hanging="360"/>
        <w:jc w:val="both"/>
        <w:rPr>
          <w:rFonts w:eastAsia="MS Mincho"/>
          <w:lang w:val="en-GB" w:eastAsia="ja-JP"/>
        </w:rPr>
      </w:pPr>
      <w:r w:rsidRPr="00E72BDE">
        <w:rPr>
          <w:rFonts w:eastAsia="MS Mincho"/>
          <w:lang w:val="en-GB" w:eastAsia="ja-JP"/>
        </w:rPr>
        <w:t xml:space="preserve">[8] IEEE Std 802.11bd-2023 </w:t>
      </w:r>
      <w:proofErr w:type="gramStart"/>
      <w:r w:rsidRPr="00E72BDE">
        <w:rPr>
          <w:rFonts w:eastAsia="MS Mincho"/>
          <w:lang w:val="en-GB" w:eastAsia="ja-JP"/>
        </w:rPr>
        <w:t>–“</w:t>
      </w:r>
      <w:proofErr w:type="gramEnd"/>
      <w:r w:rsidRPr="00E72BDE">
        <w:rPr>
          <w:rFonts w:eastAsia="MS Mincho"/>
          <w:lang w:val="en-GB" w:eastAsia="ja-JP"/>
        </w:rPr>
        <w:t>802.11bd-IEEE Standard for Information Technology--Telecommunications and Information Exchange between Systems Local and Metropolitan Area Networks--Specific Requirements Part 11: Wireless LAN Medium Access Control (MAC) and Physical Layer (PHY)”, Mar. 2023</w:t>
      </w:r>
    </w:p>
    <w:p w14:paraId="6494AED5" w14:textId="77777777" w:rsidR="002C597D" w:rsidRPr="00E72BDE" w:rsidRDefault="002C597D" w:rsidP="002C597D">
      <w:pPr>
        <w:widowControl w:val="0"/>
        <w:autoSpaceDE w:val="0"/>
        <w:autoSpaceDN w:val="0"/>
        <w:adjustRightInd w:val="0"/>
        <w:ind w:left="360" w:hangingChars="150" w:hanging="360"/>
        <w:jc w:val="both"/>
        <w:rPr>
          <w:rFonts w:eastAsia="MS Mincho"/>
          <w:lang w:val="en-GB" w:eastAsia="ja-JP"/>
        </w:rPr>
      </w:pPr>
    </w:p>
    <w:p w14:paraId="37040868" w14:textId="77777777" w:rsidR="002C597D" w:rsidRPr="00E72BDE" w:rsidRDefault="002C597D" w:rsidP="002C597D">
      <w:pPr>
        <w:pStyle w:val="CommentText"/>
        <w:ind w:left="480" w:hangingChars="200" w:hanging="480"/>
        <w:jc w:val="both"/>
        <w:rPr>
          <w:rFonts w:eastAsia="MS Mincho"/>
          <w:lang w:val="en-GB" w:eastAsia="ja-JP"/>
        </w:rPr>
      </w:pPr>
      <w:r w:rsidRPr="00E72BDE">
        <w:rPr>
          <w:rFonts w:eastAsia="MS Mincho"/>
          <w:lang w:val="en-GB" w:eastAsia="ja-JP"/>
        </w:rPr>
        <w:lastRenderedPageBreak/>
        <w:t xml:space="preserve">[9] IEEE Std 802.11ay-2021 </w:t>
      </w:r>
      <w:proofErr w:type="gramStart"/>
      <w:r w:rsidRPr="00E72BDE">
        <w:rPr>
          <w:rFonts w:eastAsia="MS Mincho"/>
          <w:lang w:val="en-GB" w:eastAsia="ja-JP"/>
        </w:rPr>
        <w:t>–“</w:t>
      </w:r>
      <w:proofErr w:type="gramEnd"/>
      <w:r w:rsidRPr="00E72BDE">
        <w:rPr>
          <w:rFonts w:eastAsia="MS Mincho"/>
          <w:lang w:val="en-GB" w:eastAsia="ja-JP"/>
        </w:rPr>
        <w:t>802.11ay-IEEE Standard for Information Technology--Telecommunications and Information Exchange between Systems Local and Metropolitan Area Networks--Specific Requirements Part 11: Wireless LAN Medium Access Control (MAC) and Physical Layer (PHY)”, Jul. 2021</w:t>
      </w:r>
    </w:p>
    <w:p w14:paraId="30C34E41" w14:textId="77777777" w:rsidR="002C597D" w:rsidRPr="00E72BDE" w:rsidRDefault="002C597D" w:rsidP="002C597D">
      <w:pPr>
        <w:pStyle w:val="CommentText"/>
        <w:ind w:left="480" w:hangingChars="200" w:hanging="480"/>
        <w:jc w:val="both"/>
        <w:rPr>
          <w:rFonts w:eastAsia="MS Mincho"/>
          <w:lang w:val="en-GB" w:eastAsia="ja-JP"/>
        </w:rPr>
      </w:pPr>
    </w:p>
    <w:p w14:paraId="4F9DF099" w14:textId="77777777" w:rsidR="002C597D" w:rsidRPr="00E72BDE" w:rsidRDefault="002C597D" w:rsidP="002C597D">
      <w:pPr>
        <w:widowControl w:val="0"/>
        <w:autoSpaceDE w:val="0"/>
        <w:autoSpaceDN w:val="0"/>
        <w:adjustRightInd w:val="0"/>
        <w:ind w:left="360" w:hangingChars="150" w:hanging="360"/>
        <w:jc w:val="both"/>
        <w:rPr>
          <w:rFonts w:eastAsia="MS Mincho"/>
          <w:lang w:val="en-GB" w:eastAsia="ja-JP"/>
        </w:rPr>
      </w:pPr>
      <w:r w:rsidRPr="00E72BDE">
        <w:rPr>
          <w:rFonts w:eastAsia="MS Mincho"/>
          <w:lang w:val="en-GB" w:eastAsia="ja-JP"/>
        </w:rPr>
        <w:t xml:space="preserve">[10] IEEE Std 802.11az-2022 </w:t>
      </w:r>
      <w:proofErr w:type="gramStart"/>
      <w:r w:rsidRPr="00E72BDE">
        <w:rPr>
          <w:rFonts w:eastAsia="MS Mincho"/>
          <w:lang w:val="en-GB" w:eastAsia="ja-JP"/>
        </w:rPr>
        <w:t>–“</w:t>
      </w:r>
      <w:proofErr w:type="gramEnd"/>
      <w:r w:rsidRPr="00E72BDE">
        <w:rPr>
          <w:rFonts w:eastAsia="MS Mincho"/>
          <w:lang w:val="en-GB" w:eastAsia="ja-JP"/>
        </w:rPr>
        <w:t>802.11bd-IEEE Standard for Information Technology--Telecommunications and Information Exchange between Systems Local and Metropolitan Area Networks--Specific Requirements Part 11: Wireless LAN Medium Access Control (MAC) and Physical Layer (PHY)”, Mar. 2023</w:t>
      </w:r>
    </w:p>
    <w:p w14:paraId="79240761" w14:textId="77777777" w:rsidR="002C597D" w:rsidRPr="00E72BDE" w:rsidRDefault="002C597D" w:rsidP="002C597D">
      <w:pPr>
        <w:widowControl w:val="0"/>
        <w:autoSpaceDE w:val="0"/>
        <w:autoSpaceDN w:val="0"/>
        <w:adjustRightInd w:val="0"/>
        <w:ind w:left="360" w:hangingChars="150" w:hanging="360"/>
        <w:jc w:val="both"/>
        <w:rPr>
          <w:rFonts w:eastAsia="MS Mincho"/>
          <w:lang w:val="en-GB" w:eastAsia="ja-JP"/>
        </w:rPr>
      </w:pPr>
    </w:p>
    <w:p w14:paraId="763C005B" w14:textId="77777777" w:rsidR="002C597D" w:rsidRPr="00E72BDE" w:rsidRDefault="002C597D" w:rsidP="002C597D">
      <w:pPr>
        <w:widowControl w:val="0"/>
        <w:autoSpaceDE w:val="0"/>
        <w:autoSpaceDN w:val="0"/>
        <w:adjustRightInd w:val="0"/>
        <w:ind w:left="360" w:hangingChars="150" w:hanging="360"/>
        <w:jc w:val="both"/>
        <w:rPr>
          <w:rFonts w:eastAsia="Batang"/>
          <w:lang w:val="en-GB"/>
        </w:rPr>
      </w:pPr>
      <w:r w:rsidRPr="00E72BDE">
        <w:rPr>
          <w:rFonts w:eastAsia="Batang"/>
          <w:lang w:val="en-GB"/>
        </w:rPr>
        <w:t xml:space="preserve">[11] M. Irie, G. W. Y. Huang, M. S. H. Cheng, and K. Takahashi, “Bulk sensor data sharing using </w:t>
      </w:r>
      <w:proofErr w:type="spellStart"/>
      <w:r w:rsidRPr="00E72BDE">
        <w:rPr>
          <w:rFonts w:eastAsia="Batang"/>
          <w:lang w:val="en-GB"/>
        </w:rPr>
        <w:t>millimeter</w:t>
      </w:r>
      <w:proofErr w:type="spellEnd"/>
      <w:r w:rsidRPr="00E72BDE">
        <w:rPr>
          <w:rFonts w:eastAsia="Batang"/>
          <w:lang w:val="en-GB"/>
        </w:rPr>
        <w:t xml:space="preserve"> wave V2X for enhanced safety and comfort in mobility,” in 2018 Asia-</w:t>
      </w:r>
    </w:p>
    <w:p w14:paraId="76E6A774" w14:textId="77777777" w:rsidR="002C597D" w:rsidRPr="00E72BDE" w:rsidRDefault="002C597D" w:rsidP="002C597D">
      <w:pPr>
        <w:widowControl w:val="0"/>
        <w:autoSpaceDE w:val="0"/>
        <w:autoSpaceDN w:val="0"/>
        <w:adjustRightInd w:val="0"/>
        <w:ind w:firstLineChars="150" w:firstLine="360"/>
        <w:jc w:val="both"/>
        <w:rPr>
          <w:rFonts w:eastAsia="Batang"/>
          <w:lang w:val="en-GB"/>
        </w:rPr>
      </w:pPr>
      <w:r w:rsidRPr="00E72BDE">
        <w:rPr>
          <w:rFonts w:eastAsia="Batang"/>
          <w:lang w:val="en-GB"/>
        </w:rPr>
        <w:t>Paci</w:t>
      </w:r>
      <w:r w:rsidRPr="00E72BDE">
        <w:rPr>
          <w:rFonts w:eastAsia="XdcctqMinionProIt"/>
          <w:lang w:val="en-GB"/>
        </w:rPr>
        <w:t>fi</w:t>
      </w:r>
      <w:r w:rsidRPr="00E72BDE">
        <w:rPr>
          <w:rFonts w:eastAsia="Batang"/>
          <w:lang w:val="en-GB"/>
        </w:rPr>
        <w:t>c microwave conference (APMC), pp. 186–188, Kyoto, Japan, Nov. 2018.</w:t>
      </w:r>
    </w:p>
    <w:p w14:paraId="09B30BD9" w14:textId="77777777" w:rsidR="002C597D" w:rsidRPr="00E72BDE" w:rsidRDefault="002C597D" w:rsidP="002C597D">
      <w:pPr>
        <w:widowControl w:val="0"/>
        <w:autoSpaceDE w:val="0"/>
        <w:autoSpaceDN w:val="0"/>
        <w:adjustRightInd w:val="0"/>
        <w:ind w:firstLineChars="150" w:firstLine="360"/>
        <w:jc w:val="both"/>
        <w:rPr>
          <w:rFonts w:eastAsia="Batang"/>
          <w:lang w:val="en-GB"/>
        </w:rPr>
      </w:pPr>
    </w:p>
    <w:p w14:paraId="34DA3D4E" w14:textId="77777777" w:rsidR="002C597D" w:rsidRPr="00E72BDE" w:rsidRDefault="002C597D" w:rsidP="002C597D">
      <w:pPr>
        <w:widowControl w:val="0"/>
        <w:autoSpaceDE w:val="0"/>
        <w:autoSpaceDN w:val="0"/>
        <w:adjustRightInd w:val="0"/>
        <w:ind w:left="360" w:hangingChars="150" w:hanging="360"/>
        <w:jc w:val="both"/>
        <w:rPr>
          <w:rFonts w:eastAsia="Batang"/>
          <w:color w:val="131413"/>
          <w:lang w:val="en-GB"/>
        </w:rPr>
      </w:pPr>
      <w:r w:rsidRPr="00E72BDE">
        <w:rPr>
          <w:rFonts w:eastAsia="Batang"/>
          <w:color w:val="131413"/>
          <w:lang w:val="en-GB"/>
        </w:rPr>
        <w:t>[12] K. Nakano, A. Egami, H. Motozuka et al., “Data collection platform for smart city with gigabit V2X communication over 60 GHz band,” in 2021 IEEE 93rd vehicular technology conference (VTC2021-spring), pp. 1–5, Helsinki, Finland, April 2021.</w:t>
      </w:r>
    </w:p>
    <w:p w14:paraId="336E9907" w14:textId="77777777" w:rsidR="002C597D" w:rsidRPr="00E72BDE" w:rsidRDefault="002C597D" w:rsidP="002C597D">
      <w:pPr>
        <w:widowControl w:val="0"/>
        <w:autoSpaceDE w:val="0"/>
        <w:autoSpaceDN w:val="0"/>
        <w:adjustRightInd w:val="0"/>
        <w:ind w:left="360" w:hangingChars="150" w:hanging="360"/>
        <w:jc w:val="both"/>
        <w:rPr>
          <w:rFonts w:eastAsia="Batang"/>
          <w:color w:val="131413"/>
          <w:lang w:val="en-GB"/>
        </w:rPr>
      </w:pPr>
    </w:p>
    <w:p w14:paraId="34F16428" w14:textId="77777777" w:rsidR="002C597D" w:rsidRPr="00E72BDE" w:rsidRDefault="002C597D" w:rsidP="002C597D">
      <w:pPr>
        <w:widowControl w:val="0"/>
        <w:autoSpaceDE w:val="0"/>
        <w:autoSpaceDN w:val="0"/>
        <w:adjustRightInd w:val="0"/>
        <w:ind w:left="360" w:hangingChars="150" w:hanging="360"/>
        <w:jc w:val="both"/>
        <w:rPr>
          <w:rFonts w:eastAsia="Batang"/>
          <w:color w:val="131413"/>
          <w:lang w:val="en-GB"/>
        </w:rPr>
      </w:pPr>
      <w:r w:rsidRPr="00E72BDE">
        <w:rPr>
          <w:rFonts w:eastAsia="Batang"/>
          <w:color w:val="131413"/>
          <w:lang w:val="en-GB"/>
        </w:rPr>
        <w:t>[13] K. Nakano, et</w:t>
      </w:r>
      <w:r w:rsidRPr="00E72BDE">
        <w:rPr>
          <w:rFonts w:ascii="MS Mincho" w:eastAsia="MS Mincho" w:hAnsi="MS Mincho"/>
          <w:color w:val="131413"/>
          <w:lang w:val="en-GB" w:eastAsia="ja-JP"/>
        </w:rPr>
        <w:t xml:space="preserve"> </w:t>
      </w:r>
      <w:r w:rsidRPr="00E72BDE">
        <w:rPr>
          <w:rFonts w:eastAsia="Batang"/>
          <w:color w:val="131413"/>
          <w:lang w:val="en-GB"/>
        </w:rPr>
        <w:t xml:space="preserve">al., “High-Capacity Data Collection Platform for Smart Cities Using IEEE 802.11ad-Based </w:t>
      </w:r>
      <w:proofErr w:type="spellStart"/>
      <w:r w:rsidRPr="00E72BDE">
        <w:rPr>
          <w:rFonts w:eastAsia="Batang"/>
          <w:color w:val="131413"/>
          <w:lang w:val="en-GB"/>
        </w:rPr>
        <w:t>Millimeter</w:t>
      </w:r>
      <w:proofErr w:type="spellEnd"/>
      <w:r w:rsidRPr="00E72BDE">
        <w:rPr>
          <w:rFonts w:eastAsia="Batang"/>
          <w:color w:val="131413"/>
          <w:lang w:val="en-GB"/>
        </w:rPr>
        <w:t xml:space="preserve">-Wave V2X Communication,” </w:t>
      </w:r>
      <w:proofErr w:type="spellStart"/>
      <w:r w:rsidRPr="00E72BDE">
        <w:rPr>
          <w:rFonts w:eastAsia="Batang"/>
          <w:color w:val="131413"/>
          <w:lang w:val="en-GB"/>
        </w:rPr>
        <w:t>Hindawi</w:t>
      </w:r>
      <w:proofErr w:type="spellEnd"/>
      <w:r w:rsidRPr="00E72BDE">
        <w:rPr>
          <w:rFonts w:eastAsia="Batang"/>
          <w:color w:val="131413"/>
          <w:lang w:val="en-GB"/>
        </w:rPr>
        <w:t xml:space="preserve">, Wireless Communication and Mobile Computing, Vol. 2022, Article ID 3909685, </w:t>
      </w:r>
      <w:proofErr w:type="gramStart"/>
      <w:r w:rsidRPr="00E72BDE">
        <w:rPr>
          <w:rFonts w:eastAsia="Batang"/>
          <w:color w:val="131413"/>
          <w:lang w:val="en-GB"/>
        </w:rPr>
        <w:t>Jul.,</w:t>
      </w:r>
      <w:proofErr w:type="gramEnd"/>
      <w:r w:rsidRPr="00E72BDE">
        <w:rPr>
          <w:rFonts w:eastAsia="Batang"/>
          <w:color w:val="131413"/>
          <w:lang w:val="en-GB"/>
        </w:rPr>
        <w:t xml:space="preserve"> 2022</w:t>
      </w:r>
    </w:p>
    <w:p w14:paraId="2B9C185E" w14:textId="77777777" w:rsidR="002C597D" w:rsidRPr="00E72BDE" w:rsidRDefault="002C597D" w:rsidP="002C597D">
      <w:pPr>
        <w:widowControl w:val="0"/>
        <w:autoSpaceDE w:val="0"/>
        <w:autoSpaceDN w:val="0"/>
        <w:adjustRightInd w:val="0"/>
        <w:jc w:val="both"/>
        <w:rPr>
          <w:rFonts w:eastAsia="Batang"/>
          <w:color w:val="131413"/>
          <w:lang w:val="en-GB"/>
        </w:rPr>
      </w:pPr>
    </w:p>
    <w:p w14:paraId="1E5F8CB7" w14:textId="77777777" w:rsidR="002C597D" w:rsidRPr="00E72BDE" w:rsidRDefault="002C597D" w:rsidP="002C597D">
      <w:pPr>
        <w:ind w:left="360" w:hangingChars="150" w:hanging="360"/>
        <w:jc w:val="both"/>
        <w:rPr>
          <w:rFonts w:eastAsia="MS Mincho"/>
          <w:lang w:val="en-GB" w:eastAsia="ja-JP"/>
        </w:rPr>
      </w:pPr>
      <w:r w:rsidRPr="00E72BDE">
        <w:rPr>
          <w:rFonts w:eastAsia="MS Mincho"/>
          <w:lang w:val="en-GB" w:eastAsia="ja-JP"/>
        </w:rPr>
        <w:t>[14] M. Irie, et al., “60 GHz multi-gigabit wireless technology for connected vehicles,” Proc. 25</w:t>
      </w:r>
      <w:r w:rsidRPr="00E72BDE">
        <w:rPr>
          <w:rFonts w:eastAsia="MS Mincho"/>
          <w:vertAlign w:val="superscript"/>
          <w:lang w:val="en-GB" w:eastAsia="ja-JP"/>
        </w:rPr>
        <w:t>th</w:t>
      </w:r>
      <w:r w:rsidRPr="00E72BDE">
        <w:rPr>
          <w:rFonts w:eastAsia="MS Mincho"/>
          <w:lang w:val="en-GB" w:eastAsia="ja-JP"/>
        </w:rPr>
        <w:t xml:space="preserve"> ITS World Congress AP-TP1465, Sep. 2018</w:t>
      </w:r>
    </w:p>
    <w:p w14:paraId="52A615A8" w14:textId="77777777" w:rsidR="002C597D" w:rsidRPr="00E72BDE" w:rsidRDefault="002C597D" w:rsidP="002C597D">
      <w:pPr>
        <w:jc w:val="both"/>
        <w:rPr>
          <w:rFonts w:eastAsia="MS Mincho"/>
          <w:lang w:val="en-GB" w:eastAsia="ja-JP"/>
        </w:rPr>
      </w:pPr>
    </w:p>
    <w:p w14:paraId="4899AB51" w14:textId="77777777" w:rsidR="002C597D" w:rsidRPr="00E72BDE" w:rsidRDefault="002C597D" w:rsidP="002C597D">
      <w:pPr>
        <w:pStyle w:val="IEICE"/>
        <w:ind w:left="360" w:hangingChars="150" w:hanging="360"/>
        <w:rPr>
          <w:sz w:val="24"/>
          <w:szCs w:val="24"/>
          <w:lang w:val="en-GB"/>
        </w:rPr>
      </w:pPr>
      <w:r w:rsidRPr="00E72BDE">
        <w:rPr>
          <w:noProof/>
          <w:sz w:val="24"/>
          <w:szCs w:val="24"/>
          <w:lang w:val="en-GB"/>
        </w:rPr>
        <mc:AlternateContent>
          <mc:Choice Requires="wps">
            <w:drawing>
              <wp:anchor distT="0" distB="0" distL="114300" distR="114300" simplePos="0" relativeHeight="251662336" behindDoc="0" locked="0" layoutInCell="1" allowOverlap="1" wp14:anchorId="4CC6BB4B" wp14:editId="7F0C0868">
                <wp:simplePos x="0" y="0"/>
                <wp:positionH relativeFrom="column">
                  <wp:posOffset>2950210</wp:posOffset>
                </wp:positionH>
                <wp:positionV relativeFrom="paragraph">
                  <wp:posOffset>1306830</wp:posOffset>
                </wp:positionV>
                <wp:extent cx="0" cy="181610"/>
                <wp:effectExtent l="12065" t="6985" r="6985" b="1143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6A7FE" id="直線コネクタ 31"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pt,102.9pt" to="232.3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" strokeweight=".25pt"/>
            </w:pict>
          </mc:Fallback>
        </mc:AlternateContent>
      </w:r>
      <w:r w:rsidRPr="00E72BDE">
        <w:rPr>
          <w:noProof/>
          <w:sz w:val="24"/>
          <w:szCs w:val="24"/>
          <w:lang w:val="en-GB"/>
        </w:rPr>
        <w:drawing>
          <wp:anchor distT="0" distB="0" distL="114300" distR="114300" simplePos="0" relativeHeight="251661312" behindDoc="0" locked="0" layoutInCell="1" allowOverlap="1" wp14:anchorId="0BAB67A9" wp14:editId="49B464D5">
            <wp:simplePos x="0" y="0"/>
            <wp:positionH relativeFrom="column">
              <wp:align>center</wp:align>
            </wp:positionH>
            <wp:positionV relativeFrom="paragraph">
              <wp:posOffset>-13935710</wp:posOffset>
            </wp:positionV>
            <wp:extent cx="3000375" cy="1914525"/>
            <wp:effectExtent l="0" t="0" r="9525"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03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BDE">
        <w:rPr>
          <w:sz w:val="24"/>
          <w:szCs w:val="24"/>
          <w:lang w:val="en-GB"/>
        </w:rPr>
        <w:t xml:space="preserve">[15] Hiroaki Asano et al., “High power efficiency </w:t>
      </w:r>
      <w:proofErr w:type="spellStart"/>
      <w:r w:rsidRPr="00E72BDE">
        <w:rPr>
          <w:sz w:val="24"/>
          <w:szCs w:val="24"/>
          <w:lang w:val="en-GB"/>
        </w:rPr>
        <w:t>millimeter</w:t>
      </w:r>
      <w:proofErr w:type="spellEnd"/>
      <w:r w:rsidRPr="00E72BDE">
        <w:rPr>
          <w:sz w:val="24"/>
          <w:szCs w:val="24"/>
          <w:lang w:val="en-GB"/>
        </w:rPr>
        <w:t>-wave network with communication quality prediction technology”, 2021 IEEE VTS 17th Asia Pacific Wireless Communications Symposium (APWCS), Sep. 2021</w:t>
      </w:r>
    </w:p>
    <w:p w14:paraId="4A4E21BC" w14:textId="77777777" w:rsidR="002C597D" w:rsidRPr="00E72BDE" w:rsidRDefault="002C597D" w:rsidP="002C597D">
      <w:pPr>
        <w:widowControl w:val="0"/>
        <w:autoSpaceDE w:val="0"/>
        <w:autoSpaceDN w:val="0"/>
        <w:adjustRightInd w:val="0"/>
        <w:ind w:left="360" w:hangingChars="150" w:hanging="360"/>
        <w:jc w:val="both"/>
        <w:rPr>
          <w:rFonts w:eastAsia="Batang"/>
          <w:color w:val="131413"/>
          <w:lang w:val="en-GB"/>
        </w:rPr>
      </w:pPr>
    </w:p>
    <w:p w14:paraId="327104EF" w14:textId="77777777" w:rsidR="002C597D" w:rsidRPr="00E72BDE" w:rsidRDefault="002C597D" w:rsidP="002C597D">
      <w:pPr>
        <w:widowControl w:val="0"/>
        <w:autoSpaceDE w:val="0"/>
        <w:autoSpaceDN w:val="0"/>
        <w:adjustRightInd w:val="0"/>
        <w:ind w:left="360" w:hangingChars="150" w:hanging="360"/>
        <w:jc w:val="both"/>
        <w:rPr>
          <w:rFonts w:eastAsia="MS Mincho"/>
          <w:color w:val="131413"/>
          <w:lang w:val="en-GB" w:eastAsia="ja-JP"/>
        </w:rPr>
      </w:pPr>
      <w:r w:rsidRPr="00E72BDE">
        <w:rPr>
          <w:rFonts w:eastAsia="MS Mincho"/>
          <w:color w:val="131413"/>
          <w:lang w:val="en-GB" w:eastAsia="ja-JP"/>
        </w:rPr>
        <w:t xml:space="preserve">[16] </w:t>
      </w:r>
      <w:r w:rsidRPr="00E72BDE">
        <w:rPr>
          <w:shd w:val="clear" w:color="auto" w:fill="FAF9F8"/>
        </w:rPr>
        <w:t>S. Trotta et al., “SOLI: A Tiny Device for a New Human Machine Interface,” IEEE ISSCC Vol. 64, 2021.</w:t>
      </w:r>
    </w:p>
    <w:p w14:paraId="34D72449" w14:textId="77777777" w:rsidR="002C597D" w:rsidRPr="00E72BDE" w:rsidRDefault="002C597D" w:rsidP="002C597D">
      <w:pPr>
        <w:widowControl w:val="0"/>
        <w:autoSpaceDE w:val="0"/>
        <w:autoSpaceDN w:val="0"/>
        <w:adjustRightInd w:val="0"/>
        <w:ind w:left="360" w:hangingChars="150" w:hanging="360"/>
        <w:jc w:val="both"/>
        <w:rPr>
          <w:rFonts w:eastAsia="Batang"/>
          <w:color w:val="131413"/>
          <w:lang w:val="en-GB"/>
        </w:rPr>
      </w:pPr>
    </w:p>
    <w:p w14:paraId="3C97C7BB" w14:textId="77777777" w:rsidR="002C597D" w:rsidRPr="00E72BDE" w:rsidRDefault="002C597D" w:rsidP="002C597D">
      <w:pPr>
        <w:widowControl w:val="0"/>
        <w:autoSpaceDE w:val="0"/>
        <w:autoSpaceDN w:val="0"/>
        <w:adjustRightInd w:val="0"/>
        <w:ind w:left="360" w:hangingChars="150" w:hanging="360"/>
        <w:rPr>
          <w:rFonts w:eastAsia="MS Mincho"/>
          <w:color w:val="131413"/>
          <w:lang w:val="en-GB" w:eastAsia="ja-JP"/>
        </w:rPr>
      </w:pPr>
      <w:r w:rsidRPr="00E72BDE">
        <w:rPr>
          <w:rFonts w:eastAsia="MS Mincho"/>
          <w:color w:val="131413"/>
          <w:lang w:val="en-GB" w:eastAsia="ja-JP"/>
        </w:rPr>
        <w:t>[17] T. Ueta et al., “Estimation position in the shield area using route information in wireless communication control, IEICE General Conference 2022, B-5-39, Mar. 2022</w:t>
      </w:r>
    </w:p>
    <w:p w14:paraId="25D62827" w14:textId="77777777" w:rsidR="002C597D" w:rsidRPr="00E72BDE" w:rsidRDefault="002C597D" w:rsidP="002C597D">
      <w:pPr>
        <w:widowControl w:val="0"/>
        <w:autoSpaceDE w:val="0"/>
        <w:autoSpaceDN w:val="0"/>
        <w:adjustRightInd w:val="0"/>
        <w:ind w:left="315" w:hangingChars="150" w:hanging="315"/>
        <w:rPr>
          <w:rFonts w:eastAsia="MS Mincho"/>
          <w:color w:val="131413"/>
          <w:sz w:val="21"/>
          <w:szCs w:val="21"/>
          <w:lang w:val="en-GB" w:eastAsia="ja-JP"/>
        </w:rPr>
      </w:pPr>
    </w:p>
    <w:p w14:paraId="23CF2421" w14:textId="77777777" w:rsidR="002C597D" w:rsidRPr="00C00B72" w:rsidRDefault="002C597D" w:rsidP="00ED47F9">
      <w:pPr>
        <w:widowControl w:val="0"/>
        <w:autoSpaceDE w:val="0"/>
        <w:autoSpaceDN w:val="0"/>
        <w:adjustRightInd w:val="0"/>
        <w:ind w:left="360" w:hangingChars="150" w:hanging="360"/>
        <w:jc w:val="center"/>
        <w:rPr>
          <w:rFonts w:eastAsia="MS Mincho"/>
          <w:lang w:val="en-GB" w:eastAsia="ja-JP"/>
        </w:rPr>
      </w:pPr>
      <w:r w:rsidRPr="00E72BDE">
        <w:rPr>
          <w:rFonts w:eastAsia="MS Mincho"/>
          <w:lang w:val="en-GB" w:eastAsia="ja-JP"/>
        </w:rPr>
        <w:t>_________________</w:t>
      </w:r>
    </w:p>
    <w:p w14:paraId="5CA9D629" w14:textId="77777777" w:rsidR="002C597D" w:rsidRPr="00E25550" w:rsidRDefault="002C597D" w:rsidP="002C597D">
      <w:pPr>
        <w:jc w:val="both"/>
        <w:rPr>
          <w:rFonts w:eastAsia="MS Mincho"/>
          <w:lang w:val="en-GB" w:eastAsia="ja-JP"/>
        </w:rPr>
      </w:pPr>
    </w:p>
    <w:sectPr w:rsidR="002C597D" w:rsidRPr="00E25550" w:rsidSect="00FF72BB">
      <w:headerReference w:type="default" r:id="rId37"/>
      <w:footerReference w:type="even" r:id="rId38"/>
      <w:footerReference w:type="default" r:id="rId39"/>
      <w:footerReference w:type="first" r:id="rId40"/>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BE223" w14:textId="77777777" w:rsidR="00386849" w:rsidRDefault="00386849">
      <w:r>
        <w:separator/>
      </w:r>
    </w:p>
  </w:endnote>
  <w:endnote w:type="continuationSeparator" w:id="0">
    <w:p w14:paraId="3B209C89" w14:textId="77777777" w:rsidR="00386849" w:rsidRDefault="00386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altName w:val="Malgun Gothic"/>
    <w:charset w:val="81"/>
    <w:family w:val="modern"/>
    <w:pitch w:val="fixed"/>
    <w:sig w:usb0="B00002AF" w:usb1="69D77CFB" w:usb2="00000030" w:usb3="00000000" w:csb0="0008009F" w:csb1="00000000"/>
  </w:font>
  <w:font w:name="GulimChe">
    <w:altName w:val="굴림체"/>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open_sans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XdcctqMinionProIt">
    <w:altName w:val="游ゴシック"/>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CF84"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2E86D"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BE7D" w14:textId="05EE8327"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067F7E">
      <w:rPr>
        <w:b/>
        <w:bCs/>
        <w:noProof/>
      </w:rPr>
      <w:t>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067F7E">
      <w:rPr>
        <w:b/>
        <w:bCs/>
        <w:noProof/>
      </w:rPr>
      <w:t>5</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6672"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9C601" w14:textId="77777777" w:rsidR="00386849" w:rsidRDefault="00386849">
      <w:r>
        <w:separator/>
      </w:r>
    </w:p>
  </w:footnote>
  <w:footnote w:type="continuationSeparator" w:id="0">
    <w:p w14:paraId="0585FBB1" w14:textId="77777777" w:rsidR="00386849" w:rsidRDefault="00386849">
      <w:r>
        <w:continuationSeparator/>
      </w:r>
    </w:p>
  </w:footnote>
  <w:footnote w:id="1">
    <w:p w14:paraId="49189EFD" w14:textId="77777777" w:rsidR="002C597D" w:rsidRPr="00081800" w:rsidRDefault="002C597D" w:rsidP="002C597D">
      <w:pPr>
        <w:pStyle w:val="FootnoteText"/>
        <w:rPr>
          <w:rFonts w:eastAsia="MS Mincho"/>
          <w:lang w:eastAsia="ja-JP"/>
        </w:rPr>
      </w:pPr>
      <w:r w:rsidRPr="00ED47F9">
        <w:rPr>
          <w:rStyle w:val="FootnoteReference"/>
        </w:rPr>
        <w:footnoteRef/>
      </w:r>
      <w:r w:rsidRPr="00722B5D">
        <w:t xml:space="preserve"> Existing millimetre-wave ban</w:t>
      </w:r>
      <w:r w:rsidRPr="006306D8">
        <w:t xml:space="preserve">d </w:t>
      </w:r>
      <w:r w:rsidRPr="006306D8">
        <w:rPr>
          <w:rFonts w:eastAsia="MS Mincho"/>
          <w:lang w:eastAsia="ja-JP"/>
        </w:rPr>
        <w:t>a</w:t>
      </w:r>
      <w:r w:rsidRPr="006306D8">
        <w:t>utomotive radar applications and technical recommendations are defined in ITU-R Recommendation M.2057</w:t>
      </w:r>
      <w:r w:rsidRPr="00ED47F9">
        <w:t>, t</w:t>
      </w:r>
      <w:r w:rsidRPr="006306D8">
        <w:t>he</w:t>
      </w:r>
      <w:r w:rsidRPr="00722B5D">
        <w:t xml:space="preserve"> latest ITU-R M.2057 should be referred for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867B" w14:textId="0E40D403" w:rsidR="00B54758" w:rsidRPr="00CF1EB2" w:rsidRDefault="00CF1EB2" w:rsidP="00CF1EB2">
    <w:pPr>
      <w:tabs>
        <w:tab w:val="center" w:pos="4320"/>
        <w:tab w:val="right" w:pos="8640"/>
      </w:tabs>
      <w:jc w:val="center"/>
      <w:rPr>
        <w:bCs/>
        <w:lang w:eastAsia="en-GB"/>
      </w:rPr>
    </w:pPr>
    <w:r w:rsidRPr="00FA4227">
      <w:rPr>
        <w:bCs/>
        <w:lang w:eastAsia="en-GB"/>
      </w:rPr>
      <w:t>APT/AWG/REP-13</w:t>
    </w:r>
    <w:r>
      <w:rPr>
        <w:bCs/>
        <w:lang w:eastAsia="en-GB"/>
      </w:rPr>
      <w:t>2</w:t>
    </w:r>
  </w:p>
  <w:p w14:paraId="15351D1D"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B1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7486312"/>
    <w:multiLevelType w:val="hybridMultilevel"/>
    <w:tmpl w:val="2A183D48"/>
    <w:lvl w:ilvl="0" w:tplc="847AD6D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0" w15:restartNumberingAfterBreak="0">
    <w:nsid w:val="25E62A26"/>
    <w:multiLevelType w:val="hybridMultilevel"/>
    <w:tmpl w:val="5EB24C4A"/>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67626B6"/>
    <w:multiLevelType w:val="hybridMultilevel"/>
    <w:tmpl w:val="88465FEA"/>
    <w:lvl w:ilvl="0" w:tplc="130AA87E">
      <w:start w:val="7"/>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478D3"/>
    <w:multiLevelType w:val="multilevel"/>
    <w:tmpl w:val="9F5E62DC"/>
    <w:lvl w:ilvl="0">
      <w:start w:val="2"/>
      <w:numFmt w:val="decimal"/>
      <w:lvlText w:val="%1."/>
      <w:lvlJc w:val="left"/>
      <w:pPr>
        <w:ind w:left="425" w:hanging="425"/>
      </w:pPr>
      <w:rPr>
        <w:rFonts w:ascii="Times New Roman" w:hAnsi="Times New Roman" w:hint="default"/>
        <w:b/>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73883"/>
    <w:multiLevelType w:val="multilevel"/>
    <w:tmpl w:val="CEBED0D6"/>
    <w:lvl w:ilvl="0">
      <w:start w:val="7"/>
      <w:numFmt w:val="decimal"/>
      <w:lvlText w:val="%1"/>
      <w:lvlJc w:val="left"/>
      <w:pPr>
        <w:ind w:left="545" w:hanging="425"/>
      </w:pPr>
      <w:rPr>
        <w:rFonts w:hint="eastAsia"/>
      </w:rPr>
    </w:lvl>
    <w:lvl w:ilvl="1">
      <w:start w:val="5"/>
      <w:numFmt w:val="decimal"/>
      <w:lvlText w:val="%1.%2"/>
      <w:lvlJc w:val="left"/>
      <w:pPr>
        <w:ind w:left="1112" w:hanging="567"/>
      </w:pPr>
      <w:rPr>
        <w:rFonts w:hint="eastAsia"/>
      </w:rPr>
    </w:lvl>
    <w:lvl w:ilvl="2">
      <w:start w:val="2"/>
      <w:numFmt w:val="decimal"/>
      <w:lvlText w:val="%1.%2.%3"/>
      <w:lvlJc w:val="left"/>
      <w:pPr>
        <w:ind w:left="1538" w:hanging="567"/>
      </w:pPr>
      <w:rPr>
        <w:rFonts w:hint="eastAsia"/>
      </w:rPr>
    </w:lvl>
    <w:lvl w:ilvl="3">
      <w:start w:val="1"/>
      <w:numFmt w:val="decimal"/>
      <w:lvlText w:val="%1.%2.%3.%4"/>
      <w:lvlJc w:val="left"/>
      <w:pPr>
        <w:ind w:left="2104" w:hanging="708"/>
      </w:pPr>
      <w:rPr>
        <w:rFonts w:hint="eastAsia"/>
      </w:rPr>
    </w:lvl>
    <w:lvl w:ilvl="4">
      <w:start w:val="1"/>
      <w:numFmt w:val="decimal"/>
      <w:lvlText w:val="%1.%2.%3.%4.%5"/>
      <w:lvlJc w:val="left"/>
      <w:pPr>
        <w:ind w:left="2671" w:hanging="850"/>
      </w:pPr>
      <w:rPr>
        <w:rFonts w:hint="eastAsia"/>
      </w:rPr>
    </w:lvl>
    <w:lvl w:ilvl="5">
      <w:start w:val="1"/>
      <w:numFmt w:val="decimal"/>
      <w:lvlText w:val="%1.%2.%3.%4.%5.%6"/>
      <w:lvlJc w:val="left"/>
      <w:pPr>
        <w:ind w:left="3380" w:hanging="1134"/>
      </w:pPr>
      <w:rPr>
        <w:rFonts w:hint="eastAsia"/>
      </w:rPr>
    </w:lvl>
    <w:lvl w:ilvl="6">
      <w:start w:val="1"/>
      <w:numFmt w:val="decimal"/>
      <w:lvlText w:val="%1.%2.%3.%4.%5.%6.%7"/>
      <w:lvlJc w:val="left"/>
      <w:pPr>
        <w:ind w:left="3947" w:hanging="1276"/>
      </w:pPr>
      <w:rPr>
        <w:rFonts w:hint="eastAsia"/>
      </w:rPr>
    </w:lvl>
    <w:lvl w:ilvl="7">
      <w:start w:val="1"/>
      <w:numFmt w:val="decimal"/>
      <w:lvlText w:val="%1.%2.%3.%4.%5.%6.%7.%8"/>
      <w:lvlJc w:val="left"/>
      <w:pPr>
        <w:ind w:left="4514" w:hanging="1418"/>
      </w:pPr>
      <w:rPr>
        <w:rFonts w:hint="eastAsia"/>
      </w:rPr>
    </w:lvl>
    <w:lvl w:ilvl="8">
      <w:start w:val="1"/>
      <w:numFmt w:val="decimal"/>
      <w:lvlText w:val="%1.%2.%3.%4.%5.%6.%7.%8.%9"/>
      <w:lvlJc w:val="left"/>
      <w:pPr>
        <w:ind w:left="5222" w:hanging="1700"/>
      </w:pPr>
      <w:rPr>
        <w:rFonts w:hint="eastAsia"/>
      </w:rPr>
    </w:lvl>
  </w:abstractNum>
  <w:abstractNum w:abstractNumId="15" w15:restartNumberingAfterBreak="0">
    <w:nsid w:val="29D33459"/>
    <w:multiLevelType w:val="multilevel"/>
    <w:tmpl w:val="CEBED0D6"/>
    <w:lvl w:ilvl="0">
      <w:start w:val="7"/>
      <w:numFmt w:val="decimal"/>
      <w:lvlText w:val="%1"/>
      <w:lvlJc w:val="left"/>
      <w:pPr>
        <w:ind w:left="425" w:hanging="425"/>
      </w:pPr>
      <w:rPr>
        <w:rFonts w:hint="eastAsia"/>
      </w:rPr>
    </w:lvl>
    <w:lvl w:ilvl="1">
      <w:start w:val="5"/>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7" w15:restartNumberingAfterBreak="0">
    <w:nsid w:val="322C00D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BE56F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2"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3" w15:restartNumberingAfterBreak="0">
    <w:nsid w:val="38C17FCD"/>
    <w:multiLevelType w:val="multilevel"/>
    <w:tmpl w:val="B0A439F2"/>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6D09B2"/>
    <w:multiLevelType w:val="hybridMultilevel"/>
    <w:tmpl w:val="58D685F2"/>
    <w:lvl w:ilvl="0" w:tplc="81F65682">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ED6639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4746119F"/>
    <w:multiLevelType w:val="hybridMultilevel"/>
    <w:tmpl w:val="98DEE3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82E3DA2"/>
    <w:multiLevelType w:val="multilevel"/>
    <w:tmpl w:val="B0A439F2"/>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48553156"/>
    <w:multiLevelType w:val="hybridMultilevel"/>
    <w:tmpl w:val="3F16B166"/>
    <w:lvl w:ilvl="0" w:tplc="71A432F4">
      <w:start w:val="1"/>
      <w:numFmt w:val="lowerLetter"/>
      <w:lvlText w:val="(%1)"/>
      <w:lvlJc w:val="left"/>
      <w:pPr>
        <w:ind w:left="1778" w:hanging="36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31" w15:restartNumberingAfterBreak="0">
    <w:nsid w:val="4A670EF5"/>
    <w:multiLevelType w:val="multilevel"/>
    <w:tmpl w:val="1E3E7F62"/>
    <w:lvl w:ilvl="0">
      <w:start w:val="6"/>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55E50C14"/>
    <w:multiLevelType w:val="hybridMultilevel"/>
    <w:tmpl w:val="3738C180"/>
    <w:lvl w:ilvl="0" w:tplc="4BAA26A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D7B4BAB"/>
    <w:multiLevelType w:val="multilevel"/>
    <w:tmpl w:val="17346B9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5"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F96148"/>
    <w:multiLevelType w:val="hybridMultilevel"/>
    <w:tmpl w:val="171003CE"/>
    <w:lvl w:ilvl="0" w:tplc="75DC002A">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num w:numId="1" w16cid:durableId="2127889779">
    <w:abstractNumId w:val="21"/>
  </w:num>
  <w:num w:numId="2" w16cid:durableId="695886924">
    <w:abstractNumId w:val="9"/>
  </w:num>
  <w:num w:numId="3" w16cid:durableId="2039432940">
    <w:abstractNumId w:val="8"/>
  </w:num>
  <w:num w:numId="4" w16cid:durableId="1891721053">
    <w:abstractNumId w:val="34"/>
  </w:num>
  <w:num w:numId="5" w16cid:durableId="883251880">
    <w:abstractNumId w:val="16"/>
  </w:num>
  <w:num w:numId="6" w16cid:durableId="1332684271">
    <w:abstractNumId w:val="22"/>
  </w:num>
  <w:num w:numId="7" w16cid:durableId="813059287">
    <w:abstractNumId w:val="7"/>
  </w:num>
  <w:num w:numId="8" w16cid:durableId="1253931450">
    <w:abstractNumId w:val="2"/>
  </w:num>
  <w:num w:numId="9" w16cid:durableId="1778325317">
    <w:abstractNumId w:val="37"/>
  </w:num>
  <w:num w:numId="10" w16cid:durableId="26101726">
    <w:abstractNumId w:val="0"/>
  </w:num>
  <w:num w:numId="11" w16cid:durableId="1092701770">
    <w:abstractNumId w:val="35"/>
  </w:num>
  <w:num w:numId="12" w16cid:durableId="379673109">
    <w:abstractNumId w:val="18"/>
  </w:num>
  <w:num w:numId="13" w16cid:durableId="1190531359">
    <w:abstractNumId w:val="24"/>
  </w:num>
  <w:num w:numId="14" w16cid:durableId="1182162043">
    <w:abstractNumId w:val="13"/>
  </w:num>
  <w:num w:numId="15" w16cid:durableId="673267177">
    <w:abstractNumId w:val="5"/>
  </w:num>
  <w:num w:numId="16" w16cid:durableId="1416786371">
    <w:abstractNumId w:val="3"/>
  </w:num>
  <w:num w:numId="17" w16cid:durableId="2003895579">
    <w:abstractNumId w:val="6"/>
  </w:num>
  <w:num w:numId="18" w16cid:durableId="1098792411">
    <w:abstractNumId w:val="19"/>
  </w:num>
  <w:num w:numId="19" w16cid:durableId="1886024163">
    <w:abstractNumId w:val="25"/>
  </w:num>
  <w:num w:numId="20" w16cid:durableId="1479766484">
    <w:abstractNumId w:val="28"/>
  </w:num>
  <w:num w:numId="21" w16cid:durableId="1254433589">
    <w:abstractNumId w:val="32"/>
  </w:num>
  <w:num w:numId="22" w16cid:durableId="1974672803">
    <w:abstractNumId w:val="20"/>
  </w:num>
  <w:num w:numId="23" w16cid:durableId="2053577462">
    <w:abstractNumId w:val="33"/>
  </w:num>
  <w:num w:numId="24" w16cid:durableId="2054428034">
    <w:abstractNumId w:val="31"/>
  </w:num>
  <w:num w:numId="25" w16cid:durableId="743574091">
    <w:abstractNumId w:val="1"/>
  </w:num>
  <w:num w:numId="26" w16cid:durableId="559249947">
    <w:abstractNumId w:val="12"/>
  </w:num>
  <w:num w:numId="27" w16cid:durableId="889921062">
    <w:abstractNumId w:val="23"/>
  </w:num>
  <w:num w:numId="28" w16cid:durableId="1618296095">
    <w:abstractNumId w:val="11"/>
  </w:num>
  <w:num w:numId="29" w16cid:durableId="345667994">
    <w:abstractNumId w:val="29"/>
  </w:num>
  <w:num w:numId="30" w16cid:durableId="1221988388">
    <w:abstractNumId w:val="4"/>
  </w:num>
  <w:num w:numId="31" w16cid:durableId="1959480818">
    <w:abstractNumId w:val="36"/>
  </w:num>
  <w:num w:numId="32" w16cid:durableId="270743149">
    <w:abstractNumId w:val="10"/>
  </w:num>
  <w:num w:numId="33" w16cid:durableId="555047122">
    <w:abstractNumId w:val="30"/>
  </w:num>
  <w:num w:numId="34" w16cid:durableId="1103955576">
    <w:abstractNumId w:val="26"/>
  </w:num>
  <w:num w:numId="35" w16cid:durableId="1685328504">
    <w:abstractNumId w:val="27"/>
  </w:num>
  <w:num w:numId="36" w16cid:durableId="1293638586">
    <w:abstractNumId w:val="17"/>
  </w:num>
  <w:num w:numId="37" w16cid:durableId="1482305152">
    <w:abstractNumId w:val="14"/>
  </w:num>
  <w:num w:numId="38" w16cid:durableId="11664789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814"/>
    <w:rsid w:val="00000B9E"/>
    <w:rsid w:val="000076E9"/>
    <w:rsid w:val="00022EA9"/>
    <w:rsid w:val="00030B71"/>
    <w:rsid w:val="0003595B"/>
    <w:rsid w:val="00036385"/>
    <w:rsid w:val="00051E1E"/>
    <w:rsid w:val="00054C56"/>
    <w:rsid w:val="00063DF8"/>
    <w:rsid w:val="00067F7E"/>
    <w:rsid w:val="000713CF"/>
    <w:rsid w:val="00075C14"/>
    <w:rsid w:val="00076BC6"/>
    <w:rsid w:val="00086662"/>
    <w:rsid w:val="00094B87"/>
    <w:rsid w:val="000A1146"/>
    <w:rsid w:val="000A1F8C"/>
    <w:rsid w:val="000A5418"/>
    <w:rsid w:val="000A754D"/>
    <w:rsid w:val="000B1E8C"/>
    <w:rsid w:val="000B595C"/>
    <w:rsid w:val="000B74AD"/>
    <w:rsid w:val="000C117A"/>
    <w:rsid w:val="000D7C75"/>
    <w:rsid w:val="000F27A9"/>
    <w:rsid w:val="000F517C"/>
    <w:rsid w:val="000F5540"/>
    <w:rsid w:val="00106B56"/>
    <w:rsid w:val="00111D6C"/>
    <w:rsid w:val="00116A59"/>
    <w:rsid w:val="00121C0A"/>
    <w:rsid w:val="00122653"/>
    <w:rsid w:val="00125217"/>
    <w:rsid w:val="00130A94"/>
    <w:rsid w:val="00131FCA"/>
    <w:rsid w:val="00133947"/>
    <w:rsid w:val="00134CC7"/>
    <w:rsid w:val="00135C32"/>
    <w:rsid w:val="00141A50"/>
    <w:rsid w:val="001433F1"/>
    <w:rsid w:val="001539DD"/>
    <w:rsid w:val="00154A42"/>
    <w:rsid w:val="0015531B"/>
    <w:rsid w:val="001620B8"/>
    <w:rsid w:val="00164353"/>
    <w:rsid w:val="00174592"/>
    <w:rsid w:val="00175BD2"/>
    <w:rsid w:val="0018114D"/>
    <w:rsid w:val="001832C2"/>
    <w:rsid w:val="001923E8"/>
    <w:rsid w:val="00196568"/>
    <w:rsid w:val="00197B92"/>
    <w:rsid w:val="001A1E1D"/>
    <w:rsid w:val="001A2F16"/>
    <w:rsid w:val="001A34FF"/>
    <w:rsid w:val="001B18C2"/>
    <w:rsid w:val="001C70C4"/>
    <w:rsid w:val="001D5D7E"/>
    <w:rsid w:val="001E323A"/>
    <w:rsid w:val="001E3B44"/>
    <w:rsid w:val="001F5947"/>
    <w:rsid w:val="0021588B"/>
    <w:rsid w:val="002216AC"/>
    <w:rsid w:val="002219FD"/>
    <w:rsid w:val="0023010A"/>
    <w:rsid w:val="00230738"/>
    <w:rsid w:val="00231831"/>
    <w:rsid w:val="002346B4"/>
    <w:rsid w:val="00234735"/>
    <w:rsid w:val="00237335"/>
    <w:rsid w:val="00241BCF"/>
    <w:rsid w:val="0025319C"/>
    <w:rsid w:val="00254A1B"/>
    <w:rsid w:val="002569EC"/>
    <w:rsid w:val="0026736F"/>
    <w:rsid w:val="00275ED2"/>
    <w:rsid w:val="0028454D"/>
    <w:rsid w:val="00286912"/>
    <w:rsid w:val="002877BF"/>
    <w:rsid w:val="00287A2A"/>
    <w:rsid w:val="00291C9E"/>
    <w:rsid w:val="002926D4"/>
    <w:rsid w:val="002A3B64"/>
    <w:rsid w:val="002C07DA"/>
    <w:rsid w:val="002C5450"/>
    <w:rsid w:val="002C597D"/>
    <w:rsid w:val="002C7EA9"/>
    <w:rsid w:val="002D0ABF"/>
    <w:rsid w:val="002D30E3"/>
    <w:rsid w:val="002F2F9A"/>
    <w:rsid w:val="003041E0"/>
    <w:rsid w:val="003131A3"/>
    <w:rsid w:val="003139A9"/>
    <w:rsid w:val="0033264F"/>
    <w:rsid w:val="00336A0D"/>
    <w:rsid w:val="00342F20"/>
    <w:rsid w:val="00343067"/>
    <w:rsid w:val="00350EC2"/>
    <w:rsid w:val="003540E0"/>
    <w:rsid w:val="003548C2"/>
    <w:rsid w:val="003714D8"/>
    <w:rsid w:val="0037421D"/>
    <w:rsid w:val="003809C7"/>
    <w:rsid w:val="003829E0"/>
    <w:rsid w:val="00386849"/>
    <w:rsid w:val="00391FA4"/>
    <w:rsid w:val="0039302B"/>
    <w:rsid w:val="003B03B2"/>
    <w:rsid w:val="003B06C7"/>
    <w:rsid w:val="003B6263"/>
    <w:rsid w:val="003B6428"/>
    <w:rsid w:val="003C64A7"/>
    <w:rsid w:val="003C7C96"/>
    <w:rsid w:val="003D25E1"/>
    <w:rsid w:val="003D2889"/>
    <w:rsid w:val="003D3FDA"/>
    <w:rsid w:val="003F6D48"/>
    <w:rsid w:val="00403CE4"/>
    <w:rsid w:val="00412DFC"/>
    <w:rsid w:val="00415D9F"/>
    <w:rsid w:val="00420822"/>
    <w:rsid w:val="0042126E"/>
    <w:rsid w:val="004260F9"/>
    <w:rsid w:val="004323BB"/>
    <w:rsid w:val="00433925"/>
    <w:rsid w:val="004404C0"/>
    <w:rsid w:val="00440BEE"/>
    <w:rsid w:val="00444170"/>
    <w:rsid w:val="0045458F"/>
    <w:rsid w:val="00455FD4"/>
    <w:rsid w:val="004633B4"/>
    <w:rsid w:val="00481297"/>
    <w:rsid w:val="00483317"/>
    <w:rsid w:val="00484A60"/>
    <w:rsid w:val="004854EE"/>
    <w:rsid w:val="004A4DE4"/>
    <w:rsid w:val="004B3553"/>
    <w:rsid w:val="004C6A6D"/>
    <w:rsid w:val="004D37BD"/>
    <w:rsid w:val="004E4CA4"/>
    <w:rsid w:val="004F733C"/>
    <w:rsid w:val="00503F7E"/>
    <w:rsid w:val="00515050"/>
    <w:rsid w:val="0051686D"/>
    <w:rsid w:val="005201CA"/>
    <w:rsid w:val="00521BF0"/>
    <w:rsid w:val="0052306B"/>
    <w:rsid w:val="00530E8C"/>
    <w:rsid w:val="00541FDB"/>
    <w:rsid w:val="005442A4"/>
    <w:rsid w:val="00545933"/>
    <w:rsid w:val="0054610B"/>
    <w:rsid w:val="0055339A"/>
    <w:rsid w:val="005549C9"/>
    <w:rsid w:val="00557544"/>
    <w:rsid w:val="005606F6"/>
    <w:rsid w:val="005614DC"/>
    <w:rsid w:val="00565109"/>
    <w:rsid w:val="00575CDC"/>
    <w:rsid w:val="00577C0A"/>
    <w:rsid w:val="00577D58"/>
    <w:rsid w:val="00587875"/>
    <w:rsid w:val="0059378B"/>
    <w:rsid w:val="005A38EE"/>
    <w:rsid w:val="005A63F4"/>
    <w:rsid w:val="005B1451"/>
    <w:rsid w:val="005B1E77"/>
    <w:rsid w:val="005B244E"/>
    <w:rsid w:val="005C5EB6"/>
    <w:rsid w:val="005D3914"/>
    <w:rsid w:val="005D6B2F"/>
    <w:rsid w:val="005E3896"/>
    <w:rsid w:val="00607E2B"/>
    <w:rsid w:val="006139D6"/>
    <w:rsid w:val="00623CE1"/>
    <w:rsid w:val="0063062B"/>
    <w:rsid w:val="006306D8"/>
    <w:rsid w:val="00632E18"/>
    <w:rsid w:val="00636BAD"/>
    <w:rsid w:val="0066388B"/>
    <w:rsid w:val="00665067"/>
    <w:rsid w:val="00667229"/>
    <w:rsid w:val="0067193C"/>
    <w:rsid w:val="00675B5A"/>
    <w:rsid w:val="00675C15"/>
    <w:rsid w:val="00675C31"/>
    <w:rsid w:val="006769C2"/>
    <w:rsid w:val="00682BE5"/>
    <w:rsid w:val="006843DA"/>
    <w:rsid w:val="0068538E"/>
    <w:rsid w:val="00690FED"/>
    <w:rsid w:val="006939A5"/>
    <w:rsid w:val="00693BDD"/>
    <w:rsid w:val="00693E98"/>
    <w:rsid w:val="006A15A4"/>
    <w:rsid w:val="006A6667"/>
    <w:rsid w:val="006B6778"/>
    <w:rsid w:val="006C2D39"/>
    <w:rsid w:val="006D2799"/>
    <w:rsid w:val="006E12FC"/>
    <w:rsid w:val="006F375E"/>
    <w:rsid w:val="006F6AEE"/>
    <w:rsid w:val="00701A8A"/>
    <w:rsid w:val="00703B0F"/>
    <w:rsid w:val="00705E61"/>
    <w:rsid w:val="00712451"/>
    <w:rsid w:val="00731041"/>
    <w:rsid w:val="0073241A"/>
    <w:rsid w:val="00732F08"/>
    <w:rsid w:val="007350E2"/>
    <w:rsid w:val="00736325"/>
    <w:rsid w:val="0074190C"/>
    <w:rsid w:val="0074272D"/>
    <w:rsid w:val="00762576"/>
    <w:rsid w:val="00762EDD"/>
    <w:rsid w:val="00791060"/>
    <w:rsid w:val="00791F20"/>
    <w:rsid w:val="007A1BDE"/>
    <w:rsid w:val="007A3E29"/>
    <w:rsid w:val="007B3299"/>
    <w:rsid w:val="007B3D18"/>
    <w:rsid w:val="007B464D"/>
    <w:rsid w:val="007B5626"/>
    <w:rsid w:val="007B5E37"/>
    <w:rsid w:val="007C0776"/>
    <w:rsid w:val="007C78A2"/>
    <w:rsid w:val="007D29E5"/>
    <w:rsid w:val="007E1FDD"/>
    <w:rsid w:val="007E7497"/>
    <w:rsid w:val="007F08FF"/>
    <w:rsid w:val="007F1651"/>
    <w:rsid w:val="007F6A75"/>
    <w:rsid w:val="00803C99"/>
    <w:rsid w:val="0080570B"/>
    <w:rsid w:val="008148E1"/>
    <w:rsid w:val="00816F4E"/>
    <w:rsid w:val="00827E4D"/>
    <w:rsid w:val="00831716"/>
    <w:rsid w:val="008319BF"/>
    <w:rsid w:val="008337EA"/>
    <w:rsid w:val="00850E1C"/>
    <w:rsid w:val="008560A3"/>
    <w:rsid w:val="00870944"/>
    <w:rsid w:val="008757C6"/>
    <w:rsid w:val="00880A73"/>
    <w:rsid w:val="008950FB"/>
    <w:rsid w:val="00897521"/>
    <w:rsid w:val="00897585"/>
    <w:rsid w:val="00897849"/>
    <w:rsid w:val="008A423E"/>
    <w:rsid w:val="008A73CD"/>
    <w:rsid w:val="008C2593"/>
    <w:rsid w:val="008D084B"/>
    <w:rsid w:val="008D0E09"/>
    <w:rsid w:val="008D74F3"/>
    <w:rsid w:val="008E3821"/>
    <w:rsid w:val="008F2153"/>
    <w:rsid w:val="008F301D"/>
    <w:rsid w:val="009020C5"/>
    <w:rsid w:val="00904345"/>
    <w:rsid w:val="00906EE4"/>
    <w:rsid w:val="00925283"/>
    <w:rsid w:val="009350C2"/>
    <w:rsid w:val="009459C5"/>
    <w:rsid w:val="009475A9"/>
    <w:rsid w:val="00953737"/>
    <w:rsid w:val="00972289"/>
    <w:rsid w:val="0097693B"/>
    <w:rsid w:val="00981CFB"/>
    <w:rsid w:val="0098205A"/>
    <w:rsid w:val="00992887"/>
    <w:rsid w:val="00993355"/>
    <w:rsid w:val="009A46BF"/>
    <w:rsid w:val="009A48BB"/>
    <w:rsid w:val="009A4A6D"/>
    <w:rsid w:val="009B2825"/>
    <w:rsid w:val="009B6B76"/>
    <w:rsid w:val="009B74AC"/>
    <w:rsid w:val="009C0B35"/>
    <w:rsid w:val="009C361C"/>
    <w:rsid w:val="009C369F"/>
    <w:rsid w:val="009C6A89"/>
    <w:rsid w:val="009F0440"/>
    <w:rsid w:val="00A02771"/>
    <w:rsid w:val="00A0503B"/>
    <w:rsid w:val="00A13265"/>
    <w:rsid w:val="00A20980"/>
    <w:rsid w:val="00A26A02"/>
    <w:rsid w:val="00A31185"/>
    <w:rsid w:val="00A33EAF"/>
    <w:rsid w:val="00A4051B"/>
    <w:rsid w:val="00A502B0"/>
    <w:rsid w:val="00A61885"/>
    <w:rsid w:val="00A64737"/>
    <w:rsid w:val="00A65EFF"/>
    <w:rsid w:val="00A71136"/>
    <w:rsid w:val="00A75559"/>
    <w:rsid w:val="00A81D68"/>
    <w:rsid w:val="00A85814"/>
    <w:rsid w:val="00AA1976"/>
    <w:rsid w:val="00AA2D8E"/>
    <w:rsid w:val="00AA474C"/>
    <w:rsid w:val="00AB0EAD"/>
    <w:rsid w:val="00AB2572"/>
    <w:rsid w:val="00AC19BB"/>
    <w:rsid w:val="00AC428A"/>
    <w:rsid w:val="00AD7E5F"/>
    <w:rsid w:val="00AE21E5"/>
    <w:rsid w:val="00AF6E67"/>
    <w:rsid w:val="00B01AA1"/>
    <w:rsid w:val="00B13F42"/>
    <w:rsid w:val="00B174C9"/>
    <w:rsid w:val="00B24089"/>
    <w:rsid w:val="00B30C81"/>
    <w:rsid w:val="00B34275"/>
    <w:rsid w:val="00B3474C"/>
    <w:rsid w:val="00B36F86"/>
    <w:rsid w:val="00B4793B"/>
    <w:rsid w:val="00B5283B"/>
    <w:rsid w:val="00B54758"/>
    <w:rsid w:val="00B66740"/>
    <w:rsid w:val="00B842B7"/>
    <w:rsid w:val="00B93185"/>
    <w:rsid w:val="00B97AC9"/>
    <w:rsid w:val="00BB785B"/>
    <w:rsid w:val="00BB7E96"/>
    <w:rsid w:val="00BC7506"/>
    <w:rsid w:val="00BF2E11"/>
    <w:rsid w:val="00C15633"/>
    <w:rsid w:val="00C15799"/>
    <w:rsid w:val="00C20F4D"/>
    <w:rsid w:val="00C256E8"/>
    <w:rsid w:val="00C26745"/>
    <w:rsid w:val="00C357AD"/>
    <w:rsid w:val="00C3644A"/>
    <w:rsid w:val="00C42C20"/>
    <w:rsid w:val="00C512AD"/>
    <w:rsid w:val="00C6069C"/>
    <w:rsid w:val="00C60F9F"/>
    <w:rsid w:val="00C63F56"/>
    <w:rsid w:val="00C73F61"/>
    <w:rsid w:val="00C75357"/>
    <w:rsid w:val="00C75805"/>
    <w:rsid w:val="00C83899"/>
    <w:rsid w:val="00C85119"/>
    <w:rsid w:val="00C96AE8"/>
    <w:rsid w:val="00CC407A"/>
    <w:rsid w:val="00CC56C6"/>
    <w:rsid w:val="00CD5431"/>
    <w:rsid w:val="00CD65EC"/>
    <w:rsid w:val="00CE6DD9"/>
    <w:rsid w:val="00CF1EB2"/>
    <w:rsid w:val="00CF2491"/>
    <w:rsid w:val="00CF2CBA"/>
    <w:rsid w:val="00CF3030"/>
    <w:rsid w:val="00CF5DDC"/>
    <w:rsid w:val="00D118F9"/>
    <w:rsid w:val="00D1252E"/>
    <w:rsid w:val="00D12CE1"/>
    <w:rsid w:val="00D2444D"/>
    <w:rsid w:val="00D26EAE"/>
    <w:rsid w:val="00D31452"/>
    <w:rsid w:val="00D46E6A"/>
    <w:rsid w:val="00D500B1"/>
    <w:rsid w:val="00D52BD9"/>
    <w:rsid w:val="00D5307B"/>
    <w:rsid w:val="00D57772"/>
    <w:rsid w:val="00D651AB"/>
    <w:rsid w:val="00D72AE3"/>
    <w:rsid w:val="00D75A4D"/>
    <w:rsid w:val="00D8478B"/>
    <w:rsid w:val="00D84CEE"/>
    <w:rsid w:val="00D86151"/>
    <w:rsid w:val="00D91215"/>
    <w:rsid w:val="00D96B5E"/>
    <w:rsid w:val="00DA3CC4"/>
    <w:rsid w:val="00DA7595"/>
    <w:rsid w:val="00DB0A68"/>
    <w:rsid w:val="00DB13B0"/>
    <w:rsid w:val="00DB16E3"/>
    <w:rsid w:val="00DB2A76"/>
    <w:rsid w:val="00DB4A1C"/>
    <w:rsid w:val="00DC43A3"/>
    <w:rsid w:val="00DD7C09"/>
    <w:rsid w:val="00DE47F5"/>
    <w:rsid w:val="00DE54CF"/>
    <w:rsid w:val="00DF791C"/>
    <w:rsid w:val="00E0124F"/>
    <w:rsid w:val="00E01EFE"/>
    <w:rsid w:val="00E02E0D"/>
    <w:rsid w:val="00E06286"/>
    <w:rsid w:val="00E10B8E"/>
    <w:rsid w:val="00E17376"/>
    <w:rsid w:val="00E23D98"/>
    <w:rsid w:val="00E403B9"/>
    <w:rsid w:val="00E40B72"/>
    <w:rsid w:val="00E5341E"/>
    <w:rsid w:val="00E545D9"/>
    <w:rsid w:val="00E63721"/>
    <w:rsid w:val="00E65FC2"/>
    <w:rsid w:val="00E674D3"/>
    <w:rsid w:val="00E70FD0"/>
    <w:rsid w:val="00E71085"/>
    <w:rsid w:val="00E80263"/>
    <w:rsid w:val="00EA7027"/>
    <w:rsid w:val="00EB2081"/>
    <w:rsid w:val="00EC249E"/>
    <w:rsid w:val="00ED47F9"/>
    <w:rsid w:val="00EE3496"/>
    <w:rsid w:val="00EF2406"/>
    <w:rsid w:val="00EF7A41"/>
    <w:rsid w:val="00F00257"/>
    <w:rsid w:val="00F14845"/>
    <w:rsid w:val="00F27A79"/>
    <w:rsid w:val="00F5332C"/>
    <w:rsid w:val="00F5474A"/>
    <w:rsid w:val="00F55E0A"/>
    <w:rsid w:val="00F626B7"/>
    <w:rsid w:val="00F650EB"/>
    <w:rsid w:val="00F71226"/>
    <w:rsid w:val="00F71D0B"/>
    <w:rsid w:val="00F84067"/>
    <w:rsid w:val="00F871F5"/>
    <w:rsid w:val="00FA6F78"/>
    <w:rsid w:val="00FB297A"/>
    <w:rsid w:val="00FC156A"/>
    <w:rsid w:val="00FC7A38"/>
    <w:rsid w:val="00FE3DE5"/>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6BA785"/>
  <w15:docId w15:val="{C760176B-1BDD-4572-B6B3-4AD281AC5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qFormat/>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styleId="CommentReference">
    <w:name w:val="annotation reference"/>
    <w:basedOn w:val="DefaultParagraphFont"/>
    <w:uiPriority w:val="99"/>
    <w:semiHidden/>
    <w:unhideWhenUsed/>
    <w:rsid w:val="00FB297A"/>
    <w:rPr>
      <w:sz w:val="18"/>
      <w:szCs w:val="18"/>
    </w:rPr>
  </w:style>
  <w:style w:type="paragraph" w:styleId="CommentText">
    <w:name w:val="annotation text"/>
    <w:basedOn w:val="Normal"/>
    <w:link w:val="CommentTextChar"/>
    <w:uiPriority w:val="99"/>
    <w:unhideWhenUsed/>
    <w:rsid w:val="00FB297A"/>
  </w:style>
  <w:style w:type="character" w:customStyle="1" w:styleId="CommentTextChar">
    <w:name w:val="Comment Text Char"/>
    <w:basedOn w:val="DefaultParagraphFont"/>
    <w:link w:val="CommentText"/>
    <w:uiPriority w:val="99"/>
    <w:rsid w:val="00FB297A"/>
    <w:rPr>
      <w:rFonts w:eastAsia="BatangChe"/>
      <w:sz w:val="24"/>
      <w:szCs w:val="24"/>
    </w:rPr>
  </w:style>
  <w:style w:type="paragraph" w:styleId="Revision">
    <w:name w:val="Revision"/>
    <w:hidden/>
    <w:uiPriority w:val="99"/>
    <w:semiHidden/>
    <w:rsid w:val="00701A8A"/>
    <w:rPr>
      <w:rFonts w:eastAsia="BatangChe"/>
      <w:sz w:val="24"/>
      <w:szCs w:val="24"/>
    </w:rPr>
  </w:style>
  <w:style w:type="character" w:styleId="UnresolvedMention">
    <w:name w:val="Unresolved Mention"/>
    <w:basedOn w:val="DefaultParagraphFont"/>
    <w:uiPriority w:val="99"/>
    <w:semiHidden/>
    <w:unhideWhenUsed/>
    <w:rsid w:val="009350C2"/>
    <w:rPr>
      <w:color w:val="605E5C"/>
      <w:shd w:val="clear" w:color="auto" w:fill="E1DFDD"/>
    </w:rPr>
  </w:style>
  <w:style w:type="paragraph" w:styleId="Caption">
    <w:name w:val="caption"/>
    <w:basedOn w:val="Normal"/>
    <w:next w:val="Normal"/>
    <w:unhideWhenUsed/>
    <w:qFormat/>
    <w:rsid w:val="002C597D"/>
    <w:pPr>
      <w:spacing w:after="200"/>
    </w:pPr>
    <w:rPr>
      <w:i/>
      <w:iCs/>
      <w:color w:val="1F497D" w:themeColor="text2"/>
      <w:sz w:val="18"/>
      <w:szCs w:val="18"/>
    </w:rPr>
  </w:style>
  <w:style w:type="character" w:styleId="PlaceholderText">
    <w:name w:val="Placeholder Text"/>
    <w:basedOn w:val="DefaultParagraphFont"/>
    <w:uiPriority w:val="99"/>
    <w:semiHidden/>
    <w:rsid w:val="002C597D"/>
    <w:rPr>
      <w:color w:val="808080"/>
    </w:rPr>
  </w:style>
  <w:style w:type="character" w:customStyle="1" w:styleId="sub-heading3">
    <w:name w:val="sub-heading3"/>
    <w:basedOn w:val="DefaultParagraphFont"/>
    <w:rsid w:val="002C597D"/>
    <w:rPr>
      <w:rFonts w:ascii="open_sansbold" w:hAnsi="open_sansbold" w:hint="default"/>
      <w:sz w:val="27"/>
      <w:szCs w:val="27"/>
    </w:rPr>
  </w:style>
  <w:style w:type="character" w:customStyle="1" w:styleId="1">
    <w:name w:val="未解決のメンション1"/>
    <w:basedOn w:val="DefaultParagraphFont"/>
    <w:uiPriority w:val="99"/>
    <w:semiHidden/>
    <w:unhideWhenUsed/>
    <w:rsid w:val="002C597D"/>
    <w:rPr>
      <w:color w:val="605E5C"/>
      <w:shd w:val="clear" w:color="auto" w:fill="E1DFDD"/>
    </w:rPr>
  </w:style>
  <w:style w:type="paragraph" w:styleId="CommentSubject">
    <w:name w:val="annotation subject"/>
    <w:basedOn w:val="CommentText"/>
    <w:next w:val="CommentText"/>
    <w:link w:val="CommentSubjectChar"/>
    <w:semiHidden/>
    <w:unhideWhenUsed/>
    <w:rsid w:val="002C597D"/>
    <w:rPr>
      <w:b/>
      <w:bCs/>
    </w:rPr>
  </w:style>
  <w:style w:type="character" w:customStyle="1" w:styleId="CommentSubjectChar">
    <w:name w:val="Comment Subject Char"/>
    <w:basedOn w:val="CommentTextChar"/>
    <w:link w:val="CommentSubject"/>
    <w:semiHidden/>
    <w:rsid w:val="002C597D"/>
    <w:rPr>
      <w:rFonts w:eastAsia="BatangChe"/>
      <w:b/>
      <w:bCs/>
      <w:sz w:val="24"/>
      <w:szCs w:val="24"/>
    </w:rPr>
  </w:style>
  <w:style w:type="paragraph" w:customStyle="1" w:styleId="IEICE">
    <w:name w:val="IEICE本文"/>
    <w:rsid w:val="002C597D"/>
    <w:pPr>
      <w:adjustRightInd w:val="0"/>
      <w:spacing w:line="240" w:lineRule="exact"/>
      <w:ind w:firstLine="180"/>
      <w:jc w:val="both"/>
      <w:textAlignment w:val="baseline"/>
    </w:pPr>
    <w:rPr>
      <w:rFonts w:eastAsia="MS Mincho"/>
      <w:sz w:val="18"/>
      <w:lang w:eastAsia="ja-JP"/>
    </w:rPr>
  </w:style>
  <w:style w:type="paragraph" w:styleId="EndnoteText">
    <w:name w:val="endnote text"/>
    <w:basedOn w:val="Normal"/>
    <w:link w:val="EndnoteTextChar"/>
    <w:semiHidden/>
    <w:unhideWhenUsed/>
    <w:rsid w:val="002C597D"/>
    <w:pPr>
      <w:snapToGrid w:val="0"/>
    </w:pPr>
  </w:style>
  <w:style w:type="character" w:customStyle="1" w:styleId="EndnoteTextChar">
    <w:name w:val="Endnote Text Char"/>
    <w:basedOn w:val="DefaultParagraphFont"/>
    <w:link w:val="EndnoteText"/>
    <w:semiHidden/>
    <w:rsid w:val="002C597D"/>
    <w:rPr>
      <w:rFonts w:eastAsia="BatangChe"/>
      <w:sz w:val="24"/>
      <w:szCs w:val="24"/>
    </w:rPr>
  </w:style>
  <w:style w:type="character" w:styleId="EndnoteReference">
    <w:name w:val="endnote reference"/>
    <w:basedOn w:val="DefaultParagraphFont"/>
    <w:semiHidden/>
    <w:unhideWhenUsed/>
    <w:rsid w:val="002C59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wmf"/><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emf"/><Relationship Id="rId35" Type="http://schemas.openxmlformats.org/officeDocument/2006/relationships/image" Target="media/image27.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gif"/><Relationship Id="rId33" Type="http://schemas.openxmlformats.org/officeDocument/2006/relationships/image" Target="media/image25.emf"/><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3EA4D6DF8BA409C329C09D9409752" ma:contentTypeVersion="11" ma:contentTypeDescription="Create a new document." ma:contentTypeScope="" ma:versionID="7963565e78373a5fba0f7c6769f0fac7">
  <xsd:schema xmlns:xsd="http://www.w3.org/2001/XMLSchema" xmlns:xs="http://www.w3.org/2001/XMLSchema" xmlns:p="http://schemas.microsoft.com/office/2006/metadata/properties" xmlns:ns2="d6bbd7c0-75ef-49b8-a1aa-2a05e174427a" xmlns:ns3="dec260a8-2c91-44a3-87e7-93526cb8b782" targetNamespace="http://schemas.microsoft.com/office/2006/metadata/properties" ma:root="true" ma:fieldsID="e20cafbb044b1df35fc8e6748ccde2e8" ns2:_="" ns3:_="">
    <xsd:import namespace="d6bbd7c0-75ef-49b8-a1aa-2a05e174427a"/>
    <xsd:import namespace="dec260a8-2c91-44a3-87e7-93526cb8b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bd7c0-75ef-49b8-a1aa-2a05e1744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f8a4516-4c1b-40a3-af95-dae598a73ad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c260a8-2c91-44a3-87e7-93526cb8b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731c3df-c60d-4200-9c99-cb8127555144}" ma:internalName="TaxCatchAll" ma:showField="CatchAllData" ma:web="dec260a8-2c91-44a3-87e7-93526cb8b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34DD37-D22D-4F57-907A-84B874D66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bd7c0-75ef-49b8-a1aa-2a05e174427a"/>
    <ds:schemaRef ds:uri="dec260a8-2c91-44a3-87e7-93526cb8b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10F541-078A-40D2-9D12-2C836FFB20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AWG-28 Document Template</Template>
  <TotalTime>40</TotalTime>
  <Pages>26</Pages>
  <Words>5893</Words>
  <Characters>33594</Characters>
  <Application>Microsoft Office Word</Application>
  <DocSecurity>0</DocSecurity>
  <Lines>279</Lines>
  <Paragraphs>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SATOH</Company>
  <LinksUpToDate>false</LinksUpToDate>
  <CharactersWithSpaces>39409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 Secretariat</dc:creator>
  <cp:lastModifiedBy>Tawhid Hussain</cp:lastModifiedBy>
  <cp:revision>13</cp:revision>
  <cp:lastPrinted>2004-07-28T02:14:00Z</cp:lastPrinted>
  <dcterms:created xsi:type="dcterms:W3CDTF">2023-05-24T09:06:00Z</dcterms:created>
  <dcterms:modified xsi:type="dcterms:W3CDTF">2023-05-31T15:12:00Z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0ea235ab57313c632f4b034c7466e307b17708de1a0a355f5d352ec75cc8850c</vt:lpwstr>
  </property>
</Properties>
</file>