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F10FE5" w:rsidRPr="00891D0B" w14:paraId="3E65FB5C" w14:textId="77777777" w:rsidTr="00F374FF">
        <w:trPr>
          <w:cantSplit/>
          <w:trHeight w:val="288"/>
        </w:trPr>
        <w:tc>
          <w:tcPr>
            <w:tcW w:w="1399" w:type="dxa"/>
            <w:vMerge w:val="restart"/>
          </w:tcPr>
          <w:p w14:paraId="23BCA440" w14:textId="77777777" w:rsidR="00F10FE5" w:rsidRPr="00891D0B" w:rsidRDefault="00F10FE5" w:rsidP="00F374F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76EB354" wp14:editId="2CE2612D">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16F5F19C" w14:textId="77777777" w:rsidR="00F10FE5" w:rsidRPr="00891D0B" w:rsidRDefault="00F10FE5" w:rsidP="00F374FF">
            <w:pPr>
              <w:rPr>
                <w:sz w:val="22"/>
                <w:szCs w:val="22"/>
              </w:rPr>
            </w:pPr>
            <w:r w:rsidRPr="00891D0B">
              <w:rPr>
                <w:sz w:val="22"/>
                <w:szCs w:val="22"/>
              </w:rPr>
              <w:t>ASIA-PACIFIC TELECOMMUNITY</w:t>
            </w:r>
          </w:p>
        </w:tc>
        <w:tc>
          <w:tcPr>
            <w:tcW w:w="2160" w:type="dxa"/>
          </w:tcPr>
          <w:p w14:paraId="7442B6A6" w14:textId="77777777" w:rsidR="00F10FE5" w:rsidRPr="00891D0B" w:rsidRDefault="00F10FE5" w:rsidP="00F374FF">
            <w:pPr>
              <w:pStyle w:val="Heading8"/>
              <w:rPr>
                <w:sz w:val="24"/>
                <w:szCs w:val="24"/>
              </w:rPr>
            </w:pPr>
            <w:r w:rsidRPr="001026CF">
              <w:rPr>
                <w:sz w:val="24"/>
                <w:szCs w:val="24"/>
              </w:rPr>
              <w:t>Document No:</w:t>
            </w:r>
          </w:p>
        </w:tc>
      </w:tr>
      <w:tr w:rsidR="00F10FE5" w:rsidRPr="007E1FDD" w14:paraId="2CE8C89A" w14:textId="77777777" w:rsidTr="00F374FF">
        <w:trPr>
          <w:cantSplit/>
          <w:trHeight w:val="504"/>
        </w:trPr>
        <w:tc>
          <w:tcPr>
            <w:tcW w:w="1399" w:type="dxa"/>
            <w:vMerge/>
          </w:tcPr>
          <w:p w14:paraId="6968D867" w14:textId="77777777" w:rsidR="00F10FE5" w:rsidRPr="00891D0B" w:rsidRDefault="00F10FE5" w:rsidP="00F374FF"/>
        </w:tc>
        <w:tc>
          <w:tcPr>
            <w:tcW w:w="5760" w:type="dxa"/>
            <w:vAlign w:val="center"/>
          </w:tcPr>
          <w:p w14:paraId="7DE80583" w14:textId="1753B9EB" w:rsidR="00F10FE5" w:rsidRPr="00E14040" w:rsidRDefault="00F10FE5" w:rsidP="00F374FF">
            <w:pPr>
              <w:rPr>
                <w:b/>
              </w:rPr>
            </w:pPr>
            <w:r>
              <w:rPr>
                <w:b/>
              </w:rPr>
              <w:t>The Meeting of the SATRC Working Group on</w:t>
            </w:r>
            <w:r w:rsidR="00E14040">
              <w:rPr>
                <w:b/>
              </w:rPr>
              <w:t xml:space="preserve"> Spectrum</w:t>
            </w:r>
          </w:p>
        </w:tc>
        <w:tc>
          <w:tcPr>
            <w:tcW w:w="2160" w:type="dxa"/>
          </w:tcPr>
          <w:p w14:paraId="49285F9C" w14:textId="07F1C97B" w:rsidR="00F10FE5" w:rsidRPr="007E1FDD" w:rsidRDefault="00F10FE5" w:rsidP="00F374FF">
            <w:pPr>
              <w:rPr>
                <w:b/>
                <w:bCs/>
                <w:lang w:val="en-GB"/>
              </w:rPr>
            </w:pPr>
            <w:r w:rsidRPr="001026CF">
              <w:rPr>
                <w:b/>
                <w:bCs/>
                <w:lang w:val="en-GB"/>
              </w:rPr>
              <w:t>SAPVII</w:t>
            </w:r>
            <w:r>
              <w:rPr>
                <w:b/>
                <w:bCs/>
                <w:lang w:val="en-GB"/>
              </w:rPr>
              <w:t>I</w:t>
            </w:r>
            <w:r w:rsidRPr="001026CF">
              <w:rPr>
                <w:b/>
                <w:bCs/>
                <w:lang w:val="en-GB"/>
              </w:rPr>
              <w:t>-</w:t>
            </w:r>
            <w:r w:rsidR="00E14040">
              <w:rPr>
                <w:b/>
                <w:bCs/>
                <w:lang w:val="en-GB"/>
              </w:rPr>
              <w:t>SPEC</w:t>
            </w:r>
            <w:r w:rsidRPr="001026CF">
              <w:rPr>
                <w:b/>
                <w:bCs/>
                <w:lang w:val="en-GB"/>
              </w:rPr>
              <w:t xml:space="preserve">1/ </w:t>
            </w:r>
            <w:r w:rsidR="00F21FFC">
              <w:rPr>
                <w:b/>
                <w:bCs/>
                <w:lang w:val="en-GB"/>
              </w:rPr>
              <w:t>OUT</w:t>
            </w:r>
            <w:r w:rsidRPr="001026CF">
              <w:rPr>
                <w:b/>
                <w:bCs/>
                <w:lang w:val="en-GB"/>
              </w:rPr>
              <w:t>-</w:t>
            </w:r>
            <w:r w:rsidR="00016C72">
              <w:rPr>
                <w:b/>
                <w:bCs/>
                <w:lang w:val="en-GB"/>
              </w:rPr>
              <w:t>0</w:t>
            </w:r>
            <w:r w:rsidR="006B4DA7">
              <w:rPr>
                <w:b/>
                <w:bCs/>
                <w:lang w:val="en-GB"/>
              </w:rPr>
              <w:t>6</w:t>
            </w:r>
          </w:p>
        </w:tc>
      </w:tr>
      <w:tr w:rsidR="00F10FE5" w:rsidRPr="007E1FDD" w14:paraId="7D761E20" w14:textId="77777777" w:rsidTr="00F374FF">
        <w:trPr>
          <w:cantSplit/>
          <w:trHeight w:val="288"/>
        </w:trPr>
        <w:tc>
          <w:tcPr>
            <w:tcW w:w="1399" w:type="dxa"/>
            <w:vMerge/>
          </w:tcPr>
          <w:p w14:paraId="7964891E" w14:textId="77777777" w:rsidR="00F10FE5" w:rsidRPr="007E1FDD" w:rsidRDefault="00F10FE5" w:rsidP="00F374FF">
            <w:pPr>
              <w:rPr>
                <w:lang w:val="en-GB"/>
              </w:rPr>
            </w:pPr>
          </w:p>
        </w:tc>
        <w:tc>
          <w:tcPr>
            <w:tcW w:w="5760" w:type="dxa"/>
            <w:vAlign w:val="bottom"/>
          </w:tcPr>
          <w:p w14:paraId="20ED478D" w14:textId="46E88240" w:rsidR="00F10FE5" w:rsidRPr="00712451" w:rsidRDefault="00F10FE5" w:rsidP="00F374FF">
            <w:pPr>
              <w:rPr>
                <w:b/>
              </w:rPr>
            </w:pPr>
            <w:r>
              <w:t>2</w:t>
            </w:r>
            <w:r w:rsidR="00E14040">
              <w:t>1</w:t>
            </w:r>
            <w:r>
              <w:t xml:space="preserve"> – 2</w:t>
            </w:r>
            <w:r w:rsidR="00E14040">
              <w:t>3</w:t>
            </w:r>
            <w:r>
              <w:t xml:space="preserve"> </w:t>
            </w:r>
            <w:r w:rsidR="00E14040">
              <w:t>June</w:t>
            </w:r>
            <w:r>
              <w:t xml:space="preserve"> 2022</w:t>
            </w:r>
            <w:r w:rsidRPr="00891D0B">
              <w:t xml:space="preserve">, </w:t>
            </w:r>
            <w:r w:rsidR="00E14040">
              <w:t>New Delhi</w:t>
            </w:r>
            <w:r>
              <w:t xml:space="preserve">, </w:t>
            </w:r>
            <w:r w:rsidR="00E14040">
              <w:t>India</w:t>
            </w:r>
          </w:p>
        </w:tc>
        <w:tc>
          <w:tcPr>
            <w:tcW w:w="2160" w:type="dxa"/>
            <w:vAlign w:val="bottom"/>
          </w:tcPr>
          <w:p w14:paraId="49DEA53E" w14:textId="3FBFBADF" w:rsidR="00F10FE5" w:rsidRPr="007E1FDD" w:rsidRDefault="00016C72" w:rsidP="00F374FF">
            <w:r>
              <w:t>2</w:t>
            </w:r>
            <w:r w:rsidR="00962D81">
              <w:t>8</w:t>
            </w:r>
            <w:r w:rsidR="00F10FE5">
              <w:t xml:space="preserve"> </w:t>
            </w:r>
            <w:r w:rsidR="00E14040">
              <w:t>June</w:t>
            </w:r>
            <w:r w:rsidR="00F10FE5">
              <w:t xml:space="preserve"> 2022</w:t>
            </w:r>
          </w:p>
        </w:tc>
      </w:tr>
    </w:tbl>
    <w:p w14:paraId="6C841820" w14:textId="77777777" w:rsidR="000925AA" w:rsidRDefault="000925AA" w:rsidP="00B9675A">
      <w:pPr>
        <w:rPr>
          <w:lang w:eastAsia="ko-KR"/>
        </w:rPr>
      </w:pPr>
    </w:p>
    <w:p w14:paraId="46C4E459" w14:textId="77777777" w:rsidR="000925AA" w:rsidRDefault="000925AA" w:rsidP="00DA7595">
      <w:pPr>
        <w:jc w:val="center"/>
        <w:rPr>
          <w:lang w:eastAsia="ko-KR"/>
        </w:rPr>
      </w:pPr>
    </w:p>
    <w:p w14:paraId="68624502" w14:textId="455ECF8A" w:rsidR="008F189A" w:rsidRPr="00B9675A" w:rsidRDefault="00022BEB" w:rsidP="00B9675A">
      <w:pPr>
        <w:jc w:val="center"/>
        <w:rPr>
          <w:lang w:eastAsia="ko-KR"/>
        </w:rPr>
      </w:pPr>
      <w:r>
        <w:rPr>
          <w:lang w:eastAsia="ko-KR"/>
        </w:rPr>
        <w:t>Working Group on Spectrum</w:t>
      </w:r>
    </w:p>
    <w:p w14:paraId="07CE5090" w14:textId="77777777" w:rsidR="000925AA" w:rsidRDefault="000925AA" w:rsidP="000925AA">
      <w:pPr>
        <w:jc w:val="both"/>
        <w:rPr>
          <w:b/>
          <w:bCs/>
        </w:rPr>
      </w:pPr>
    </w:p>
    <w:p w14:paraId="0126CEB5" w14:textId="3FA88F87" w:rsidR="000925AA" w:rsidRPr="00B9675A" w:rsidRDefault="00022BEB" w:rsidP="00B9675A">
      <w:pPr>
        <w:jc w:val="center"/>
        <w:rPr>
          <w:b/>
          <w:bCs/>
        </w:rPr>
      </w:pPr>
      <w:r>
        <w:rPr>
          <w:b/>
          <w:bCs/>
        </w:rPr>
        <w:t>WORKPL</w:t>
      </w:r>
      <w:r w:rsidR="005921D5">
        <w:rPr>
          <w:b/>
          <w:bCs/>
        </w:rPr>
        <w:t>A</w:t>
      </w:r>
      <w:r>
        <w:rPr>
          <w:b/>
          <w:bCs/>
        </w:rPr>
        <w:t xml:space="preserve">N </w:t>
      </w:r>
      <w:r w:rsidR="005921D5">
        <w:rPr>
          <w:b/>
          <w:bCs/>
        </w:rPr>
        <w:t>FOR</w:t>
      </w:r>
      <w:r w:rsidR="000925AA" w:rsidRPr="000925AA">
        <w:rPr>
          <w:b/>
          <w:bCs/>
        </w:rPr>
        <w:t xml:space="preserve"> THE WORK ITEMS </w:t>
      </w:r>
    </w:p>
    <w:p w14:paraId="1E763040" w14:textId="3725D387" w:rsidR="000925AA" w:rsidRDefault="000925AA" w:rsidP="000925AA"/>
    <w:p w14:paraId="4130B86F" w14:textId="77777777" w:rsidR="000925AA" w:rsidRPr="00050869" w:rsidRDefault="000925AA" w:rsidP="000925AA">
      <w:pPr>
        <w:rPr>
          <w:lang w:eastAsia="ko-KR"/>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09"/>
        <w:gridCol w:w="7088"/>
      </w:tblGrid>
      <w:tr w:rsidR="000925AA" w:rsidRPr="00EA199E" w14:paraId="0A5710B7" w14:textId="77777777" w:rsidTr="004F47D1">
        <w:trPr>
          <w:trHeight w:val="448"/>
        </w:trPr>
        <w:tc>
          <w:tcPr>
            <w:tcW w:w="2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CA3027" w14:textId="77777777" w:rsidR="000925AA" w:rsidRPr="00EA199E" w:rsidRDefault="000925AA" w:rsidP="004F47D1">
            <w:pPr>
              <w:snapToGrid w:val="0"/>
              <w:rPr>
                <w:lang w:val="en-AU"/>
              </w:rPr>
            </w:pPr>
            <w:r w:rsidRPr="00EA199E">
              <w:rPr>
                <w:b/>
                <w:lang w:val="en-AU"/>
              </w:rPr>
              <w:t>Work Item Title</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A613EB" w14:textId="77777777" w:rsidR="000925AA" w:rsidRPr="00EA199E" w:rsidRDefault="000925AA" w:rsidP="004F47D1">
            <w:pPr>
              <w:tabs>
                <w:tab w:val="left" w:pos="567"/>
                <w:tab w:val="left" w:pos="1134"/>
                <w:tab w:val="left" w:pos="1701"/>
                <w:tab w:val="left" w:pos="2268"/>
                <w:tab w:val="left" w:pos="2835"/>
              </w:tabs>
              <w:overflowPunct w:val="0"/>
              <w:autoSpaceDE w:val="0"/>
              <w:autoSpaceDN w:val="0"/>
              <w:adjustRightInd w:val="0"/>
              <w:rPr>
                <w:rFonts w:eastAsia="SimSun"/>
                <w:b/>
                <w:caps/>
                <w:lang w:val="en-GB" w:eastAsia="zh-CN"/>
              </w:rPr>
            </w:pPr>
            <w:r w:rsidRPr="00DF7FEA">
              <w:rPr>
                <w:rFonts w:eastAsia="Batang"/>
                <w:b/>
              </w:rPr>
              <w:t>Approaches towards spectrum harmonization for 5G bands</w:t>
            </w:r>
          </w:p>
        </w:tc>
      </w:tr>
      <w:tr w:rsidR="000925AA" w:rsidRPr="00EA199E" w14:paraId="2B538ABE" w14:textId="77777777" w:rsidTr="004F47D1">
        <w:trPr>
          <w:trHeight w:val="448"/>
        </w:trPr>
        <w:tc>
          <w:tcPr>
            <w:tcW w:w="2509" w:type="dxa"/>
            <w:tcBorders>
              <w:top w:val="single" w:sz="4" w:space="0" w:color="auto"/>
              <w:left w:val="single" w:sz="4" w:space="0" w:color="auto"/>
              <w:bottom w:val="single" w:sz="4" w:space="0" w:color="auto"/>
              <w:right w:val="single" w:sz="4" w:space="0" w:color="auto"/>
            </w:tcBorders>
            <w:shd w:val="clear" w:color="auto" w:fill="FFFFFF" w:themeFill="background1"/>
          </w:tcPr>
          <w:p w14:paraId="4928F726" w14:textId="1B00AC21" w:rsidR="000925AA" w:rsidRPr="00EA199E" w:rsidRDefault="00022BEB" w:rsidP="004F47D1">
            <w:pPr>
              <w:snapToGrid w:val="0"/>
              <w:rPr>
                <w:b/>
                <w:lang w:val="en-AU"/>
              </w:rPr>
            </w:pPr>
            <w:r w:rsidRPr="004F0EF2">
              <w:rPr>
                <w:rFonts w:eastAsia="Batang"/>
                <w:b/>
                <w:sz w:val="22"/>
                <w:szCs w:val="22"/>
              </w:rPr>
              <w:t>Rapporteur(s)</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14:paraId="439E4F43" w14:textId="4E8AC62F" w:rsidR="000925AA" w:rsidRPr="00016C72" w:rsidRDefault="00736CE8" w:rsidP="004F47D1">
            <w:pPr>
              <w:tabs>
                <w:tab w:val="left" w:pos="567"/>
                <w:tab w:val="left" w:pos="1134"/>
                <w:tab w:val="left" w:pos="1701"/>
                <w:tab w:val="left" w:pos="2268"/>
                <w:tab w:val="left" w:pos="2835"/>
              </w:tabs>
              <w:overflowPunct w:val="0"/>
              <w:autoSpaceDE w:val="0"/>
              <w:autoSpaceDN w:val="0"/>
              <w:adjustRightInd w:val="0"/>
              <w:rPr>
                <w:rFonts w:eastAsia="Batang"/>
                <w:bCs/>
              </w:rPr>
            </w:pPr>
            <w:r w:rsidRPr="00016C72">
              <w:rPr>
                <w:rFonts w:eastAsia="Batang"/>
                <w:bCs/>
              </w:rPr>
              <w:t xml:space="preserve">Ms. Roja Kiran Basukala (NTA) (Lead), Mr. Sonam Phuntsho (BICMA), Ms. Syeda Shafaq Karim (PTA) </w:t>
            </w:r>
          </w:p>
        </w:tc>
      </w:tr>
      <w:tr w:rsidR="000925AA" w:rsidRPr="00EA199E" w14:paraId="7C48A4F1" w14:textId="77777777" w:rsidTr="004F47D1">
        <w:trPr>
          <w:trHeight w:val="233"/>
        </w:trPr>
        <w:tc>
          <w:tcPr>
            <w:tcW w:w="2509" w:type="dxa"/>
            <w:tcBorders>
              <w:top w:val="single" w:sz="4" w:space="0" w:color="auto"/>
              <w:left w:val="single" w:sz="4" w:space="0" w:color="auto"/>
              <w:bottom w:val="single" w:sz="4" w:space="0" w:color="auto"/>
              <w:right w:val="single" w:sz="4" w:space="0" w:color="auto"/>
            </w:tcBorders>
            <w:hideMark/>
          </w:tcPr>
          <w:p w14:paraId="21DA9600" w14:textId="77777777" w:rsidR="000925AA" w:rsidRPr="00EA199E" w:rsidRDefault="000925AA" w:rsidP="004F47D1">
            <w:pPr>
              <w:snapToGrid w:val="0"/>
              <w:rPr>
                <w:rFonts w:eastAsia="휴먼명조"/>
                <w:b/>
                <w:color w:val="000000"/>
                <w:lang w:val="en-AU"/>
              </w:rPr>
            </w:pPr>
            <w:r w:rsidRPr="00EA199E">
              <w:rPr>
                <w:rFonts w:eastAsia="휴먼명조"/>
                <w:b/>
                <w:color w:val="000000"/>
                <w:lang w:val="en-AU"/>
              </w:rPr>
              <w:t>Output</w:t>
            </w:r>
          </w:p>
          <w:p w14:paraId="59B9501F" w14:textId="77777777" w:rsidR="000925AA" w:rsidRPr="00EA199E" w:rsidRDefault="000925AA" w:rsidP="004F47D1">
            <w:pPr>
              <w:snapToGrid w:val="0"/>
              <w:rPr>
                <w:rFonts w:eastAsia="휴먼명조"/>
                <w:b/>
                <w:color w:val="000000"/>
                <w:lang w:val="en-AU"/>
              </w:rPr>
            </w:pPr>
          </w:p>
        </w:tc>
        <w:tc>
          <w:tcPr>
            <w:tcW w:w="7088" w:type="dxa"/>
            <w:tcBorders>
              <w:top w:val="single" w:sz="4" w:space="0" w:color="auto"/>
              <w:left w:val="single" w:sz="4" w:space="0" w:color="auto"/>
              <w:bottom w:val="single" w:sz="4" w:space="0" w:color="auto"/>
              <w:right w:val="single" w:sz="4" w:space="0" w:color="auto"/>
            </w:tcBorders>
            <w:hideMark/>
          </w:tcPr>
          <w:p w14:paraId="35439219" w14:textId="5FB9520E" w:rsidR="000925AA" w:rsidRPr="00EA199E" w:rsidRDefault="000925AA" w:rsidP="004F47D1">
            <w:pPr>
              <w:overflowPunct w:val="0"/>
              <w:autoSpaceDE w:val="0"/>
              <w:autoSpaceDN w:val="0"/>
              <w:adjustRightInd w:val="0"/>
              <w:snapToGrid w:val="0"/>
              <w:textAlignment w:val="baseline"/>
              <w:rPr>
                <w:rFonts w:eastAsia="Times New Roman"/>
                <w:lang w:val="en-AU" w:eastAsia="zh-CN"/>
              </w:rPr>
            </w:pPr>
            <w:r w:rsidRPr="00EA199E">
              <w:rPr>
                <w:lang w:val="en-AU" w:eastAsia="ko-KR"/>
              </w:rPr>
              <w:t xml:space="preserve">Report </w:t>
            </w:r>
          </w:p>
        </w:tc>
      </w:tr>
      <w:tr w:rsidR="000925AA" w:rsidRPr="00EA199E" w14:paraId="64727B40" w14:textId="77777777" w:rsidTr="004F47D1">
        <w:trPr>
          <w:trHeight w:val="339"/>
        </w:trPr>
        <w:tc>
          <w:tcPr>
            <w:tcW w:w="2509" w:type="dxa"/>
            <w:tcBorders>
              <w:top w:val="single" w:sz="4" w:space="0" w:color="auto"/>
              <w:left w:val="single" w:sz="4" w:space="0" w:color="auto"/>
              <w:bottom w:val="single" w:sz="4" w:space="0" w:color="auto"/>
              <w:right w:val="single" w:sz="4" w:space="0" w:color="auto"/>
            </w:tcBorders>
            <w:hideMark/>
          </w:tcPr>
          <w:p w14:paraId="09ECA5EB" w14:textId="77777777" w:rsidR="000925AA" w:rsidRPr="00EA199E" w:rsidRDefault="000925AA" w:rsidP="004F47D1">
            <w:pPr>
              <w:snapToGrid w:val="0"/>
              <w:rPr>
                <w:rFonts w:eastAsia="휴먼명조"/>
                <w:b/>
                <w:color w:val="000000"/>
                <w:lang w:val="en-AU"/>
              </w:rPr>
            </w:pPr>
            <w:r w:rsidRPr="00EA199E">
              <w:rPr>
                <w:rFonts w:eastAsia="휴먼명조"/>
                <w:b/>
                <w:color w:val="000000"/>
                <w:lang w:val="en-AU"/>
              </w:rPr>
              <w:t>Background and Purpose</w:t>
            </w:r>
          </w:p>
          <w:p w14:paraId="56A5DF4B" w14:textId="77777777" w:rsidR="000925AA" w:rsidRPr="00EA199E" w:rsidRDefault="000925AA" w:rsidP="004F47D1">
            <w:pPr>
              <w:rPr>
                <w:rFonts w:eastAsia="휴먼명조"/>
                <w:lang w:val="en-AU"/>
              </w:rPr>
            </w:pPr>
          </w:p>
          <w:p w14:paraId="34741F8E" w14:textId="77777777" w:rsidR="000925AA" w:rsidRPr="00EA199E" w:rsidRDefault="000925AA" w:rsidP="004F47D1">
            <w:pPr>
              <w:rPr>
                <w:rFonts w:eastAsia="휴먼명조"/>
                <w:lang w:val="en-AU"/>
              </w:rPr>
            </w:pPr>
          </w:p>
          <w:p w14:paraId="65EB6639" w14:textId="77777777" w:rsidR="000925AA" w:rsidRPr="00EA199E" w:rsidRDefault="000925AA" w:rsidP="004F47D1">
            <w:pPr>
              <w:rPr>
                <w:rFonts w:eastAsia="휴먼명조"/>
                <w:lang w:val="en-AU"/>
              </w:rPr>
            </w:pPr>
          </w:p>
          <w:p w14:paraId="12BD782B" w14:textId="77777777" w:rsidR="000925AA" w:rsidRPr="00EA199E" w:rsidRDefault="000925AA" w:rsidP="004F47D1">
            <w:pPr>
              <w:jc w:val="right"/>
              <w:rPr>
                <w:rFonts w:eastAsia="휴먼명조"/>
                <w:lang w:val="en-AU"/>
              </w:rPr>
            </w:pPr>
          </w:p>
        </w:tc>
        <w:tc>
          <w:tcPr>
            <w:tcW w:w="7088" w:type="dxa"/>
            <w:tcBorders>
              <w:top w:val="single" w:sz="4" w:space="0" w:color="auto"/>
              <w:left w:val="single" w:sz="4" w:space="0" w:color="auto"/>
              <w:bottom w:val="single" w:sz="4" w:space="0" w:color="auto"/>
              <w:right w:val="single" w:sz="4" w:space="0" w:color="auto"/>
            </w:tcBorders>
            <w:hideMark/>
          </w:tcPr>
          <w:p w14:paraId="09B7CCD6" w14:textId="77777777" w:rsidR="000925AA" w:rsidRPr="00EA199E" w:rsidRDefault="000925AA" w:rsidP="004F47D1">
            <w:pPr>
              <w:jc w:val="both"/>
              <w:rPr>
                <w:rFonts w:eastAsia="Batang"/>
                <w:lang w:val="en-GB"/>
              </w:rPr>
            </w:pPr>
            <w:r w:rsidRPr="00EA199E">
              <w:rPr>
                <w:rFonts w:eastAsia="Batang"/>
                <w:lang w:val="en-GB"/>
              </w:rPr>
              <w:t xml:space="preserve">Access to several key spectrum frequency bands have been identified internationally as fundamental to the development of the world’s mobile industry. Meeting the rapid growth in demand for mobile voice and data services will require significant additional spectrum being allocated to mobile services. </w:t>
            </w:r>
          </w:p>
          <w:p w14:paraId="6B39DE98" w14:textId="77777777" w:rsidR="000925AA" w:rsidRPr="00EA199E" w:rsidRDefault="000925AA" w:rsidP="004F47D1">
            <w:pPr>
              <w:jc w:val="both"/>
              <w:rPr>
                <w:rFonts w:eastAsia="Batang"/>
                <w:lang w:val="en-GB"/>
              </w:rPr>
            </w:pPr>
            <w:r w:rsidRPr="00EA199E">
              <w:rPr>
                <w:rFonts w:eastAsia="Batang"/>
                <w:lang w:val="en-GB"/>
              </w:rPr>
              <w:t>5G is expected to support significantly faster mobile broadband speeds and increasingly extensive mobile data usage - as well as to enable the full potential of the Internet of Things. The speed, reach and quality of 5G services will be heavily dependent on regulators supporting timely access to the right amount and type of spectrum, and under the right conditions.</w:t>
            </w:r>
          </w:p>
          <w:p w14:paraId="261D578B" w14:textId="77777777" w:rsidR="000925AA" w:rsidRPr="00EA199E" w:rsidRDefault="000925AA" w:rsidP="004F47D1">
            <w:pPr>
              <w:rPr>
                <w:rFonts w:ascii="Times-Roman" w:eastAsia="Batang" w:hAnsi="Times-Roman" w:cs="Times-Roman"/>
                <w:lang w:val="en-GB"/>
              </w:rPr>
            </w:pPr>
          </w:p>
          <w:p w14:paraId="4EB43FBE" w14:textId="77777777" w:rsidR="000925AA" w:rsidRPr="00EA199E" w:rsidRDefault="000925AA" w:rsidP="004F47D1">
            <w:pPr>
              <w:jc w:val="both"/>
              <w:rPr>
                <w:rFonts w:eastAsia="Batang"/>
                <w:lang w:val="en-GB"/>
              </w:rPr>
            </w:pPr>
            <w:r w:rsidRPr="00EA199E">
              <w:rPr>
                <w:rFonts w:eastAsia="Batang"/>
                <w:lang w:val="en-GB"/>
              </w:rPr>
              <w:t>The success of 5G is dependent on harmonised mobile spectrum.</w:t>
            </w:r>
            <w:r>
              <w:rPr>
                <w:rFonts w:eastAsia="Batang"/>
                <w:lang w:val="en-GB"/>
              </w:rPr>
              <w:t xml:space="preserve"> </w:t>
            </w:r>
            <w:r w:rsidRPr="00EA199E">
              <w:rPr>
                <w:rFonts w:eastAsia="Batang"/>
                <w:lang w:val="en-GB"/>
              </w:rPr>
              <w:t>Spectrum harmonisation of internationally identified spectrum bands offers many advantages:</w:t>
            </w:r>
          </w:p>
          <w:p w14:paraId="73FE4A77" w14:textId="77777777" w:rsidR="000925AA" w:rsidRPr="00EA199E" w:rsidRDefault="000925AA" w:rsidP="000925AA">
            <w:pPr>
              <w:numPr>
                <w:ilvl w:val="0"/>
                <w:numId w:val="14"/>
              </w:numPr>
              <w:autoSpaceDE w:val="0"/>
              <w:autoSpaceDN w:val="0"/>
              <w:jc w:val="both"/>
              <w:rPr>
                <w:rFonts w:eastAsia="Batang"/>
                <w:lang w:val="en-GB"/>
              </w:rPr>
            </w:pPr>
            <w:r w:rsidRPr="00EA199E">
              <w:rPr>
                <w:rFonts w:eastAsia="Batang"/>
                <w:lang w:val="en-GB"/>
              </w:rPr>
              <w:t>Lower costs for consumers, as device manufacturers can mass-produce devices that function in multiple countries on a single band.</w:t>
            </w:r>
          </w:p>
          <w:p w14:paraId="7D7BAD64" w14:textId="77777777" w:rsidR="000925AA" w:rsidRPr="00EA199E" w:rsidRDefault="000925AA" w:rsidP="000925AA">
            <w:pPr>
              <w:numPr>
                <w:ilvl w:val="0"/>
                <w:numId w:val="14"/>
              </w:numPr>
              <w:autoSpaceDE w:val="0"/>
              <w:autoSpaceDN w:val="0"/>
              <w:jc w:val="both"/>
              <w:rPr>
                <w:rFonts w:eastAsia="Batang"/>
                <w:lang w:val="en-GB"/>
              </w:rPr>
            </w:pPr>
            <w:r w:rsidRPr="00EA199E">
              <w:rPr>
                <w:rFonts w:eastAsia="Batang"/>
                <w:lang w:val="en-GB"/>
              </w:rPr>
              <w:t>Availability of a wider portfolio of devices, driven by a larger, international market.</w:t>
            </w:r>
          </w:p>
          <w:p w14:paraId="0CB7C067" w14:textId="77777777" w:rsidR="000925AA" w:rsidRPr="00EA199E" w:rsidRDefault="000925AA" w:rsidP="000925AA">
            <w:pPr>
              <w:numPr>
                <w:ilvl w:val="0"/>
                <w:numId w:val="14"/>
              </w:numPr>
              <w:autoSpaceDE w:val="0"/>
              <w:autoSpaceDN w:val="0"/>
              <w:jc w:val="both"/>
              <w:rPr>
                <w:rFonts w:eastAsia="Batang"/>
                <w:lang w:val="en-GB"/>
              </w:rPr>
            </w:pPr>
            <w:r w:rsidRPr="00EA199E">
              <w:rPr>
                <w:rFonts w:eastAsia="Batang"/>
                <w:lang w:val="en-GB"/>
              </w:rPr>
              <w:t>Roaming or the ability to use one’s mobile device abroad.</w:t>
            </w:r>
          </w:p>
          <w:p w14:paraId="005CF8A1" w14:textId="77777777" w:rsidR="000925AA" w:rsidRPr="00EA199E" w:rsidRDefault="000925AA" w:rsidP="000925AA">
            <w:pPr>
              <w:numPr>
                <w:ilvl w:val="0"/>
                <w:numId w:val="14"/>
              </w:numPr>
              <w:autoSpaceDE w:val="0"/>
              <w:autoSpaceDN w:val="0"/>
              <w:jc w:val="both"/>
              <w:rPr>
                <w:rFonts w:eastAsia="Batang"/>
                <w:lang w:val="en-GB"/>
              </w:rPr>
            </w:pPr>
            <w:r w:rsidRPr="00EA199E">
              <w:rPr>
                <w:rFonts w:eastAsia="Batang"/>
                <w:lang w:val="en-GB"/>
              </w:rPr>
              <w:t>Fewer issues of cross-border interference.</w:t>
            </w:r>
          </w:p>
          <w:p w14:paraId="09BAD75D" w14:textId="77777777" w:rsidR="000925AA" w:rsidRPr="00EA199E" w:rsidRDefault="000925AA" w:rsidP="004F47D1">
            <w:pPr>
              <w:rPr>
                <w:rFonts w:ascii="Bookman Old Style" w:hAnsi="Bookman Old Style"/>
                <w:bCs/>
              </w:rPr>
            </w:pPr>
          </w:p>
          <w:p w14:paraId="5FE4B7F7" w14:textId="77777777" w:rsidR="000925AA" w:rsidRPr="00EA199E" w:rsidRDefault="000925AA" w:rsidP="004F47D1">
            <w:pPr>
              <w:overflowPunct w:val="0"/>
              <w:autoSpaceDE w:val="0"/>
              <w:autoSpaceDN w:val="0"/>
              <w:adjustRightInd w:val="0"/>
              <w:snapToGrid w:val="0"/>
              <w:jc w:val="both"/>
              <w:textAlignment w:val="baseline"/>
              <w:rPr>
                <w:lang w:val="en-AU"/>
              </w:rPr>
            </w:pPr>
            <w:r w:rsidRPr="00EA199E">
              <w:rPr>
                <w:rFonts w:eastAsia="Batang"/>
                <w:lang w:val="en-GB" w:eastAsia="ja-JP"/>
              </w:rPr>
              <w:t>Some of the SATRC member countries have launched 5G services. Among the identified 5G spectrum bands from WRC-19, the regulators in the SATRC sub region should also work towards aligning with global harmonised 5G bands to achieve the greatest benefits for consumers and avoid interference along their borders.</w:t>
            </w:r>
          </w:p>
        </w:tc>
      </w:tr>
      <w:tr w:rsidR="000925AA" w:rsidRPr="00EA199E" w14:paraId="1830EEB8" w14:textId="77777777" w:rsidTr="004F47D1">
        <w:trPr>
          <w:trHeight w:val="339"/>
        </w:trPr>
        <w:tc>
          <w:tcPr>
            <w:tcW w:w="2509" w:type="dxa"/>
            <w:tcBorders>
              <w:top w:val="single" w:sz="4" w:space="0" w:color="auto"/>
              <w:left w:val="single" w:sz="4" w:space="0" w:color="auto"/>
              <w:bottom w:val="single" w:sz="4" w:space="0" w:color="auto"/>
              <w:right w:val="single" w:sz="4" w:space="0" w:color="auto"/>
            </w:tcBorders>
            <w:hideMark/>
          </w:tcPr>
          <w:p w14:paraId="16EF32D3" w14:textId="77777777" w:rsidR="000925AA" w:rsidRPr="00EA199E" w:rsidRDefault="000925AA" w:rsidP="004F47D1">
            <w:pPr>
              <w:snapToGrid w:val="0"/>
              <w:rPr>
                <w:rFonts w:eastAsia="휴먼명조"/>
                <w:b/>
                <w:color w:val="000000"/>
                <w:lang w:val="en-AU"/>
              </w:rPr>
            </w:pPr>
            <w:r w:rsidRPr="00EA199E">
              <w:rPr>
                <w:rFonts w:eastAsia="휴먼명조"/>
                <w:b/>
                <w:color w:val="000000"/>
                <w:lang w:val="en-AU"/>
              </w:rPr>
              <w:t>Scope</w:t>
            </w:r>
          </w:p>
          <w:p w14:paraId="717D83B1" w14:textId="77777777" w:rsidR="000925AA" w:rsidRPr="00EA199E" w:rsidRDefault="000925AA" w:rsidP="004F47D1">
            <w:pPr>
              <w:snapToGrid w:val="0"/>
              <w:rPr>
                <w:rFonts w:eastAsia="휴먼명조"/>
                <w:b/>
                <w:color w:val="000000"/>
                <w:lang w:val="en-AU"/>
              </w:rPr>
            </w:pPr>
          </w:p>
          <w:p w14:paraId="77322298" w14:textId="77777777" w:rsidR="000925AA" w:rsidRPr="00EA199E" w:rsidRDefault="000925AA" w:rsidP="004F47D1">
            <w:pPr>
              <w:snapToGrid w:val="0"/>
              <w:rPr>
                <w:rFonts w:eastAsia="휴먼명조"/>
                <w:b/>
                <w:color w:val="000000"/>
                <w:lang w:val="en-AU"/>
              </w:rPr>
            </w:pPr>
          </w:p>
        </w:tc>
        <w:tc>
          <w:tcPr>
            <w:tcW w:w="7088" w:type="dxa"/>
            <w:tcBorders>
              <w:top w:val="single" w:sz="4" w:space="0" w:color="auto"/>
              <w:left w:val="single" w:sz="4" w:space="0" w:color="auto"/>
              <w:bottom w:val="single" w:sz="4" w:space="0" w:color="auto"/>
              <w:right w:val="single" w:sz="4" w:space="0" w:color="auto"/>
            </w:tcBorders>
            <w:hideMark/>
          </w:tcPr>
          <w:p w14:paraId="596626D1" w14:textId="77777777" w:rsidR="000925AA" w:rsidRPr="00EA199E" w:rsidRDefault="000925AA" w:rsidP="004F47D1">
            <w:pPr>
              <w:overflowPunct w:val="0"/>
              <w:autoSpaceDE w:val="0"/>
              <w:autoSpaceDN w:val="0"/>
              <w:adjustRightInd w:val="0"/>
              <w:snapToGrid w:val="0"/>
              <w:textAlignment w:val="baseline"/>
              <w:rPr>
                <w:rFonts w:eastAsia="Times New Roman"/>
                <w:lang w:val="en-AU" w:eastAsia="zh-CN"/>
              </w:rPr>
            </w:pPr>
            <w:r w:rsidRPr="00EA199E">
              <w:rPr>
                <w:rFonts w:eastAsia="Times New Roman"/>
                <w:lang w:val="en-AU" w:eastAsia="zh-CN"/>
              </w:rPr>
              <w:t>The suggested scope of study can include the following:</w:t>
            </w:r>
          </w:p>
          <w:p w14:paraId="3EEBF4AC" w14:textId="77777777" w:rsidR="000925AA" w:rsidRPr="00EA199E" w:rsidRDefault="000925AA" w:rsidP="000925AA">
            <w:pPr>
              <w:widowControl w:val="0"/>
              <w:numPr>
                <w:ilvl w:val="1"/>
                <w:numId w:val="13"/>
              </w:numPr>
              <w:overflowPunct w:val="0"/>
              <w:autoSpaceDE w:val="0"/>
              <w:autoSpaceDN w:val="0"/>
              <w:adjustRightInd w:val="0"/>
              <w:snapToGrid w:val="0"/>
              <w:jc w:val="both"/>
              <w:textAlignment w:val="baseline"/>
              <w:rPr>
                <w:lang w:val="en-AU" w:eastAsia="ko-KR"/>
              </w:rPr>
            </w:pPr>
            <w:r w:rsidRPr="00EA199E">
              <w:rPr>
                <w:lang w:val="en-AU" w:eastAsia="ko-KR"/>
              </w:rPr>
              <w:t xml:space="preserve">Review existing users of spectrum in potential 5G bands and identify how best to meet the increasing demands for spectrum for mobile services </w:t>
            </w:r>
          </w:p>
          <w:p w14:paraId="7D162EAA" w14:textId="77777777" w:rsidR="000925AA" w:rsidRPr="00EA199E" w:rsidRDefault="000925AA" w:rsidP="000925AA">
            <w:pPr>
              <w:widowControl w:val="0"/>
              <w:numPr>
                <w:ilvl w:val="1"/>
                <w:numId w:val="13"/>
              </w:numPr>
              <w:overflowPunct w:val="0"/>
              <w:autoSpaceDE w:val="0"/>
              <w:autoSpaceDN w:val="0"/>
              <w:adjustRightInd w:val="0"/>
              <w:snapToGrid w:val="0"/>
              <w:jc w:val="both"/>
              <w:textAlignment w:val="baseline"/>
              <w:rPr>
                <w:lang w:val="en-AU" w:eastAsia="ko-KR"/>
              </w:rPr>
            </w:pPr>
            <w:r w:rsidRPr="00EA199E">
              <w:rPr>
                <w:lang w:val="en-AU" w:eastAsia="ko-KR"/>
              </w:rPr>
              <w:t>Identify key 5G spectrum bands (</w:t>
            </w:r>
            <w:proofErr w:type="gramStart"/>
            <w:r w:rsidRPr="00EA199E">
              <w:rPr>
                <w:lang w:val="en-AU" w:eastAsia="ko-KR"/>
              </w:rPr>
              <w:t>e.g.</w:t>
            </w:r>
            <w:proofErr w:type="gramEnd"/>
            <w:r w:rsidRPr="00EA199E">
              <w:rPr>
                <w:lang w:val="en-AU" w:eastAsia="ko-KR"/>
              </w:rPr>
              <w:t xml:space="preserve"> 3.5 GHz and mm wave bands) that can be potentially harmonised for SATRC countries.</w:t>
            </w:r>
          </w:p>
          <w:p w14:paraId="57093B33" w14:textId="408C5F39" w:rsidR="000925AA" w:rsidRPr="00EA199E" w:rsidRDefault="000925AA" w:rsidP="000925AA">
            <w:pPr>
              <w:widowControl w:val="0"/>
              <w:numPr>
                <w:ilvl w:val="1"/>
                <w:numId w:val="13"/>
              </w:numPr>
              <w:overflowPunct w:val="0"/>
              <w:autoSpaceDE w:val="0"/>
              <w:autoSpaceDN w:val="0"/>
              <w:adjustRightInd w:val="0"/>
              <w:snapToGrid w:val="0"/>
              <w:jc w:val="both"/>
              <w:textAlignment w:val="baseline"/>
              <w:rPr>
                <w:lang w:val="en-AU" w:eastAsia="ko-KR"/>
              </w:rPr>
            </w:pPr>
            <w:r w:rsidRPr="00EA199E">
              <w:rPr>
                <w:lang w:val="en-AU" w:eastAsia="ko-KR"/>
              </w:rPr>
              <w:lastRenderedPageBreak/>
              <w:t>Discuss how best to utilise the spectrum bands</w:t>
            </w:r>
            <w:r w:rsidR="00983966">
              <w:rPr>
                <w:lang w:val="en-AU" w:eastAsia="ko-KR"/>
              </w:rPr>
              <w:t xml:space="preserve"> for 5G</w:t>
            </w:r>
            <w:r w:rsidRPr="00EA199E">
              <w:rPr>
                <w:lang w:val="en-AU" w:eastAsia="ko-KR"/>
              </w:rPr>
              <w:t xml:space="preserve"> to benefit from international harmonisation with better economies of scale</w:t>
            </w:r>
          </w:p>
        </w:tc>
      </w:tr>
      <w:tr w:rsidR="000925AA" w:rsidRPr="00EA199E" w14:paraId="2AC21935" w14:textId="77777777" w:rsidTr="004F47D1">
        <w:trPr>
          <w:trHeight w:val="339"/>
        </w:trPr>
        <w:tc>
          <w:tcPr>
            <w:tcW w:w="2509" w:type="dxa"/>
            <w:tcBorders>
              <w:top w:val="single" w:sz="4" w:space="0" w:color="auto"/>
              <w:left w:val="single" w:sz="4" w:space="0" w:color="auto"/>
              <w:bottom w:val="single" w:sz="4" w:space="0" w:color="auto"/>
              <w:right w:val="single" w:sz="4" w:space="0" w:color="auto"/>
            </w:tcBorders>
          </w:tcPr>
          <w:p w14:paraId="31D60F15" w14:textId="77777777" w:rsidR="000925AA" w:rsidRPr="00EA199E" w:rsidRDefault="000925AA" w:rsidP="004F47D1">
            <w:pPr>
              <w:snapToGrid w:val="0"/>
              <w:rPr>
                <w:rFonts w:eastAsia="휴먼명조"/>
                <w:b/>
                <w:color w:val="000000"/>
                <w:lang w:val="en-AU"/>
              </w:rPr>
            </w:pPr>
            <w:r w:rsidRPr="003247FB">
              <w:rPr>
                <w:rFonts w:eastAsia="Batang"/>
                <w:b/>
              </w:rPr>
              <w:lastRenderedPageBreak/>
              <w:t>Time Frame</w:t>
            </w:r>
          </w:p>
        </w:tc>
        <w:tc>
          <w:tcPr>
            <w:tcW w:w="7088" w:type="dxa"/>
            <w:tcBorders>
              <w:top w:val="single" w:sz="4" w:space="0" w:color="auto"/>
              <w:left w:val="single" w:sz="4" w:space="0" w:color="auto"/>
              <w:bottom w:val="single" w:sz="4" w:space="0" w:color="auto"/>
              <w:right w:val="single" w:sz="4" w:space="0" w:color="auto"/>
            </w:tcBorders>
          </w:tcPr>
          <w:p w14:paraId="7ABBEA2A" w14:textId="2A980F65" w:rsidR="000925AA" w:rsidRDefault="000925AA" w:rsidP="00022BEB">
            <w:pPr>
              <w:numPr>
                <w:ilvl w:val="0"/>
                <w:numId w:val="17"/>
              </w:numPr>
              <w:overflowPunct w:val="0"/>
              <w:autoSpaceDE w:val="0"/>
              <w:autoSpaceDN w:val="0"/>
              <w:adjustRightInd w:val="0"/>
              <w:snapToGrid w:val="0"/>
              <w:textAlignment w:val="baseline"/>
              <w:rPr>
                <w:rFonts w:eastAsia="Times New Roman"/>
                <w:lang w:val="en-AU" w:eastAsia="zh-CN"/>
              </w:rPr>
            </w:pPr>
          </w:p>
          <w:p w14:paraId="44FE6229" w14:textId="77777777" w:rsidR="00736CE8" w:rsidRPr="004F0EF2" w:rsidRDefault="00736CE8" w:rsidP="00736CE8">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Drafting the questionnaire by lead experts (</w:t>
            </w:r>
            <w:r>
              <w:rPr>
                <w:rFonts w:eastAsia="Times New Roman"/>
                <w:lang w:val="en-AU" w:eastAsia="zh-CN"/>
              </w:rPr>
              <w:t>June 2022</w:t>
            </w:r>
            <w:r w:rsidRPr="004F0EF2">
              <w:rPr>
                <w:rFonts w:eastAsia="Times New Roman"/>
                <w:lang w:val="en-AU" w:eastAsia="zh-CN"/>
              </w:rPr>
              <w:t>)</w:t>
            </w:r>
          </w:p>
          <w:p w14:paraId="6E08A41F" w14:textId="77777777" w:rsidR="00736CE8" w:rsidRPr="004F0EF2" w:rsidRDefault="00736CE8" w:rsidP="00736CE8">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Circulation of the questionnaire to WG experts (</w:t>
            </w:r>
            <w:r>
              <w:rPr>
                <w:rFonts w:eastAsia="Times New Roman"/>
                <w:lang w:val="en-AU" w:eastAsia="zh-CN"/>
              </w:rPr>
              <w:t>July</w:t>
            </w:r>
            <w:r w:rsidRPr="004F0EF2">
              <w:rPr>
                <w:rFonts w:eastAsia="Times New Roman"/>
                <w:lang w:val="en-AU" w:eastAsia="zh-CN"/>
              </w:rPr>
              <w:t>….</w:t>
            </w:r>
            <w:r>
              <w:rPr>
                <w:rFonts w:eastAsia="Times New Roman"/>
                <w:lang w:val="en-AU" w:eastAsia="zh-CN"/>
              </w:rPr>
              <w:t>2022</w:t>
            </w:r>
            <w:r w:rsidRPr="004F0EF2">
              <w:rPr>
                <w:rFonts w:eastAsia="Times New Roman"/>
                <w:lang w:val="en-AU" w:eastAsia="zh-CN"/>
              </w:rPr>
              <w:t>)</w:t>
            </w:r>
          </w:p>
          <w:p w14:paraId="5C8D224F" w14:textId="77777777" w:rsidR="00736CE8" w:rsidRPr="004F0EF2" w:rsidRDefault="00736CE8" w:rsidP="00736CE8">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Response to the questionnaires (</w:t>
            </w:r>
            <w:r>
              <w:rPr>
                <w:rFonts w:eastAsia="Times New Roman"/>
                <w:lang w:val="en-AU" w:eastAsia="zh-CN"/>
              </w:rPr>
              <w:t>August</w:t>
            </w:r>
            <w:r w:rsidRPr="004F0EF2">
              <w:rPr>
                <w:rFonts w:eastAsia="Times New Roman"/>
                <w:lang w:val="en-AU" w:eastAsia="zh-CN"/>
              </w:rPr>
              <w:t>…….</w:t>
            </w:r>
            <w:r>
              <w:rPr>
                <w:rFonts w:eastAsia="Times New Roman"/>
                <w:lang w:val="en-AU" w:eastAsia="zh-CN"/>
              </w:rPr>
              <w:t>2022</w:t>
            </w:r>
            <w:r w:rsidRPr="004F0EF2">
              <w:rPr>
                <w:rFonts w:eastAsia="Times New Roman"/>
                <w:lang w:val="en-AU" w:eastAsia="zh-CN"/>
              </w:rPr>
              <w:t xml:space="preserve">) </w:t>
            </w:r>
          </w:p>
          <w:p w14:paraId="2D6A2404" w14:textId="77777777" w:rsidR="00736CE8" w:rsidRPr="004F0EF2" w:rsidRDefault="00736CE8" w:rsidP="00736CE8">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Development of the interim Report (</w:t>
            </w:r>
            <w:r>
              <w:rPr>
                <w:rFonts w:eastAsia="Times New Roman"/>
                <w:lang w:val="en-AU" w:eastAsia="zh-CN"/>
              </w:rPr>
              <w:t>October</w:t>
            </w:r>
            <w:r w:rsidRPr="004F0EF2">
              <w:rPr>
                <w:rFonts w:eastAsia="Times New Roman"/>
                <w:lang w:val="en-AU" w:eastAsia="zh-CN"/>
              </w:rPr>
              <w:t>………</w:t>
            </w:r>
            <w:r>
              <w:rPr>
                <w:rFonts w:eastAsia="Times New Roman"/>
                <w:lang w:val="en-AU" w:eastAsia="zh-CN"/>
              </w:rPr>
              <w:t>2022</w:t>
            </w:r>
            <w:r w:rsidRPr="004F0EF2">
              <w:rPr>
                <w:rFonts w:eastAsia="Times New Roman"/>
                <w:lang w:val="en-AU" w:eastAsia="zh-CN"/>
              </w:rPr>
              <w:t>)</w:t>
            </w:r>
          </w:p>
          <w:p w14:paraId="5BF475D5" w14:textId="6E919242" w:rsidR="00736CE8" w:rsidRPr="004F0EF2" w:rsidRDefault="00736CE8" w:rsidP="00736CE8">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Discussion on the interim report and comments by experts (January……</w:t>
            </w:r>
            <w:r w:rsidR="00016C72" w:rsidRPr="004F0EF2">
              <w:rPr>
                <w:rFonts w:eastAsia="Times New Roman"/>
                <w:lang w:val="en-AU" w:eastAsia="zh-CN"/>
              </w:rPr>
              <w:t>….</w:t>
            </w:r>
            <w:r w:rsidRPr="004F0EF2">
              <w:rPr>
                <w:rFonts w:eastAsia="Times New Roman"/>
                <w:lang w:val="en-AU" w:eastAsia="zh-CN"/>
              </w:rPr>
              <w:t>202</w:t>
            </w:r>
            <w:r>
              <w:rPr>
                <w:rFonts w:eastAsia="Times New Roman"/>
                <w:lang w:val="en-AU" w:eastAsia="zh-CN"/>
              </w:rPr>
              <w:t>3</w:t>
            </w:r>
            <w:r w:rsidRPr="004F0EF2">
              <w:rPr>
                <w:rFonts w:eastAsia="Times New Roman"/>
                <w:lang w:val="en-AU" w:eastAsia="zh-CN"/>
              </w:rPr>
              <w:t>)</w:t>
            </w:r>
          </w:p>
          <w:p w14:paraId="4C59580D" w14:textId="77777777" w:rsidR="00736CE8" w:rsidRPr="004F0EF2" w:rsidRDefault="00736CE8" w:rsidP="00736CE8">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Update of the interim report and development of the first draft of the final Report (March…….202</w:t>
            </w:r>
            <w:r>
              <w:rPr>
                <w:rFonts w:eastAsia="Times New Roman"/>
                <w:lang w:val="en-AU" w:eastAsia="zh-CN"/>
              </w:rPr>
              <w:t>3</w:t>
            </w:r>
            <w:r w:rsidRPr="004F0EF2">
              <w:rPr>
                <w:rFonts w:eastAsia="Times New Roman"/>
                <w:lang w:val="en-AU" w:eastAsia="zh-CN"/>
              </w:rPr>
              <w:t>)</w:t>
            </w:r>
          </w:p>
          <w:p w14:paraId="1A93C53D" w14:textId="77777777" w:rsidR="00736CE8" w:rsidRPr="004F0EF2" w:rsidRDefault="00736CE8" w:rsidP="00736CE8">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Consideration of the first draft of the final Report at the 2nd Meeting of the WG (May</w:t>
            </w:r>
            <w:r>
              <w:rPr>
                <w:rFonts w:eastAsia="Times New Roman"/>
                <w:lang w:val="en-AU" w:eastAsia="zh-CN"/>
              </w:rPr>
              <w:t>/June</w:t>
            </w:r>
            <w:r w:rsidRPr="004F0EF2">
              <w:rPr>
                <w:rFonts w:eastAsia="Times New Roman"/>
                <w:lang w:val="en-AU" w:eastAsia="zh-CN"/>
              </w:rPr>
              <w:t>…….202</w:t>
            </w:r>
            <w:r>
              <w:rPr>
                <w:rFonts w:eastAsia="Times New Roman"/>
                <w:lang w:val="en-AU" w:eastAsia="zh-CN"/>
              </w:rPr>
              <w:t>3</w:t>
            </w:r>
            <w:r w:rsidRPr="004F0EF2">
              <w:rPr>
                <w:rFonts w:eastAsia="Times New Roman"/>
                <w:lang w:val="en-AU" w:eastAsia="zh-CN"/>
              </w:rPr>
              <w:t>)</w:t>
            </w:r>
          </w:p>
          <w:p w14:paraId="320278D2" w14:textId="77777777" w:rsidR="00736CE8" w:rsidRDefault="00736CE8" w:rsidP="00736CE8">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Consideration of the second draft of the final Report (August 202</w:t>
            </w:r>
            <w:r>
              <w:rPr>
                <w:rFonts w:eastAsia="Times New Roman"/>
                <w:lang w:val="en-AU" w:eastAsia="zh-CN"/>
              </w:rPr>
              <w:t>3</w:t>
            </w:r>
            <w:r w:rsidRPr="004F0EF2">
              <w:rPr>
                <w:rFonts w:eastAsia="Times New Roman"/>
                <w:lang w:val="en-AU" w:eastAsia="zh-CN"/>
              </w:rPr>
              <w:t>)</w:t>
            </w:r>
          </w:p>
          <w:p w14:paraId="7C0D7157" w14:textId="23E1EAF4" w:rsidR="00736CE8" w:rsidRPr="00EA199E" w:rsidRDefault="00736CE8" w:rsidP="00736CE8">
            <w:pPr>
              <w:numPr>
                <w:ilvl w:val="0"/>
                <w:numId w:val="17"/>
              </w:numPr>
              <w:overflowPunct w:val="0"/>
              <w:autoSpaceDE w:val="0"/>
              <w:autoSpaceDN w:val="0"/>
              <w:adjustRightInd w:val="0"/>
              <w:snapToGrid w:val="0"/>
              <w:textAlignment w:val="baseline"/>
              <w:rPr>
                <w:rFonts w:eastAsia="Times New Roman"/>
                <w:lang w:val="en-AU" w:eastAsia="zh-CN"/>
              </w:rPr>
            </w:pPr>
            <w:r w:rsidRPr="003173EA">
              <w:rPr>
                <w:rFonts w:eastAsia="Times New Roman"/>
                <w:lang w:val="en-AU" w:eastAsia="zh-CN"/>
              </w:rPr>
              <w:t>Draft final report (</w:t>
            </w:r>
            <w:r>
              <w:rPr>
                <w:rFonts w:eastAsia="Times New Roman"/>
                <w:lang w:val="en-AU" w:eastAsia="zh-CN"/>
              </w:rPr>
              <w:t>September/</w:t>
            </w:r>
            <w:r w:rsidRPr="003173EA">
              <w:rPr>
                <w:rFonts w:eastAsia="Times New Roman"/>
                <w:lang w:val="en-AU" w:eastAsia="zh-CN"/>
              </w:rPr>
              <w:t>October</w:t>
            </w:r>
            <w:proofErr w:type="gramStart"/>
            <w:r w:rsidRPr="003173EA">
              <w:rPr>
                <w:rFonts w:eastAsia="Times New Roman"/>
                <w:lang w:val="en-AU" w:eastAsia="zh-CN"/>
              </w:rPr>
              <w:t>…..</w:t>
            </w:r>
            <w:proofErr w:type="gramEnd"/>
            <w:r w:rsidRPr="003173EA">
              <w:rPr>
                <w:rFonts w:eastAsia="Times New Roman"/>
                <w:lang w:val="en-AU" w:eastAsia="zh-CN"/>
              </w:rPr>
              <w:t>202</w:t>
            </w:r>
            <w:r>
              <w:rPr>
                <w:rFonts w:eastAsia="Times New Roman"/>
                <w:lang w:val="en-AU" w:eastAsia="zh-CN"/>
              </w:rPr>
              <w:t>3</w:t>
            </w:r>
            <w:r w:rsidRPr="003173EA">
              <w:rPr>
                <w:rFonts w:eastAsia="Times New Roman"/>
                <w:lang w:val="en-AU" w:eastAsia="zh-CN"/>
              </w:rPr>
              <w:t>)</w:t>
            </w:r>
          </w:p>
        </w:tc>
      </w:tr>
      <w:tr w:rsidR="000925AA" w:rsidRPr="00EA199E" w14:paraId="2636D62D" w14:textId="77777777" w:rsidTr="004F47D1">
        <w:trPr>
          <w:trHeight w:val="339"/>
        </w:trPr>
        <w:tc>
          <w:tcPr>
            <w:tcW w:w="2509" w:type="dxa"/>
            <w:tcBorders>
              <w:top w:val="single" w:sz="4" w:space="0" w:color="auto"/>
              <w:left w:val="single" w:sz="4" w:space="0" w:color="auto"/>
              <w:bottom w:val="single" w:sz="4" w:space="0" w:color="auto"/>
              <w:right w:val="single" w:sz="4" w:space="0" w:color="auto"/>
            </w:tcBorders>
          </w:tcPr>
          <w:p w14:paraId="734DD0CE" w14:textId="77777777" w:rsidR="000925AA" w:rsidRPr="00EA199E" w:rsidRDefault="000925AA" w:rsidP="004F47D1">
            <w:pPr>
              <w:snapToGrid w:val="0"/>
              <w:rPr>
                <w:rFonts w:eastAsia="휴먼명조"/>
                <w:b/>
                <w:color w:val="000000"/>
                <w:lang w:val="en-AU"/>
              </w:rPr>
            </w:pPr>
            <w:r w:rsidRPr="003247FB">
              <w:rPr>
                <w:rFonts w:eastAsia="Batang"/>
                <w:b/>
              </w:rPr>
              <w:t>Utilization of Output</w:t>
            </w:r>
          </w:p>
        </w:tc>
        <w:tc>
          <w:tcPr>
            <w:tcW w:w="7088" w:type="dxa"/>
            <w:tcBorders>
              <w:top w:val="single" w:sz="4" w:space="0" w:color="auto"/>
              <w:left w:val="single" w:sz="4" w:space="0" w:color="auto"/>
              <w:bottom w:val="single" w:sz="4" w:space="0" w:color="auto"/>
              <w:right w:val="single" w:sz="4" w:space="0" w:color="auto"/>
            </w:tcBorders>
          </w:tcPr>
          <w:p w14:paraId="0B5064C7" w14:textId="77777777" w:rsidR="000925AA" w:rsidRPr="00EA199E" w:rsidRDefault="000925AA" w:rsidP="004F47D1">
            <w:pPr>
              <w:overflowPunct w:val="0"/>
              <w:autoSpaceDE w:val="0"/>
              <w:autoSpaceDN w:val="0"/>
              <w:adjustRightInd w:val="0"/>
              <w:snapToGrid w:val="0"/>
              <w:textAlignment w:val="baseline"/>
              <w:rPr>
                <w:rFonts w:eastAsia="Times New Roman"/>
                <w:lang w:val="en-AU" w:eastAsia="zh-CN"/>
              </w:rPr>
            </w:pPr>
            <w:r w:rsidRPr="003247FB">
              <w:rPr>
                <w:bCs/>
                <w:lang w:val="en-AU" w:eastAsia="ko-KR"/>
              </w:rPr>
              <w:t>Regulators</w:t>
            </w:r>
            <w:r>
              <w:rPr>
                <w:bCs/>
                <w:lang w:val="en-AU" w:eastAsia="ko-KR"/>
              </w:rPr>
              <w:t xml:space="preserve">, </w:t>
            </w:r>
            <w:r w:rsidRPr="003247FB">
              <w:rPr>
                <w:bCs/>
                <w:lang w:val="en-AU" w:eastAsia="ko-KR"/>
              </w:rPr>
              <w:t>Governments,</w:t>
            </w:r>
            <w:r>
              <w:rPr>
                <w:bCs/>
                <w:lang w:val="en-AU" w:eastAsia="ko-KR"/>
              </w:rPr>
              <w:t xml:space="preserve"> Industry Stakeholders.</w:t>
            </w:r>
          </w:p>
        </w:tc>
      </w:tr>
    </w:tbl>
    <w:p w14:paraId="20C33273" w14:textId="77777777" w:rsidR="000925AA" w:rsidRDefault="000925AA" w:rsidP="000925AA">
      <w:pPr>
        <w:tabs>
          <w:tab w:val="left" w:pos="567"/>
        </w:tabs>
        <w:rPr>
          <w:b/>
          <w:bCs/>
          <w:lang w:eastAsia="ko-KR"/>
        </w:rPr>
      </w:pPr>
    </w:p>
    <w:p w14:paraId="0A715AB8" w14:textId="77777777" w:rsidR="000925AA" w:rsidRDefault="000925AA" w:rsidP="000925AA">
      <w:pPr>
        <w:tabs>
          <w:tab w:val="left" w:pos="2410"/>
        </w:tabs>
        <w:rPr>
          <w:b/>
          <w:bCs/>
          <w:lang w:eastAsia="ko-KR"/>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09"/>
        <w:gridCol w:w="7088"/>
      </w:tblGrid>
      <w:tr w:rsidR="000925AA" w:rsidRPr="0003690D" w14:paraId="03935513" w14:textId="77777777" w:rsidTr="004F47D1">
        <w:trPr>
          <w:trHeight w:val="448"/>
        </w:trPr>
        <w:tc>
          <w:tcPr>
            <w:tcW w:w="2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B1F9D2" w14:textId="77777777" w:rsidR="000925AA" w:rsidRPr="00745843" w:rsidRDefault="000925AA" w:rsidP="004F47D1">
            <w:pPr>
              <w:snapToGrid w:val="0"/>
              <w:rPr>
                <w:b/>
                <w:lang w:val="en-AU"/>
              </w:rPr>
            </w:pPr>
            <w:r w:rsidRPr="00745843">
              <w:rPr>
                <w:b/>
                <w:lang w:val="en-AU"/>
              </w:rPr>
              <w:t xml:space="preserve">Work Item </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9B0DF" w14:textId="77777777" w:rsidR="000925AA" w:rsidRPr="00745843" w:rsidRDefault="000925AA" w:rsidP="004F47D1">
            <w:pPr>
              <w:contextualSpacing/>
              <w:rPr>
                <w:rFonts w:eastAsia="SimSun"/>
                <w:b/>
                <w:lang w:eastAsia="zh-CN"/>
              </w:rPr>
            </w:pPr>
            <w:r w:rsidRPr="00DF7FEA">
              <w:rPr>
                <w:rFonts w:eastAsia="SimSun"/>
                <w:b/>
                <w:lang w:eastAsia="zh-CN"/>
              </w:rPr>
              <w:t>Evaluation of spectrum utilization in SATRC Member countries</w:t>
            </w:r>
          </w:p>
        </w:tc>
      </w:tr>
      <w:tr w:rsidR="000925AA" w:rsidRPr="0003690D" w14:paraId="297AB4F1" w14:textId="77777777" w:rsidTr="004F47D1">
        <w:trPr>
          <w:trHeight w:val="305"/>
        </w:trPr>
        <w:tc>
          <w:tcPr>
            <w:tcW w:w="2509" w:type="dxa"/>
            <w:tcBorders>
              <w:top w:val="single" w:sz="4" w:space="0" w:color="auto"/>
              <w:left w:val="single" w:sz="4" w:space="0" w:color="auto"/>
              <w:bottom w:val="single" w:sz="4" w:space="0" w:color="auto"/>
              <w:right w:val="single" w:sz="4" w:space="0" w:color="auto"/>
            </w:tcBorders>
            <w:hideMark/>
          </w:tcPr>
          <w:p w14:paraId="46336955" w14:textId="569DF9EE" w:rsidR="000925AA" w:rsidRPr="0003690D" w:rsidRDefault="00022BEB" w:rsidP="004F47D1">
            <w:pPr>
              <w:snapToGrid w:val="0"/>
              <w:rPr>
                <w:b/>
                <w:lang w:val="en-AU"/>
              </w:rPr>
            </w:pPr>
            <w:r w:rsidRPr="004F0EF2">
              <w:rPr>
                <w:rFonts w:eastAsia="Batang"/>
                <w:b/>
                <w:sz w:val="22"/>
                <w:szCs w:val="22"/>
              </w:rPr>
              <w:t>Rapporteur(s)</w:t>
            </w:r>
          </w:p>
        </w:tc>
        <w:tc>
          <w:tcPr>
            <w:tcW w:w="7088" w:type="dxa"/>
            <w:tcBorders>
              <w:top w:val="single" w:sz="4" w:space="0" w:color="auto"/>
              <w:left w:val="single" w:sz="4" w:space="0" w:color="auto"/>
              <w:bottom w:val="single" w:sz="4" w:space="0" w:color="auto"/>
              <w:right w:val="single" w:sz="4" w:space="0" w:color="auto"/>
            </w:tcBorders>
          </w:tcPr>
          <w:p w14:paraId="3D5CBAE5" w14:textId="2B3BD773" w:rsidR="000925AA" w:rsidRPr="00745843" w:rsidRDefault="000759E5" w:rsidP="004F47D1">
            <w:pPr>
              <w:overflowPunct w:val="0"/>
              <w:autoSpaceDE w:val="0"/>
              <w:autoSpaceDN w:val="0"/>
              <w:adjustRightInd w:val="0"/>
              <w:snapToGrid w:val="0"/>
              <w:textAlignment w:val="baseline"/>
              <w:rPr>
                <w:highlight w:val="yellow"/>
                <w:lang w:val="en-AU" w:eastAsia="ko-KR"/>
              </w:rPr>
            </w:pPr>
            <w:r w:rsidRPr="005921D5">
              <w:rPr>
                <w:lang w:val="en-AU" w:eastAsia="ko-KR"/>
              </w:rPr>
              <w:t xml:space="preserve">Mr. Adib Kamrani (CRA) (Lead), Mr. Awal Uddin Ahmed (BTRC), </w:t>
            </w:r>
            <w:r w:rsidR="00E47650" w:rsidRPr="005921D5">
              <w:rPr>
                <w:lang w:val="en-AU" w:eastAsia="ko-KR"/>
              </w:rPr>
              <w:t>TRAI</w:t>
            </w:r>
            <w:r w:rsidRPr="005921D5">
              <w:rPr>
                <w:lang w:val="en-AU" w:eastAsia="ko-KR"/>
              </w:rPr>
              <w:t xml:space="preserve"> </w:t>
            </w:r>
          </w:p>
        </w:tc>
      </w:tr>
      <w:tr w:rsidR="000925AA" w:rsidRPr="0003690D" w14:paraId="1ACCED7F" w14:textId="77777777" w:rsidTr="004F47D1">
        <w:trPr>
          <w:trHeight w:val="233"/>
        </w:trPr>
        <w:tc>
          <w:tcPr>
            <w:tcW w:w="2509" w:type="dxa"/>
            <w:tcBorders>
              <w:top w:val="single" w:sz="4" w:space="0" w:color="auto"/>
              <w:left w:val="single" w:sz="4" w:space="0" w:color="auto"/>
              <w:bottom w:val="single" w:sz="4" w:space="0" w:color="auto"/>
              <w:right w:val="single" w:sz="4" w:space="0" w:color="auto"/>
            </w:tcBorders>
            <w:hideMark/>
          </w:tcPr>
          <w:p w14:paraId="78BBFE60" w14:textId="77777777" w:rsidR="000925AA" w:rsidRPr="0003690D" w:rsidRDefault="000925AA" w:rsidP="004F47D1">
            <w:pPr>
              <w:snapToGrid w:val="0"/>
              <w:rPr>
                <w:rFonts w:eastAsia="휴먼명조"/>
                <w:b/>
                <w:color w:val="000000"/>
                <w:lang w:val="en-AU"/>
              </w:rPr>
            </w:pPr>
            <w:r w:rsidRPr="0003690D">
              <w:rPr>
                <w:rFonts w:eastAsia="휴먼명조"/>
                <w:b/>
                <w:color w:val="000000"/>
                <w:lang w:val="en-AU"/>
              </w:rPr>
              <w:t>Output</w:t>
            </w:r>
          </w:p>
        </w:tc>
        <w:tc>
          <w:tcPr>
            <w:tcW w:w="7088" w:type="dxa"/>
            <w:tcBorders>
              <w:top w:val="single" w:sz="4" w:space="0" w:color="auto"/>
              <w:left w:val="single" w:sz="4" w:space="0" w:color="auto"/>
              <w:bottom w:val="single" w:sz="4" w:space="0" w:color="auto"/>
              <w:right w:val="single" w:sz="4" w:space="0" w:color="auto"/>
            </w:tcBorders>
            <w:hideMark/>
          </w:tcPr>
          <w:p w14:paraId="5F1A9B84" w14:textId="002314C7" w:rsidR="000925AA" w:rsidRPr="0003690D" w:rsidRDefault="00B93ED1" w:rsidP="004F47D1">
            <w:pPr>
              <w:overflowPunct w:val="0"/>
              <w:autoSpaceDE w:val="0"/>
              <w:autoSpaceDN w:val="0"/>
              <w:adjustRightInd w:val="0"/>
              <w:snapToGrid w:val="0"/>
              <w:textAlignment w:val="baseline"/>
              <w:rPr>
                <w:rFonts w:eastAsia="Times New Roman"/>
                <w:lang w:val="en-AU" w:eastAsia="zh-CN"/>
              </w:rPr>
            </w:pPr>
            <w:r>
              <w:rPr>
                <w:lang w:val="en-AU" w:eastAsia="ko-KR"/>
              </w:rPr>
              <w:t>SATRC Report</w:t>
            </w:r>
          </w:p>
        </w:tc>
      </w:tr>
      <w:tr w:rsidR="000925AA" w:rsidRPr="0003690D" w14:paraId="4203EFE7" w14:textId="77777777" w:rsidTr="003173EA">
        <w:trPr>
          <w:trHeight w:val="1358"/>
        </w:trPr>
        <w:tc>
          <w:tcPr>
            <w:tcW w:w="2509" w:type="dxa"/>
            <w:tcBorders>
              <w:top w:val="single" w:sz="4" w:space="0" w:color="auto"/>
              <w:left w:val="single" w:sz="4" w:space="0" w:color="auto"/>
              <w:bottom w:val="single" w:sz="4" w:space="0" w:color="auto"/>
              <w:right w:val="single" w:sz="4" w:space="0" w:color="auto"/>
            </w:tcBorders>
            <w:hideMark/>
          </w:tcPr>
          <w:p w14:paraId="42BFF31C" w14:textId="77777777" w:rsidR="000925AA" w:rsidRDefault="000925AA" w:rsidP="004F47D1">
            <w:pPr>
              <w:snapToGrid w:val="0"/>
              <w:rPr>
                <w:rFonts w:eastAsia="휴먼명조"/>
                <w:b/>
                <w:color w:val="000000"/>
                <w:lang w:val="en-AU"/>
              </w:rPr>
            </w:pPr>
            <w:r w:rsidRPr="0003690D">
              <w:rPr>
                <w:rFonts w:eastAsia="휴먼명조"/>
                <w:b/>
                <w:color w:val="000000"/>
                <w:lang w:val="en-AU"/>
              </w:rPr>
              <w:t>Background and Purpose</w:t>
            </w:r>
          </w:p>
          <w:p w14:paraId="58DE4812" w14:textId="77777777" w:rsidR="000925AA" w:rsidRPr="00162FBB" w:rsidRDefault="000925AA" w:rsidP="004F47D1">
            <w:pPr>
              <w:rPr>
                <w:rFonts w:eastAsia="휴먼명조"/>
                <w:lang w:val="en-AU"/>
              </w:rPr>
            </w:pPr>
          </w:p>
          <w:p w14:paraId="627FBEA4" w14:textId="77777777" w:rsidR="000925AA" w:rsidRPr="00162FBB" w:rsidRDefault="000925AA" w:rsidP="004F47D1">
            <w:pPr>
              <w:rPr>
                <w:rFonts w:eastAsia="휴먼명조"/>
                <w:lang w:val="en-AU"/>
              </w:rPr>
            </w:pPr>
          </w:p>
          <w:p w14:paraId="59C18D31" w14:textId="77777777" w:rsidR="000925AA" w:rsidRPr="00162FBB" w:rsidRDefault="000925AA" w:rsidP="004F47D1">
            <w:pPr>
              <w:rPr>
                <w:rFonts w:eastAsia="휴먼명조"/>
                <w:lang w:val="en-AU"/>
              </w:rPr>
            </w:pPr>
          </w:p>
          <w:p w14:paraId="7152750D" w14:textId="77777777" w:rsidR="000925AA" w:rsidRPr="00162FBB" w:rsidRDefault="000925AA" w:rsidP="004F47D1">
            <w:pPr>
              <w:rPr>
                <w:rFonts w:eastAsia="휴먼명조"/>
                <w:lang w:val="en-AU"/>
              </w:rPr>
            </w:pPr>
          </w:p>
          <w:p w14:paraId="03617547" w14:textId="77777777" w:rsidR="000925AA" w:rsidRPr="00162FBB" w:rsidRDefault="000925AA" w:rsidP="004F47D1">
            <w:pPr>
              <w:rPr>
                <w:rFonts w:eastAsia="휴먼명조"/>
                <w:lang w:val="en-AU"/>
              </w:rPr>
            </w:pPr>
          </w:p>
          <w:p w14:paraId="4CDCDA84" w14:textId="77777777" w:rsidR="000925AA" w:rsidRPr="00162FBB" w:rsidRDefault="000925AA" w:rsidP="004F47D1">
            <w:pPr>
              <w:rPr>
                <w:rFonts w:eastAsia="휴먼명조"/>
                <w:lang w:val="en-AU"/>
              </w:rPr>
            </w:pPr>
          </w:p>
          <w:p w14:paraId="4FB7DCDC" w14:textId="77777777" w:rsidR="000925AA" w:rsidRPr="00162FBB" w:rsidRDefault="000925AA" w:rsidP="004F47D1">
            <w:pPr>
              <w:rPr>
                <w:rFonts w:eastAsia="휴먼명조"/>
                <w:lang w:val="en-AU"/>
              </w:rPr>
            </w:pPr>
          </w:p>
          <w:p w14:paraId="5BA0B4C5" w14:textId="77777777" w:rsidR="000925AA" w:rsidRPr="00162FBB" w:rsidRDefault="000925AA" w:rsidP="004F47D1">
            <w:pPr>
              <w:rPr>
                <w:rFonts w:eastAsia="휴먼명조"/>
                <w:lang w:val="en-AU"/>
              </w:rPr>
            </w:pPr>
          </w:p>
          <w:p w14:paraId="3F43C308" w14:textId="77777777" w:rsidR="000925AA" w:rsidRPr="00162FBB" w:rsidRDefault="000925AA" w:rsidP="004F47D1">
            <w:pPr>
              <w:rPr>
                <w:rFonts w:eastAsia="휴먼명조"/>
                <w:lang w:val="en-AU"/>
              </w:rPr>
            </w:pPr>
          </w:p>
          <w:p w14:paraId="259DDF1A" w14:textId="77777777" w:rsidR="000925AA" w:rsidRPr="00162FBB" w:rsidRDefault="000925AA" w:rsidP="004F47D1">
            <w:pPr>
              <w:rPr>
                <w:rFonts w:eastAsia="휴먼명조"/>
                <w:lang w:val="en-AU"/>
              </w:rPr>
            </w:pPr>
          </w:p>
          <w:p w14:paraId="3484B014" w14:textId="77777777" w:rsidR="000925AA" w:rsidRPr="00162FBB" w:rsidRDefault="000925AA" w:rsidP="004F47D1">
            <w:pPr>
              <w:rPr>
                <w:rFonts w:eastAsia="휴먼명조"/>
                <w:lang w:val="en-AU"/>
              </w:rPr>
            </w:pPr>
          </w:p>
          <w:p w14:paraId="6163BB9E" w14:textId="77777777" w:rsidR="000925AA" w:rsidRPr="00162FBB" w:rsidRDefault="000925AA" w:rsidP="004F47D1">
            <w:pPr>
              <w:rPr>
                <w:rFonts w:eastAsia="휴먼명조"/>
                <w:lang w:val="en-AU"/>
              </w:rPr>
            </w:pPr>
          </w:p>
          <w:p w14:paraId="4A2179C2" w14:textId="77777777" w:rsidR="000925AA" w:rsidRPr="00162FBB" w:rsidRDefault="000925AA" w:rsidP="004F47D1">
            <w:pPr>
              <w:rPr>
                <w:rFonts w:eastAsia="휴먼명조"/>
                <w:lang w:val="en-AU"/>
              </w:rPr>
            </w:pPr>
          </w:p>
          <w:p w14:paraId="0148EDC2" w14:textId="77777777" w:rsidR="000925AA" w:rsidRDefault="000925AA" w:rsidP="004F47D1">
            <w:pPr>
              <w:rPr>
                <w:rFonts w:eastAsia="휴먼명조"/>
                <w:lang w:val="en-AU"/>
              </w:rPr>
            </w:pPr>
          </w:p>
          <w:p w14:paraId="65D5DCA1" w14:textId="77777777" w:rsidR="000925AA" w:rsidRDefault="000925AA" w:rsidP="004F47D1">
            <w:pPr>
              <w:rPr>
                <w:rFonts w:eastAsia="휴먼명조"/>
                <w:lang w:val="en-AU"/>
              </w:rPr>
            </w:pPr>
          </w:p>
          <w:p w14:paraId="587DEC52" w14:textId="77777777" w:rsidR="000925AA" w:rsidRPr="00162FBB" w:rsidRDefault="000925AA" w:rsidP="004F47D1">
            <w:pPr>
              <w:jc w:val="right"/>
              <w:rPr>
                <w:rFonts w:eastAsia="휴먼명조"/>
                <w:lang w:val="en-AU"/>
              </w:rPr>
            </w:pPr>
          </w:p>
        </w:tc>
        <w:tc>
          <w:tcPr>
            <w:tcW w:w="7088" w:type="dxa"/>
            <w:tcBorders>
              <w:top w:val="single" w:sz="4" w:space="0" w:color="auto"/>
              <w:left w:val="single" w:sz="4" w:space="0" w:color="auto"/>
              <w:bottom w:val="single" w:sz="4" w:space="0" w:color="auto"/>
              <w:right w:val="single" w:sz="4" w:space="0" w:color="auto"/>
            </w:tcBorders>
          </w:tcPr>
          <w:p w14:paraId="71DFF74D" w14:textId="77777777" w:rsidR="000925AA" w:rsidRDefault="000925AA" w:rsidP="000925AA">
            <w:pPr>
              <w:numPr>
                <w:ilvl w:val="0"/>
                <w:numId w:val="15"/>
              </w:numPr>
              <w:ind w:left="351"/>
              <w:jc w:val="both"/>
              <w:rPr>
                <w:lang w:bidi="fa-IR"/>
              </w:rPr>
            </w:pPr>
            <w:r>
              <w:rPr>
                <w:i/>
                <w:iCs/>
                <w:lang w:val="en-GB"/>
              </w:rPr>
              <w:t>Whereas</w:t>
            </w:r>
            <w:r w:rsidRPr="00E54DF6">
              <w:rPr>
                <w:lang w:val="en-GB"/>
              </w:rPr>
              <w:t xml:space="preserve"> spectrum is a limited natural resource of </w:t>
            </w:r>
            <w:r>
              <w:rPr>
                <w:lang w:val="en-GB"/>
              </w:rPr>
              <w:t xml:space="preserve">great economic and social value, and </w:t>
            </w:r>
            <w:r w:rsidRPr="00E54DF6">
              <w:rPr>
                <w:lang w:val="en-GB"/>
              </w:rPr>
              <w:t>demand for us</w:t>
            </w:r>
            <w:r>
              <w:rPr>
                <w:lang w:val="en-GB"/>
              </w:rPr>
              <w:t>ing</w:t>
            </w:r>
            <w:r w:rsidRPr="00E54DF6">
              <w:rPr>
                <w:lang w:val="en-GB"/>
              </w:rPr>
              <w:t xml:space="preserve"> the spectrum is increasing rapidly</w:t>
            </w:r>
            <w:r>
              <w:rPr>
                <w:lang w:val="en-GB"/>
              </w:rPr>
              <w:t>, so that, several factors</w:t>
            </w:r>
            <w:r>
              <w:rPr>
                <w:lang w:bidi="fa-IR"/>
              </w:rPr>
              <w:t xml:space="preserve"> force us to evaluate spectrum assigned utilization. For </w:t>
            </w:r>
            <w:r>
              <w:rPr>
                <w:lang w:val="en-GB"/>
              </w:rPr>
              <w:t>instance,</w:t>
            </w:r>
            <w:r>
              <w:rPr>
                <w:lang w:bidi="fa-IR"/>
              </w:rPr>
              <w:t xml:space="preserve"> the existence of other radio services in a similar range of frequencies according to the national allocation frequency table, economical aspects, request of other licenses, etc.</w:t>
            </w:r>
          </w:p>
          <w:p w14:paraId="381F4C4B" w14:textId="77777777" w:rsidR="000925AA" w:rsidRDefault="000925AA" w:rsidP="000925AA">
            <w:pPr>
              <w:numPr>
                <w:ilvl w:val="0"/>
                <w:numId w:val="15"/>
              </w:numPr>
              <w:ind w:left="351"/>
              <w:jc w:val="both"/>
              <w:rPr>
                <w:lang w:val="en-GB"/>
              </w:rPr>
            </w:pPr>
            <w:r w:rsidRPr="00A636A4">
              <w:rPr>
                <w:lang w:bidi="fa-IR"/>
              </w:rPr>
              <w:t>Sometimes</w:t>
            </w:r>
            <w:r w:rsidRPr="00A636A4">
              <w:rPr>
                <w:lang w:val="en-GB"/>
              </w:rPr>
              <w:t xml:space="preserve"> administrations need to define the degree and efficiency of spectrum use, as a tool for comparison and analysis for assessing the gains achieved with new or improved technologies and which actual radio systems will be useful when developing or improved technologies and assessing the performance of existing one's systems.</w:t>
            </w:r>
            <w:r>
              <w:rPr>
                <w:lang w:val="en-GB"/>
              </w:rPr>
              <w:t xml:space="preserve"> </w:t>
            </w:r>
          </w:p>
          <w:p w14:paraId="23BEB4E3" w14:textId="77777777" w:rsidR="000925AA" w:rsidRPr="00A636A4" w:rsidRDefault="000925AA" w:rsidP="000925AA">
            <w:pPr>
              <w:numPr>
                <w:ilvl w:val="0"/>
                <w:numId w:val="15"/>
              </w:numPr>
              <w:ind w:left="351"/>
              <w:jc w:val="both"/>
              <w:rPr>
                <w:lang w:val="en-GB"/>
              </w:rPr>
            </w:pPr>
            <w:r>
              <w:rPr>
                <w:lang w:val="en-GB"/>
              </w:rPr>
              <w:t xml:space="preserve">For this, administrations need some means for evaluating the utilization of the spectrum. SUE (Spectrum Utilization Efficiency) index will be applied. </w:t>
            </w:r>
          </w:p>
          <w:p w14:paraId="662E218F" w14:textId="77777777" w:rsidR="000925AA" w:rsidRPr="00770CE9" w:rsidRDefault="000925AA" w:rsidP="000925AA">
            <w:pPr>
              <w:numPr>
                <w:ilvl w:val="0"/>
                <w:numId w:val="15"/>
              </w:numPr>
              <w:ind w:left="351"/>
              <w:jc w:val="both"/>
              <w:rPr>
                <w:sz w:val="22"/>
                <w:szCs w:val="22"/>
                <w:lang w:val="en-GB"/>
              </w:rPr>
            </w:pPr>
            <w:r>
              <w:rPr>
                <w:sz w:val="22"/>
                <w:szCs w:val="22"/>
              </w:rPr>
              <w:t xml:space="preserve">According to ITU-R recommendation SM.1046, </w:t>
            </w:r>
            <w:r w:rsidRPr="00770CE9">
              <w:rPr>
                <w:sz w:val="22"/>
                <w:szCs w:val="22"/>
              </w:rPr>
              <w:t xml:space="preserve">SUE </w:t>
            </w:r>
            <w:r w:rsidRPr="00770CE9">
              <w:rPr>
                <w:sz w:val="22"/>
                <w:szCs w:val="22"/>
                <w:lang w:val="en-GB"/>
              </w:rPr>
              <w:t>can be expressed by a complex criterion:</w:t>
            </w:r>
          </w:p>
          <w:p w14:paraId="12CA5487" w14:textId="77777777" w:rsidR="000925AA" w:rsidRPr="00770CE9" w:rsidRDefault="000925AA" w:rsidP="004F47D1">
            <w:pPr>
              <w:overflowPunct w:val="0"/>
              <w:autoSpaceDE w:val="0"/>
              <w:autoSpaceDN w:val="0"/>
              <w:adjustRightInd w:val="0"/>
              <w:snapToGrid w:val="0"/>
              <w:jc w:val="center"/>
              <w:textAlignment w:val="baseline"/>
              <w:rPr>
                <w:sz w:val="22"/>
                <w:szCs w:val="22"/>
                <w:lang w:val="en-GB"/>
              </w:rPr>
            </w:pPr>
            <w:r w:rsidRPr="00770CE9">
              <w:rPr>
                <w:i/>
                <w:sz w:val="22"/>
                <w:szCs w:val="22"/>
                <w:lang w:val="en-GB"/>
              </w:rPr>
              <w:t>SUE</w:t>
            </w:r>
            <w:r w:rsidRPr="00770CE9">
              <w:rPr>
                <w:sz w:val="22"/>
                <w:szCs w:val="22"/>
              </w:rPr>
              <w:sym w:font="Symbol" w:char="F03D"/>
            </w:r>
            <w:r w:rsidRPr="00770CE9">
              <w:rPr>
                <w:sz w:val="22"/>
                <w:szCs w:val="22"/>
                <w:lang w:val="en-GB"/>
              </w:rPr>
              <w:t xml:space="preserve">  {</w:t>
            </w:r>
            <w:proofErr w:type="gramStart"/>
            <w:r w:rsidRPr="00770CE9">
              <w:rPr>
                <w:i/>
                <w:sz w:val="22"/>
                <w:szCs w:val="22"/>
                <w:lang w:val="en-GB"/>
              </w:rPr>
              <w:t>M</w:t>
            </w:r>
            <w:r w:rsidRPr="00770CE9">
              <w:rPr>
                <w:sz w:val="22"/>
                <w:szCs w:val="22"/>
                <w:lang w:val="en-GB"/>
              </w:rPr>
              <w:t xml:space="preserve">,  </w:t>
            </w:r>
            <w:r w:rsidRPr="00770CE9">
              <w:rPr>
                <w:i/>
                <w:sz w:val="22"/>
                <w:szCs w:val="22"/>
                <w:lang w:val="en-GB"/>
              </w:rPr>
              <w:t>U</w:t>
            </w:r>
            <w:proofErr w:type="gramEnd"/>
            <w:r w:rsidRPr="00770CE9">
              <w:rPr>
                <w:sz w:val="22"/>
                <w:szCs w:val="22"/>
                <w:lang w:val="en-GB"/>
              </w:rPr>
              <w:t xml:space="preserve">}  </w:t>
            </w:r>
            <w:r w:rsidRPr="00770CE9">
              <w:rPr>
                <w:sz w:val="22"/>
                <w:szCs w:val="22"/>
              </w:rPr>
              <w:sym w:font="Symbol" w:char="F03D"/>
            </w:r>
            <w:r w:rsidRPr="00770CE9">
              <w:rPr>
                <w:sz w:val="22"/>
                <w:szCs w:val="22"/>
                <w:lang w:val="en-GB"/>
              </w:rPr>
              <w:t xml:space="preserve">  {</w:t>
            </w:r>
            <w:r w:rsidRPr="00770CE9">
              <w:rPr>
                <w:i/>
                <w:sz w:val="22"/>
                <w:szCs w:val="22"/>
                <w:lang w:val="en-GB"/>
              </w:rPr>
              <w:t>M</w:t>
            </w:r>
            <w:r w:rsidRPr="00770CE9">
              <w:rPr>
                <w:sz w:val="22"/>
                <w:szCs w:val="22"/>
                <w:lang w:val="en-GB"/>
              </w:rPr>
              <w:t xml:space="preserve">,  </w:t>
            </w:r>
            <w:r w:rsidRPr="00770CE9">
              <w:rPr>
                <w:i/>
                <w:sz w:val="22"/>
                <w:szCs w:val="22"/>
                <w:lang w:val="en-GB"/>
              </w:rPr>
              <w:t>B</w:t>
            </w:r>
            <w:r w:rsidRPr="00770CE9">
              <w:rPr>
                <w:sz w:val="22"/>
                <w:szCs w:val="22"/>
              </w:rPr>
              <w:sym w:font="Symbol" w:char="F0D7"/>
            </w:r>
            <w:r w:rsidRPr="00770CE9">
              <w:rPr>
                <w:i/>
                <w:sz w:val="22"/>
                <w:szCs w:val="22"/>
                <w:lang w:val="en-GB"/>
              </w:rPr>
              <w:t>S</w:t>
            </w:r>
            <w:r w:rsidRPr="00770CE9">
              <w:rPr>
                <w:sz w:val="22"/>
                <w:szCs w:val="22"/>
              </w:rPr>
              <w:sym w:font="Symbol" w:char="F0D7"/>
            </w:r>
            <w:r w:rsidRPr="00770CE9">
              <w:rPr>
                <w:i/>
                <w:sz w:val="22"/>
                <w:szCs w:val="22"/>
                <w:lang w:val="en-GB"/>
              </w:rPr>
              <w:t>T</w:t>
            </w:r>
            <w:r w:rsidRPr="00770CE9">
              <w:rPr>
                <w:sz w:val="22"/>
                <w:szCs w:val="22"/>
                <w:lang w:val="en-GB"/>
              </w:rPr>
              <w:t>}</w:t>
            </w:r>
          </w:p>
          <w:p w14:paraId="77196FE5" w14:textId="77777777" w:rsidR="000925AA" w:rsidRPr="00770CE9" w:rsidRDefault="000925AA" w:rsidP="004F47D1">
            <w:pPr>
              <w:rPr>
                <w:sz w:val="22"/>
                <w:szCs w:val="22"/>
                <w:lang w:val="en-GB"/>
              </w:rPr>
            </w:pPr>
            <w:r w:rsidRPr="00770CE9">
              <w:rPr>
                <w:sz w:val="22"/>
                <w:szCs w:val="22"/>
                <w:lang w:val="en-GB"/>
              </w:rPr>
              <w:t>where:</w:t>
            </w:r>
          </w:p>
          <w:p w14:paraId="25E68E84" w14:textId="77777777" w:rsidR="000925AA" w:rsidRPr="00770CE9" w:rsidRDefault="000925AA" w:rsidP="004F47D1">
            <w:pPr>
              <w:pStyle w:val="Equationlegend"/>
              <w:tabs>
                <w:tab w:val="clear" w:pos="1701"/>
                <w:tab w:val="clear" w:pos="1985"/>
              </w:tabs>
              <w:spacing w:before="0"/>
              <w:ind w:left="801"/>
              <w:rPr>
                <w:sz w:val="22"/>
                <w:szCs w:val="22"/>
              </w:rPr>
            </w:pPr>
            <w:r w:rsidRPr="00770CE9">
              <w:rPr>
                <w:i/>
                <w:iCs/>
                <w:sz w:val="22"/>
                <w:szCs w:val="22"/>
              </w:rPr>
              <w:tab/>
              <w:t>M</w:t>
            </w:r>
            <w:r w:rsidRPr="00770CE9">
              <w:rPr>
                <w:sz w:val="22"/>
                <w:szCs w:val="22"/>
              </w:rPr>
              <w:t>:</w:t>
            </w:r>
            <w:r w:rsidRPr="00770CE9">
              <w:rPr>
                <w:i/>
                <w:iCs/>
                <w:sz w:val="22"/>
                <w:szCs w:val="22"/>
              </w:rPr>
              <w:tab/>
            </w:r>
            <w:r w:rsidRPr="00770CE9">
              <w:rPr>
                <w:sz w:val="22"/>
                <w:szCs w:val="22"/>
              </w:rPr>
              <w:t xml:space="preserve">useful effect obtained with the </w:t>
            </w:r>
            <w:r>
              <w:rPr>
                <w:sz w:val="22"/>
                <w:szCs w:val="22"/>
              </w:rPr>
              <w:t>aid of the communication system</w:t>
            </w:r>
          </w:p>
          <w:p w14:paraId="18F62E34" w14:textId="77777777" w:rsidR="000925AA" w:rsidRPr="00770CE9" w:rsidRDefault="000925AA" w:rsidP="004F47D1">
            <w:pPr>
              <w:pStyle w:val="Equationlegend"/>
              <w:tabs>
                <w:tab w:val="clear" w:pos="1701"/>
                <w:tab w:val="clear" w:pos="1985"/>
              </w:tabs>
              <w:spacing w:before="0"/>
              <w:ind w:left="801"/>
              <w:rPr>
                <w:iCs/>
                <w:sz w:val="22"/>
                <w:szCs w:val="22"/>
              </w:rPr>
            </w:pPr>
            <w:r w:rsidRPr="00770CE9">
              <w:rPr>
                <w:i/>
                <w:sz w:val="22"/>
                <w:szCs w:val="22"/>
              </w:rPr>
              <w:tab/>
              <w:t>U</w:t>
            </w:r>
            <w:r w:rsidRPr="00770CE9">
              <w:rPr>
                <w:sz w:val="22"/>
                <w:szCs w:val="22"/>
              </w:rPr>
              <w:t>:</w:t>
            </w:r>
            <w:r w:rsidRPr="00770CE9">
              <w:rPr>
                <w:i/>
                <w:sz w:val="22"/>
                <w:szCs w:val="22"/>
              </w:rPr>
              <w:tab/>
            </w:r>
            <w:r w:rsidRPr="00770CE9">
              <w:rPr>
                <w:iCs/>
                <w:sz w:val="22"/>
                <w:szCs w:val="22"/>
              </w:rPr>
              <w:t>spectrum utilization factor for that system.</w:t>
            </w:r>
          </w:p>
          <w:p w14:paraId="375748F9" w14:textId="77777777" w:rsidR="000925AA" w:rsidRPr="00770CE9" w:rsidRDefault="000925AA" w:rsidP="004F47D1">
            <w:pPr>
              <w:rPr>
                <w:sz w:val="22"/>
                <w:szCs w:val="22"/>
                <w:lang w:val="en-GB"/>
              </w:rPr>
            </w:pPr>
            <w:r w:rsidRPr="00770CE9">
              <w:rPr>
                <w:sz w:val="22"/>
                <w:szCs w:val="22"/>
                <w:lang w:val="en-GB"/>
              </w:rPr>
              <w:t>If necessary, the complex spectrum efficiency indicator may be reduced to a simple indicator: the ratio of useful effect to spectrum utilization factor:</w:t>
            </w:r>
          </w:p>
          <w:p w14:paraId="2A974842" w14:textId="77777777" w:rsidR="000925AA" w:rsidRDefault="000925AA" w:rsidP="004F47D1">
            <w:pPr>
              <w:overflowPunct w:val="0"/>
              <w:autoSpaceDE w:val="0"/>
              <w:autoSpaceDN w:val="0"/>
              <w:adjustRightInd w:val="0"/>
              <w:snapToGrid w:val="0"/>
              <w:textAlignment w:val="baseline"/>
              <w:rPr>
                <w:sz w:val="22"/>
                <w:szCs w:val="22"/>
              </w:rPr>
            </w:pPr>
            <w:r w:rsidRPr="00770CE9">
              <w:rPr>
                <w:sz w:val="22"/>
                <w:szCs w:val="22"/>
                <w:lang w:val="en-GB"/>
              </w:rPr>
              <w:lastRenderedPageBreak/>
              <w:tab/>
            </w:r>
            <w:r w:rsidRPr="00770CE9">
              <w:rPr>
                <w:sz w:val="22"/>
                <w:szCs w:val="22"/>
                <w:lang w:val="en-GB"/>
              </w:rPr>
              <w:tab/>
            </w:r>
            <w:r w:rsidRPr="00770CE9">
              <w:rPr>
                <w:position w:val="-30"/>
                <w:sz w:val="22"/>
                <w:szCs w:val="22"/>
              </w:rPr>
              <w:object w:dxaOrig="1960" w:dyaOrig="680" w14:anchorId="13B8C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36pt" o:ole="" fillcolor="window">
                  <v:imagedata r:id="rId9" o:title=""/>
                </v:shape>
                <o:OLEObject Type="Embed" ProgID="Equation.3" ShapeID="_x0000_i1025" DrawAspect="Content" ObjectID="_1717925944" r:id="rId10"/>
              </w:object>
            </w:r>
          </w:p>
          <w:p w14:paraId="08BBD09D" w14:textId="77777777" w:rsidR="000925AA" w:rsidRPr="00E54DF6" w:rsidRDefault="000925AA" w:rsidP="004F47D1">
            <w:pPr>
              <w:rPr>
                <w:lang w:val="en-GB"/>
              </w:rPr>
            </w:pPr>
            <w:r w:rsidRPr="00E54DF6">
              <w:rPr>
                <w:lang w:val="en-GB"/>
              </w:rPr>
              <w:t>where:</w:t>
            </w:r>
          </w:p>
          <w:p w14:paraId="283ED933" w14:textId="77777777" w:rsidR="000925AA" w:rsidRPr="00F023D0" w:rsidRDefault="000925AA" w:rsidP="004F47D1">
            <w:pPr>
              <w:pStyle w:val="Equationlegend"/>
              <w:spacing w:before="0"/>
            </w:pPr>
            <w:r w:rsidRPr="00F023D0">
              <w:rPr>
                <w:i/>
              </w:rPr>
              <w:tab/>
              <w:t>B</w:t>
            </w:r>
            <w:r w:rsidRPr="00F023D0">
              <w:rPr>
                <w:rFonts w:ascii="Tms Rmn" w:hAnsi="Tms Rmn"/>
                <w:sz w:val="12"/>
              </w:rPr>
              <w:t> </w:t>
            </w:r>
            <w:r w:rsidRPr="00F023D0">
              <w:t>:</w:t>
            </w:r>
            <w:r w:rsidRPr="00F023D0">
              <w:tab/>
              <w:t>frequency bandwidth</w:t>
            </w:r>
          </w:p>
          <w:p w14:paraId="0E1F3BEB" w14:textId="77777777" w:rsidR="000925AA" w:rsidRPr="00F023D0" w:rsidRDefault="000925AA" w:rsidP="004F47D1">
            <w:pPr>
              <w:pStyle w:val="Equationlegend"/>
              <w:spacing w:before="0"/>
            </w:pPr>
            <w:r w:rsidRPr="00F023D0">
              <w:rPr>
                <w:i/>
              </w:rPr>
              <w:tab/>
              <w:t>S</w:t>
            </w:r>
            <w:r w:rsidRPr="00F023D0">
              <w:rPr>
                <w:rFonts w:ascii="Tms Rmn" w:hAnsi="Tms Rmn"/>
                <w:sz w:val="12"/>
              </w:rPr>
              <w:t> </w:t>
            </w:r>
            <w:r w:rsidRPr="00F023D0">
              <w:t>:</w:t>
            </w:r>
            <w:r w:rsidRPr="00F023D0">
              <w:rPr>
                <w:rFonts w:ascii="Courier" w:hAnsi="Courier"/>
              </w:rPr>
              <w:tab/>
            </w:r>
            <w:r w:rsidRPr="00F023D0">
              <w:t>geometric space (usually area)</w:t>
            </w:r>
          </w:p>
          <w:p w14:paraId="3658DFDD" w14:textId="1CC8C42C" w:rsidR="000925AA" w:rsidRDefault="000925AA" w:rsidP="004F47D1">
            <w:pPr>
              <w:pStyle w:val="Equationlegend"/>
              <w:spacing w:before="0"/>
            </w:pPr>
            <w:r w:rsidRPr="00F023D0">
              <w:rPr>
                <w:i/>
              </w:rPr>
              <w:tab/>
              <w:t>T</w:t>
            </w:r>
            <w:r w:rsidRPr="00F023D0">
              <w:rPr>
                <w:rFonts w:ascii="Tms Rmn" w:hAnsi="Tms Rmn"/>
                <w:sz w:val="12"/>
              </w:rPr>
              <w:t> </w:t>
            </w:r>
            <w:r w:rsidRPr="00F023D0">
              <w:t>:</w:t>
            </w:r>
            <w:r w:rsidRPr="00F023D0">
              <w:tab/>
              <w:t>time.</w:t>
            </w:r>
          </w:p>
          <w:p w14:paraId="5D1A82D5" w14:textId="45DB0419" w:rsidR="002E7B35" w:rsidRDefault="002E7B35" w:rsidP="004F47D1">
            <w:pPr>
              <w:pStyle w:val="Equationlegend"/>
              <w:spacing w:before="0"/>
            </w:pPr>
          </w:p>
          <w:p w14:paraId="1F1B15FC" w14:textId="77777777" w:rsidR="002E7B35" w:rsidRDefault="002E7B35" w:rsidP="002E7B35">
            <w:pPr>
              <w:pStyle w:val="Equationlegend"/>
              <w:tabs>
                <w:tab w:val="clear" w:pos="1985"/>
              </w:tabs>
              <w:spacing w:before="0"/>
              <w:ind w:left="369" w:hanging="283"/>
              <w:jc w:val="left"/>
              <w:rPr>
                <w:iCs/>
              </w:rPr>
            </w:pPr>
            <w:r>
              <w:rPr>
                <w:iCs/>
              </w:rPr>
              <w:t>5)</w:t>
            </w:r>
            <w:r w:rsidRPr="00531E06">
              <w:rPr>
                <w:iCs/>
              </w:rPr>
              <w:t xml:space="preserve">To carry out the spectrum audit </w:t>
            </w:r>
            <w:r>
              <w:rPr>
                <w:iCs/>
              </w:rPr>
              <w:t xml:space="preserve">of spectrum held by government agencies as well as private entities and </w:t>
            </w:r>
            <w:r w:rsidRPr="00531E06">
              <w:rPr>
                <w:iCs/>
              </w:rPr>
              <w:t>take remedial steps</w:t>
            </w:r>
            <w:r>
              <w:rPr>
                <w:iCs/>
              </w:rPr>
              <w:t>. The key points to be assessed in spectrum audit are:</w:t>
            </w:r>
          </w:p>
          <w:p w14:paraId="6D272030" w14:textId="77777777" w:rsidR="002E7B35" w:rsidRDefault="002E7B35" w:rsidP="002E7B35">
            <w:pPr>
              <w:pStyle w:val="Equationlegend"/>
              <w:tabs>
                <w:tab w:val="clear" w:pos="1985"/>
                <w:tab w:val="left" w:pos="1787"/>
              </w:tabs>
              <w:ind w:left="86" w:firstLine="0"/>
              <w:rPr>
                <w:iCs/>
              </w:rPr>
            </w:pPr>
            <w:r>
              <w:rPr>
                <w:iCs/>
              </w:rPr>
              <w:t>(</w:t>
            </w:r>
            <w:proofErr w:type="spellStart"/>
            <w:r>
              <w:rPr>
                <w:iCs/>
              </w:rPr>
              <w:t>i</w:t>
            </w:r>
            <w:proofErr w:type="spellEnd"/>
            <w:r>
              <w:rPr>
                <w:iCs/>
              </w:rPr>
              <w:t>)</w:t>
            </w:r>
            <w:r w:rsidRPr="00000AD1">
              <w:rPr>
                <w:iCs/>
              </w:rPr>
              <w:t xml:space="preserve"> how well the spectrum is being </w:t>
            </w:r>
            <w:proofErr w:type="spellStart"/>
            <w:r w:rsidRPr="00000AD1">
              <w:rPr>
                <w:iCs/>
              </w:rPr>
              <w:t>utilised</w:t>
            </w:r>
            <w:proofErr w:type="spellEnd"/>
            <w:r w:rsidRPr="00000AD1">
              <w:rPr>
                <w:iCs/>
              </w:rPr>
              <w:t xml:space="preserve"> w</w:t>
            </w:r>
            <w:r>
              <w:rPr>
                <w:iCs/>
              </w:rPr>
              <w:t xml:space="preserve">ith respect to </w:t>
            </w:r>
            <w:r w:rsidRPr="00000AD1">
              <w:rPr>
                <w:iCs/>
              </w:rPr>
              <w:t xml:space="preserve">quantum, </w:t>
            </w:r>
            <w:proofErr w:type="gramStart"/>
            <w:r w:rsidRPr="00000AD1">
              <w:rPr>
                <w:iCs/>
              </w:rPr>
              <w:t>geography</w:t>
            </w:r>
            <w:proofErr w:type="gramEnd"/>
            <w:r w:rsidRPr="00000AD1">
              <w:rPr>
                <w:iCs/>
              </w:rPr>
              <w:t xml:space="preserve"> and time.</w:t>
            </w:r>
            <w:r>
              <w:rPr>
                <w:iCs/>
              </w:rPr>
              <w:t xml:space="preserve"> </w:t>
            </w:r>
          </w:p>
          <w:p w14:paraId="110AC1C2" w14:textId="77777777" w:rsidR="002E7B35" w:rsidRPr="00391500" w:rsidRDefault="002E7B35" w:rsidP="002E7B35">
            <w:pPr>
              <w:pStyle w:val="Equationlegend"/>
              <w:tabs>
                <w:tab w:val="clear" w:pos="1985"/>
                <w:tab w:val="left" w:pos="1787"/>
              </w:tabs>
              <w:ind w:left="86" w:firstLine="0"/>
              <w:rPr>
                <w:iCs/>
              </w:rPr>
            </w:pPr>
            <w:r>
              <w:rPr>
                <w:iCs/>
              </w:rPr>
              <w:t xml:space="preserve">(ii) the benefits that can be derived by upgrading the </w:t>
            </w:r>
            <w:r w:rsidRPr="00391500">
              <w:rPr>
                <w:iCs/>
              </w:rPr>
              <w:t xml:space="preserve">technology </w:t>
            </w:r>
          </w:p>
          <w:p w14:paraId="64B7EDBD" w14:textId="77777777" w:rsidR="002E7B35" w:rsidRPr="00531E06" w:rsidRDefault="002E7B35" w:rsidP="002E7B35">
            <w:pPr>
              <w:pStyle w:val="Equationlegend"/>
              <w:tabs>
                <w:tab w:val="clear" w:pos="1985"/>
                <w:tab w:val="left" w:pos="1787"/>
              </w:tabs>
              <w:ind w:left="86" w:firstLine="0"/>
              <w:rPr>
                <w:iCs/>
                <w:highlight w:val="yellow"/>
              </w:rPr>
            </w:pPr>
            <w:r>
              <w:rPr>
                <w:iCs/>
              </w:rPr>
              <w:t>(iii) the amount of</w:t>
            </w:r>
            <w:r w:rsidRPr="00391500">
              <w:rPr>
                <w:iCs/>
              </w:rPr>
              <w:t xml:space="preserve"> spectrum lying </w:t>
            </w:r>
            <w:proofErr w:type="spellStart"/>
            <w:r w:rsidRPr="00391500">
              <w:rPr>
                <w:iCs/>
              </w:rPr>
              <w:t>unutilised</w:t>
            </w:r>
            <w:proofErr w:type="spellEnd"/>
            <w:r w:rsidRPr="00391500">
              <w:rPr>
                <w:iCs/>
              </w:rPr>
              <w:t xml:space="preserve"> with the spectrum Manager.</w:t>
            </w:r>
          </w:p>
          <w:p w14:paraId="7E391AB4" w14:textId="77777777" w:rsidR="002E7B35" w:rsidRDefault="002E7B35" w:rsidP="004F47D1">
            <w:pPr>
              <w:pStyle w:val="Equationlegend"/>
              <w:spacing w:before="0"/>
            </w:pPr>
          </w:p>
          <w:p w14:paraId="5F4A574C" w14:textId="642DEBF7" w:rsidR="00B93ED1" w:rsidRPr="002B05FC" w:rsidRDefault="00B93ED1" w:rsidP="004F47D1">
            <w:pPr>
              <w:pStyle w:val="Equationlegend"/>
              <w:spacing w:before="0"/>
            </w:pPr>
          </w:p>
        </w:tc>
      </w:tr>
      <w:tr w:rsidR="000925AA" w:rsidRPr="0003690D" w14:paraId="74715D4F" w14:textId="77777777" w:rsidTr="004F47D1">
        <w:trPr>
          <w:trHeight w:val="339"/>
        </w:trPr>
        <w:tc>
          <w:tcPr>
            <w:tcW w:w="2509" w:type="dxa"/>
            <w:tcBorders>
              <w:top w:val="single" w:sz="4" w:space="0" w:color="auto"/>
              <w:left w:val="single" w:sz="4" w:space="0" w:color="auto"/>
              <w:bottom w:val="single" w:sz="4" w:space="0" w:color="auto"/>
              <w:right w:val="single" w:sz="4" w:space="0" w:color="auto"/>
            </w:tcBorders>
            <w:hideMark/>
          </w:tcPr>
          <w:p w14:paraId="2C173CF9" w14:textId="77777777" w:rsidR="000925AA" w:rsidRPr="0003690D" w:rsidRDefault="000925AA" w:rsidP="004F47D1">
            <w:pPr>
              <w:snapToGrid w:val="0"/>
              <w:rPr>
                <w:rFonts w:eastAsia="휴먼명조"/>
                <w:b/>
                <w:color w:val="000000"/>
                <w:lang w:val="en-AU"/>
              </w:rPr>
            </w:pPr>
            <w:r w:rsidRPr="0003690D">
              <w:rPr>
                <w:rFonts w:eastAsia="휴먼명조"/>
                <w:b/>
                <w:color w:val="000000"/>
                <w:lang w:val="en-AU"/>
              </w:rPr>
              <w:lastRenderedPageBreak/>
              <w:t>Scope</w:t>
            </w:r>
          </w:p>
        </w:tc>
        <w:tc>
          <w:tcPr>
            <w:tcW w:w="7088" w:type="dxa"/>
            <w:tcBorders>
              <w:top w:val="single" w:sz="4" w:space="0" w:color="auto"/>
              <w:left w:val="single" w:sz="4" w:space="0" w:color="auto"/>
              <w:bottom w:val="single" w:sz="4" w:space="0" w:color="auto"/>
              <w:right w:val="single" w:sz="4" w:space="0" w:color="auto"/>
            </w:tcBorders>
          </w:tcPr>
          <w:p w14:paraId="13512108" w14:textId="6DC2DF19" w:rsidR="00B93ED1" w:rsidRDefault="00B93ED1" w:rsidP="00B93ED1">
            <w:pPr>
              <w:pStyle w:val="ListParagraph"/>
              <w:numPr>
                <w:ilvl w:val="0"/>
                <w:numId w:val="18"/>
              </w:numPr>
              <w:textAlignment w:val="top"/>
              <w:rPr>
                <w:lang w:val="en-AU" w:eastAsia="ko-KR"/>
              </w:rPr>
            </w:pPr>
            <w:r>
              <w:rPr>
                <w:lang w:val="en-AU" w:eastAsia="ko-KR"/>
              </w:rPr>
              <w:t>To study the efficiency of spectrum utilization in SATRC countries</w:t>
            </w:r>
            <w:r w:rsidR="00880B2E">
              <w:rPr>
                <w:lang w:val="en-AU" w:eastAsia="ko-KR"/>
              </w:rPr>
              <w:t>: spectrum held by public agencies as well as other entities</w:t>
            </w:r>
            <w:r>
              <w:rPr>
                <w:lang w:val="en-AU" w:eastAsia="ko-KR"/>
              </w:rPr>
              <w:t xml:space="preserve"> </w:t>
            </w:r>
          </w:p>
          <w:p w14:paraId="7EAAD37F" w14:textId="0D21A59B" w:rsidR="000925AA" w:rsidRDefault="00B93ED1" w:rsidP="00B93ED1">
            <w:pPr>
              <w:pStyle w:val="ListParagraph"/>
              <w:numPr>
                <w:ilvl w:val="0"/>
                <w:numId w:val="18"/>
              </w:numPr>
              <w:textAlignment w:val="top"/>
              <w:rPr>
                <w:lang w:val="en-AU" w:eastAsia="ko-KR"/>
              </w:rPr>
            </w:pPr>
            <w:r>
              <w:rPr>
                <w:lang w:val="en-AU" w:eastAsia="ko-KR"/>
              </w:rPr>
              <w:t xml:space="preserve">To study the efficiency of spectrum utilization in </w:t>
            </w:r>
            <w:r w:rsidR="000759E5">
              <w:rPr>
                <w:lang w:val="en-AU" w:eastAsia="ko-KR"/>
              </w:rPr>
              <w:t xml:space="preserve">terrestrial mobile </w:t>
            </w:r>
            <w:r>
              <w:rPr>
                <w:lang w:val="en-AU" w:eastAsia="ko-KR"/>
              </w:rPr>
              <w:t>networks</w:t>
            </w:r>
            <w:r w:rsidR="000759E5">
              <w:rPr>
                <w:lang w:val="en-AU" w:eastAsia="ko-KR"/>
              </w:rPr>
              <w:t xml:space="preserve"> (such as 2G, 3G and 4G)</w:t>
            </w:r>
          </w:p>
          <w:p w14:paraId="128ADDF3" w14:textId="1FCBC749" w:rsidR="00B93ED1" w:rsidRPr="00B93ED1" w:rsidRDefault="00B93ED1" w:rsidP="00AA33BE">
            <w:pPr>
              <w:pStyle w:val="ListParagraph"/>
              <w:ind w:left="360"/>
              <w:textAlignment w:val="top"/>
              <w:rPr>
                <w:lang w:val="en-AU" w:eastAsia="ko-KR"/>
              </w:rPr>
            </w:pPr>
          </w:p>
        </w:tc>
      </w:tr>
      <w:tr w:rsidR="000925AA" w:rsidRPr="0003690D" w14:paraId="522E8BD2" w14:textId="77777777" w:rsidTr="004F47D1">
        <w:trPr>
          <w:trHeight w:val="339"/>
        </w:trPr>
        <w:tc>
          <w:tcPr>
            <w:tcW w:w="2509" w:type="dxa"/>
            <w:tcBorders>
              <w:top w:val="single" w:sz="4" w:space="0" w:color="auto"/>
              <w:left w:val="single" w:sz="4" w:space="0" w:color="auto"/>
              <w:bottom w:val="single" w:sz="4" w:space="0" w:color="auto"/>
              <w:right w:val="single" w:sz="4" w:space="0" w:color="auto"/>
            </w:tcBorders>
            <w:hideMark/>
          </w:tcPr>
          <w:p w14:paraId="3C159C15" w14:textId="77777777" w:rsidR="000925AA" w:rsidRPr="0003690D" w:rsidRDefault="000925AA" w:rsidP="004F47D1">
            <w:pPr>
              <w:snapToGrid w:val="0"/>
              <w:rPr>
                <w:rFonts w:eastAsia="휴먼명조"/>
                <w:b/>
                <w:color w:val="000000"/>
                <w:lang w:val="en-AU" w:eastAsia="ko-KR"/>
              </w:rPr>
            </w:pPr>
            <w:r w:rsidRPr="003247FB">
              <w:rPr>
                <w:rFonts w:eastAsia="Batang"/>
                <w:b/>
              </w:rPr>
              <w:t>Time Frame</w:t>
            </w:r>
          </w:p>
        </w:tc>
        <w:tc>
          <w:tcPr>
            <w:tcW w:w="7088" w:type="dxa"/>
            <w:tcBorders>
              <w:top w:val="single" w:sz="4" w:space="0" w:color="auto"/>
              <w:left w:val="single" w:sz="4" w:space="0" w:color="auto"/>
              <w:bottom w:val="single" w:sz="4" w:space="0" w:color="auto"/>
              <w:right w:val="single" w:sz="4" w:space="0" w:color="auto"/>
            </w:tcBorders>
          </w:tcPr>
          <w:p w14:paraId="4C1AC498" w14:textId="7145C624" w:rsidR="00022BEB" w:rsidRPr="004F0EF2" w:rsidRDefault="00022BEB" w:rsidP="00022BEB">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Drafting the questionnaire by lead experts (</w:t>
            </w:r>
            <w:r w:rsidR="00664E0B">
              <w:rPr>
                <w:rFonts w:eastAsia="Times New Roman"/>
                <w:lang w:val="en-AU" w:eastAsia="zh-CN"/>
              </w:rPr>
              <w:t>June 2022</w:t>
            </w:r>
            <w:r w:rsidRPr="004F0EF2">
              <w:rPr>
                <w:rFonts w:eastAsia="Times New Roman"/>
                <w:lang w:val="en-AU" w:eastAsia="zh-CN"/>
              </w:rPr>
              <w:t>)</w:t>
            </w:r>
          </w:p>
          <w:p w14:paraId="39F4E9BD" w14:textId="54EC4EAB" w:rsidR="00022BEB" w:rsidRPr="004F0EF2" w:rsidRDefault="00022BEB" w:rsidP="00022BEB">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Circulation of the questionnaire to WG experts (</w:t>
            </w:r>
            <w:r w:rsidR="00664E0B">
              <w:rPr>
                <w:rFonts w:eastAsia="Times New Roman"/>
                <w:lang w:val="en-AU" w:eastAsia="zh-CN"/>
              </w:rPr>
              <w:t>July</w:t>
            </w:r>
            <w:r w:rsidRPr="004F0EF2">
              <w:rPr>
                <w:rFonts w:eastAsia="Times New Roman"/>
                <w:lang w:val="en-AU" w:eastAsia="zh-CN"/>
              </w:rPr>
              <w:t>….</w:t>
            </w:r>
            <w:r w:rsidR="00664E0B">
              <w:rPr>
                <w:rFonts w:eastAsia="Times New Roman"/>
                <w:lang w:val="en-AU" w:eastAsia="zh-CN"/>
              </w:rPr>
              <w:t>2022</w:t>
            </w:r>
            <w:r w:rsidRPr="004F0EF2">
              <w:rPr>
                <w:rFonts w:eastAsia="Times New Roman"/>
                <w:lang w:val="en-AU" w:eastAsia="zh-CN"/>
              </w:rPr>
              <w:t>)</w:t>
            </w:r>
          </w:p>
          <w:p w14:paraId="03B7CE6E" w14:textId="2194D6FC" w:rsidR="00022BEB" w:rsidRPr="004F0EF2" w:rsidRDefault="00022BEB" w:rsidP="00022BEB">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Response to the questionnaires (</w:t>
            </w:r>
            <w:r w:rsidR="00C359E7">
              <w:rPr>
                <w:rFonts w:eastAsia="Times New Roman"/>
                <w:lang w:val="en-AU" w:eastAsia="zh-CN"/>
              </w:rPr>
              <w:t>August</w:t>
            </w:r>
            <w:r w:rsidRPr="004F0EF2">
              <w:rPr>
                <w:rFonts w:eastAsia="Times New Roman"/>
                <w:lang w:val="en-AU" w:eastAsia="zh-CN"/>
              </w:rPr>
              <w:t>…….</w:t>
            </w:r>
            <w:r w:rsidR="00664E0B">
              <w:rPr>
                <w:rFonts w:eastAsia="Times New Roman"/>
                <w:lang w:val="en-AU" w:eastAsia="zh-CN"/>
              </w:rPr>
              <w:t>2</w:t>
            </w:r>
            <w:r w:rsidR="00C359E7">
              <w:rPr>
                <w:rFonts w:eastAsia="Times New Roman"/>
                <w:lang w:val="en-AU" w:eastAsia="zh-CN"/>
              </w:rPr>
              <w:t>02</w:t>
            </w:r>
            <w:r w:rsidR="00664E0B">
              <w:rPr>
                <w:rFonts w:eastAsia="Times New Roman"/>
                <w:lang w:val="en-AU" w:eastAsia="zh-CN"/>
              </w:rPr>
              <w:t>2</w:t>
            </w:r>
            <w:r w:rsidRPr="004F0EF2">
              <w:rPr>
                <w:rFonts w:eastAsia="Times New Roman"/>
                <w:lang w:val="en-AU" w:eastAsia="zh-CN"/>
              </w:rPr>
              <w:t xml:space="preserve">) </w:t>
            </w:r>
          </w:p>
          <w:p w14:paraId="3D77127A" w14:textId="752506AE" w:rsidR="00022BEB" w:rsidRPr="004F0EF2" w:rsidRDefault="00022BEB" w:rsidP="00022BEB">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Development of the interim Report (</w:t>
            </w:r>
            <w:r w:rsidR="00664E0B">
              <w:rPr>
                <w:rFonts w:eastAsia="Times New Roman"/>
                <w:lang w:val="en-AU" w:eastAsia="zh-CN"/>
              </w:rPr>
              <w:t>October</w:t>
            </w:r>
            <w:r w:rsidRPr="004F0EF2">
              <w:rPr>
                <w:rFonts w:eastAsia="Times New Roman"/>
                <w:lang w:val="en-AU" w:eastAsia="zh-CN"/>
              </w:rPr>
              <w:t>………</w:t>
            </w:r>
            <w:r w:rsidR="00664E0B">
              <w:rPr>
                <w:rFonts w:eastAsia="Times New Roman"/>
                <w:lang w:val="en-AU" w:eastAsia="zh-CN"/>
              </w:rPr>
              <w:t>2022</w:t>
            </w:r>
            <w:r w:rsidRPr="004F0EF2">
              <w:rPr>
                <w:rFonts w:eastAsia="Times New Roman"/>
                <w:lang w:val="en-AU" w:eastAsia="zh-CN"/>
              </w:rPr>
              <w:t>)</w:t>
            </w:r>
          </w:p>
          <w:p w14:paraId="1C0C94DC" w14:textId="17AA35EB" w:rsidR="00022BEB" w:rsidRPr="004F0EF2" w:rsidRDefault="00022BEB" w:rsidP="00022BEB">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Discussion on the interim report and comments by experts (January……</w:t>
            </w:r>
            <w:proofErr w:type="gramStart"/>
            <w:r w:rsidRPr="004F0EF2">
              <w:rPr>
                <w:rFonts w:eastAsia="Times New Roman"/>
                <w:lang w:val="en-AU" w:eastAsia="zh-CN"/>
              </w:rPr>
              <w:t>…..</w:t>
            </w:r>
            <w:proofErr w:type="gramEnd"/>
            <w:r w:rsidRPr="004F0EF2">
              <w:rPr>
                <w:rFonts w:eastAsia="Times New Roman"/>
                <w:lang w:val="en-AU" w:eastAsia="zh-CN"/>
              </w:rPr>
              <w:t>202</w:t>
            </w:r>
            <w:r w:rsidR="00664E0B">
              <w:rPr>
                <w:rFonts w:eastAsia="Times New Roman"/>
                <w:lang w:val="en-AU" w:eastAsia="zh-CN"/>
              </w:rPr>
              <w:t>3</w:t>
            </w:r>
            <w:r w:rsidRPr="004F0EF2">
              <w:rPr>
                <w:rFonts w:eastAsia="Times New Roman"/>
                <w:lang w:val="en-AU" w:eastAsia="zh-CN"/>
              </w:rPr>
              <w:t>)</w:t>
            </w:r>
          </w:p>
          <w:p w14:paraId="29B77ACA" w14:textId="77E33D61" w:rsidR="00022BEB" w:rsidRPr="004F0EF2" w:rsidRDefault="00022BEB" w:rsidP="00022BEB">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Update of the interim report and development of the first draft of the final Report (March…….202</w:t>
            </w:r>
            <w:r w:rsidR="00664E0B">
              <w:rPr>
                <w:rFonts w:eastAsia="Times New Roman"/>
                <w:lang w:val="en-AU" w:eastAsia="zh-CN"/>
              </w:rPr>
              <w:t>3</w:t>
            </w:r>
            <w:r w:rsidRPr="004F0EF2">
              <w:rPr>
                <w:rFonts w:eastAsia="Times New Roman"/>
                <w:lang w:val="en-AU" w:eastAsia="zh-CN"/>
              </w:rPr>
              <w:t>)</w:t>
            </w:r>
          </w:p>
          <w:p w14:paraId="7EEE5A11" w14:textId="63B6973D" w:rsidR="00022BEB" w:rsidRPr="004F0EF2" w:rsidRDefault="00022BEB" w:rsidP="00022BEB">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Consideration of the first draft of the final Report at the 2nd Meeting of the WG (May</w:t>
            </w:r>
            <w:r w:rsidR="00664E0B">
              <w:rPr>
                <w:rFonts w:eastAsia="Times New Roman"/>
                <w:lang w:val="en-AU" w:eastAsia="zh-CN"/>
              </w:rPr>
              <w:t>/June</w:t>
            </w:r>
            <w:r w:rsidRPr="004F0EF2">
              <w:rPr>
                <w:rFonts w:eastAsia="Times New Roman"/>
                <w:lang w:val="en-AU" w:eastAsia="zh-CN"/>
              </w:rPr>
              <w:t>…….202</w:t>
            </w:r>
            <w:r w:rsidR="00664E0B">
              <w:rPr>
                <w:rFonts w:eastAsia="Times New Roman"/>
                <w:lang w:val="en-AU" w:eastAsia="zh-CN"/>
              </w:rPr>
              <w:t>3</w:t>
            </w:r>
            <w:r w:rsidRPr="004F0EF2">
              <w:rPr>
                <w:rFonts w:eastAsia="Times New Roman"/>
                <w:lang w:val="en-AU" w:eastAsia="zh-CN"/>
              </w:rPr>
              <w:t>)</w:t>
            </w:r>
          </w:p>
          <w:p w14:paraId="4CF9E3DC" w14:textId="6ED4F9AA" w:rsidR="003173EA" w:rsidRDefault="00022BEB" w:rsidP="003173EA">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Consideration of the second draft of the final Report (August 202</w:t>
            </w:r>
            <w:r w:rsidR="00664E0B">
              <w:rPr>
                <w:rFonts w:eastAsia="Times New Roman"/>
                <w:lang w:val="en-AU" w:eastAsia="zh-CN"/>
              </w:rPr>
              <w:t>3</w:t>
            </w:r>
            <w:r w:rsidRPr="004F0EF2">
              <w:rPr>
                <w:rFonts w:eastAsia="Times New Roman"/>
                <w:lang w:val="en-AU" w:eastAsia="zh-CN"/>
              </w:rPr>
              <w:t>)</w:t>
            </w:r>
          </w:p>
          <w:p w14:paraId="24119930" w14:textId="7B7AEE48" w:rsidR="000925AA" w:rsidRPr="003173EA" w:rsidRDefault="00022BEB" w:rsidP="003173EA">
            <w:pPr>
              <w:numPr>
                <w:ilvl w:val="0"/>
                <w:numId w:val="17"/>
              </w:numPr>
              <w:overflowPunct w:val="0"/>
              <w:autoSpaceDE w:val="0"/>
              <w:autoSpaceDN w:val="0"/>
              <w:adjustRightInd w:val="0"/>
              <w:snapToGrid w:val="0"/>
              <w:textAlignment w:val="baseline"/>
              <w:rPr>
                <w:rFonts w:eastAsia="Times New Roman"/>
                <w:lang w:val="en-AU" w:eastAsia="zh-CN"/>
              </w:rPr>
            </w:pPr>
            <w:r w:rsidRPr="003173EA">
              <w:rPr>
                <w:rFonts w:eastAsia="Times New Roman"/>
                <w:lang w:val="en-AU" w:eastAsia="zh-CN"/>
              </w:rPr>
              <w:t>Draft final report (</w:t>
            </w:r>
            <w:r w:rsidR="00664E0B">
              <w:rPr>
                <w:rFonts w:eastAsia="Times New Roman"/>
                <w:lang w:val="en-AU" w:eastAsia="zh-CN"/>
              </w:rPr>
              <w:t>September/</w:t>
            </w:r>
            <w:r w:rsidRPr="003173EA">
              <w:rPr>
                <w:rFonts w:eastAsia="Times New Roman"/>
                <w:lang w:val="en-AU" w:eastAsia="zh-CN"/>
              </w:rPr>
              <w:t>October</w:t>
            </w:r>
            <w:proofErr w:type="gramStart"/>
            <w:r w:rsidRPr="003173EA">
              <w:rPr>
                <w:rFonts w:eastAsia="Times New Roman"/>
                <w:lang w:val="en-AU" w:eastAsia="zh-CN"/>
              </w:rPr>
              <w:t>…..</w:t>
            </w:r>
            <w:proofErr w:type="gramEnd"/>
            <w:r w:rsidRPr="003173EA">
              <w:rPr>
                <w:rFonts w:eastAsia="Times New Roman"/>
                <w:lang w:val="en-AU" w:eastAsia="zh-CN"/>
              </w:rPr>
              <w:t>202</w:t>
            </w:r>
            <w:r w:rsidR="00664E0B">
              <w:rPr>
                <w:rFonts w:eastAsia="Times New Roman"/>
                <w:lang w:val="en-AU" w:eastAsia="zh-CN"/>
              </w:rPr>
              <w:t>3</w:t>
            </w:r>
            <w:r w:rsidRPr="003173EA">
              <w:rPr>
                <w:rFonts w:eastAsia="Times New Roman"/>
                <w:lang w:val="en-AU" w:eastAsia="zh-CN"/>
              </w:rPr>
              <w:t>)</w:t>
            </w:r>
          </w:p>
        </w:tc>
      </w:tr>
      <w:tr w:rsidR="000925AA" w:rsidRPr="0003690D" w14:paraId="48714DA2" w14:textId="77777777" w:rsidTr="004F47D1">
        <w:trPr>
          <w:trHeight w:val="339"/>
        </w:trPr>
        <w:tc>
          <w:tcPr>
            <w:tcW w:w="2509" w:type="dxa"/>
            <w:tcBorders>
              <w:top w:val="single" w:sz="4" w:space="0" w:color="auto"/>
              <w:left w:val="single" w:sz="4" w:space="0" w:color="auto"/>
              <w:bottom w:val="single" w:sz="4" w:space="0" w:color="auto"/>
              <w:right w:val="single" w:sz="4" w:space="0" w:color="auto"/>
            </w:tcBorders>
            <w:hideMark/>
          </w:tcPr>
          <w:p w14:paraId="5EB6D8C5" w14:textId="77777777" w:rsidR="000925AA" w:rsidRPr="0003690D" w:rsidRDefault="000925AA" w:rsidP="004F47D1">
            <w:pPr>
              <w:snapToGrid w:val="0"/>
              <w:rPr>
                <w:rFonts w:eastAsia="휴먼명조"/>
                <w:b/>
                <w:color w:val="000000"/>
                <w:lang w:val="en-AU"/>
              </w:rPr>
            </w:pPr>
            <w:r w:rsidRPr="003247FB">
              <w:rPr>
                <w:rFonts w:eastAsia="Batang"/>
                <w:b/>
              </w:rPr>
              <w:t>Utilization of Output</w:t>
            </w:r>
          </w:p>
        </w:tc>
        <w:tc>
          <w:tcPr>
            <w:tcW w:w="7088" w:type="dxa"/>
            <w:tcBorders>
              <w:top w:val="single" w:sz="4" w:space="0" w:color="auto"/>
              <w:left w:val="single" w:sz="4" w:space="0" w:color="auto"/>
              <w:bottom w:val="single" w:sz="4" w:space="0" w:color="auto"/>
              <w:right w:val="single" w:sz="4" w:space="0" w:color="auto"/>
            </w:tcBorders>
          </w:tcPr>
          <w:p w14:paraId="27A6E378" w14:textId="374A0726" w:rsidR="000925AA" w:rsidRPr="0003690D" w:rsidRDefault="000925AA" w:rsidP="004F47D1">
            <w:pPr>
              <w:overflowPunct w:val="0"/>
              <w:autoSpaceDE w:val="0"/>
              <w:autoSpaceDN w:val="0"/>
              <w:adjustRightInd w:val="0"/>
              <w:snapToGrid w:val="0"/>
              <w:textAlignment w:val="baseline"/>
              <w:rPr>
                <w:lang w:val="en-AU" w:eastAsia="ko-KR"/>
              </w:rPr>
            </w:pPr>
          </w:p>
        </w:tc>
      </w:tr>
    </w:tbl>
    <w:p w14:paraId="3DBC0DED" w14:textId="77777777" w:rsidR="000925AA" w:rsidRDefault="000925AA" w:rsidP="000925AA">
      <w:pPr>
        <w:rPr>
          <w:b/>
          <w:bCs/>
          <w:lang w:eastAsia="ko-KR"/>
        </w:rPr>
      </w:pPr>
    </w:p>
    <w:p w14:paraId="726F2146" w14:textId="77777777" w:rsidR="000925AA" w:rsidRDefault="000925AA" w:rsidP="000925AA">
      <w:pPr>
        <w:rPr>
          <w:b/>
          <w:bCs/>
          <w:lang w:eastAsia="ko-KR"/>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09"/>
        <w:gridCol w:w="7088"/>
      </w:tblGrid>
      <w:tr w:rsidR="000925AA" w:rsidRPr="00DF255A" w14:paraId="4B376A45" w14:textId="77777777" w:rsidTr="004F47D1">
        <w:trPr>
          <w:trHeight w:val="448"/>
        </w:trPr>
        <w:tc>
          <w:tcPr>
            <w:tcW w:w="2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5C7504" w14:textId="77777777" w:rsidR="000925AA" w:rsidRPr="00DF255A" w:rsidRDefault="000925AA" w:rsidP="004F47D1">
            <w:pPr>
              <w:snapToGrid w:val="0"/>
              <w:rPr>
                <w:lang w:val="en-AU"/>
              </w:rPr>
            </w:pPr>
            <w:r w:rsidRPr="00DF255A">
              <w:rPr>
                <w:b/>
                <w:lang w:val="en-AU"/>
              </w:rPr>
              <w:t>Work Item</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01D438" w14:textId="485A9C9D" w:rsidR="000925AA" w:rsidRPr="00DF7FEA" w:rsidRDefault="000925AA" w:rsidP="00016C72">
            <w:pPr>
              <w:tabs>
                <w:tab w:val="left" w:pos="567"/>
                <w:tab w:val="left" w:pos="1134"/>
                <w:tab w:val="left" w:pos="1701"/>
                <w:tab w:val="left" w:pos="2268"/>
                <w:tab w:val="left" w:pos="2835"/>
              </w:tabs>
              <w:overflowPunct w:val="0"/>
              <w:autoSpaceDE w:val="0"/>
              <w:autoSpaceDN w:val="0"/>
              <w:adjustRightInd w:val="0"/>
              <w:rPr>
                <w:rFonts w:eastAsia="SimSun"/>
                <w:b/>
                <w:caps/>
                <w:lang w:eastAsia="zh-CN"/>
              </w:rPr>
            </w:pPr>
            <w:r w:rsidRPr="00DF7FEA">
              <w:rPr>
                <w:rFonts w:eastAsia="Batang"/>
                <w:b/>
              </w:rPr>
              <w:t xml:space="preserve">Regulatory approaches for sharing, </w:t>
            </w:r>
            <w:proofErr w:type="gramStart"/>
            <w:r w:rsidRPr="00DF7FEA">
              <w:rPr>
                <w:rFonts w:eastAsia="Batang"/>
                <w:b/>
              </w:rPr>
              <w:t>trading</w:t>
            </w:r>
            <w:proofErr w:type="gramEnd"/>
            <w:r w:rsidRPr="00DF7FEA">
              <w:rPr>
                <w:rFonts w:eastAsia="Batang"/>
                <w:b/>
              </w:rPr>
              <w:t xml:space="preserve"> and leasing of spectrum</w:t>
            </w:r>
          </w:p>
        </w:tc>
      </w:tr>
      <w:tr w:rsidR="000925AA" w:rsidRPr="00DF255A" w14:paraId="7BBBAEC7" w14:textId="77777777" w:rsidTr="004F47D1">
        <w:trPr>
          <w:trHeight w:val="448"/>
        </w:trPr>
        <w:tc>
          <w:tcPr>
            <w:tcW w:w="2509" w:type="dxa"/>
            <w:tcBorders>
              <w:top w:val="single" w:sz="4" w:space="0" w:color="auto"/>
              <w:left w:val="single" w:sz="4" w:space="0" w:color="auto"/>
              <w:bottom w:val="single" w:sz="4" w:space="0" w:color="auto"/>
              <w:right w:val="single" w:sz="4" w:space="0" w:color="auto"/>
            </w:tcBorders>
            <w:shd w:val="clear" w:color="auto" w:fill="FFFFFF" w:themeFill="background1"/>
          </w:tcPr>
          <w:p w14:paraId="27F4B1B5" w14:textId="03A9ADBF" w:rsidR="000925AA" w:rsidRPr="00DF255A" w:rsidRDefault="003173EA" w:rsidP="004F47D1">
            <w:pPr>
              <w:snapToGrid w:val="0"/>
              <w:rPr>
                <w:b/>
                <w:lang w:val="en-AU"/>
              </w:rPr>
            </w:pPr>
            <w:r w:rsidRPr="004F0EF2">
              <w:rPr>
                <w:rFonts w:eastAsia="Batang"/>
                <w:b/>
                <w:sz w:val="22"/>
                <w:szCs w:val="22"/>
              </w:rPr>
              <w:t>Rapporteur(s)</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14:paraId="71524205" w14:textId="57BC6615" w:rsidR="000925AA" w:rsidRPr="00016C72" w:rsidRDefault="001544C8" w:rsidP="004F47D1">
            <w:pPr>
              <w:tabs>
                <w:tab w:val="left" w:pos="567"/>
                <w:tab w:val="left" w:pos="1134"/>
                <w:tab w:val="left" w:pos="1701"/>
                <w:tab w:val="left" w:pos="2268"/>
                <w:tab w:val="left" w:pos="2835"/>
              </w:tabs>
              <w:overflowPunct w:val="0"/>
              <w:autoSpaceDE w:val="0"/>
              <w:autoSpaceDN w:val="0"/>
              <w:adjustRightInd w:val="0"/>
              <w:jc w:val="both"/>
              <w:rPr>
                <w:rFonts w:eastAsia="Batang"/>
                <w:bCs/>
              </w:rPr>
            </w:pPr>
            <w:r w:rsidRPr="00016C72">
              <w:rPr>
                <w:rFonts w:eastAsia="Batang"/>
                <w:bCs/>
              </w:rPr>
              <w:t>Ms. Sonia Madan (TRAI)  (Lead), Mr. Kashif</w:t>
            </w:r>
            <w:r w:rsidR="00C779AC">
              <w:rPr>
                <w:rFonts w:eastAsia="Batang"/>
                <w:bCs/>
              </w:rPr>
              <w:t xml:space="preserve"> Ghafoor</w:t>
            </w:r>
            <w:r w:rsidRPr="00016C72">
              <w:rPr>
                <w:rFonts w:eastAsia="Batang"/>
                <w:bCs/>
              </w:rPr>
              <w:t xml:space="preserve"> (PTA)</w:t>
            </w:r>
            <w:r w:rsidR="00AA33BE" w:rsidRPr="00016C72">
              <w:rPr>
                <w:rFonts w:eastAsia="Batang"/>
                <w:bCs/>
              </w:rPr>
              <w:t>, (BTRC)</w:t>
            </w:r>
          </w:p>
        </w:tc>
      </w:tr>
      <w:tr w:rsidR="000925AA" w:rsidRPr="00DF255A" w14:paraId="74D2F52B" w14:textId="77777777" w:rsidTr="004F47D1">
        <w:trPr>
          <w:trHeight w:val="233"/>
        </w:trPr>
        <w:tc>
          <w:tcPr>
            <w:tcW w:w="2509" w:type="dxa"/>
            <w:tcBorders>
              <w:top w:val="single" w:sz="4" w:space="0" w:color="auto"/>
              <w:left w:val="single" w:sz="4" w:space="0" w:color="auto"/>
              <w:bottom w:val="single" w:sz="4" w:space="0" w:color="auto"/>
              <w:right w:val="single" w:sz="4" w:space="0" w:color="auto"/>
            </w:tcBorders>
            <w:hideMark/>
          </w:tcPr>
          <w:p w14:paraId="76E3B885" w14:textId="77777777" w:rsidR="000925AA" w:rsidRPr="00DF255A" w:rsidRDefault="000925AA" w:rsidP="004F47D1">
            <w:pPr>
              <w:snapToGrid w:val="0"/>
              <w:rPr>
                <w:rFonts w:eastAsia="휴먼명조"/>
                <w:b/>
                <w:color w:val="000000"/>
                <w:lang w:val="en-AU"/>
              </w:rPr>
            </w:pPr>
            <w:r w:rsidRPr="00DF255A">
              <w:rPr>
                <w:rFonts w:eastAsia="휴먼명조"/>
                <w:b/>
                <w:color w:val="000000"/>
                <w:lang w:val="en-AU"/>
              </w:rPr>
              <w:t>Output</w:t>
            </w:r>
          </w:p>
          <w:p w14:paraId="192ACB51" w14:textId="77777777" w:rsidR="000925AA" w:rsidRPr="00DF255A" w:rsidRDefault="000925AA" w:rsidP="004F47D1">
            <w:pPr>
              <w:snapToGrid w:val="0"/>
              <w:rPr>
                <w:rFonts w:eastAsia="휴먼명조"/>
                <w:b/>
                <w:color w:val="000000"/>
                <w:lang w:val="en-AU"/>
              </w:rPr>
            </w:pPr>
          </w:p>
        </w:tc>
        <w:tc>
          <w:tcPr>
            <w:tcW w:w="7088" w:type="dxa"/>
            <w:tcBorders>
              <w:top w:val="single" w:sz="4" w:space="0" w:color="auto"/>
              <w:left w:val="single" w:sz="4" w:space="0" w:color="auto"/>
              <w:bottom w:val="single" w:sz="4" w:space="0" w:color="auto"/>
              <w:right w:val="single" w:sz="4" w:space="0" w:color="auto"/>
            </w:tcBorders>
            <w:hideMark/>
          </w:tcPr>
          <w:p w14:paraId="19C6A5CA" w14:textId="287E3307" w:rsidR="000925AA" w:rsidRPr="00DF255A" w:rsidRDefault="000925AA" w:rsidP="004F47D1">
            <w:pPr>
              <w:overflowPunct w:val="0"/>
              <w:autoSpaceDE w:val="0"/>
              <w:autoSpaceDN w:val="0"/>
              <w:adjustRightInd w:val="0"/>
              <w:snapToGrid w:val="0"/>
              <w:textAlignment w:val="baseline"/>
              <w:rPr>
                <w:rFonts w:eastAsia="Times New Roman"/>
                <w:lang w:val="en-AU" w:eastAsia="zh-CN"/>
              </w:rPr>
            </w:pPr>
            <w:r w:rsidRPr="00DF255A">
              <w:rPr>
                <w:lang w:val="en-AU" w:eastAsia="ko-KR"/>
              </w:rPr>
              <w:t xml:space="preserve">Report </w:t>
            </w:r>
          </w:p>
        </w:tc>
      </w:tr>
      <w:tr w:rsidR="000925AA" w:rsidRPr="00DF255A" w14:paraId="51A2077E" w14:textId="77777777" w:rsidTr="004F47D1">
        <w:trPr>
          <w:trHeight w:val="339"/>
        </w:trPr>
        <w:tc>
          <w:tcPr>
            <w:tcW w:w="2509" w:type="dxa"/>
            <w:tcBorders>
              <w:top w:val="single" w:sz="4" w:space="0" w:color="auto"/>
              <w:left w:val="single" w:sz="4" w:space="0" w:color="auto"/>
              <w:bottom w:val="single" w:sz="4" w:space="0" w:color="auto"/>
              <w:right w:val="single" w:sz="4" w:space="0" w:color="auto"/>
            </w:tcBorders>
            <w:hideMark/>
          </w:tcPr>
          <w:p w14:paraId="5C147B10" w14:textId="77777777" w:rsidR="000925AA" w:rsidRPr="00DF255A" w:rsidRDefault="000925AA" w:rsidP="004F47D1">
            <w:pPr>
              <w:snapToGrid w:val="0"/>
              <w:rPr>
                <w:rFonts w:eastAsia="휴먼명조"/>
                <w:b/>
                <w:color w:val="000000"/>
                <w:lang w:val="en-AU"/>
              </w:rPr>
            </w:pPr>
            <w:r w:rsidRPr="00DF255A">
              <w:rPr>
                <w:rFonts w:eastAsia="휴먼명조"/>
                <w:b/>
                <w:color w:val="000000"/>
                <w:lang w:val="en-AU"/>
              </w:rPr>
              <w:t>Background and Purpose</w:t>
            </w:r>
          </w:p>
          <w:p w14:paraId="18C20C2D" w14:textId="77777777" w:rsidR="000925AA" w:rsidRPr="00DF255A" w:rsidRDefault="000925AA" w:rsidP="004F47D1">
            <w:pPr>
              <w:rPr>
                <w:rFonts w:eastAsia="휴먼명조"/>
                <w:lang w:val="en-AU"/>
              </w:rPr>
            </w:pPr>
          </w:p>
          <w:p w14:paraId="6759DB62" w14:textId="77777777" w:rsidR="000925AA" w:rsidRPr="00DF255A" w:rsidRDefault="000925AA" w:rsidP="004F47D1">
            <w:pPr>
              <w:rPr>
                <w:rFonts w:eastAsia="휴먼명조"/>
                <w:lang w:val="en-AU"/>
              </w:rPr>
            </w:pPr>
          </w:p>
          <w:p w14:paraId="7D4231EA" w14:textId="77777777" w:rsidR="000925AA" w:rsidRPr="00DF255A" w:rsidRDefault="000925AA" w:rsidP="004F47D1">
            <w:pPr>
              <w:rPr>
                <w:rFonts w:eastAsia="휴먼명조"/>
                <w:lang w:val="en-AU"/>
              </w:rPr>
            </w:pPr>
          </w:p>
          <w:p w14:paraId="6F81CCC0" w14:textId="77777777" w:rsidR="000925AA" w:rsidRPr="00DF255A" w:rsidRDefault="000925AA" w:rsidP="004F47D1">
            <w:pPr>
              <w:jc w:val="right"/>
              <w:rPr>
                <w:rFonts w:eastAsia="휴먼명조"/>
                <w:lang w:val="en-AU"/>
              </w:rPr>
            </w:pPr>
          </w:p>
        </w:tc>
        <w:tc>
          <w:tcPr>
            <w:tcW w:w="7088" w:type="dxa"/>
            <w:tcBorders>
              <w:top w:val="single" w:sz="4" w:space="0" w:color="auto"/>
              <w:left w:val="single" w:sz="4" w:space="0" w:color="auto"/>
              <w:bottom w:val="single" w:sz="4" w:space="0" w:color="auto"/>
              <w:right w:val="single" w:sz="4" w:space="0" w:color="auto"/>
            </w:tcBorders>
            <w:hideMark/>
          </w:tcPr>
          <w:p w14:paraId="6198CD92" w14:textId="77777777" w:rsidR="000925AA" w:rsidRPr="00DF255A" w:rsidRDefault="000925AA" w:rsidP="004F47D1">
            <w:pPr>
              <w:jc w:val="both"/>
              <w:rPr>
                <w:rFonts w:eastAsia="Batang"/>
                <w:lang w:val="en-GB"/>
              </w:rPr>
            </w:pPr>
            <w:r w:rsidRPr="00DF255A">
              <w:rPr>
                <w:rFonts w:eastAsia="Batang"/>
                <w:lang w:val="en-GB"/>
              </w:rPr>
              <w:t xml:space="preserve">Spectrum is a scarce natural resource and with growing digitalization and uptake of wireless services, demand for spectrum has been increasing and will continue to rise. To cater to the ever-increasing data demand, it is utmost important that the spectrum is used efficiently. </w:t>
            </w:r>
          </w:p>
          <w:p w14:paraId="3E134291" w14:textId="77777777" w:rsidR="000925AA" w:rsidRPr="00DF255A" w:rsidRDefault="000925AA" w:rsidP="004F47D1">
            <w:pPr>
              <w:jc w:val="both"/>
              <w:rPr>
                <w:rFonts w:eastAsia="Batang"/>
                <w:lang w:val="en-GB"/>
              </w:rPr>
            </w:pPr>
          </w:p>
          <w:p w14:paraId="03ED7711" w14:textId="77777777" w:rsidR="000925AA" w:rsidRPr="00DF255A" w:rsidRDefault="000925AA" w:rsidP="004F47D1">
            <w:pPr>
              <w:jc w:val="both"/>
              <w:rPr>
                <w:rFonts w:eastAsia="Batang"/>
                <w:lang w:val="en-GB"/>
              </w:rPr>
            </w:pPr>
            <w:r w:rsidRPr="00DF255A">
              <w:rPr>
                <w:rFonts w:eastAsia="Batang"/>
                <w:lang w:val="en-GB"/>
              </w:rPr>
              <w:t xml:space="preserve">Efficient utilization of spectrum has been the focal point for the country administrators while deciding on any spectrum-related policy. Keeping </w:t>
            </w:r>
            <w:r w:rsidRPr="00DF255A">
              <w:rPr>
                <w:rFonts w:eastAsia="Batang"/>
                <w:lang w:val="en-GB"/>
              </w:rPr>
              <w:lastRenderedPageBreak/>
              <w:t xml:space="preserve">this in mind, most of the countries have permitted the mobile service providers to share exclusively assigned spectrum to them. The basic objective of spectrum sharing is to provide an opportunity to the TSPs to pool their spectrum holdings and thereby improve spectral efficiency. Sharing can also provide additional network capacities in places where there is network congestion due to a spectrum crunch. Many countries have also permitted spectrum trading and </w:t>
            </w:r>
            <w:proofErr w:type="gramStart"/>
            <w:r w:rsidRPr="00DF255A">
              <w:rPr>
                <w:rFonts w:eastAsia="Batang"/>
                <w:lang w:val="en-GB"/>
              </w:rPr>
              <w:t>opened up</w:t>
            </w:r>
            <w:proofErr w:type="gramEnd"/>
            <w:r w:rsidRPr="00DF255A">
              <w:rPr>
                <w:rFonts w:eastAsia="Batang"/>
                <w:lang w:val="en-GB"/>
              </w:rPr>
              <w:t xml:space="preserve"> a secondary market.</w:t>
            </w:r>
          </w:p>
          <w:p w14:paraId="47FD781B" w14:textId="77777777" w:rsidR="000925AA" w:rsidRPr="00DF255A" w:rsidRDefault="000925AA" w:rsidP="004F47D1">
            <w:pPr>
              <w:jc w:val="both"/>
              <w:rPr>
                <w:rFonts w:eastAsia="Batang"/>
                <w:lang w:val="en-GB"/>
              </w:rPr>
            </w:pPr>
            <w:r w:rsidRPr="00DF255A">
              <w:rPr>
                <w:rFonts w:eastAsia="Batang"/>
                <w:lang w:val="en-GB"/>
              </w:rPr>
              <w:t xml:space="preserve"> </w:t>
            </w:r>
          </w:p>
          <w:p w14:paraId="61F56EBC" w14:textId="77777777" w:rsidR="000925AA" w:rsidRPr="00DF255A" w:rsidRDefault="000925AA" w:rsidP="004F47D1">
            <w:pPr>
              <w:jc w:val="both"/>
              <w:rPr>
                <w:rFonts w:eastAsia="Batang"/>
                <w:lang w:val="en-GB"/>
              </w:rPr>
            </w:pPr>
            <w:r w:rsidRPr="00DF255A">
              <w:rPr>
                <w:rFonts w:eastAsia="Batang"/>
                <w:lang w:val="en-GB"/>
              </w:rPr>
              <w:t>However, with the passage of time, newer spectrum sharing techniques such as Licensed Shared Access, Licensed Assisted Access, leasing of spectrum, etc. have become prevalent in many geographies.</w:t>
            </w:r>
          </w:p>
          <w:p w14:paraId="1FA614B7" w14:textId="77777777" w:rsidR="000925AA" w:rsidRPr="00DF255A" w:rsidRDefault="000925AA" w:rsidP="004F47D1">
            <w:pPr>
              <w:jc w:val="both"/>
              <w:rPr>
                <w:rFonts w:eastAsia="Batang"/>
                <w:lang w:val="en-GB"/>
              </w:rPr>
            </w:pPr>
            <w:r w:rsidRPr="00DF255A">
              <w:rPr>
                <w:rFonts w:eastAsia="Batang"/>
                <w:lang w:val="en-GB"/>
              </w:rPr>
              <w:t xml:space="preserve"> </w:t>
            </w:r>
          </w:p>
          <w:p w14:paraId="417571F8" w14:textId="77777777" w:rsidR="000925AA" w:rsidRPr="00DF255A" w:rsidRDefault="000925AA" w:rsidP="004F47D1">
            <w:pPr>
              <w:jc w:val="both"/>
              <w:rPr>
                <w:rFonts w:eastAsia="Batang"/>
                <w:lang w:val="en-GB"/>
              </w:rPr>
            </w:pPr>
            <w:r w:rsidRPr="00DF255A">
              <w:rPr>
                <w:rFonts w:eastAsia="Batang"/>
                <w:lang w:val="en-GB"/>
              </w:rPr>
              <w:t>With the deployment of 5G technology at the cusp, there will be different kinds of use cases covering almost all the economic verticals. One of the primary requirements, for the deployment of different 5G use cases, is the availability of sufficient spectrum in globally harmonized bands. For the success of 5G, it is important that infrastructure sharing including spectrum sharing and spectrum leasing are enabled to a great extent.</w:t>
            </w:r>
          </w:p>
        </w:tc>
      </w:tr>
      <w:tr w:rsidR="000925AA" w:rsidRPr="00DF255A" w14:paraId="265E1EE0" w14:textId="77777777" w:rsidTr="004F47D1">
        <w:trPr>
          <w:trHeight w:val="339"/>
        </w:trPr>
        <w:tc>
          <w:tcPr>
            <w:tcW w:w="2509" w:type="dxa"/>
            <w:tcBorders>
              <w:top w:val="single" w:sz="4" w:space="0" w:color="auto"/>
              <w:left w:val="single" w:sz="4" w:space="0" w:color="auto"/>
              <w:bottom w:val="single" w:sz="4" w:space="0" w:color="auto"/>
              <w:right w:val="single" w:sz="4" w:space="0" w:color="auto"/>
            </w:tcBorders>
            <w:hideMark/>
          </w:tcPr>
          <w:p w14:paraId="500642CA" w14:textId="77777777" w:rsidR="000925AA" w:rsidRPr="00DF255A" w:rsidRDefault="000925AA" w:rsidP="004F47D1">
            <w:pPr>
              <w:snapToGrid w:val="0"/>
              <w:rPr>
                <w:rFonts w:eastAsia="휴먼명조"/>
                <w:b/>
                <w:color w:val="000000"/>
                <w:lang w:val="en-AU"/>
              </w:rPr>
            </w:pPr>
            <w:r w:rsidRPr="00DF255A">
              <w:rPr>
                <w:rFonts w:eastAsia="휴먼명조"/>
                <w:b/>
                <w:color w:val="000000"/>
                <w:lang w:val="en-AU"/>
              </w:rPr>
              <w:lastRenderedPageBreak/>
              <w:t>Scope</w:t>
            </w:r>
          </w:p>
          <w:p w14:paraId="1B3D2D4E" w14:textId="77777777" w:rsidR="000925AA" w:rsidRPr="00DF255A" w:rsidRDefault="000925AA" w:rsidP="004F47D1">
            <w:pPr>
              <w:snapToGrid w:val="0"/>
              <w:rPr>
                <w:rFonts w:eastAsia="휴먼명조"/>
                <w:b/>
                <w:color w:val="000000"/>
                <w:lang w:val="en-AU"/>
              </w:rPr>
            </w:pPr>
          </w:p>
          <w:p w14:paraId="14FFCEB9" w14:textId="77777777" w:rsidR="000925AA" w:rsidRPr="00DF255A" w:rsidRDefault="000925AA" w:rsidP="004F47D1">
            <w:pPr>
              <w:snapToGrid w:val="0"/>
              <w:rPr>
                <w:rFonts w:eastAsia="휴먼명조"/>
                <w:b/>
                <w:color w:val="000000"/>
                <w:lang w:val="en-AU"/>
              </w:rPr>
            </w:pPr>
          </w:p>
        </w:tc>
        <w:tc>
          <w:tcPr>
            <w:tcW w:w="7088" w:type="dxa"/>
            <w:tcBorders>
              <w:top w:val="single" w:sz="4" w:space="0" w:color="auto"/>
              <w:left w:val="single" w:sz="4" w:space="0" w:color="auto"/>
              <w:bottom w:val="single" w:sz="4" w:space="0" w:color="auto"/>
              <w:right w:val="single" w:sz="4" w:space="0" w:color="auto"/>
            </w:tcBorders>
            <w:hideMark/>
          </w:tcPr>
          <w:p w14:paraId="34AA4A54" w14:textId="77777777" w:rsidR="000925AA" w:rsidRPr="00DF255A" w:rsidRDefault="000925AA" w:rsidP="004F47D1">
            <w:pPr>
              <w:overflowPunct w:val="0"/>
              <w:autoSpaceDE w:val="0"/>
              <w:autoSpaceDN w:val="0"/>
              <w:adjustRightInd w:val="0"/>
              <w:snapToGrid w:val="0"/>
              <w:textAlignment w:val="baseline"/>
              <w:rPr>
                <w:rFonts w:eastAsia="Times New Roman"/>
                <w:lang w:val="en-AU" w:eastAsia="zh-CN"/>
              </w:rPr>
            </w:pPr>
            <w:r w:rsidRPr="00DF255A">
              <w:rPr>
                <w:rFonts w:eastAsia="Times New Roman"/>
                <w:lang w:val="en-AU" w:eastAsia="zh-CN"/>
              </w:rPr>
              <w:t>The suggested scope of the study can include the following:</w:t>
            </w:r>
          </w:p>
          <w:p w14:paraId="03F2380F" w14:textId="77777777" w:rsidR="000925AA" w:rsidRPr="00DF255A" w:rsidRDefault="000925AA" w:rsidP="000925AA">
            <w:pPr>
              <w:widowControl w:val="0"/>
              <w:numPr>
                <w:ilvl w:val="1"/>
                <w:numId w:val="13"/>
              </w:numPr>
              <w:overflowPunct w:val="0"/>
              <w:autoSpaceDE w:val="0"/>
              <w:autoSpaceDN w:val="0"/>
              <w:adjustRightInd w:val="0"/>
              <w:snapToGrid w:val="0"/>
              <w:jc w:val="both"/>
              <w:textAlignment w:val="baseline"/>
              <w:rPr>
                <w:lang w:val="en-AU" w:eastAsia="ko-KR"/>
              </w:rPr>
            </w:pPr>
            <w:r w:rsidRPr="00DF255A">
              <w:rPr>
                <w:lang w:val="en-AU" w:eastAsia="ko-KR"/>
              </w:rPr>
              <w:t>Benefits of spectrum sharing, spectrum trading and spectrum leasing</w:t>
            </w:r>
          </w:p>
          <w:p w14:paraId="7E5D4C1F" w14:textId="77777777" w:rsidR="000925AA" w:rsidRPr="00DF255A" w:rsidRDefault="000925AA" w:rsidP="000925AA">
            <w:pPr>
              <w:widowControl w:val="0"/>
              <w:numPr>
                <w:ilvl w:val="1"/>
                <w:numId w:val="13"/>
              </w:numPr>
              <w:overflowPunct w:val="0"/>
              <w:autoSpaceDE w:val="0"/>
              <w:autoSpaceDN w:val="0"/>
              <w:adjustRightInd w:val="0"/>
              <w:snapToGrid w:val="0"/>
              <w:jc w:val="both"/>
              <w:textAlignment w:val="baseline"/>
              <w:rPr>
                <w:lang w:val="en-AU" w:eastAsia="ko-KR"/>
              </w:rPr>
            </w:pPr>
            <w:r w:rsidRPr="00DF255A">
              <w:rPr>
                <w:lang w:val="en-AU" w:eastAsia="ko-KR"/>
              </w:rPr>
              <w:t>Examination of spectrum sharing, spectrum trading and spectrum leasing regime in SATRC member countries</w:t>
            </w:r>
          </w:p>
          <w:p w14:paraId="5C3E35B3" w14:textId="77777777" w:rsidR="000925AA" w:rsidRPr="00DF255A" w:rsidRDefault="000925AA" w:rsidP="000925AA">
            <w:pPr>
              <w:widowControl w:val="0"/>
              <w:numPr>
                <w:ilvl w:val="1"/>
                <w:numId w:val="13"/>
              </w:numPr>
              <w:overflowPunct w:val="0"/>
              <w:autoSpaceDE w:val="0"/>
              <w:autoSpaceDN w:val="0"/>
              <w:adjustRightInd w:val="0"/>
              <w:snapToGrid w:val="0"/>
              <w:jc w:val="both"/>
              <w:textAlignment w:val="baseline"/>
              <w:rPr>
                <w:lang w:val="en-AU" w:eastAsia="ko-KR"/>
              </w:rPr>
            </w:pPr>
            <w:r w:rsidRPr="00DF255A">
              <w:rPr>
                <w:lang w:val="en-AU" w:eastAsia="ko-KR"/>
              </w:rPr>
              <w:t xml:space="preserve">Different techniques of spectrum sharing to examine how best these techniques can be used in meeting the increasing spectrum demands, particularly for 5G services. </w:t>
            </w:r>
          </w:p>
          <w:p w14:paraId="599EF85B" w14:textId="77777777" w:rsidR="000925AA" w:rsidRPr="00DF255A" w:rsidRDefault="000925AA" w:rsidP="000925AA">
            <w:pPr>
              <w:widowControl w:val="0"/>
              <w:numPr>
                <w:ilvl w:val="1"/>
                <w:numId w:val="13"/>
              </w:numPr>
              <w:overflowPunct w:val="0"/>
              <w:autoSpaceDE w:val="0"/>
              <w:autoSpaceDN w:val="0"/>
              <w:adjustRightInd w:val="0"/>
              <w:snapToGrid w:val="0"/>
              <w:jc w:val="both"/>
              <w:textAlignment w:val="baseline"/>
              <w:rPr>
                <w:lang w:val="en-AU" w:eastAsia="ko-KR"/>
              </w:rPr>
            </w:pPr>
            <w:r w:rsidRPr="00DF255A">
              <w:rPr>
                <w:lang w:val="en-AU" w:eastAsia="ko-KR"/>
              </w:rPr>
              <w:t xml:space="preserve">Spectrum leasing to meet the demand for spectrum for localized captive use such as Industry 4.0 </w:t>
            </w:r>
          </w:p>
          <w:p w14:paraId="42AA9D37" w14:textId="77777777" w:rsidR="000925AA" w:rsidRPr="00DF255A" w:rsidRDefault="000925AA" w:rsidP="000925AA">
            <w:pPr>
              <w:widowControl w:val="0"/>
              <w:numPr>
                <w:ilvl w:val="1"/>
                <w:numId w:val="13"/>
              </w:numPr>
              <w:overflowPunct w:val="0"/>
              <w:autoSpaceDE w:val="0"/>
              <w:autoSpaceDN w:val="0"/>
              <w:adjustRightInd w:val="0"/>
              <w:snapToGrid w:val="0"/>
              <w:jc w:val="both"/>
              <w:textAlignment w:val="baseline"/>
              <w:rPr>
                <w:lang w:val="en-AU" w:eastAsia="ko-KR"/>
              </w:rPr>
            </w:pPr>
            <w:r w:rsidRPr="00DF255A">
              <w:rPr>
                <w:lang w:val="en-AU" w:eastAsia="ko-KR"/>
              </w:rPr>
              <w:t>International practices</w:t>
            </w:r>
          </w:p>
        </w:tc>
      </w:tr>
      <w:tr w:rsidR="000925AA" w:rsidRPr="00DF255A" w14:paraId="4AAD58BD" w14:textId="77777777" w:rsidTr="004F47D1">
        <w:trPr>
          <w:trHeight w:val="339"/>
        </w:trPr>
        <w:tc>
          <w:tcPr>
            <w:tcW w:w="2509" w:type="dxa"/>
            <w:tcBorders>
              <w:top w:val="single" w:sz="4" w:space="0" w:color="auto"/>
              <w:left w:val="single" w:sz="4" w:space="0" w:color="auto"/>
              <w:bottom w:val="single" w:sz="4" w:space="0" w:color="auto"/>
              <w:right w:val="single" w:sz="4" w:space="0" w:color="auto"/>
            </w:tcBorders>
          </w:tcPr>
          <w:p w14:paraId="594BB88C" w14:textId="77777777" w:rsidR="000925AA" w:rsidRPr="00DF255A" w:rsidRDefault="000925AA" w:rsidP="004F47D1">
            <w:pPr>
              <w:snapToGrid w:val="0"/>
              <w:rPr>
                <w:rFonts w:eastAsia="휴먼명조"/>
                <w:b/>
                <w:color w:val="000000"/>
                <w:lang w:val="en-AU"/>
              </w:rPr>
            </w:pPr>
            <w:r w:rsidRPr="003247FB">
              <w:rPr>
                <w:rFonts w:eastAsia="Batang"/>
                <w:b/>
              </w:rPr>
              <w:t>Time Frame</w:t>
            </w:r>
          </w:p>
        </w:tc>
        <w:tc>
          <w:tcPr>
            <w:tcW w:w="7088" w:type="dxa"/>
            <w:tcBorders>
              <w:top w:val="single" w:sz="4" w:space="0" w:color="auto"/>
              <w:left w:val="single" w:sz="4" w:space="0" w:color="auto"/>
              <w:bottom w:val="single" w:sz="4" w:space="0" w:color="auto"/>
              <w:right w:val="single" w:sz="4" w:space="0" w:color="auto"/>
            </w:tcBorders>
          </w:tcPr>
          <w:p w14:paraId="0C287CB5" w14:textId="77777777" w:rsidR="00AA33BE" w:rsidRPr="004F0EF2"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Drafting the questionnaire by lead experts (</w:t>
            </w:r>
            <w:r>
              <w:rPr>
                <w:rFonts w:eastAsia="Times New Roman"/>
                <w:lang w:val="en-AU" w:eastAsia="zh-CN"/>
              </w:rPr>
              <w:t>June 2022</w:t>
            </w:r>
            <w:r w:rsidRPr="004F0EF2">
              <w:rPr>
                <w:rFonts w:eastAsia="Times New Roman"/>
                <w:lang w:val="en-AU" w:eastAsia="zh-CN"/>
              </w:rPr>
              <w:t>)</w:t>
            </w:r>
          </w:p>
          <w:p w14:paraId="0844D292" w14:textId="77777777" w:rsidR="00AA33BE" w:rsidRPr="004F0EF2"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Circulation of the questionnaire to WG experts (</w:t>
            </w:r>
            <w:r>
              <w:rPr>
                <w:rFonts w:eastAsia="Times New Roman"/>
                <w:lang w:val="en-AU" w:eastAsia="zh-CN"/>
              </w:rPr>
              <w:t>July</w:t>
            </w:r>
            <w:r w:rsidRPr="004F0EF2">
              <w:rPr>
                <w:rFonts w:eastAsia="Times New Roman"/>
                <w:lang w:val="en-AU" w:eastAsia="zh-CN"/>
              </w:rPr>
              <w:t>….</w:t>
            </w:r>
            <w:r>
              <w:rPr>
                <w:rFonts w:eastAsia="Times New Roman"/>
                <w:lang w:val="en-AU" w:eastAsia="zh-CN"/>
              </w:rPr>
              <w:t>2022</w:t>
            </w:r>
            <w:r w:rsidRPr="004F0EF2">
              <w:rPr>
                <w:rFonts w:eastAsia="Times New Roman"/>
                <w:lang w:val="en-AU" w:eastAsia="zh-CN"/>
              </w:rPr>
              <w:t>)</w:t>
            </w:r>
          </w:p>
          <w:p w14:paraId="534EE1F6" w14:textId="77777777" w:rsidR="00AA33BE" w:rsidRPr="004F0EF2"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Response to the questionnaires (</w:t>
            </w:r>
            <w:r>
              <w:rPr>
                <w:rFonts w:eastAsia="Times New Roman"/>
                <w:lang w:val="en-AU" w:eastAsia="zh-CN"/>
              </w:rPr>
              <w:t>August</w:t>
            </w:r>
            <w:r w:rsidRPr="004F0EF2">
              <w:rPr>
                <w:rFonts w:eastAsia="Times New Roman"/>
                <w:lang w:val="en-AU" w:eastAsia="zh-CN"/>
              </w:rPr>
              <w:t>…….</w:t>
            </w:r>
            <w:r>
              <w:rPr>
                <w:rFonts w:eastAsia="Times New Roman"/>
                <w:lang w:val="en-AU" w:eastAsia="zh-CN"/>
              </w:rPr>
              <w:t>2022</w:t>
            </w:r>
            <w:r w:rsidRPr="004F0EF2">
              <w:rPr>
                <w:rFonts w:eastAsia="Times New Roman"/>
                <w:lang w:val="en-AU" w:eastAsia="zh-CN"/>
              </w:rPr>
              <w:t xml:space="preserve">) </w:t>
            </w:r>
          </w:p>
          <w:p w14:paraId="143F79AE" w14:textId="77777777" w:rsidR="00AA33BE" w:rsidRPr="004F0EF2"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Development of the interim Report (</w:t>
            </w:r>
            <w:r>
              <w:rPr>
                <w:rFonts w:eastAsia="Times New Roman"/>
                <w:lang w:val="en-AU" w:eastAsia="zh-CN"/>
              </w:rPr>
              <w:t>October</w:t>
            </w:r>
            <w:r w:rsidRPr="004F0EF2">
              <w:rPr>
                <w:rFonts w:eastAsia="Times New Roman"/>
                <w:lang w:val="en-AU" w:eastAsia="zh-CN"/>
              </w:rPr>
              <w:t>………</w:t>
            </w:r>
            <w:r>
              <w:rPr>
                <w:rFonts w:eastAsia="Times New Roman"/>
                <w:lang w:val="en-AU" w:eastAsia="zh-CN"/>
              </w:rPr>
              <w:t>2022</w:t>
            </w:r>
            <w:r w:rsidRPr="004F0EF2">
              <w:rPr>
                <w:rFonts w:eastAsia="Times New Roman"/>
                <w:lang w:val="en-AU" w:eastAsia="zh-CN"/>
              </w:rPr>
              <w:t>)</w:t>
            </w:r>
          </w:p>
          <w:p w14:paraId="622BBD7C" w14:textId="77777777" w:rsidR="00AA33BE" w:rsidRPr="004F0EF2"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Discussion on the interim report and comments by experts (January……</w:t>
            </w:r>
            <w:proofErr w:type="gramStart"/>
            <w:r w:rsidRPr="004F0EF2">
              <w:rPr>
                <w:rFonts w:eastAsia="Times New Roman"/>
                <w:lang w:val="en-AU" w:eastAsia="zh-CN"/>
              </w:rPr>
              <w:t>…..</w:t>
            </w:r>
            <w:proofErr w:type="gramEnd"/>
            <w:r w:rsidRPr="004F0EF2">
              <w:rPr>
                <w:rFonts w:eastAsia="Times New Roman"/>
                <w:lang w:val="en-AU" w:eastAsia="zh-CN"/>
              </w:rPr>
              <w:t>202</w:t>
            </w:r>
            <w:r>
              <w:rPr>
                <w:rFonts w:eastAsia="Times New Roman"/>
                <w:lang w:val="en-AU" w:eastAsia="zh-CN"/>
              </w:rPr>
              <w:t>3</w:t>
            </w:r>
            <w:r w:rsidRPr="004F0EF2">
              <w:rPr>
                <w:rFonts w:eastAsia="Times New Roman"/>
                <w:lang w:val="en-AU" w:eastAsia="zh-CN"/>
              </w:rPr>
              <w:t>)</w:t>
            </w:r>
          </w:p>
          <w:p w14:paraId="43111D81" w14:textId="77777777" w:rsidR="00AA33BE" w:rsidRPr="004F0EF2"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Update of the interim report and development of the first draft of the final Report (March…….202</w:t>
            </w:r>
            <w:r>
              <w:rPr>
                <w:rFonts w:eastAsia="Times New Roman"/>
                <w:lang w:val="en-AU" w:eastAsia="zh-CN"/>
              </w:rPr>
              <w:t>3</w:t>
            </w:r>
            <w:r w:rsidRPr="004F0EF2">
              <w:rPr>
                <w:rFonts w:eastAsia="Times New Roman"/>
                <w:lang w:val="en-AU" w:eastAsia="zh-CN"/>
              </w:rPr>
              <w:t>)</w:t>
            </w:r>
          </w:p>
          <w:p w14:paraId="02A5C771" w14:textId="77777777" w:rsidR="00AA33BE" w:rsidRPr="004F0EF2"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Consideration of the first draft of the final Report at the 2nd Meeting of the WG (May</w:t>
            </w:r>
            <w:r>
              <w:rPr>
                <w:rFonts w:eastAsia="Times New Roman"/>
                <w:lang w:val="en-AU" w:eastAsia="zh-CN"/>
              </w:rPr>
              <w:t>/June</w:t>
            </w:r>
            <w:r w:rsidRPr="004F0EF2">
              <w:rPr>
                <w:rFonts w:eastAsia="Times New Roman"/>
                <w:lang w:val="en-AU" w:eastAsia="zh-CN"/>
              </w:rPr>
              <w:t>…….202</w:t>
            </w:r>
            <w:r>
              <w:rPr>
                <w:rFonts w:eastAsia="Times New Roman"/>
                <w:lang w:val="en-AU" w:eastAsia="zh-CN"/>
              </w:rPr>
              <w:t>3</w:t>
            </w:r>
            <w:r w:rsidRPr="004F0EF2">
              <w:rPr>
                <w:rFonts w:eastAsia="Times New Roman"/>
                <w:lang w:val="en-AU" w:eastAsia="zh-CN"/>
              </w:rPr>
              <w:t>)</w:t>
            </w:r>
          </w:p>
          <w:p w14:paraId="2CE0EAE8" w14:textId="77777777" w:rsidR="00AA33BE"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Consideration of the second draft of the final Report (August 202</w:t>
            </w:r>
            <w:r>
              <w:rPr>
                <w:rFonts w:eastAsia="Times New Roman"/>
                <w:lang w:val="en-AU" w:eastAsia="zh-CN"/>
              </w:rPr>
              <w:t>3</w:t>
            </w:r>
            <w:r w:rsidRPr="004F0EF2">
              <w:rPr>
                <w:rFonts w:eastAsia="Times New Roman"/>
                <w:lang w:val="en-AU" w:eastAsia="zh-CN"/>
              </w:rPr>
              <w:t>)</w:t>
            </w:r>
          </w:p>
          <w:p w14:paraId="48F3C3DA" w14:textId="4BA08A3E" w:rsidR="00AA33BE" w:rsidRPr="003173EA"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3173EA">
              <w:rPr>
                <w:rFonts w:eastAsia="Times New Roman"/>
                <w:lang w:val="en-AU" w:eastAsia="zh-CN"/>
              </w:rPr>
              <w:t>Draft final report (</w:t>
            </w:r>
            <w:r>
              <w:rPr>
                <w:rFonts w:eastAsia="Times New Roman"/>
                <w:lang w:val="en-AU" w:eastAsia="zh-CN"/>
              </w:rPr>
              <w:t>September/</w:t>
            </w:r>
            <w:r w:rsidRPr="003173EA">
              <w:rPr>
                <w:rFonts w:eastAsia="Times New Roman"/>
                <w:lang w:val="en-AU" w:eastAsia="zh-CN"/>
              </w:rPr>
              <w:t>October</w:t>
            </w:r>
            <w:proofErr w:type="gramStart"/>
            <w:r w:rsidRPr="003173EA">
              <w:rPr>
                <w:rFonts w:eastAsia="Times New Roman"/>
                <w:lang w:val="en-AU" w:eastAsia="zh-CN"/>
              </w:rPr>
              <w:t>…..</w:t>
            </w:r>
            <w:proofErr w:type="gramEnd"/>
            <w:r w:rsidRPr="003173EA">
              <w:rPr>
                <w:rFonts w:eastAsia="Times New Roman"/>
                <w:lang w:val="en-AU" w:eastAsia="zh-CN"/>
              </w:rPr>
              <w:t>202</w:t>
            </w:r>
            <w:r>
              <w:rPr>
                <w:rFonts w:eastAsia="Times New Roman"/>
                <w:lang w:val="en-AU" w:eastAsia="zh-CN"/>
              </w:rPr>
              <w:t>3</w:t>
            </w:r>
            <w:r w:rsidRPr="003173EA">
              <w:rPr>
                <w:rFonts w:eastAsia="Times New Roman"/>
                <w:lang w:val="en-AU" w:eastAsia="zh-CN"/>
              </w:rPr>
              <w:t>)</w:t>
            </w:r>
          </w:p>
        </w:tc>
      </w:tr>
      <w:tr w:rsidR="000925AA" w:rsidRPr="00DF255A" w14:paraId="71C446ED" w14:textId="77777777" w:rsidTr="004F47D1">
        <w:trPr>
          <w:trHeight w:val="339"/>
        </w:trPr>
        <w:tc>
          <w:tcPr>
            <w:tcW w:w="2509" w:type="dxa"/>
            <w:tcBorders>
              <w:top w:val="single" w:sz="4" w:space="0" w:color="auto"/>
              <w:left w:val="single" w:sz="4" w:space="0" w:color="auto"/>
              <w:bottom w:val="single" w:sz="4" w:space="0" w:color="auto"/>
              <w:right w:val="single" w:sz="4" w:space="0" w:color="auto"/>
            </w:tcBorders>
          </w:tcPr>
          <w:p w14:paraId="77321CA1" w14:textId="77777777" w:rsidR="000925AA" w:rsidRPr="00DF255A" w:rsidRDefault="000925AA" w:rsidP="004F47D1">
            <w:pPr>
              <w:snapToGrid w:val="0"/>
              <w:rPr>
                <w:rFonts w:eastAsia="휴먼명조"/>
                <w:b/>
                <w:color w:val="000000"/>
                <w:lang w:val="en-AU"/>
              </w:rPr>
            </w:pPr>
            <w:r w:rsidRPr="003247FB">
              <w:rPr>
                <w:rFonts w:eastAsia="Batang"/>
                <w:b/>
              </w:rPr>
              <w:t>Utilization of Output</w:t>
            </w:r>
          </w:p>
        </w:tc>
        <w:tc>
          <w:tcPr>
            <w:tcW w:w="7088" w:type="dxa"/>
            <w:tcBorders>
              <w:top w:val="single" w:sz="4" w:space="0" w:color="auto"/>
              <w:left w:val="single" w:sz="4" w:space="0" w:color="auto"/>
              <w:bottom w:val="single" w:sz="4" w:space="0" w:color="auto"/>
              <w:right w:val="single" w:sz="4" w:space="0" w:color="auto"/>
            </w:tcBorders>
          </w:tcPr>
          <w:p w14:paraId="588141C0" w14:textId="77777777" w:rsidR="000925AA" w:rsidRPr="00DF255A" w:rsidRDefault="000925AA" w:rsidP="004F47D1">
            <w:pPr>
              <w:overflowPunct w:val="0"/>
              <w:autoSpaceDE w:val="0"/>
              <w:autoSpaceDN w:val="0"/>
              <w:adjustRightInd w:val="0"/>
              <w:snapToGrid w:val="0"/>
              <w:jc w:val="both"/>
              <w:textAlignment w:val="baseline"/>
              <w:rPr>
                <w:lang w:val="en-AU" w:eastAsia="ko-KR"/>
              </w:rPr>
            </w:pPr>
            <w:r w:rsidRPr="003247FB">
              <w:rPr>
                <w:bCs/>
                <w:lang w:val="en-AU" w:eastAsia="ko-KR"/>
              </w:rPr>
              <w:t>Regulators, Governments,</w:t>
            </w:r>
            <w:r>
              <w:rPr>
                <w:bCs/>
                <w:lang w:val="en-AU" w:eastAsia="ko-KR"/>
              </w:rPr>
              <w:t xml:space="preserve"> </w:t>
            </w:r>
            <w:r w:rsidRPr="003247FB">
              <w:rPr>
                <w:bCs/>
                <w:lang w:val="en-AU" w:eastAsia="ko-KR"/>
              </w:rPr>
              <w:t xml:space="preserve">Industry </w:t>
            </w:r>
            <w:r>
              <w:rPr>
                <w:bCs/>
                <w:lang w:val="en-AU" w:eastAsia="ko-KR"/>
              </w:rPr>
              <w:t>S</w:t>
            </w:r>
            <w:r w:rsidRPr="003247FB">
              <w:rPr>
                <w:bCs/>
                <w:lang w:val="en-AU" w:eastAsia="ko-KR"/>
              </w:rPr>
              <w:t>takeholders</w:t>
            </w:r>
            <w:r w:rsidRPr="003247FB">
              <w:rPr>
                <w:lang w:val="en-AU"/>
              </w:rPr>
              <w:t>.</w:t>
            </w:r>
          </w:p>
        </w:tc>
      </w:tr>
    </w:tbl>
    <w:p w14:paraId="11E1ECAF" w14:textId="77777777" w:rsidR="000925AA" w:rsidRDefault="000925AA" w:rsidP="000925AA">
      <w:pPr>
        <w:rPr>
          <w:b/>
          <w:bCs/>
          <w:lang w:eastAsia="ko-KR"/>
        </w:rPr>
      </w:pPr>
    </w:p>
    <w:p w14:paraId="2341AF59" w14:textId="77777777" w:rsidR="000925AA" w:rsidRDefault="000925AA" w:rsidP="000925AA">
      <w:pPr>
        <w:rPr>
          <w:b/>
          <w:bCs/>
          <w:lang w:eastAsia="ko-KR"/>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09"/>
        <w:gridCol w:w="7088"/>
      </w:tblGrid>
      <w:tr w:rsidR="000925AA" w:rsidRPr="00593D1B" w14:paraId="594901E3" w14:textId="77777777" w:rsidTr="004F47D1">
        <w:trPr>
          <w:trHeight w:val="448"/>
        </w:trPr>
        <w:tc>
          <w:tcPr>
            <w:tcW w:w="2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F09E88" w14:textId="77777777" w:rsidR="000925AA" w:rsidRPr="00593D1B" w:rsidRDefault="000925AA" w:rsidP="004F47D1">
            <w:pPr>
              <w:snapToGrid w:val="0"/>
              <w:rPr>
                <w:lang w:val="en-AU"/>
              </w:rPr>
            </w:pPr>
            <w:r w:rsidRPr="00593D1B">
              <w:rPr>
                <w:b/>
                <w:lang w:val="en-AU"/>
              </w:rPr>
              <w:t>Work Item</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FE9FE6" w14:textId="77777777" w:rsidR="000925AA" w:rsidRPr="00DF7FEA" w:rsidRDefault="000925AA" w:rsidP="004F47D1">
            <w:pPr>
              <w:tabs>
                <w:tab w:val="left" w:pos="567"/>
                <w:tab w:val="left" w:pos="1134"/>
                <w:tab w:val="left" w:pos="1701"/>
                <w:tab w:val="left" w:pos="2268"/>
                <w:tab w:val="left" w:pos="2835"/>
              </w:tabs>
              <w:overflowPunct w:val="0"/>
              <w:autoSpaceDE w:val="0"/>
              <w:autoSpaceDN w:val="0"/>
              <w:adjustRightInd w:val="0"/>
              <w:jc w:val="both"/>
              <w:rPr>
                <w:rFonts w:eastAsia="SimSun"/>
                <w:b/>
                <w:caps/>
                <w:lang w:eastAsia="zh-CN"/>
              </w:rPr>
            </w:pPr>
            <w:r w:rsidRPr="00DF7FEA">
              <w:rPr>
                <w:rFonts w:eastAsia="Batang"/>
                <w:b/>
              </w:rPr>
              <w:t>Cross-border coordination for interference in SATRC countries</w:t>
            </w:r>
          </w:p>
        </w:tc>
      </w:tr>
      <w:tr w:rsidR="000925AA" w:rsidRPr="00593D1B" w14:paraId="0927277E" w14:textId="77777777" w:rsidTr="004F47D1">
        <w:trPr>
          <w:trHeight w:val="233"/>
        </w:trPr>
        <w:tc>
          <w:tcPr>
            <w:tcW w:w="2509" w:type="dxa"/>
            <w:tcBorders>
              <w:top w:val="single" w:sz="4" w:space="0" w:color="auto"/>
              <w:left w:val="single" w:sz="4" w:space="0" w:color="auto"/>
              <w:bottom w:val="single" w:sz="4" w:space="0" w:color="auto"/>
              <w:right w:val="single" w:sz="4" w:space="0" w:color="auto"/>
            </w:tcBorders>
          </w:tcPr>
          <w:p w14:paraId="60DA384E" w14:textId="384EE0D4" w:rsidR="000925AA" w:rsidRPr="00593D1B" w:rsidRDefault="003173EA" w:rsidP="004F47D1">
            <w:pPr>
              <w:snapToGrid w:val="0"/>
              <w:rPr>
                <w:rFonts w:eastAsia="휴먼명조"/>
                <w:b/>
                <w:color w:val="000000"/>
                <w:lang w:val="en-AU"/>
              </w:rPr>
            </w:pPr>
            <w:r w:rsidRPr="004F0EF2">
              <w:rPr>
                <w:rFonts w:eastAsia="Batang"/>
                <w:b/>
                <w:sz w:val="22"/>
                <w:szCs w:val="22"/>
              </w:rPr>
              <w:t>Rapporteur(s)</w:t>
            </w:r>
          </w:p>
        </w:tc>
        <w:tc>
          <w:tcPr>
            <w:tcW w:w="7088" w:type="dxa"/>
            <w:tcBorders>
              <w:top w:val="single" w:sz="4" w:space="0" w:color="auto"/>
              <w:left w:val="single" w:sz="4" w:space="0" w:color="auto"/>
              <w:bottom w:val="single" w:sz="4" w:space="0" w:color="auto"/>
              <w:right w:val="single" w:sz="4" w:space="0" w:color="auto"/>
            </w:tcBorders>
          </w:tcPr>
          <w:p w14:paraId="2EAEF62F" w14:textId="71A50F90" w:rsidR="000925AA" w:rsidRPr="00593D1B" w:rsidRDefault="00BE2188" w:rsidP="004F47D1">
            <w:pPr>
              <w:overflowPunct w:val="0"/>
              <w:autoSpaceDE w:val="0"/>
              <w:autoSpaceDN w:val="0"/>
              <w:adjustRightInd w:val="0"/>
              <w:snapToGrid w:val="0"/>
              <w:textAlignment w:val="baseline"/>
              <w:rPr>
                <w:lang w:val="en-AU" w:eastAsia="ko-KR"/>
              </w:rPr>
            </w:pPr>
            <w:r>
              <w:rPr>
                <w:lang w:val="en-AU" w:eastAsia="ko-KR"/>
              </w:rPr>
              <w:t xml:space="preserve">Ms. Syeda Shafaq Karim (PTA) (Lead), Mr. Arman Ghafari (CRA) </w:t>
            </w:r>
          </w:p>
        </w:tc>
      </w:tr>
      <w:tr w:rsidR="000925AA" w:rsidRPr="00593D1B" w14:paraId="5665A6BF" w14:textId="77777777" w:rsidTr="004F47D1">
        <w:trPr>
          <w:trHeight w:val="233"/>
        </w:trPr>
        <w:tc>
          <w:tcPr>
            <w:tcW w:w="2509" w:type="dxa"/>
            <w:tcBorders>
              <w:top w:val="single" w:sz="4" w:space="0" w:color="auto"/>
              <w:left w:val="single" w:sz="4" w:space="0" w:color="auto"/>
              <w:bottom w:val="single" w:sz="4" w:space="0" w:color="auto"/>
              <w:right w:val="single" w:sz="4" w:space="0" w:color="auto"/>
            </w:tcBorders>
            <w:hideMark/>
          </w:tcPr>
          <w:p w14:paraId="2D9A2CB0" w14:textId="77777777" w:rsidR="000925AA" w:rsidRPr="00593D1B" w:rsidRDefault="000925AA" w:rsidP="004F47D1">
            <w:pPr>
              <w:snapToGrid w:val="0"/>
              <w:rPr>
                <w:rFonts w:eastAsia="휴먼명조"/>
                <w:b/>
                <w:color w:val="000000"/>
                <w:lang w:val="en-AU"/>
              </w:rPr>
            </w:pPr>
            <w:r w:rsidRPr="00593D1B">
              <w:rPr>
                <w:rFonts w:eastAsia="휴먼명조"/>
                <w:b/>
                <w:color w:val="000000"/>
                <w:lang w:val="en-AU"/>
              </w:rPr>
              <w:t>Output</w:t>
            </w:r>
          </w:p>
          <w:p w14:paraId="0EB117E2" w14:textId="77777777" w:rsidR="000925AA" w:rsidRPr="00593D1B" w:rsidRDefault="000925AA" w:rsidP="004F47D1">
            <w:pPr>
              <w:snapToGrid w:val="0"/>
              <w:rPr>
                <w:rFonts w:eastAsia="휴먼명조"/>
                <w:b/>
                <w:color w:val="000000"/>
                <w:lang w:val="en-AU"/>
              </w:rPr>
            </w:pPr>
          </w:p>
        </w:tc>
        <w:tc>
          <w:tcPr>
            <w:tcW w:w="7088" w:type="dxa"/>
            <w:tcBorders>
              <w:top w:val="single" w:sz="4" w:space="0" w:color="auto"/>
              <w:left w:val="single" w:sz="4" w:space="0" w:color="auto"/>
              <w:bottom w:val="single" w:sz="4" w:space="0" w:color="auto"/>
              <w:right w:val="single" w:sz="4" w:space="0" w:color="auto"/>
            </w:tcBorders>
            <w:hideMark/>
          </w:tcPr>
          <w:p w14:paraId="3AEDF891" w14:textId="3A9301E1" w:rsidR="000925AA" w:rsidRPr="00593D1B" w:rsidRDefault="000925AA" w:rsidP="004F47D1">
            <w:pPr>
              <w:overflowPunct w:val="0"/>
              <w:autoSpaceDE w:val="0"/>
              <w:autoSpaceDN w:val="0"/>
              <w:adjustRightInd w:val="0"/>
              <w:snapToGrid w:val="0"/>
              <w:textAlignment w:val="baseline"/>
              <w:rPr>
                <w:rFonts w:eastAsia="Times New Roman"/>
                <w:lang w:val="en-AU" w:eastAsia="zh-CN"/>
              </w:rPr>
            </w:pPr>
            <w:r w:rsidRPr="00593D1B">
              <w:rPr>
                <w:lang w:val="en-AU" w:eastAsia="ko-KR"/>
              </w:rPr>
              <w:t xml:space="preserve">Report </w:t>
            </w:r>
          </w:p>
        </w:tc>
      </w:tr>
      <w:tr w:rsidR="000925AA" w:rsidRPr="00593D1B" w14:paraId="78D0DE1A" w14:textId="77777777" w:rsidTr="004F47D1">
        <w:trPr>
          <w:trHeight w:val="339"/>
        </w:trPr>
        <w:tc>
          <w:tcPr>
            <w:tcW w:w="2509" w:type="dxa"/>
            <w:tcBorders>
              <w:top w:val="single" w:sz="4" w:space="0" w:color="auto"/>
              <w:left w:val="single" w:sz="4" w:space="0" w:color="auto"/>
              <w:bottom w:val="single" w:sz="4" w:space="0" w:color="auto"/>
              <w:right w:val="single" w:sz="4" w:space="0" w:color="auto"/>
            </w:tcBorders>
            <w:hideMark/>
          </w:tcPr>
          <w:p w14:paraId="14BABF96" w14:textId="77777777" w:rsidR="000925AA" w:rsidRPr="00593D1B" w:rsidRDefault="000925AA" w:rsidP="004F47D1">
            <w:pPr>
              <w:snapToGrid w:val="0"/>
              <w:rPr>
                <w:rFonts w:eastAsia="휴먼명조"/>
                <w:b/>
                <w:color w:val="000000"/>
                <w:lang w:val="en-AU"/>
              </w:rPr>
            </w:pPr>
            <w:r w:rsidRPr="00593D1B">
              <w:rPr>
                <w:rFonts w:eastAsia="휴먼명조"/>
                <w:b/>
                <w:color w:val="000000"/>
                <w:lang w:val="en-AU"/>
              </w:rPr>
              <w:t>Background and Purpose</w:t>
            </w:r>
          </w:p>
          <w:p w14:paraId="5B549AEF" w14:textId="77777777" w:rsidR="000925AA" w:rsidRPr="00593D1B" w:rsidRDefault="000925AA" w:rsidP="004F47D1">
            <w:pPr>
              <w:rPr>
                <w:rFonts w:eastAsia="휴먼명조"/>
                <w:lang w:val="en-AU"/>
              </w:rPr>
            </w:pPr>
          </w:p>
          <w:p w14:paraId="57C89A90" w14:textId="77777777" w:rsidR="000925AA" w:rsidRPr="00593D1B" w:rsidRDefault="000925AA" w:rsidP="004F47D1">
            <w:pPr>
              <w:rPr>
                <w:rFonts w:eastAsia="휴먼명조"/>
                <w:lang w:val="en-AU"/>
              </w:rPr>
            </w:pPr>
          </w:p>
          <w:p w14:paraId="45DE7B0D" w14:textId="77777777" w:rsidR="000925AA" w:rsidRPr="00593D1B" w:rsidRDefault="000925AA" w:rsidP="004F47D1">
            <w:pPr>
              <w:rPr>
                <w:rFonts w:eastAsia="휴먼명조"/>
                <w:lang w:val="en-AU"/>
              </w:rPr>
            </w:pPr>
          </w:p>
          <w:p w14:paraId="03237B6A" w14:textId="77777777" w:rsidR="000925AA" w:rsidRPr="00593D1B" w:rsidRDefault="000925AA" w:rsidP="004F47D1">
            <w:pPr>
              <w:jc w:val="right"/>
              <w:rPr>
                <w:rFonts w:eastAsia="휴먼명조"/>
                <w:lang w:val="en-AU"/>
              </w:rPr>
            </w:pPr>
          </w:p>
        </w:tc>
        <w:tc>
          <w:tcPr>
            <w:tcW w:w="7088" w:type="dxa"/>
            <w:tcBorders>
              <w:top w:val="single" w:sz="4" w:space="0" w:color="auto"/>
              <w:left w:val="single" w:sz="4" w:space="0" w:color="auto"/>
              <w:bottom w:val="single" w:sz="4" w:space="0" w:color="auto"/>
              <w:right w:val="single" w:sz="4" w:space="0" w:color="auto"/>
            </w:tcBorders>
            <w:hideMark/>
          </w:tcPr>
          <w:p w14:paraId="0342553F" w14:textId="77777777" w:rsidR="000925AA" w:rsidRPr="00593D1B" w:rsidRDefault="000925AA" w:rsidP="004F47D1">
            <w:pPr>
              <w:snapToGrid w:val="0"/>
              <w:jc w:val="both"/>
              <w:rPr>
                <w:lang w:eastAsia="zh-CN"/>
              </w:rPr>
            </w:pPr>
            <w:r w:rsidRPr="00593D1B">
              <w:rPr>
                <w:lang w:eastAsia="zh-CN"/>
              </w:rPr>
              <w:lastRenderedPageBreak/>
              <w:t xml:space="preserve">Radio frequency spectrum is the vital strategic natural resource for the sustainable development of the global economy and society. All the </w:t>
            </w:r>
            <w:r w:rsidRPr="00593D1B">
              <w:rPr>
                <w:lang w:eastAsia="zh-CN"/>
              </w:rPr>
              <w:lastRenderedPageBreak/>
              <w:t xml:space="preserve">administrations have sovereign right to use the spectrum on the whole territory of their countries. Demand for more spectrum is increasing for new radio technology/services/applications. Many SATRC member countries have adopted technology neutral spectrum as per the time demand. </w:t>
            </w:r>
          </w:p>
          <w:p w14:paraId="22CD0D29" w14:textId="77777777" w:rsidR="000925AA" w:rsidRPr="00593D1B" w:rsidRDefault="000925AA" w:rsidP="004F47D1">
            <w:pPr>
              <w:snapToGrid w:val="0"/>
              <w:jc w:val="both"/>
              <w:rPr>
                <w:lang w:eastAsia="zh-CN"/>
              </w:rPr>
            </w:pPr>
          </w:p>
          <w:p w14:paraId="2F7E9C02" w14:textId="2D3AEB1E" w:rsidR="000925AA" w:rsidRPr="00593D1B" w:rsidRDefault="000925AA" w:rsidP="004F47D1">
            <w:pPr>
              <w:snapToGrid w:val="0"/>
              <w:jc w:val="both"/>
              <w:rPr>
                <w:lang w:eastAsia="zh-CN"/>
              </w:rPr>
            </w:pPr>
            <w:r w:rsidRPr="00593D1B">
              <w:rPr>
                <w:lang w:eastAsia="zh-CN"/>
              </w:rPr>
              <w:t>The radio wave propagation properties of different spectrum bands for different technology/services make it challenging to fully preclude signals radiation on the territory of other countries, especially when those signals are transmitted to and from the border area of the country. Therefore, the administrations develop effective bilateral or multilateral agreements on frequency use in border areas to promote efficient spectrum utilization and avoid interference. Still the cross</w:t>
            </w:r>
            <w:r w:rsidR="00C779AC">
              <w:rPr>
                <w:lang w:eastAsia="zh-CN"/>
              </w:rPr>
              <w:t>-</w:t>
            </w:r>
            <w:r w:rsidRPr="00593D1B">
              <w:rPr>
                <w:lang w:eastAsia="zh-CN"/>
              </w:rPr>
              <w:t xml:space="preserve">border communication issues still exist in the SATRC member countries. </w:t>
            </w:r>
          </w:p>
          <w:p w14:paraId="2733BAD1" w14:textId="77777777" w:rsidR="000925AA" w:rsidRPr="00593D1B" w:rsidRDefault="000925AA" w:rsidP="004F47D1">
            <w:pPr>
              <w:snapToGrid w:val="0"/>
              <w:jc w:val="both"/>
              <w:rPr>
                <w:lang w:eastAsia="zh-CN"/>
              </w:rPr>
            </w:pPr>
          </w:p>
          <w:p w14:paraId="06929F59" w14:textId="77777777" w:rsidR="000925AA" w:rsidRPr="00593D1B" w:rsidRDefault="000925AA" w:rsidP="004F47D1">
            <w:pPr>
              <w:snapToGrid w:val="0"/>
              <w:jc w:val="both"/>
              <w:rPr>
                <w:lang w:eastAsia="zh-CN"/>
              </w:rPr>
            </w:pPr>
            <w:r w:rsidRPr="00593D1B">
              <w:rPr>
                <w:lang w:eastAsia="zh-CN"/>
              </w:rPr>
              <w:t>Radio frequency monitoring is essential procedure to be used for aiding frequency coordination at the border areas. It is necessary to draft one SATRC report to serve as a useful reference for the administrations in this region to support frequency coordination affairs.</w:t>
            </w:r>
          </w:p>
          <w:p w14:paraId="41F7CE62" w14:textId="77777777" w:rsidR="000925AA" w:rsidRPr="00593D1B" w:rsidRDefault="000925AA" w:rsidP="004F47D1">
            <w:pPr>
              <w:snapToGrid w:val="0"/>
              <w:jc w:val="both"/>
              <w:rPr>
                <w:lang w:eastAsia="zh-CN"/>
              </w:rPr>
            </w:pPr>
          </w:p>
          <w:p w14:paraId="5AB55027" w14:textId="77777777" w:rsidR="000925AA" w:rsidRPr="00593D1B" w:rsidRDefault="000925AA" w:rsidP="004F47D1">
            <w:pPr>
              <w:snapToGrid w:val="0"/>
              <w:jc w:val="both"/>
              <w:rPr>
                <w:lang w:eastAsia="zh-CN"/>
              </w:rPr>
            </w:pPr>
            <w:r w:rsidRPr="00593D1B">
              <w:rPr>
                <w:lang w:eastAsia="zh-CN"/>
              </w:rPr>
              <w:t xml:space="preserve">It should be noted that </w:t>
            </w:r>
            <w:proofErr w:type="gramStart"/>
            <w:r w:rsidRPr="00593D1B">
              <w:rPr>
                <w:lang w:eastAsia="zh-CN"/>
              </w:rPr>
              <w:t>a number of</w:t>
            </w:r>
            <w:proofErr w:type="gramEnd"/>
            <w:r w:rsidRPr="00593D1B">
              <w:rPr>
                <w:lang w:eastAsia="zh-CN"/>
              </w:rPr>
              <w:t xml:space="preserve"> administrations in this region have specific agreements with their neighbors on the use of frequencies to avoid mutual interference between stations of these services. This report is not intended to be a replacement for any part of the cross-border agreements between administrations. The technical and operational information from the point of view of spectrum monitoring contained herein could help facilitate the sharing of terrestrial services deployed in the neighboring countries. </w:t>
            </w:r>
          </w:p>
        </w:tc>
      </w:tr>
      <w:tr w:rsidR="000925AA" w:rsidRPr="00593D1B" w14:paraId="314818EE" w14:textId="77777777" w:rsidTr="004F47D1">
        <w:trPr>
          <w:trHeight w:val="339"/>
        </w:trPr>
        <w:tc>
          <w:tcPr>
            <w:tcW w:w="2509" w:type="dxa"/>
            <w:tcBorders>
              <w:top w:val="single" w:sz="4" w:space="0" w:color="auto"/>
              <w:left w:val="single" w:sz="4" w:space="0" w:color="auto"/>
              <w:bottom w:val="single" w:sz="4" w:space="0" w:color="auto"/>
              <w:right w:val="single" w:sz="4" w:space="0" w:color="auto"/>
            </w:tcBorders>
            <w:hideMark/>
          </w:tcPr>
          <w:p w14:paraId="7FE587E6" w14:textId="77777777" w:rsidR="000925AA" w:rsidRPr="00593D1B" w:rsidRDefault="000925AA" w:rsidP="004F47D1">
            <w:pPr>
              <w:snapToGrid w:val="0"/>
              <w:rPr>
                <w:rFonts w:eastAsia="휴먼명조"/>
                <w:b/>
                <w:color w:val="000000"/>
                <w:lang w:val="en-AU"/>
              </w:rPr>
            </w:pPr>
            <w:r w:rsidRPr="00593D1B">
              <w:rPr>
                <w:rFonts w:eastAsia="휴먼명조"/>
                <w:b/>
                <w:color w:val="000000"/>
                <w:lang w:val="en-AU"/>
              </w:rPr>
              <w:lastRenderedPageBreak/>
              <w:t>Scope</w:t>
            </w:r>
          </w:p>
          <w:p w14:paraId="239B7785" w14:textId="77777777" w:rsidR="000925AA" w:rsidRPr="00593D1B" w:rsidRDefault="000925AA" w:rsidP="004F47D1">
            <w:pPr>
              <w:snapToGrid w:val="0"/>
              <w:rPr>
                <w:rFonts w:eastAsia="휴먼명조"/>
                <w:b/>
                <w:color w:val="000000"/>
                <w:lang w:val="en-AU"/>
              </w:rPr>
            </w:pPr>
          </w:p>
          <w:p w14:paraId="1E44F1A0" w14:textId="77777777" w:rsidR="000925AA" w:rsidRPr="00593D1B" w:rsidRDefault="000925AA" w:rsidP="004F47D1">
            <w:pPr>
              <w:snapToGrid w:val="0"/>
              <w:rPr>
                <w:rFonts w:eastAsia="휴먼명조"/>
                <w:b/>
                <w:color w:val="000000"/>
                <w:lang w:val="en-AU"/>
              </w:rPr>
            </w:pPr>
          </w:p>
        </w:tc>
        <w:tc>
          <w:tcPr>
            <w:tcW w:w="7088" w:type="dxa"/>
            <w:tcBorders>
              <w:top w:val="single" w:sz="4" w:space="0" w:color="auto"/>
              <w:left w:val="single" w:sz="4" w:space="0" w:color="auto"/>
              <w:bottom w:val="single" w:sz="4" w:space="0" w:color="auto"/>
              <w:right w:val="single" w:sz="4" w:space="0" w:color="auto"/>
            </w:tcBorders>
            <w:hideMark/>
          </w:tcPr>
          <w:p w14:paraId="55F64577" w14:textId="77777777" w:rsidR="000925AA" w:rsidRPr="00593D1B" w:rsidRDefault="000925AA" w:rsidP="000925AA">
            <w:pPr>
              <w:numPr>
                <w:ilvl w:val="0"/>
                <w:numId w:val="16"/>
              </w:numPr>
              <w:snapToGrid w:val="0"/>
              <w:jc w:val="both"/>
              <w:rPr>
                <w:lang w:eastAsia="zh-CN"/>
              </w:rPr>
            </w:pPr>
            <w:r w:rsidRPr="00593D1B">
              <w:rPr>
                <w:lang w:eastAsia="zh-CN"/>
              </w:rPr>
              <w:t>Conduct survey of existing documents &amp; mutual agreements on cross border coordination</w:t>
            </w:r>
          </w:p>
          <w:p w14:paraId="63D3C4DD" w14:textId="77777777" w:rsidR="000925AA" w:rsidRPr="00593D1B" w:rsidRDefault="000925AA" w:rsidP="000925AA">
            <w:pPr>
              <w:numPr>
                <w:ilvl w:val="0"/>
                <w:numId w:val="16"/>
              </w:numPr>
              <w:snapToGrid w:val="0"/>
              <w:jc w:val="both"/>
              <w:rPr>
                <w:lang w:eastAsia="zh-CN"/>
              </w:rPr>
            </w:pPr>
            <w:r w:rsidRPr="00593D1B">
              <w:rPr>
                <w:lang w:eastAsia="zh-CN"/>
              </w:rPr>
              <w:t>Collect Member Administrations  ideas/views on studied agreements</w:t>
            </w:r>
          </w:p>
          <w:p w14:paraId="4E343BEF" w14:textId="77777777" w:rsidR="000925AA" w:rsidRPr="00593D1B" w:rsidRDefault="000925AA" w:rsidP="000925AA">
            <w:pPr>
              <w:numPr>
                <w:ilvl w:val="0"/>
                <w:numId w:val="16"/>
              </w:numPr>
              <w:snapToGrid w:val="0"/>
              <w:jc w:val="both"/>
              <w:rPr>
                <w:lang w:eastAsia="zh-CN"/>
              </w:rPr>
            </w:pPr>
            <w:r w:rsidRPr="00593D1B">
              <w:rPr>
                <w:lang w:eastAsia="zh-CN"/>
              </w:rPr>
              <w:t>Analyze SATRC member countries experiences on managing cross border interference issues.</w:t>
            </w:r>
          </w:p>
          <w:p w14:paraId="44EC1E02" w14:textId="77777777" w:rsidR="000925AA" w:rsidRPr="00593D1B" w:rsidRDefault="000925AA" w:rsidP="000925AA">
            <w:pPr>
              <w:numPr>
                <w:ilvl w:val="0"/>
                <w:numId w:val="16"/>
              </w:numPr>
              <w:snapToGrid w:val="0"/>
              <w:jc w:val="both"/>
              <w:rPr>
                <w:lang w:eastAsia="zh-CN"/>
              </w:rPr>
            </w:pPr>
            <w:r w:rsidRPr="00593D1B">
              <w:rPr>
                <w:lang w:eastAsia="zh-CN"/>
              </w:rPr>
              <w:t>Recommend some procedures for arranging cross border interference issues among SATRC members in different</w:t>
            </w:r>
            <w:r>
              <w:rPr>
                <w:lang w:eastAsia="zh-CN"/>
              </w:rPr>
              <w:t xml:space="preserve"> </w:t>
            </w:r>
            <w:r w:rsidRPr="00593D1B">
              <w:rPr>
                <w:lang w:eastAsia="zh-CN"/>
              </w:rPr>
              <w:t>services/bands</w:t>
            </w:r>
          </w:p>
        </w:tc>
      </w:tr>
      <w:tr w:rsidR="000925AA" w:rsidRPr="00593D1B" w14:paraId="6F7EB81A" w14:textId="77777777" w:rsidTr="004F47D1">
        <w:trPr>
          <w:trHeight w:val="339"/>
        </w:trPr>
        <w:tc>
          <w:tcPr>
            <w:tcW w:w="2509" w:type="dxa"/>
            <w:tcBorders>
              <w:top w:val="single" w:sz="4" w:space="0" w:color="auto"/>
              <w:left w:val="single" w:sz="4" w:space="0" w:color="auto"/>
              <w:bottom w:val="single" w:sz="4" w:space="0" w:color="auto"/>
              <w:right w:val="single" w:sz="4" w:space="0" w:color="auto"/>
            </w:tcBorders>
          </w:tcPr>
          <w:p w14:paraId="117FB7F7" w14:textId="77777777" w:rsidR="000925AA" w:rsidRPr="00593D1B" w:rsidRDefault="000925AA" w:rsidP="004F47D1">
            <w:pPr>
              <w:snapToGrid w:val="0"/>
              <w:rPr>
                <w:rFonts w:eastAsia="휴먼명조"/>
                <w:b/>
                <w:color w:val="000000"/>
                <w:lang w:val="en-AU"/>
              </w:rPr>
            </w:pPr>
            <w:r w:rsidRPr="003247FB">
              <w:rPr>
                <w:rFonts w:eastAsia="Batang"/>
                <w:b/>
              </w:rPr>
              <w:t>Time Frame</w:t>
            </w:r>
          </w:p>
        </w:tc>
        <w:tc>
          <w:tcPr>
            <w:tcW w:w="7088" w:type="dxa"/>
            <w:tcBorders>
              <w:top w:val="single" w:sz="4" w:space="0" w:color="auto"/>
              <w:left w:val="single" w:sz="4" w:space="0" w:color="auto"/>
              <w:bottom w:val="single" w:sz="4" w:space="0" w:color="auto"/>
              <w:right w:val="single" w:sz="4" w:space="0" w:color="auto"/>
            </w:tcBorders>
          </w:tcPr>
          <w:p w14:paraId="3D59A7BD" w14:textId="77777777" w:rsidR="00AA33BE" w:rsidRPr="004F0EF2"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Drafting the questionnaire by lead experts (</w:t>
            </w:r>
            <w:r>
              <w:rPr>
                <w:rFonts w:eastAsia="Times New Roman"/>
                <w:lang w:val="en-AU" w:eastAsia="zh-CN"/>
              </w:rPr>
              <w:t>June 2022</w:t>
            </w:r>
            <w:r w:rsidRPr="004F0EF2">
              <w:rPr>
                <w:rFonts w:eastAsia="Times New Roman"/>
                <w:lang w:val="en-AU" w:eastAsia="zh-CN"/>
              </w:rPr>
              <w:t>)</w:t>
            </w:r>
          </w:p>
          <w:p w14:paraId="3384C571" w14:textId="77777777" w:rsidR="00AA33BE" w:rsidRPr="004F0EF2"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Circulation of the questionnaire to WG experts (</w:t>
            </w:r>
            <w:r>
              <w:rPr>
                <w:rFonts w:eastAsia="Times New Roman"/>
                <w:lang w:val="en-AU" w:eastAsia="zh-CN"/>
              </w:rPr>
              <w:t>July</w:t>
            </w:r>
            <w:r w:rsidRPr="004F0EF2">
              <w:rPr>
                <w:rFonts w:eastAsia="Times New Roman"/>
                <w:lang w:val="en-AU" w:eastAsia="zh-CN"/>
              </w:rPr>
              <w:t>….</w:t>
            </w:r>
            <w:r>
              <w:rPr>
                <w:rFonts w:eastAsia="Times New Roman"/>
                <w:lang w:val="en-AU" w:eastAsia="zh-CN"/>
              </w:rPr>
              <w:t>2022</w:t>
            </w:r>
            <w:r w:rsidRPr="004F0EF2">
              <w:rPr>
                <w:rFonts w:eastAsia="Times New Roman"/>
                <w:lang w:val="en-AU" w:eastAsia="zh-CN"/>
              </w:rPr>
              <w:t>)</w:t>
            </w:r>
          </w:p>
          <w:p w14:paraId="07975A58" w14:textId="77777777" w:rsidR="00AA33BE" w:rsidRPr="004F0EF2"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Response to the questionnaires (</w:t>
            </w:r>
            <w:r>
              <w:rPr>
                <w:rFonts w:eastAsia="Times New Roman"/>
                <w:lang w:val="en-AU" w:eastAsia="zh-CN"/>
              </w:rPr>
              <w:t>August</w:t>
            </w:r>
            <w:r w:rsidRPr="004F0EF2">
              <w:rPr>
                <w:rFonts w:eastAsia="Times New Roman"/>
                <w:lang w:val="en-AU" w:eastAsia="zh-CN"/>
              </w:rPr>
              <w:t>…….</w:t>
            </w:r>
            <w:r>
              <w:rPr>
                <w:rFonts w:eastAsia="Times New Roman"/>
                <w:lang w:val="en-AU" w:eastAsia="zh-CN"/>
              </w:rPr>
              <w:t>2022</w:t>
            </w:r>
            <w:r w:rsidRPr="004F0EF2">
              <w:rPr>
                <w:rFonts w:eastAsia="Times New Roman"/>
                <w:lang w:val="en-AU" w:eastAsia="zh-CN"/>
              </w:rPr>
              <w:t xml:space="preserve">) </w:t>
            </w:r>
          </w:p>
          <w:p w14:paraId="547190B9" w14:textId="77777777" w:rsidR="00AA33BE" w:rsidRPr="004F0EF2"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Development of the interim Report (</w:t>
            </w:r>
            <w:r>
              <w:rPr>
                <w:rFonts w:eastAsia="Times New Roman"/>
                <w:lang w:val="en-AU" w:eastAsia="zh-CN"/>
              </w:rPr>
              <w:t>October</w:t>
            </w:r>
            <w:r w:rsidRPr="004F0EF2">
              <w:rPr>
                <w:rFonts w:eastAsia="Times New Roman"/>
                <w:lang w:val="en-AU" w:eastAsia="zh-CN"/>
              </w:rPr>
              <w:t>………</w:t>
            </w:r>
            <w:r>
              <w:rPr>
                <w:rFonts w:eastAsia="Times New Roman"/>
                <w:lang w:val="en-AU" w:eastAsia="zh-CN"/>
              </w:rPr>
              <w:t>2022</w:t>
            </w:r>
            <w:r w:rsidRPr="004F0EF2">
              <w:rPr>
                <w:rFonts w:eastAsia="Times New Roman"/>
                <w:lang w:val="en-AU" w:eastAsia="zh-CN"/>
              </w:rPr>
              <w:t>)</w:t>
            </w:r>
          </w:p>
          <w:p w14:paraId="23C9F03C" w14:textId="77777777" w:rsidR="00AA33BE" w:rsidRPr="004F0EF2"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Discussion on the interim report and comments by experts (January……</w:t>
            </w:r>
            <w:proofErr w:type="gramStart"/>
            <w:r w:rsidRPr="004F0EF2">
              <w:rPr>
                <w:rFonts w:eastAsia="Times New Roman"/>
                <w:lang w:val="en-AU" w:eastAsia="zh-CN"/>
              </w:rPr>
              <w:t>…..</w:t>
            </w:r>
            <w:proofErr w:type="gramEnd"/>
            <w:r w:rsidRPr="004F0EF2">
              <w:rPr>
                <w:rFonts w:eastAsia="Times New Roman"/>
                <w:lang w:val="en-AU" w:eastAsia="zh-CN"/>
              </w:rPr>
              <w:t>202</w:t>
            </w:r>
            <w:r>
              <w:rPr>
                <w:rFonts w:eastAsia="Times New Roman"/>
                <w:lang w:val="en-AU" w:eastAsia="zh-CN"/>
              </w:rPr>
              <w:t>3</w:t>
            </w:r>
            <w:r w:rsidRPr="004F0EF2">
              <w:rPr>
                <w:rFonts w:eastAsia="Times New Roman"/>
                <w:lang w:val="en-AU" w:eastAsia="zh-CN"/>
              </w:rPr>
              <w:t>)</w:t>
            </w:r>
          </w:p>
          <w:p w14:paraId="1511FE46" w14:textId="77777777" w:rsidR="00AA33BE" w:rsidRPr="004F0EF2"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Update of the interim report and development of the first draft of the final Report (March…….202</w:t>
            </w:r>
            <w:r>
              <w:rPr>
                <w:rFonts w:eastAsia="Times New Roman"/>
                <w:lang w:val="en-AU" w:eastAsia="zh-CN"/>
              </w:rPr>
              <w:t>3</w:t>
            </w:r>
            <w:r w:rsidRPr="004F0EF2">
              <w:rPr>
                <w:rFonts w:eastAsia="Times New Roman"/>
                <w:lang w:val="en-AU" w:eastAsia="zh-CN"/>
              </w:rPr>
              <w:t>)</w:t>
            </w:r>
          </w:p>
          <w:p w14:paraId="6E547A0D" w14:textId="77777777" w:rsidR="00AA33BE" w:rsidRPr="004F0EF2"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Consideration of the first draft of the final Report at the 2nd Meeting of the WG (May</w:t>
            </w:r>
            <w:r>
              <w:rPr>
                <w:rFonts w:eastAsia="Times New Roman"/>
                <w:lang w:val="en-AU" w:eastAsia="zh-CN"/>
              </w:rPr>
              <w:t>/June</w:t>
            </w:r>
            <w:r w:rsidRPr="004F0EF2">
              <w:rPr>
                <w:rFonts w:eastAsia="Times New Roman"/>
                <w:lang w:val="en-AU" w:eastAsia="zh-CN"/>
              </w:rPr>
              <w:t>…….202</w:t>
            </w:r>
            <w:r>
              <w:rPr>
                <w:rFonts w:eastAsia="Times New Roman"/>
                <w:lang w:val="en-AU" w:eastAsia="zh-CN"/>
              </w:rPr>
              <w:t>3</w:t>
            </w:r>
            <w:r w:rsidRPr="004F0EF2">
              <w:rPr>
                <w:rFonts w:eastAsia="Times New Roman"/>
                <w:lang w:val="en-AU" w:eastAsia="zh-CN"/>
              </w:rPr>
              <w:t>)</w:t>
            </w:r>
          </w:p>
          <w:p w14:paraId="39DB2E86" w14:textId="77777777" w:rsidR="00AA33BE"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Consideration of the second draft of the final Report (August 202</w:t>
            </w:r>
            <w:r>
              <w:rPr>
                <w:rFonts w:eastAsia="Times New Roman"/>
                <w:lang w:val="en-AU" w:eastAsia="zh-CN"/>
              </w:rPr>
              <w:t>3</w:t>
            </w:r>
            <w:r w:rsidRPr="004F0EF2">
              <w:rPr>
                <w:rFonts w:eastAsia="Times New Roman"/>
                <w:lang w:val="en-AU" w:eastAsia="zh-CN"/>
              </w:rPr>
              <w:t>)</w:t>
            </w:r>
          </w:p>
          <w:p w14:paraId="6BC13E44" w14:textId="28949071" w:rsidR="00AA33BE" w:rsidRPr="003173EA"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3173EA">
              <w:rPr>
                <w:rFonts w:eastAsia="Times New Roman"/>
                <w:lang w:val="en-AU" w:eastAsia="zh-CN"/>
              </w:rPr>
              <w:t>Draft final report (</w:t>
            </w:r>
            <w:r>
              <w:rPr>
                <w:rFonts w:eastAsia="Times New Roman"/>
                <w:lang w:val="en-AU" w:eastAsia="zh-CN"/>
              </w:rPr>
              <w:t>September/</w:t>
            </w:r>
            <w:r w:rsidRPr="003173EA">
              <w:rPr>
                <w:rFonts w:eastAsia="Times New Roman"/>
                <w:lang w:val="en-AU" w:eastAsia="zh-CN"/>
              </w:rPr>
              <w:t>October</w:t>
            </w:r>
            <w:proofErr w:type="gramStart"/>
            <w:r w:rsidRPr="003173EA">
              <w:rPr>
                <w:rFonts w:eastAsia="Times New Roman"/>
                <w:lang w:val="en-AU" w:eastAsia="zh-CN"/>
              </w:rPr>
              <w:t>…..</w:t>
            </w:r>
            <w:proofErr w:type="gramEnd"/>
            <w:r w:rsidRPr="003173EA">
              <w:rPr>
                <w:rFonts w:eastAsia="Times New Roman"/>
                <w:lang w:val="en-AU" w:eastAsia="zh-CN"/>
              </w:rPr>
              <w:t>202</w:t>
            </w:r>
            <w:r>
              <w:rPr>
                <w:rFonts w:eastAsia="Times New Roman"/>
                <w:lang w:val="en-AU" w:eastAsia="zh-CN"/>
              </w:rPr>
              <w:t>3</w:t>
            </w:r>
            <w:r w:rsidRPr="003173EA">
              <w:rPr>
                <w:rFonts w:eastAsia="Times New Roman"/>
                <w:lang w:val="en-AU" w:eastAsia="zh-CN"/>
              </w:rPr>
              <w:t>)</w:t>
            </w:r>
          </w:p>
        </w:tc>
      </w:tr>
      <w:tr w:rsidR="000925AA" w:rsidRPr="00593D1B" w14:paraId="46D25B36" w14:textId="77777777" w:rsidTr="004F47D1">
        <w:trPr>
          <w:trHeight w:val="339"/>
        </w:trPr>
        <w:tc>
          <w:tcPr>
            <w:tcW w:w="2509" w:type="dxa"/>
            <w:tcBorders>
              <w:top w:val="single" w:sz="4" w:space="0" w:color="auto"/>
              <w:left w:val="single" w:sz="4" w:space="0" w:color="auto"/>
              <w:bottom w:val="single" w:sz="4" w:space="0" w:color="auto"/>
              <w:right w:val="single" w:sz="4" w:space="0" w:color="auto"/>
            </w:tcBorders>
          </w:tcPr>
          <w:p w14:paraId="6B69B1F5" w14:textId="77777777" w:rsidR="000925AA" w:rsidRPr="00593D1B" w:rsidRDefault="000925AA" w:rsidP="004F47D1">
            <w:pPr>
              <w:snapToGrid w:val="0"/>
              <w:rPr>
                <w:rFonts w:eastAsia="휴먼명조"/>
                <w:b/>
                <w:color w:val="000000"/>
                <w:lang w:val="en-AU"/>
              </w:rPr>
            </w:pPr>
            <w:r w:rsidRPr="003247FB">
              <w:rPr>
                <w:rFonts w:eastAsia="Batang"/>
                <w:b/>
              </w:rPr>
              <w:t>Utilization of Output</w:t>
            </w:r>
          </w:p>
        </w:tc>
        <w:tc>
          <w:tcPr>
            <w:tcW w:w="7088" w:type="dxa"/>
            <w:tcBorders>
              <w:top w:val="single" w:sz="4" w:space="0" w:color="auto"/>
              <w:left w:val="single" w:sz="4" w:space="0" w:color="auto"/>
              <w:bottom w:val="single" w:sz="4" w:space="0" w:color="auto"/>
              <w:right w:val="single" w:sz="4" w:space="0" w:color="auto"/>
            </w:tcBorders>
          </w:tcPr>
          <w:p w14:paraId="50DCEF3A" w14:textId="77777777" w:rsidR="000925AA" w:rsidRPr="00593D1B" w:rsidRDefault="000925AA" w:rsidP="004F47D1">
            <w:pPr>
              <w:snapToGrid w:val="0"/>
              <w:jc w:val="both"/>
              <w:rPr>
                <w:lang w:eastAsia="zh-CN"/>
              </w:rPr>
            </w:pPr>
            <w:r w:rsidRPr="003247FB">
              <w:rPr>
                <w:bCs/>
                <w:lang w:val="en-AU" w:eastAsia="ko-KR"/>
              </w:rPr>
              <w:t>Regulators</w:t>
            </w:r>
            <w:r>
              <w:rPr>
                <w:bCs/>
                <w:lang w:val="en-AU" w:eastAsia="ko-KR"/>
              </w:rPr>
              <w:t xml:space="preserve">, </w:t>
            </w:r>
            <w:r w:rsidRPr="003247FB">
              <w:rPr>
                <w:bCs/>
                <w:lang w:val="en-AU" w:eastAsia="ko-KR"/>
              </w:rPr>
              <w:t>Governments,</w:t>
            </w:r>
            <w:r>
              <w:rPr>
                <w:bCs/>
                <w:lang w:val="en-AU" w:eastAsia="ko-KR"/>
              </w:rPr>
              <w:t xml:space="preserve"> Mobile Operators</w:t>
            </w:r>
            <w:r w:rsidRPr="003247FB">
              <w:rPr>
                <w:lang w:val="en-AU"/>
              </w:rPr>
              <w:t>.</w:t>
            </w:r>
          </w:p>
        </w:tc>
      </w:tr>
    </w:tbl>
    <w:p w14:paraId="0F0209FA" w14:textId="77777777" w:rsidR="000925AA" w:rsidRDefault="000925AA" w:rsidP="000925AA">
      <w:pPr>
        <w:rPr>
          <w:b/>
          <w:bCs/>
          <w:lang w:eastAsia="ko-KR"/>
        </w:rPr>
      </w:pPr>
    </w:p>
    <w:p w14:paraId="6DF6D1D9" w14:textId="77777777" w:rsidR="000925AA" w:rsidRDefault="000925AA" w:rsidP="000925AA">
      <w:pPr>
        <w:jc w:val="center"/>
        <w:rPr>
          <w:b/>
          <w:bCs/>
          <w:lang w:eastAsia="ko-KR"/>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09"/>
        <w:gridCol w:w="7088"/>
      </w:tblGrid>
      <w:tr w:rsidR="000925AA" w:rsidRPr="00EA199E" w14:paraId="29D05E50" w14:textId="77777777" w:rsidTr="004F47D1">
        <w:trPr>
          <w:trHeight w:val="448"/>
        </w:trPr>
        <w:tc>
          <w:tcPr>
            <w:tcW w:w="2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DD6FA3" w14:textId="77777777" w:rsidR="000925AA" w:rsidRPr="00EA199E" w:rsidRDefault="000925AA" w:rsidP="004F47D1">
            <w:pPr>
              <w:snapToGrid w:val="0"/>
              <w:rPr>
                <w:lang w:val="en-AU"/>
              </w:rPr>
            </w:pPr>
            <w:r w:rsidRPr="00EA199E">
              <w:rPr>
                <w:b/>
                <w:lang w:val="en-AU"/>
              </w:rPr>
              <w:t>Work Item Title</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109928" w14:textId="77777777" w:rsidR="000925AA" w:rsidRPr="00EA199E" w:rsidRDefault="000925AA" w:rsidP="004F47D1">
            <w:pPr>
              <w:tabs>
                <w:tab w:val="left" w:pos="567"/>
                <w:tab w:val="left" w:pos="1134"/>
                <w:tab w:val="left" w:pos="1701"/>
                <w:tab w:val="left" w:pos="2268"/>
                <w:tab w:val="left" w:pos="2835"/>
              </w:tabs>
              <w:overflowPunct w:val="0"/>
              <w:autoSpaceDE w:val="0"/>
              <w:autoSpaceDN w:val="0"/>
              <w:adjustRightInd w:val="0"/>
              <w:rPr>
                <w:rFonts w:eastAsia="SimSun"/>
                <w:b/>
                <w:caps/>
                <w:lang w:val="en-GB" w:eastAsia="zh-CN"/>
              </w:rPr>
            </w:pPr>
            <w:r w:rsidRPr="00BA5169">
              <w:rPr>
                <w:rFonts w:eastAsia="Batang"/>
                <w:b/>
                <w:lang w:val="en-AU"/>
              </w:rPr>
              <w:t xml:space="preserve">SATRC action plans for the development of spectrum management infrastructure, </w:t>
            </w:r>
            <w:proofErr w:type="gramStart"/>
            <w:r w:rsidRPr="00BA5169">
              <w:rPr>
                <w:rFonts w:eastAsia="Batang"/>
                <w:b/>
                <w:lang w:val="en-AU"/>
              </w:rPr>
              <w:t>procedure</w:t>
            </w:r>
            <w:proofErr w:type="gramEnd"/>
            <w:r w:rsidRPr="00BA5169">
              <w:rPr>
                <w:rFonts w:eastAsia="Batang"/>
                <w:b/>
                <w:lang w:val="en-AU"/>
              </w:rPr>
              <w:t xml:space="preserve"> and tools</w:t>
            </w:r>
          </w:p>
        </w:tc>
      </w:tr>
      <w:tr w:rsidR="000925AA" w:rsidRPr="00EA199E" w14:paraId="7F139DB2" w14:textId="77777777" w:rsidTr="004F47D1">
        <w:trPr>
          <w:trHeight w:val="448"/>
        </w:trPr>
        <w:tc>
          <w:tcPr>
            <w:tcW w:w="2509" w:type="dxa"/>
            <w:tcBorders>
              <w:top w:val="single" w:sz="4" w:space="0" w:color="auto"/>
              <w:left w:val="single" w:sz="4" w:space="0" w:color="auto"/>
              <w:bottom w:val="single" w:sz="4" w:space="0" w:color="auto"/>
              <w:right w:val="single" w:sz="4" w:space="0" w:color="auto"/>
            </w:tcBorders>
            <w:shd w:val="clear" w:color="auto" w:fill="FFFFFF" w:themeFill="background1"/>
          </w:tcPr>
          <w:p w14:paraId="39BEE12E" w14:textId="72DE90AA" w:rsidR="000925AA" w:rsidRPr="00EA199E" w:rsidRDefault="003173EA" w:rsidP="004F47D1">
            <w:pPr>
              <w:snapToGrid w:val="0"/>
              <w:rPr>
                <w:b/>
                <w:lang w:val="en-AU"/>
              </w:rPr>
            </w:pPr>
            <w:r w:rsidRPr="004F0EF2">
              <w:rPr>
                <w:rFonts w:eastAsia="Batang"/>
                <w:b/>
                <w:sz w:val="22"/>
                <w:szCs w:val="22"/>
              </w:rPr>
              <w:t>Rapporteur(s)</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14:paraId="6AD16B70" w14:textId="5F994D2E" w:rsidR="000925AA" w:rsidRPr="00AA33BE" w:rsidRDefault="00A258FC" w:rsidP="004F47D1">
            <w:pPr>
              <w:tabs>
                <w:tab w:val="left" w:pos="567"/>
                <w:tab w:val="left" w:pos="1134"/>
                <w:tab w:val="left" w:pos="1701"/>
                <w:tab w:val="left" w:pos="2268"/>
                <w:tab w:val="left" w:pos="2835"/>
              </w:tabs>
              <w:overflowPunct w:val="0"/>
              <w:autoSpaceDE w:val="0"/>
              <w:autoSpaceDN w:val="0"/>
              <w:adjustRightInd w:val="0"/>
              <w:rPr>
                <w:rFonts w:eastAsia="Batang"/>
                <w:bCs/>
              </w:rPr>
            </w:pPr>
            <w:r>
              <w:rPr>
                <w:rFonts w:eastAsia="Batang"/>
                <w:bCs/>
              </w:rPr>
              <w:t>Mr. M</w:t>
            </w:r>
            <w:r w:rsidR="00C779AC">
              <w:rPr>
                <w:rFonts w:eastAsia="Batang"/>
                <w:bCs/>
              </w:rPr>
              <w:t>.</w:t>
            </w:r>
            <w:r>
              <w:rPr>
                <w:rFonts w:eastAsia="Batang"/>
                <w:bCs/>
              </w:rPr>
              <w:t xml:space="preserve"> P</w:t>
            </w:r>
            <w:r w:rsidR="00C779AC">
              <w:rPr>
                <w:rFonts w:eastAsia="Batang"/>
                <w:bCs/>
              </w:rPr>
              <w:t>.</w:t>
            </w:r>
            <w:r>
              <w:rPr>
                <w:rFonts w:eastAsia="Batang"/>
                <w:bCs/>
              </w:rPr>
              <w:t xml:space="preserve"> Gunasinghe (TRC) (Lead); Mr. Sonam Phunts</w:t>
            </w:r>
            <w:r w:rsidR="00C779AC">
              <w:rPr>
                <w:rFonts w:eastAsia="Batang"/>
                <w:bCs/>
              </w:rPr>
              <w:t>h</w:t>
            </w:r>
            <w:r>
              <w:rPr>
                <w:rFonts w:eastAsia="Batang"/>
                <w:bCs/>
              </w:rPr>
              <w:t>o (BICMA)</w:t>
            </w:r>
          </w:p>
        </w:tc>
      </w:tr>
      <w:tr w:rsidR="000925AA" w:rsidRPr="00EA199E" w14:paraId="1EC9F584" w14:textId="77777777" w:rsidTr="004F47D1">
        <w:trPr>
          <w:trHeight w:val="233"/>
        </w:trPr>
        <w:tc>
          <w:tcPr>
            <w:tcW w:w="2509" w:type="dxa"/>
            <w:tcBorders>
              <w:top w:val="single" w:sz="4" w:space="0" w:color="auto"/>
              <w:left w:val="single" w:sz="4" w:space="0" w:color="auto"/>
              <w:bottom w:val="single" w:sz="4" w:space="0" w:color="auto"/>
              <w:right w:val="single" w:sz="4" w:space="0" w:color="auto"/>
            </w:tcBorders>
            <w:hideMark/>
          </w:tcPr>
          <w:p w14:paraId="028D6BC1" w14:textId="77777777" w:rsidR="000925AA" w:rsidRPr="00EA199E" w:rsidRDefault="000925AA" w:rsidP="004F47D1">
            <w:pPr>
              <w:snapToGrid w:val="0"/>
              <w:rPr>
                <w:rFonts w:eastAsia="휴먼명조"/>
                <w:b/>
                <w:color w:val="000000"/>
                <w:lang w:val="en-AU"/>
              </w:rPr>
            </w:pPr>
            <w:r w:rsidRPr="00EA199E">
              <w:rPr>
                <w:rFonts w:eastAsia="휴먼명조"/>
                <w:b/>
                <w:color w:val="000000"/>
                <w:lang w:val="en-AU"/>
              </w:rPr>
              <w:t>Output</w:t>
            </w:r>
          </w:p>
          <w:p w14:paraId="066B6F75" w14:textId="77777777" w:rsidR="000925AA" w:rsidRPr="00EA199E" w:rsidRDefault="000925AA" w:rsidP="004F47D1">
            <w:pPr>
              <w:snapToGrid w:val="0"/>
              <w:rPr>
                <w:rFonts w:eastAsia="휴먼명조"/>
                <w:b/>
                <w:color w:val="000000"/>
                <w:lang w:val="en-AU"/>
              </w:rPr>
            </w:pPr>
          </w:p>
        </w:tc>
        <w:tc>
          <w:tcPr>
            <w:tcW w:w="7088" w:type="dxa"/>
            <w:tcBorders>
              <w:top w:val="single" w:sz="4" w:space="0" w:color="auto"/>
              <w:left w:val="single" w:sz="4" w:space="0" w:color="auto"/>
              <w:bottom w:val="single" w:sz="4" w:space="0" w:color="auto"/>
              <w:right w:val="single" w:sz="4" w:space="0" w:color="auto"/>
            </w:tcBorders>
            <w:hideMark/>
          </w:tcPr>
          <w:p w14:paraId="629F92A7" w14:textId="1BEB7686" w:rsidR="000925AA" w:rsidRPr="00EA199E" w:rsidRDefault="000925AA" w:rsidP="004F47D1">
            <w:pPr>
              <w:overflowPunct w:val="0"/>
              <w:autoSpaceDE w:val="0"/>
              <w:autoSpaceDN w:val="0"/>
              <w:adjustRightInd w:val="0"/>
              <w:snapToGrid w:val="0"/>
              <w:textAlignment w:val="baseline"/>
              <w:rPr>
                <w:rFonts w:eastAsia="Times New Roman"/>
                <w:lang w:val="en-AU" w:eastAsia="zh-CN"/>
              </w:rPr>
            </w:pPr>
            <w:r w:rsidRPr="00EA199E">
              <w:rPr>
                <w:lang w:val="en-AU" w:eastAsia="ko-KR"/>
              </w:rPr>
              <w:t xml:space="preserve">Report </w:t>
            </w:r>
          </w:p>
        </w:tc>
      </w:tr>
      <w:tr w:rsidR="000925AA" w:rsidRPr="00EA199E" w14:paraId="51E1E9E0" w14:textId="77777777" w:rsidTr="004F47D1">
        <w:trPr>
          <w:trHeight w:val="339"/>
        </w:trPr>
        <w:tc>
          <w:tcPr>
            <w:tcW w:w="2509" w:type="dxa"/>
            <w:tcBorders>
              <w:top w:val="single" w:sz="4" w:space="0" w:color="auto"/>
              <w:left w:val="single" w:sz="4" w:space="0" w:color="auto"/>
              <w:bottom w:val="single" w:sz="4" w:space="0" w:color="auto"/>
              <w:right w:val="single" w:sz="4" w:space="0" w:color="auto"/>
            </w:tcBorders>
            <w:hideMark/>
          </w:tcPr>
          <w:p w14:paraId="44DC7FE0" w14:textId="77777777" w:rsidR="000925AA" w:rsidRPr="00EA199E" w:rsidRDefault="000925AA" w:rsidP="004F47D1">
            <w:pPr>
              <w:snapToGrid w:val="0"/>
              <w:rPr>
                <w:rFonts w:eastAsia="휴먼명조"/>
                <w:b/>
                <w:color w:val="000000"/>
                <w:lang w:val="en-AU"/>
              </w:rPr>
            </w:pPr>
            <w:r w:rsidRPr="00EA199E">
              <w:rPr>
                <w:rFonts w:eastAsia="휴먼명조"/>
                <w:b/>
                <w:color w:val="000000"/>
                <w:lang w:val="en-AU"/>
              </w:rPr>
              <w:t>Background and Purpose</w:t>
            </w:r>
          </w:p>
          <w:p w14:paraId="5A2293AF" w14:textId="77777777" w:rsidR="000925AA" w:rsidRPr="00EA199E" w:rsidRDefault="000925AA" w:rsidP="004F47D1">
            <w:pPr>
              <w:rPr>
                <w:rFonts w:eastAsia="휴먼명조"/>
                <w:lang w:val="en-AU"/>
              </w:rPr>
            </w:pPr>
          </w:p>
          <w:p w14:paraId="7B887C35" w14:textId="77777777" w:rsidR="000925AA" w:rsidRPr="00EA199E" w:rsidRDefault="000925AA" w:rsidP="004F47D1">
            <w:pPr>
              <w:rPr>
                <w:rFonts w:eastAsia="휴먼명조"/>
                <w:lang w:val="en-AU"/>
              </w:rPr>
            </w:pPr>
          </w:p>
          <w:p w14:paraId="3E120314" w14:textId="77777777" w:rsidR="000925AA" w:rsidRPr="00EA199E" w:rsidRDefault="000925AA" w:rsidP="004F47D1">
            <w:pPr>
              <w:rPr>
                <w:rFonts w:eastAsia="휴먼명조"/>
                <w:lang w:val="en-AU"/>
              </w:rPr>
            </w:pPr>
          </w:p>
          <w:p w14:paraId="540CD9A0" w14:textId="77777777" w:rsidR="000925AA" w:rsidRPr="00EA199E" w:rsidRDefault="000925AA" w:rsidP="004F47D1">
            <w:pPr>
              <w:jc w:val="right"/>
              <w:rPr>
                <w:rFonts w:eastAsia="휴먼명조"/>
                <w:lang w:val="en-AU"/>
              </w:rPr>
            </w:pPr>
          </w:p>
        </w:tc>
        <w:tc>
          <w:tcPr>
            <w:tcW w:w="7088" w:type="dxa"/>
            <w:tcBorders>
              <w:top w:val="single" w:sz="4" w:space="0" w:color="auto"/>
              <w:left w:val="single" w:sz="4" w:space="0" w:color="auto"/>
              <w:bottom w:val="single" w:sz="4" w:space="0" w:color="auto"/>
              <w:right w:val="single" w:sz="4" w:space="0" w:color="auto"/>
            </w:tcBorders>
            <w:hideMark/>
          </w:tcPr>
          <w:p w14:paraId="0C05B448" w14:textId="77777777" w:rsidR="000925AA" w:rsidRPr="00EA199E" w:rsidRDefault="000925AA" w:rsidP="004F47D1">
            <w:pPr>
              <w:jc w:val="both"/>
              <w:rPr>
                <w:lang w:val="en-AU"/>
              </w:rPr>
            </w:pPr>
            <w:r>
              <w:rPr>
                <w:lang w:val="en-AU"/>
              </w:rPr>
              <w:t xml:space="preserve">Connectivity is an important pillar for achieving the objective of digital transformation of the economy and the society. Spectrum is a key resource for delivering connectivity. Improving the policies, regulations and measures for spectrum </w:t>
            </w:r>
            <w:proofErr w:type="gramStart"/>
            <w:r>
              <w:rPr>
                <w:lang w:val="en-AU"/>
              </w:rPr>
              <w:t>is must doing</w:t>
            </w:r>
            <w:proofErr w:type="gramEnd"/>
            <w:r>
              <w:rPr>
                <w:lang w:val="en-AU"/>
              </w:rPr>
              <w:t xml:space="preserve"> activities for SATRC Members. Development of spectrum management infrastructure, procedure and tools plays an important role in this aspect. The objective of this work item is to study and recommend a harmonized action plan for SATRC Members for institutional development of spectrum management infrastructure, </w:t>
            </w:r>
            <w:proofErr w:type="gramStart"/>
            <w:r>
              <w:rPr>
                <w:lang w:val="en-AU"/>
              </w:rPr>
              <w:t>procedure</w:t>
            </w:r>
            <w:proofErr w:type="gramEnd"/>
            <w:r>
              <w:rPr>
                <w:lang w:val="en-AU"/>
              </w:rPr>
              <w:t xml:space="preserve"> and tools.    </w:t>
            </w:r>
          </w:p>
        </w:tc>
      </w:tr>
      <w:tr w:rsidR="000925AA" w:rsidRPr="00EA199E" w14:paraId="27398FB1" w14:textId="77777777" w:rsidTr="004F47D1">
        <w:trPr>
          <w:trHeight w:val="339"/>
        </w:trPr>
        <w:tc>
          <w:tcPr>
            <w:tcW w:w="2509" w:type="dxa"/>
            <w:tcBorders>
              <w:top w:val="single" w:sz="4" w:space="0" w:color="auto"/>
              <w:left w:val="single" w:sz="4" w:space="0" w:color="auto"/>
              <w:bottom w:val="single" w:sz="4" w:space="0" w:color="auto"/>
              <w:right w:val="single" w:sz="4" w:space="0" w:color="auto"/>
            </w:tcBorders>
            <w:hideMark/>
          </w:tcPr>
          <w:p w14:paraId="62D6074C" w14:textId="77777777" w:rsidR="000925AA" w:rsidRPr="00EA199E" w:rsidRDefault="000925AA" w:rsidP="004F47D1">
            <w:pPr>
              <w:snapToGrid w:val="0"/>
              <w:rPr>
                <w:rFonts w:eastAsia="휴먼명조"/>
                <w:b/>
                <w:color w:val="000000"/>
                <w:lang w:val="en-AU"/>
              </w:rPr>
            </w:pPr>
            <w:r w:rsidRPr="00EA199E">
              <w:rPr>
                <w:rFonts w:eastAsia="휴먼명조"/>
                <w:b/>
                <w:color w:val="000000"/>
                <w:lang w:val="en-AU"/>
              </w:rPr>
              <w:t>Scope</w:t>
            </w:r>
          </w:p>
          <w:p w14:paraId="47E2CF0B" w14:textId="77777777" w:rsidR="000925AA" w:rsidRPr="00EA199E" w:rsidRDefault="000925AA" w:rsidP="004F47D1">
            <w:pPr>
              <w:snapToGrid w:val="0"/>
              <w:rPr>
                <w:rFonts w:eastAsia="휴먼명조"/>
                <w:b/>
                <w:color w:val="000000"/>
                <w:lang w:val="en-AU"/>
              </w:rPr>
            </w:pPr>
          </w:p>
          <w:p w14:paraId="632DAA11" w14:textId="77777777" w:rsidR="000925AA" w:rsidRPr="00EA199E" w:rsidRDefault="000925AA" w:rsidP="004F47D1">
            <w:pPr>
              <w:snapToGrid w:val="0"/>
              <w:rPr>
                <w:rFonts w:eastAsia="휴먼명조"/>
                <w:b/>
                <w:color w:val="000000"/>
                <w:lang w:val="en-AU"/>
              </w:rPr>
            </w:pPr>
          </w:p>
        </w:tc>
        <w:tc>
          <w:tcPr>
            <w:tcW w:w="7088" w:type="dxa"/>
            <w:tcBorders>
              <w:top w:val="single" w:sz="4" w:space="0" w:color="auto"/>
              <w:left w:val="single" w:sz="4" w:space="0" w:color="auto"/>
              <w:bottom w:val="single" w:sz="4" w:space="0" w:color="auto"/>
              <w:right w:val="single" w:sz="4" w:space="0" w:color="auto"/>
            </w:tcBorders>
            <w:hideMark/>
          </w:tcPr>
          <w:p w14:paraId="66304E57" w14:textId="77777777" w:rsidR="00174AE6" w:rsidRDefault="00174AE6" w:rsidP="00174AE6">
            <w:pPr>
              <w:pStyle w:val="ListParagraph"/>
              <w:widowControl w:val="0"/>
              <w:numPr>
                <w:ilvl w:val="0"/>
                <w:numId w:val="19"/>
              </w:numPr>
              <w:overflowPunct w:val="0"/>
              <w:adjustRightInd w:val="0"/>
              <w:snapToGrid w:val="0"/>
              <w:jc w:val="both"/>
              <w:textAlignment w:val="baseline"/>
              <w:rPr>
                <w:lang w:val="en-AU" w:eastAsia="ko-KR"/>
              </w:rPr>
            </w:pPr>
            <w:r>
              <w:rPr>
                <w:lang w:val="en-AU" w:eastAsia="ko-KR"/>
              </w:rPr>
              <w:t>Study and analyse related reports, recommendations, guidelines etc published by ITU, APT, Member countries.</w:t>
            </w:r>
          </w:p>
          <w:p w14:paraId="663A5E4F" w14:textId="77777777" w:rsidR="00174AE6" w:rsidRPr="00711251" w:rsidRDefault="00174AE6" w:rsidP="00174AE6">
            <w:pPr>
              <w:pStyle w:val="ListParagraph"/>
              <w:widowControl w:val="0"/>
              <w:numPr>
                <w:ilvl w:val="0"/>
                <w:numId w:val="19"/>
              </w:numPr>
              <w:overflowPunct w:val="0"/>
              <w:adjustRightInd w:val="0"/>
              <w:snapToGrid w:val="0"/>
              <w:jc w:val="both"/>
              <w:textAlignment w:val="baseline"/>
              <w:rPr>
                <w:lang w:val="en-AU" w:eastAsia="ko-KR"/>
              </w:rPr>
            </w:pPr>
            <w:r w:rsidRPr="00593D1B">
              <w:rPr>
                <w:lang w:eastAsia="zh-CN"/>
              </w:rPr>
              <w:t>Analyze SATRC member countries experiences</w:t>
            </w:r>
            <w:r>
              <w:rPr>
                <w:lang w:eastAsia="zh-CN"/>
              </w:rPr>
              <w:t xml:space="preserve"> on Spectrum Management procedures, infrastructures, and tools.</w:t>
            </w:r>
          </w:p>
          <w:p w14:paraId="6840DC75" w14:textId="77777777" w:rsidR="00174AE6" w:rsidRDefault="00174AE6" w:rsidP="00174AE6">
            <w:pPr>
              <w:pStyle w:val="ListParagraph"/>
              <w:widowControl w:val="0"/>
              <w:numPr>
                <w:ilvl w:val="0"/>
                <w:numId w:val="19"/>
              </w:numPr>
              <w:overflowPunct w:val="0"/>
              <w:adjustRightInd w:val="0"/>
              <w:snapToGrid w:val="0"/>
              <w:jc w:val="both"/>
              <w:textAlignment w:val="baseline"/>
              <w:rPr>
                <w:lang w:val="en-AU" w:eastAsia="ko-KR"/>
              </w:rPr>
            </w:pPr>
            <w:r>
              <w:rPr>
                <w:lang w:val="en-AU" w:eastAsia="ko-KR"/>
              </w:rPr>
              <w:t>Analyse difficulties faced by the member countries in the process of developing their spectrum management infrastructures and necessary tools.</w:t>
            </w:r>
          </w:p>
          <w:p w14:paraId="096BAAFC" w14:textId="77777777" w:rsidR="00174AE6" w:rsidRDefault="00174AE6" w:rsidP="00174AE6">
            <w:pPr>
              <w:pStyle w:val="ListParagraph"/>
              <w:widowControl w:val="0"/>
              <w:numPr>
                <w:ilvl w:val="0"/>
                <w:numId w:val="19"/>
              </w:numPr>
              <w:overflowPunct w:val="0"/>
              <w:adjustRightInd w:val="0"/>
              <w:snapToGrid w:val="0"/>
              <w:jc w:val="both"/>
              <w:textAlignment w:val="baseline"/>
              <w:rPr>
                <w:lang w:val="en-AU" w:eastAsia="ko-KR"/>
              </w:rPr>
            </w:pPr>
            <w:r>
              <w:rPr>
                <w:lang w:val="en-AU" w:eastAsia="ko-KR"/>
              </w:rPr>
              <w:t xml:space="preserve">Study and analyse good practices on the implementation of infrastructure facilities tools along with proper spectrum management practices. </w:t>
            </w:r>
          </w:p>
          <w:p w14:paraId="69E23C8B" w14:textId="65ABC32E" w:rsidR="00174AE6" w:rsidRPr="00EA199E" w:rsidRDefault="00174AE6" w:rsidP="00AA33BE">
            <w:pPr>
              <w:pStyle w:val="ListParagraph"/>
              <w:widowControl w:val="0"/>
              <w:numPr>
                <w:ilvl w:val="0"/>
                <w:numId w:val="19"/>
              </w:numPr>
              <w:overflowPunct w:val="0"/>
              <w:adjustRightInd w:val="0"/>
              <w:snapToGrid w:val="0"/>
              <w:jc w:val="both"/>
              <w:textAlignment w:val="baseline"/>
              <w:rPr>
                <w:lang w:val="en-AU" w:eastAsia="ko-KR"/>
              </w:rPr>
            </w:pPr>
            <w:r>
              <w:rPr>
                <w:lang w:val="en-AU" w:eastAsia="ko-KR"/>
              </w:rPr>
              <w:t xml:space="preserve">Prepare a report with the guidelines to follow by the member countries to develop and strengthen the spectrum management procedures, infrastructures, and tools.  </w:t>
            </w:r>
          </w:p>
        </w:tc>
      </w:tr>
      <w:tr w:rsidR="000925AA" w:rsidRPr="00EA199E" w14:paraId="509DC6AA" w14:textId="77777777" w:rsidTr="004F47D1">
        <w:trPr>
          <w:trHeight w:val="339"/>
        </w:trPr>
        <w:tc>
          <w:tcPr>
            <w:tcW w:w="2509" w:type="dxa"/>
            <w:tcBorders>
              <w:top w:val="single" w:sz="4" w:space="0" w:color="auto"/>
              <w:left w:val="single" w:sz="4" w:space="0" w:color="auto"/>
              <w:bottom w:val="single" w:sz="4" w:space="0" w:color="auto"/>
              <w:right w:val="single" w:sz="4" w:space="0" w:color="auto"/>
            </w:tcBorders>
          </w:tcPr>
          <w:p w14:paraId="2D498D13" w14:textId="77777777" w:rsidR="000925AA" w:rsidRPr="00EA199E" w:rsidRDefault="000925AA" w:rsidP="004F47D1">
            <w:pPr>
              <w:snapToGrid w:val="0"/>
              <w:rPr>
                <w:rFonts w:eastAsia="휴먼명조"/>
                <w:b/>
                <w:color w:val="000000"/>
                <w:lang w:val="en-AU"/>
              </w:rPr>
            </w:pPr>
            <w:r w:rsidRPr="003247FB">
              <w:rPr>
                <w:rFonts w:eastAsia="Batang"/>
                <w:b/>
              </w:rPr>
              <w:t>Time Frame</w:t>
            </w:r>
          </w:p>
        </w:tc>
        <w:tc>
          <w:tcPr>
            <w:tcW w:w="7088" w:type="dxa"/>
            <w:tcBorders>
              <w:top w:val="single" w:sz="4" w:space="0" w:color="auto"/>
              <w:left w:val="single" w:sz="4" w:space="0" w:color="auto"/>
              <w:bottom w:val="single" w:sz="4" w:space="0" w:color="auto"/>
              <w:right w:val="single" w:sz="4" w:space="0" w:color="auto"/>
            </w:tcBorders>
          </w:tcPr>
          <w:p w14:paraId="3C698F30" w14:textId="77777777" w:rsidR="00AA33BE" w:rsidRPr="004F0EF2"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Drafting the questionnaire by lead experts (</w:t>
            </w:r>
            <w:r>
              <w:rPr>
                <w:rFonts w:eastAsia="Times New Roman"/>
                <w:lang w:val="en-AU" w:eastAsia="zh-CN"/>
              </w:rPr>
              <w:t>June 2022</w:t>
            </w:r>
            <w:r w:rsidRPr="004F0EF2">
              <w:rPr>
                <w:rFonts w:eastAsia="Times New Roman"/>
                <w:lang w:val="en-AU" w:eastAsia="zh-CN"/>
              </w:rPr>
              <w:t>)</w:t>
            </w:r>
          </w:p>
          <w:p w14:paraId="38A6E747" w14:textId="77777777" w:rsidR="00AA33BE" w:rsidRPr="004F0EF2"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Circulation of the questionnaire to WG experts (</w:t>
            </w:r>
            <w:r>
              <w:rPr>
                <w:rFonts w:eastAsia="Times New Roman"/>
                <w:lang w:val="en-AU" w:eastAsia="zh-CN"/>
              </w:rPr>
              <w:t>July</w:t>
            </w:r>
            <w:r w:rsidRPr="004F0EF2">
              <w:rPr>
                <w:rFonts w:eastAsia="Times New Roman"/>
                <w:lang w:val="en-AU" w:eastAsia="zh-CN"/>
              </w:rPr>
              <w:t>….</w:t>
            </w:r>
            <w:r>
              <w:rPr>
                <w:rFonts w:eastAsia="Times New Roman"/>
                <w:lang w:val="en-AU" w:eastAsia="zh-CN"/>
              </w:rPr>
              <w:t>2022</w:t>
            </w:r>
            <w:r w:rsidRPr="004F0EF2">
              <w:rPr>
                <w:rFonts w:eastAsia="Times New Roman"/>
                <w:lang w:val="en-AU" w:eastAsia="zh-CN"/>
              </w:rPr>
              <w:t>)</w:t>
            </w:r>
          </w:p>
          <w:p w14:paraId="76035A2B" w14:textId="77777777" w:rsidR="00AA33BE" w:rsidRPr="004F0EF2"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Response to the questionnaires (</w:t>
            </w:r>
            <w:r>
              <w:rPr>
                <w:rFonts w:eastAsia="Times New Roman"/>
                <w:lang w:val="en-AU" w:eastAsia="zh-CN"/>
              </w:rPr>
              <w:t>August</w:t>
            </w:r>
            <w:r w:rsidRPr="004F0EF2">
              <w:rPr>
                <w:rFonts w:eastAsia="Times New Roman"/>
                <w:lang w:val="en-AU" w:eastAsia="zh-CN"/>
              </w:rPr>
              <w:t>…….</w:t>
            </w:r>
            <w:r>
              <w:rPr>
                <w:rFonts w:eastAsia="Times New Roman"/>
                <w:lang w:val="en-AU" w:eastAsia="zh-CN"/>
              </w:rPr>
              <w:t>2022</w:t>
            </w:r>
            <w:r w:rsidRPr="004F0EF2">
              <w:rPr>
                <w:rFonts w:eastAsia="Times New Roman"/>
                <w:lang w:val="en-AU" w:eastAsia="zh-CN"/>
              </w:rPr>
              <w:t xml:space="preserve">) </w:t>
            </w:r>
          </w:p>
          <w:p w14:paraId="79A7197B" w14:textId="77777777" w:rsidR="00AA33BE" w:rsidRPr="004F0EF2"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Development of the interim Report (</w:t>
            </w:r>
            <w:r>
              <w:rPr>
                <w:rFonts w:eastAsia="Times New Roman"/>
                <w:lang w:val="en-AU" w:eastAsia="zh-CN"/>
              </w:rPr>
              <w:t>October</w:t>
            </w:r>
            <w:r w:rsidRPr="004F0EF2">
              <w:rPr>
                <w:rFonts w:eastAsia="Times New Roman"/>
                <w:lang w:val="en-AU" w:eastAsia="zh-CN"/>
              </w:rPr>
              <w:t>………</w:t>
            </w:r>
            <w:r>
              <w:rPr>
                <w:rFonts w:eastAsia="Times New Roman"/>
                <w:lang w:val="en-AU" w:eastAsia="zh-CN"/>
              </w:rPr>
              <w:t>2022</w:t>
            </w:r>
            <w:r w:rsidRPr="004F0EF2">
              <w:rPr>
                <w:rFonts w:eastAsia="Times New Roman"/>
                <w:lang w:val="en-AU" w:eastAsia="zh-CN"/>
              </w:rPr>
              <w:t>)</w:t>
            </w:r>
          </w:p>
          <w:p w14:paraId="1A897940" w14:textId="77777777" w:rsidR="00AA33BE" w:rsidRPr="004F0EF2"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Discussion on the interim report and comments by experts (January……</w:t>
            </w:r>
            <w:proofErr w:type="gramStart"/>
            <w:r w:rsidRPr="004F0EF2">
              <w:rPr>
                <w:rFonts w:eastAsia="Times New Roman"/>
                <w:lang w:val="en-AU" w:eastAsia="zh-CN"/>
              </w:rPr>
              <w:t>…..</w:t>
            </w:r>
            <w:proofErr w:type="gramEnd"/>
            <w:r w:rsidRPr="004F0EF2">
              <w:rPr>
                <w:rFonts w:eastAsia="Times New Roman"/>
                <w:lang w:val="en-AU" w:eastAsia="zh-CN"/>
              </w:rPr>
              <w:t>202</w:t>
            </w:r>
            <w:r>
              <w:rPr>
                <w:rFonts w:eastAsia="Times New Roman"/>
                <w:lang w:val="en-AU" w:eastAsia="zh-CN"/>
              </w:rPr>
              <w:t>3</w:t>
            </w:r>
            <w:r w:rsidRPr="004F0EF2">
              <w:rPr>
                <w:rFonts w:eastAsia="Times New Roman"/>
                <w:lang w:val="en-AU" w:eastAsia="zh-CN"/>
              </w:rPr>
              <w:t>)</w:t>
            </w:r>
          </w:p>
          <w:p w14:paraId="26FD3F94" w14:textId="77777777" w:rsidR="00AA33BE" w:rsidRPr="004F0EF2"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Update of the interim report and development of the first draft of the final Report (March…….202</w:t>
            </w:r>
            <w:r>
              <w:rPr>
                <w:rFonts w:eastAsia="Times New Roman"/>
                <w:lang w:val="en-AU" w:eastAsia="zh-CN"/>
              </w:rPr>
              <w:t>3</w:t>
            </w:r>
            <w:r w:rsidRPr="004F0EF2">
              <w:rPr>
                <w:rFonts w:eastAsia="Times New Roman"/>
                <w:lang w:val="en-AU" w:eastAsia="zh-CN"/>
              </w:rPr>
              <w:t>)</w:t>
            </w:r>
          </w:p>
          <w:p w14:paraId="5C7CD480" w14:textId="77777777" w:rsidR="00AA33BE" w:rsidRPr="004F0EF2"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Consideration of the first draft of the final Report at the 2nd Meeting of the WG (May</w:t>
            </w:r>
            <w:r>
              <w:rPr>
                <w:rFonts w:eastAsia="Times New Roman"/>
                <w:lang w:val="en-AU" w:eastAsia="zh-CN"/>
              </w:rPr>
              <w:t>/June</w:t>
            </w:r>
            <w:r w:rsidRPr="004F0EF2">
              <w:rPr>
                <w:rFonts w:eastAsia="Times New Roman"/>
                <w:lang w:val="en-AU" w:eastAsia="zh-CN"/>
              </w:rPr>
              <w:t>…….202</w:t>
            </w:r>
            <w:r>
              <w:rPr>
                <w:rFonts w:eastAsia="Times New Roman"/>
                <w:lang w:val="en-AU" w:eastAsia="zh-CN"/>
              </w:rPr>
              <w:t>3</w:t>
            </w:r>
            <w:r w:rsidRPr="004F0EF2">
              <w:rPr>
                <w:rFonts w:eastAsia="Times New Roman"/>
                <w:lang w:val="en-AU" w:eastAsia="zh-CN"/>
              </w:rPr>
              <w:t>)</w:t>
            </w:r>
          </w:p>
          <w:p w14:paraId="3BF11422" w14:textId="77777777" w:rsidR="00AA33BE"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Consideration of the second draft of the final Report (August 202</w:t>
            </w:r>
            <w:r>
              <w:rPr>
                <w:rFonts w:eastAsia="Times New Roman"/>
                <w:lang w:val="en-AU" w:eastAsia="zh-CN"/>
              </w:rPr>
              <w:t>3</w:t>
            </w:r>
            <w:r w:rsidRPr="004F0EF2">
              <w:rPr>
                <w:rFonts w:eastAsia="Times New Roman"/>
                <w:lang w:val="en-AU" w:eastAsia="zh-CN"/>
              </w:rPr>
              <w:t>)</w:t>
            </w:r>
          </w:p>
          <w:p w14:paraId="79B5DAF4" w14:textId="2A9E29D4" w:rsidR="00AA33BE" w:rsidRPr="003173EA" w:rsidRDefault="00AA33BE" w:rsidP="00AA33BE">
            <w:pPr>
              <w:numPr>
                <w:ilvl w:val="0"/>
                <w:numId w:val="17"/>
              </w:numPr>
              <w:overflowPunct w:val="0"/>
              <w:autoSpaceDE w:val="0"/>
              <w:autoSpaceDN w:val="0"/>
              <w:adjustRightInd w:val="0"/>
              <w:snapToGrid w:val="0"/>
              <w:textAlignment w:val="baseline"/>
              <w:rPr>
                <w:rFonts w:eastAsia="Times New Roman"/>
                <w:lang w:val="en-AU" w:eastAsia="zh-CN"/>
              </w:rPr>
            </w:pPr>
            <w:r w:rsidRPr="003173EA">
              <w:rPr>
                <w:rFonts w:eastAsia="Times New Roman"/>
                <w:lang w:val="en-AU" w:eastAsia="zh-CN"/>
              </w:rPr>
              <w:t>Draft final report (</w:t>
            </w:r>
            <w:r>
              <w:rPr>
                <w:rFonts w:eastAsia="Times New Roman"/>
                <w:lang w:val="en-AU" w:eastAsia="zh-CN"/>
              </w:rPr>
              <w:t>September/</w:t>
            </w:r>
            <w:r w:rsidRPr="003173EA">
              <w:rPr>
                <w:rFonts w:eastAsia="Times New Roman"/>
                <w:lang w:val="en-AU" w:eastAsia="zh-CN"/>
              </w:rPr>
              <w:t>October</w:t>
            </w:r>
            <w:proofErr w:type="gramStart"/>
            <w:r w:rsidRPr="003173EA">
              <w:rPr>
                <w:rFonts w:eastAsia="Times New Roman"/>
                <w:lang w:val="en-AU" w:eastAsia="zh-CN"/>
              </w:rPr>
              <w:t>…..</w:t>
            </w:r>
            <w:proofErr w:type="gramEnd"/>
            <w:r w:rsidRPr="003173EA">
              <w:rPr>
                <w:rFonts w:eastAsia="Times New Roman"/>
                <w:lang w:val="en-AU" w:eastAsia="zh-CN"/>
              </w:rPr>
              <w:t>202</w:t>
            </w:r>
            <w:r>
              <w:rPr>
                <w:rFonts w:eastAsia="Times New Roman"/>
                <w:lang w:val="en-AU" w:eastAsia="zh-CN"/>
              </w:rPr>
              <w:t>3</w:t>
            </w:r>
            <w:r w:rsidRPr="003173EA">
              <w:rPr>
                <w:rFonts w:eastAsia="Times New Roman"/>
                <w:lang w:val="en-AU" w:eastAsia="zh-CN"/>
              </w:rPr>
              <w:t>)</w:t>
            </w:r>
          </w:p>
        </w:tc>
      </w:tr>
      <w:tr w:rsidR="000925AA" w:rsidRPr="00EA199E" w14:paraId="664397F0" w14:textId="77777777" w:rsidTr="004F47D1">
        <w:trPr>
          <w:trHeight w:val="339"/>
        </w:trPr>
        <w:tc>
          <w:tcPr>
            <w:tcW w:w="2509" w:type="dxa"/>
            <w:tcBorders>
              <w:top w:val="single" w:sz="4" w:space="0" w:color="auto"/>
              <w:left w:val="single" w:sz="4" w:space="0" w:color="auto"/>
              <w:bottom w:val="single" w:sz="4" w:space="0" w:color="auto"/>
              <w:right w:val="single" w:sz="4" w:space="0" w:color="auto"/>
            </w:tcBorders>
          </w:tcPr>
          <w:p w14:paraId="4FDB43B2" w14:textId="77777777" w:rsidR="000925AA" w:rsidRPr="00EA199E" w:rsidRDefault="000925AA" w:rsidP="004F47D1">
            <w:pPr>
              <w:snapToGrid w:val="0"/>
              <w:rPr>
                <w:rFonts w:eastAsia="휴먼명조"/>
                <w:b/>
                <w:color w:val="000000"/>
                <w:lang w:val="en-AU"/>
              </w:rPr>
            </w:pPr>
            <w:r w:rsidRPr="003247FB">
              <w:rPr>
                <w:rFonts w:eastAsia="Batang"/>
                <w:b/>
              </w:rPr>
              <w:t>Utilization of Output</w:t>
            </w:r>
          </w:p>
        </w:tc>
        <w:tc>
          <w:tcPr>
            <w:tcW w:w="7088" w:type="dxa"/>
            <w:tcBorders>
              <w:top w:val="single" w:sz="4" w:space="0" w:color="auto"/>
              <w:left w:val="single" w:sz="4" w:space="0" w:color="auto"/>
              <w:bottom w:val="single" w:sz="4" w:space="0" w:color="auto"/>
              <w:right w:val="single" w:sz="4" w:space="0" w:color="auto"/>
            </w:tcBorders>
          </w:tcPr>
          <w:p w14:paraId="29C0D8A2" w14:textId="77777777" w:rsidR="000925AA" w:rsidRPr="00EA199E" w:rsidRDefault="000925AA" w:rsidP="004F47D1">
            <w:pPr>
              <w:overflowPunct w:val="0"/>
              <w:autoSpaceDE w:val="0"/>
              <w:autoSpaceDN w:val="0"/>
              <w:adjustRightInd w:val="0"/>
              <w:snapToGrid w:val="0"/>
              <w:textAlignment w:val="baseline"/>
              <w:rPr>
                <w:rFonts w:eastAsia="Times New Roman"/>
                <w:lang w:val="en-AU" w:eastAsia="zh-CN"/>
              </w:rPr>
            </w:pPr>
            <w:r w:rsidRPr="003247FB">
              <w:rPr>
                <w:bCs/>
                <w:lang w:val="en-AU" w:eastAsia="ko-KR"/>
              </w:rPr>
              <w:t>Regulators</w:t>
            </w:r>
            <w:r>
              <w:rPr>
                <w:bCs/>
                <w:lang w:val="en-AU" w:eastAsia="ko-KR"/>
              </w:rPr>
              <w:t xml:space="preserve">, </w:t>
            </w:r>
            <w:r w:rsidRPr="003247FB">
              <w:rPr>
                <w:bCs/>
                <w:lang w:val="en-AU" w:eastAsia="ko-KR"/>
              </w:rPr>
              <w:t>Governments,</w:t>
            </w:r>
            <w:r>
              <w:rPr>
                <w:bCs/>
                <w:lang w:val="en-AU" w:eastAsia="ko-KR"/>
              </w:rPr>
              <w:t xml:space="preserve"> Industry Stakeholders.</w:t>
            </w:r>
          </w:p>
        </w:tc>
      </w:tr>
    </w:tbl>
    <w:p w14:paraId="0CE7F7A1" w14:textId="31DA759C" w:rsidR="00C71362" w:rsidRPr="0012399A" w:rsidRDefault="000925AA" w:rsidP="0012399A">
      <w:pPr>
        <w:rPr>
          <w:b/>
          <w:bCs/>
          <w:lang w:eastAsia="ko-KR"/>
        </w:rPr>
      </w:pPr>
      <w:r>
        <w:rPr>
          <w:b/>
          <w:bCs/>
          <w:noProof/>
          <w:lang w:eastAsia="ko-KR"/>
        </w:rPr>
        <mc:AlternateContent>
          <mc:Choice Requires="wps">
            <w:drawing>
              <wp:anchor distT="0" distB="0" distL="114300" distR="114300" simplePos="0" relativeHeight="251659264" behindDoc="0" locked="0" layoutInCell="1" allowOverlap="1" wp14:anchorId="1AF0F9F1" wp14:editId="29B15D08">
                <wp:simplePos x="0" y="0"/>
                <wp:positionH relativeFrom="column">
                  <wp:posOffset>2361234</wp:posOffset>
                </wp:positionH>
                <wp:positionV relativeFrom="paragraph">
                  <wp:posOffset>643199</wp:posOffset>
                </wp:positionV>
                <wp:extent cx="113431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343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1ACA0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9pt,50.65pt" to="275.2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" strokecolor="black [3200]" strokeweight=".5pt">
                <v:stroke joinstyle="miter"/>
              </v:line>
            </w:pict>
          </mc:Fallback>
        </mc:AlternateContent>
      </w:r>
    </w:p>
    <w:sectPr w:rsidR="00C71362" w:rsidRPr="0012399A" w:rsidSect="008F189A">
      <w:headerReference w:type="default" r:id="rId11"/>
      <w:footerReference w:type="even" r:id="rId12"/>
      <w:footerReference w:type="default" r:id="rId13"/>
      <w:footerReference w:type="first" r:id="rId1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6F98" w14:textId="77777777" w:rsidR="00CB6ECC" w:rsidRDefault="00CB6ECC">
      <w:r>
        <w:separator/>
      </w:r>
    </w:p>
  </w:endnote>
  <w:endnote w:type="continuationSeparator" w:id="0">
    <w:p w14:paraId="60FEC590" w14:textId="77777777" w:rsidR="00CB6ECC" w:rsidRDefault="00CB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휴먼명조">
    <w:altName w:val="Malgun Gothic"/>
    <w:charset w:val="81"/>
    <w:family w:val="roman"/>
    <w:pitch w:val="variable"/>
    <w:sig w:usb0="00000000" w:usb1="29D77CFB" w:usb2="00000010" w:usb3="00000000" w:csb0="00080000" w:csb1="00000000"/>
  </w:font>
  <w:font w:name="Times-Roman">
    <w:altName w:val="Times New Roman"/>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B561"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C13D1"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E24E" w14:textId="6D16CC03" w:rsidR="0097693B" w:rsidRDefault="009F5536" w:rsidP="003771CA">
    <w:pPr>
      <w:pStyle w:val="Footer"/>
      <w:ind w:right="360"/>
      <w:rPr>
        <w:rStyle w:val="PageNumber"/>
      </w:rPr>
    </w:pPr>
    <w:r w:rsidRPr="009F5536">
      <w:t>SAPVI</w:t>
    </w:r>
    <w:r w:rsidR="00590982">
      <w:t>I</w:t>
    </w:r>
    <w:r w:rsidRPr="009F5536">
      <w:t>I-</w:t>
    </w:r>
    <w:r w:rsidR="00732CD4">
      <w:t>SPEC</w:t>
    </w:r>
    <w:r w:rsidRPr="009F5536">
      <w:t>1/</w:t>
    </w:r>
    <w:r w:rsidR="00BB219F">
      <w:t>OUT</w:t>
    </w:r>
    <w:r w:rsidRPr="009F5536">
      <w:t>-0</w:t>
    </w:r>
    <w:r w:rsidR="006B4DA7">
      <w:t>6</w:t>
    </w:r>
    <w:r w:rsidR="003771CA" w:rsidRPr="002C7EA9">
      <w:rPr>
        <w:rStyle w:val="PageNumber"/>
      </w:rPr>
      <w:t xml:space="preserve"> </w:t>
    </w:r>
    <w:r w:rsidR="003771CA">
      <w:rPr>
        <w:rStyle w:val="PageNumber"/>
      </w:rPr>
      <w:tab/>
    </w:r>
    <w:r w:rsidR="003771CA">
      <w:rPr>
        <w:rStyle w:val="PageNumber"/>
      </w:rPr>
      <w:tab/>
      <w:t xml:space="preserve">   </w:t>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8F189A">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8F189A">
      <w:rPr>
        <w:rStyle w:val="PageNumber"/>
        <w:noProof/>
      </w:rPr>
      <w:t>2</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511"/>
      <w:gridCol w:w="2553"/>
    </w:tblGrid>
    <w:tr w:rsidR="008F189A" w:rsidRPr="008F189A" w14:paraId="386A7114" w14:textId="77777777" w:rsidTr="00C71362">
      <w:trPr>
        <w:cantSplit/>
        <w:trHeight w:val="204"/>
        <w:jc w:val="center"/>
      </w:trPr>
      <w:tc>
        <w:tcPr>
          <w:tcW w:w="1152" w:type="dxa"/>
        </w:tcPr>
        <w:p w14:paraId="21F2F21F" w14:textId="77777777" w:rsidR="008F189A" w:rsidRPr="008F189A" w:rsidRDefault="008F189A" w:rsidP="008F189A">
          <w:pPr>
            <w:rPr>
              <w:b/>
              <w:bCs/>
            </w:rPr>
          </w:pPr>
          <w:r w:rsidRPr="008F189A">
            <w:rPr>
              <w:b/>
              <w:bCs/>
            </w:rPr>
            <w:t>Contact:</w:t>
          </w:r>
        </w:p>
      </w:tc>
      <w:tc>
        <w:tcPr>
          <w:tcW w:w="5511" w:type="dxa"/>
        </w:tcPr>
        <w:p w14:paraId="16043D6E" w14:textId="44D5C3A2" w:rsidR="008F189A" w:rsidRPr="00C71362" w:rsidRDefault="008F189A" w:rsidP="008F189A">
          <w:pPr>
            <w:overflowPunct w:val="0"/>
            <w:autoSpaceDE w:val="0"/>
            <w:autoSpaceDN w:val="0"/>
            <w:adjustRightInd w:val="0"/>
            <w:spacing w:line="240" w:lineRule="atLeast"/>
            <w:textAlignment w:val="baseline"/>
            <w:rPr>
              <w:rFonts w:eastAsia="Batang" w:cs="Angsana New"/>
              <w:szCs w:val="22"/>
              <w:lang w:bidi="th-TH"/>
            </w:rPr>
          </w:pPr>
        </w:p>
      </w:tc>
      <w:tc>
        <w:tcPr>
          <w:tcW w:w="2553" w:type="dxa"/>
        </w:tcPr>
        <w:p w14:paraId="3BB56181" w14:textId="51513414" w:rsidR="008F189A" w:rsidRPr="00F10FE5" w:rsidRDefault="008F189A" w:rsidP="008F189A">
          <w:pPr>
            <w:rPr>
              <w:b/>
              <w:bCs/>
              <w:lang w:eastAsia="ja-JP"/>
            </w:rPr>
          </w:pPr>
          <w:r w:rsidRPr="00F10FE5">
            <w:rPr>
              <w:b/>
              <w:bCs/>
            </w:rPr>
            <w:t>Email</w:t>
          </w:r>
          <w:r w:rsidRPr="00F10FE5">
            <w:rPr>
              <w:rFonts w:hint="eastAsia"/>
              <w:b/>
              <w:bCs/>
            </w:rPr>
            <w:t>:</w:t>
          </w:r>
          <w:r w:rsidR="001D4097">
            <w:rPr>
              <w:b/>
              <w:bCs/>
            </w:rPr>
            <w:t xml:space="preserve"> </w:t>
          </w:r>
        </w:p>
      </w:tc>
    </w:tr>
  </w:tbl>
  <w:p w14:paraId="52938ADF" w14:textId="77777777" w:rsidR="0097693B" w:rsidRPr="008F189A" w:rsidRDefault="0097693B" w:rsidP="008F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6C08" w14:textId="77777777" w:rsidR="00CB6ECC" w:rsidRDefault="00CB6ECC">
      <w:r>
        <w:separator/>
      </w:r>
    </w:p>
  </w:footnote>
  <w:footnote w:type="continuationSeparator" w:id="0">
    <w:p w14:paraId="187EBA48" w14:textId="77777777" w:rsidR="00CB6ECC" w:rsidRDefault="00CB6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9940" w14:textId="77777777" w:rsidR="0097693B" w:rsidRDefault="0097693B" w:rsidP="00C15633">
    <w:pPr>
      <w:pStyle w:val="Header"/>
      <w:tabs>
        <w:tab w:val="center" w:pos="4763"/>
        <w:tab w:val="left" w:pos="5820"/>
      </w:tabs>
      <w:rPr>
        <w:lang w:eastAsia="ko-KR"/>
      </w:rPr>
    </w:pPr>
    <w:r>
      <w:rPr>
        <w:lang w:eastAsia="ko-KR"/>
      </w:rPr>
      <w:tab/>
    </w:r>
  </w:p>
  <w:p w14:paraId="7EA6DD66"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9237658"/>
    <w:multiLevelType w:val="hybridMultilevel"/>
    <w:tmpl w:val="C0E0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251D12B9"/>
    <w:multiLevelType w:val="hybridMultilevel"/>
    <w:tmpl w:val="EF80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43C2B"/>
    <w:multiLevelType w:val="hybridMultilevel"/>
    <w:tmpl w:val="11DA2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15068B"/>
    <w:multiLevelType w:val="hybridMultilevel"/>
    <w:tmpl w:val="60DC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78822BF"/>
    <w:multiLevelType w:val="hybridMultilevel"/>
    <w:tmpl w:val="3EA4A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CC2F3E"/>
    <w:multiLevelType w:val="hybridMultilevel"/>
    <w:tmpl w:val="746A6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F1C63"/>
    <w:multiLevelType w:val="hybridMultilevel"/>
    <w:tmpl w:val="72AED958"/>
    <w:lvl w:ilvl="0" w:tplc="DF72DD90">
      <w:start w:val="25"/>
      <w:numFmt w:val="bullet"/>
      <w:lvlText w:val="-"/>
      <w:lvlJc w:val="left"/>
      <w:pPr>
        <w:ind w:left="366" w:hanging="360"/>
      </w:pPr>
      <w:rPr>
        <w:rFonts w:ascii="Times New Roman" w:eastAsia="Batang" w:hAnsi="Times New Roman" w:cs="Times New Roman" w:hint="default"/>
      </w:rPr>
    </w:lvl>
    <w:lvl w:ilvl="1" w:tplc="04090003">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72C12460"/>
    <w:multiLevelType w:val="hybridMultilevel"/>
    <w:tmpl w:val="43C2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11604"/>
    <w:multiLevelType w:val="hybridMultilevel"/>
    <w:tmpl w:val="B8C27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9A15A7"/>
    <w:multiLevelType w:val="hybridMultilevel"/>
    <w:tmpl w:val="5F5CAF0C"/>
    <w:lvl w:ilvl="0" w:tplc="1C96186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96617">
    <w:abstractNumId w:val="9"/>
  </w:num>
  <w:num w:numId="2" w16cid:durableId="1393652225">
    <w:abstractNumId w:val="4"/>
  </w:num>
  <w:num w:numId="3" w16cid:durableId="420415663">
    <w:abstractNumId w:val="3"/>
  </w:num>
  <w:num w:numId="4" w16cid:durableId="883760653">
    <w:abstractNumId w:val="15"/>
  </w:num>
  <w:num w:numId="5" w16cid:durableId="1597135127">
    <w:abstractNumId w:val="7"/>
  </w:num>
  <w:num w:numId="6" w16cid:durableId="103893141">
    <w:abstractNumId w:val="10"/>
  </w:num>
  <w:num w:numId="7" w16cid:durableId="462506145">
    <w:abstractNumId w:val="2"/>
  </w:num>
  <w:num w:numId="8" w16cid:durableId="1648436809">
    <w:abstractNumId w:val="0"/>
  </w:num>
  <w:num w:numId="9" w16cid:durableId="730930042">
    <w:abstractNumId w:val="13"/>
  </w:num>
  <w:num w:numId="10" w16cid:durableId="630793904">
    <w:abstractNumId w:val="6"/>
  </w:num>
  <w:num w:numId="11" w16cid:durableId="1944612674">
    <w:abstractNumId w:val="1"/>
  </w:num>
  <w:num w:numId="12" w16cid:durableId="689836182">
    <w:abstractNumId w:val="12"/>
  </w:num>
  <w:num w:numId="13" w16cid:durableId="1524783506">
    <w:abstractNumId w:val="14"/>
  </w:num>
  <w:num w:numId="14" w16cid:durableId="1890678107">
    <w:abstractNumId w:val="5"/>
  </w:num>
  <w:num w:numId="15" w16cid:durableId="1744647180">
    <w:abstractNumId w:val="18"/>
  </w:num>
  <w:num w:numId="16" w16cid:durableId="1914388917">
    <w:abstractNumId w:val="16"/>
  </w:num>
  <w:num w:numId="17" w16cid:durableId="948271970">
    <w:abstractNumId w:val="11"/>
  </w:num>
  <w:num w:numId="18" w16cid:durableId="1237544813">
    <w:abstractNumId w:val="17"/>
  </w:num>
  <w:num w:numId="19" w16cid:durableId="20743551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De3MDIwMTQzMTFR0lEKTi0uzszPAykwqgUAd4/ThiwAAAA="/>
  </w:docVars>
  <w:rsids>
    <w:rsidRoot w:val="00597B21"/>
    <w:rsid w:val="000011E8"/>
    <w:rsid w:val="00016C72"/>
    <w:rsid w:val="00020262"/>
    <w:rsid w:val="00022BEB"/>
    <w:rsid w:val="00032A21"/>
    <w:rsid w:val="0003595B"/>
    <w:rsid w:val="000759E5"/>
    <w:rsid w:val="00086193"/>
    <w:rsid w:val="000925AA"/>
    <w:rsid w:val="00097EA8"/>
    <w:rsid w:val="000A27F6"/>
    <w:rsid w:val="000A4256"/>
    <w:rsid w:val="000A55B0"/>
    <w:rsid w:val="000A6769"/>
    <w:rsid w:val="000B72DE"/>
    <w:rsid w:val="000F5540"/>
    <w:rsid w:val="001234D7"/>
    <w:rsid w:val="0012399A"/>
    <w:rsid w:val="001544C8"/>
    <w:rsid w:val="00171109"/>
    <w:rsid w:val="00174AE6"/>
    <w:rsid w:val="0018079A"/>
    <w:rsid w:val="00196568"/>
    <w:rsid w:val="001B18C2"/>
    <w:rsid w:val="001B5417"/>
    <w:rsid w:val="001C7041"/>
    <w:rsid w:val="001D1379"/>
    <w:rsid w:val="001D4097"/>
    <w:rsid w:val="001D5D7E"/>
    <w:rsid w:val="00203C79"/>
    <w:rsid w:val="002458F8"/>
    <w:rsid w:val="00254A1B"/>
    <w:rsid w:val="00262EAB"/>
    <w:rsid w:val="0028148C"/>
    <w:rsid w:val="0028454D"/>
    <w:rsid w:val="002926D4"/>
    <w:rsid w:val="00296540"/>
    <w:rsid w:val="002B59DA"/>
    <w:rsid w:val="002C07DA"/>
    <w:rsid w:val="002C7EA9"/>
    <w:rsid w:val="002E7B35"/>
    <w:rsid w:val="002F2C66"/>
    <w:rsid w:val="003173EA"/>
    <w:rsid w:val="003578AB"/>
    <w:rsid w:val="003771CA"/>
    <w:rsid w:val="003937C8"/>
    <w:rsid w:val="003A232C"/>
    <w:rsid w:val="003B6263"/>
    <w:rsid w:val="003C21A5"/>
    <w:rsid w:val="003C64A7"/>
    <w:rsid w:val="003D3FDA"/>
    <w:rsid w:val="003D4768"/>
    <w:rsid w:val="003D7783"/>
    <w:rsid w:val="003E0E68"/>
    <w:rsid w:val="003F2317"/>
    <w:rsid w:val="00420822"/>
    <w:rsid w:val="0045458F"/>
    <w:rsid w:val="00471CE0"/>
    <w:rsid w:val="00486712"/>
    <w:rsid w:val="00486F61"/>
    <w:rsid w:val="004D347E"/>
    <w:rsid w:val="004D7743"/>
    <w:rsid w:val="004E6516"/>
    <w:rsid w:val="004F050A"/>
    <w:rsid w:val="00530E8C"/>
    <w:rsid w:val="00545CF7"/>
    <w:rsid w:val="00552C9B"/>
    <w:rsid w:val="00552EE6"/>
    <w:rsid w:val="00565863"/>
    <w:rsid w:val="00580DCA"/>
    <w:rsid w:val="00587875"/>
    <w:rsid w:val="00590982"/>
    <w:rsid w:val="005921D5"/>
    <w:rsid w:val="0059309F"/>
    <w:rsid w:val="00597B21"/>
    <w:rsid w:val="005A33DF"/>
    <w:rsid w:val="005C0CC3"/>
    <w:rsid w:val="005C7E76"/>
    <w:rsid w:val="006045ED"/>
    <w:rsid w:val="00607E2B"/>
    <w:rsid w:val="00614171"/>
    <w:rsid w:val="00627E64"/>
    <w:rsid w:val="0063062B"/>
    <w:rsid w:val="00664E0B"/>
    <w:rsid w:val="00667229"/>
    <w:rsid w:val="0067040A"/>
    <w:rsid w:val="00682BE5"/>
    <w:rsid w:val="006A2D81"/>
    <w:rsid w:val="006A7EF3"/>
    <w:rsid w:val="006B2A73"/>
    <w:rsid w:val="006B4DA7"/>
    <w:rsid w:val="006C7574"/>
    <w:rsid w:val="00721D2A"/>
    <w:rsid w:val="00732CD4"/>
    <w:rsid w:val="00736CE8"/>
    <w:rsid w:val="0074190C"/>
    <w:rsid w:val="00761CE5"/>
    <w:rsid w:val="00762576"/>
    <w:rsid w:val="007A2FB0"/>
    <w:rsid w:val="007D4EF3"/>
    <w:rsid w:val="007E6C90"/>
    <w:rsid w:val="007F7740"/>
    <w:rsid w:val="0080570B"/>
    <w:rsid w:val="00806BBC"/>
    <w:rsid w:val="00812E51"/>
    <w:rsid w:val="0081446D"/>
    <w:rsid w:val="008148E1"/>
    <w:rsid w:val="008351FC"/>
    <w:rsid w:val="00845931"/>
    <w:rsid w:val="00852F8B"/>
    <w:rsid w:val="00865017"/>
    <w:rsid w:val="00880B2E"/>
    <w:rsid w:val="0088109B"/>
    <w:rsid w:val="00890969"/>
    <w:rsid w:val="00895888"/>
    <w:rsid w:val="008A1703"/>
    <w:rsid w:val="008B3AD7"/>
    <w:rsid w:val="008B57AE"/>
    <w:rsid w:val="008C59FC"/>
    <w:rsid w:val="008D0E09"/>
    <w:rsid w:val="008D59C3"/>
    <w:rsid w:val="008E27A4"/>
    <w:rsid w:val="008E5AE9"/>
    <w:rsid w:val="008F189A"/>
    <w:rsid w:val="008F7CB3"/>
    <w:rsid w:val="00906EB0"/>
    <w:rsid w:val="00922A59"/>
    <w:rsid w:val="0092354C"/>
    <w:rsid w:val="00962D81"/>
    <w:rsid w:val="00974F1A"/>
    <w:rsid w:val="0097693B"/>
    <w:rsid w:val="00983966"/>
    <w:rsid w:val="009859F3"/>
    <w:rsid w:val="009A4A6D"/>
    <w:rsid w:val="009C3A88"/>
    <w:rsid w:val="009D0984"/>
    <w:rsid w:val="009F5536"/>
    <w:rsid w:val="00A0758E"/>
    <w:rsid w:val="00A258FC"/>
    <w:rsid w:val="00A438A8"/>
    <w:rsid w:val="00A44BFA"/>
    <w:rsid w:val="00A50BF0"/>
    <w:rsid w:val="00A53045"/>
    <w:rsid w:val="00A548EF"/>
    <w:rsid w:val="00A549AE"/>
    <w:rsid w:val="00A948CF"/>
    <w:rsid w:val="00AA33BE"/>
    <w:rsid w:val="00AA3C45"/>
    <w:rsid w:val="00AA41DB"/>
    <w:rsid w:val="00AA474C"/>
    <w:rsid w:val="00AB032C"/>
    <w:rsid w:val="00AC4BB3"/>
    <w:rsid w:val="00AD7E5F"/>
    <w:rsid w:val="00B25D6A"/>
    <w:rsid w:val="00B30C81"/>
    <w:rsid w:val="00B93ED1"/>
    <w:rsid w:val="00B9675A"/>
    <w:rsid w:val="00BB219F"/>
    <w:rsid w:val="00BB4D83"/>
    <w:rsid w:val="00BC76D8"/>
    <w:rsid w:val="00BE026A"/>
    <w:rsid w:val="00BE2188"/>
    <w:rsid w:val="00BF663E"/>
    <w:rsid w:val="00C15633"/>
    <w:rsid w:val="00C3055F"/>
    <w:rsid w:val="00C357AD"/>
    <w:rsid w:val="00C359E7"/>
    <w:rsid w:val="00C44B10"/>
    <w:rsid w:val="00C4798E"/>
    <w:rsid w:val="00C67285"/>
    <w:rsid w:val="00C71362"/>
    <w:rsid w:val="00C779AC"/>
    <w:rsid w:val="00C81796"/>
    <w:rsid w:val="00CB6ECC"/>
    <w:rsid w:val="00CC4FFE"/>
    <w:rsid w:val="00CD5431"/>
    <w:rsid w:val="00CD75B4"/>
    <w:rsid w:val="00CE74EB"/>
    <w:rsid w:val="00CF2491"/>
    <w:rsid w:val="00D07087"/>
    <w:rsid w:val="00D203E5"/>
    <w:rsid w:val="00D40798"/>
    <w:rsid w:val="00D4148A"/>
    <w:rsid w:val="00D44997"/>
    <w:rsid w:val="00D57772"/>
    <w:rsid w:val="00D64D2E"/>
    <w:rsid w:val="00D65EEC"/>
    <w:rsid w:val="00D75A4D"/>
    <w:rsid w:val="00D8478B"/>
    <w:rsid w:val="00D86151"/>
    <w:rsid w:val="00D9733B"/>
    <w:rsid w:val="00DA3BCF"/>
    <w:rsid w:val="00DA7595"/>
    <w:rsid w:val="00DB0A68"/>
    <w:rsid w:val="00DB5834"/>
    <w:rsid w:val="00DB76EF"/>
    <w:rsid w:val="00DC43A3"/>
    <w:rsid w:val="00DD68FC"/>
    <w:rsid w:val="00DE4D0D"/>
    <w:rsid w:val="00E035A1"/>
    <w:rsid w:val="00E11CD0"/>
    <w:rsid w:val="00E14040"/>
    <w:rsid w:val="00E3442B"/>
    <w:rsid w:val="00E47650"/>
    <w:rsid w:val="00E56FF2"/>
    <w:rsid w:val="00E674D3"/>
    <w:rsid w:val="00E70314"/>
    <w:rsid w:val="00EC1A88"/>
    <w:rsid w:val="00EC36D6"/>
    <w:rsid w:val="00EE4456"/>
    <w:rsid w:val="00EF2EBB"/>
    <w:rsid w:val="00EF3E95"/>
    <w:rsid w:val="00F0247A"/>
    <w:rsid w:val="00F10FE5"/>
    <w:rsid w:val="00F21FFC"/>
    <w:rsid w:val="00F373F5"/>
    <w:rsid w:val="00F43318"/>
    <w:rsid w:val="00F5405D"/>
    <w:rsid w:val="00F55A54"/>
    <w:rsid w:val="00F80501"/>
    <w:rsid w:val="00F84067"/>
    <w:rsid w:val="00FC2CE0"/>
    <w:rsid w:val="00FD592E"/>
    <w:rsid w:val="00FE1665"/>
    <w:rsid w:val="00FE39C5"/>
    <w:rsid w:val="00FF2292"/>
    <w:rsid w:val="00FF458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B4BB76"/>
  <w15:chartTrackingRefBased/>
  <w15:docId w15:val="{EF24E625-10CF-4F58-88DB-0E0CB784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basedOn w:val="DefaultParagraphFont"/>
    <w:uiPriority w:val="99"/>
    <w:unhideWhenUsed/>
    <w:rsid w:val="00C3055F"/>
    <w:rPr>
      <w:color w:val="0000FF"/>
      <w:u w:val="single"/>
    </w:rPr>
  </w:style>
  <w:style w:type="paragraph" w:styleId="ListParagraph">
    <w:name w:val="List Paragraph"/>
    <w:basedOn w:val="Normal"/>
    <w:uiPriority w:val="34"/>
    <w:qFormat/>
    <w:rsid w:val="00974F1A"/>
    <w:pPr>
      <w:autoSpaceDE w:val="0"/>
      <w:autoSpaceDN w:val="0"/>
      <w:ind w:left="720"/>
    </w:pPr>
    <w:rPr>
      <w:rFonts w:eastAsia="MS Mincho"/>
      <w:szCs w:val="20"/>
      <w:lang w:eastAsia="ja-JP"/>
    </w:rPr>
  </w:style>
  <w:style w:type="paragraph" w:styleId="BalloonText">
    <w:name w:val="Balloon Text"/>
    <w:basedOn w:val="Normal"/>
    <w:link w:val="BalloonTextChar"/>
    <w:rsid w:val="00806BBC"/>
    <w:rPr>
      <w:rFonts w:ascii="Segoe UI" w:hAnsi="Segoe UI" w:cs="Segoe UI"/>
      <w:sz w:val="18"/>
      <w:szCs w:val="18"/>
    </w:rPr>
  </w:style>
  <w:style w:type="character" w:customStyle="1" w:styleId="BalloonTextChar">
    <w:name w:val="Balloon Text Char"/>
    <w:basedOn w:val="DefaultParagraphFont"/>
    <w:link w:val="BalloonText"/>
    <w:rsid w:val="00806BBC"/>
    <w:rPr>
      <w:rFonts w:ascii="Segoe UI" w:eastAsia="BatangChe" w:hAnsi="Segoe UI" w:cs="Segoe UI"/>
      <w:sz w:val="18"/>
      <w:szCs w:val="18"/>
    </w:rPr>
  </w:style>
  <w:style w:type="character" w:customStyle="1" w:styleId="FooterChar">
    <w:name w:val="Footer Char"/>
    <w:basedOn w:val="DefaultParagraphFont"/>
    <w:link w:val="Footer"/>
    <w:uiPriority w:val="99"/>
    <w:rsid w:val="009F5536"/>
    <w:rPr>
      <w:rFonts w:eastAsia="BatangChe"/>
      <w:sz w:val="24"/>
      <w:szCs w:val="24"/>
    </w:rPr>
  </w:style>
  <w:style w:type="character" w:customStyle="1" w:styleId="Heading8Char">
    <w:name w:val="Heading 8 Char"/>
    <w:basedOn w:val="DefaultParagraphFont"/>
    <w:link w:val="Heading8"/>
    <w:rsid w:val="00F10FE5"/>
    <w:rPr>
      <w:rFonts w:eastAsia="BatangChe"/>
      <w:b/>
      <w:bCs/>
      <w:kern w:val="2"/>
      <w:lang w:eastAsia="ko-KR"/>
    </w:rPr>
  </w:style>
  <w:style w:type="character" w:styleId="UnresolvedMention">
    <w:name w:val="Unresolved Mention"/>
    <w:basedOn w:val="DefaultParagraphFont"/>
    <w:uiPriority w:val="99"/>
    <w:semiHidden/>
    <w:unhideWhenUsed/>
    <w:rsid w:val="001D4097"/>
    <w:rPr>
      <w:color w:val="605E5C"/>
      <w:shd w:val="clear" w:color="auto" w:fill="E1DFDD"/>
    </w:rPr>
  </w:style>
  <w:style w:type="paragraph" w:customStyle="1" w:styleId="Equationlegend">
    <w:name w:val="Equation_legend"/>
    <w:basedOn w:val="NormalIndent"/>
    <w:rsid w:val="000925AA"/>
    <w:pPr>
      <w:widowControl/>
      <w:tabs>
        <w:tab w:val="right" w:pos="1701"/>
        <w:tab w:val="left" w:pos="1985"/>
      </w:tabs>
      <w:wordWrap/>
      <w:overflowPunct w:val="0"/>
      <w:autoSpaceDE w:val="0"/>
      <w:autoSpaceDN w:val="0"/>
      <w:adjustRightInd w:val="0"/>
      <w:spacing w:before="80"/>
      <w:ind w:left="1985" w:hanging="1985"/>
      <w:textAlignment w:val="baseline"/>
    </w:pPr>
    <w:rPr>
      <w:rFonts w:eastAsia="Times New Roman"/>
      <w:kern w:val="0"/>
      <w:sz w:val="24"/>
      <w:lang w:eastAsia="en-US"/>
    </w:rPr>
  </w:style>
  <w:style w:type="paragraph" w:styleId="Revision">
    <w:name w:val="Revision"/>
    <w:hidden/>
    <w:uiPriority w:val="99"/>
    <w:semiHidden/>
    <w:rsid w:val="00B93ED1"/>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APT%20Docs\AWG\AWG-21-2017\AWG-21%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A0737-B9C0-4CE4-83AF-64CA6F05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AWG-21 Document Template</Template>
  <TotalTime>1164</TotalTime>
  <Pages>6</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APT Secretariat</dc:creator>
  <cp:keywords/>
  <cp:lastModifiedBy>Nidup Gyeltshen</cp:lastModifiedBy>
  <cp:revision>20</cp:revision>
  <cp:lastPrinted>1899-12-31T17:00:00Z</cp:lastPrinted>
  <dcterms:created xsi:type="dcterms:W3CDTF">2022-06-22T01:42:00Z</dcterms:created>
  <dcterms:modified xsi:type="dcterms:W3CDTF">2022-06-28T05:53:00Z</dcterms:modified>
</cp:coreProperties>
</file>