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trPr>
          <w:cantSplit/>
        </w:trPr>
        <w:tc>
          <w:tcPr>
            <w:tcW w:w="1530" w:type="dxa"/>
            <w:vMerge w:val="restart"/>
            <w:tcBorders>
              <w:top w:val="nil"/>
              <w:left w:val="nil"/>
              <w:bottom w:val="nil"/>
              <w:right w:val="nil"/>
            </w:tcBorders>
          </w:tcPr>
          <w:p w:rsidR="00295D9B" w:rsidRPr="00891D0B" w:rsidRDefault="00C57FA3" w:rsidP="006A400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452C14">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C12FAC">
            <w:pPr>
              <w:spacing w:line="0" w:lineRule="atLeast"/>
            </w:pPr>
            <w:r>
              <w:rPr>
                <w:b/>
              </w:rPr>
              <w:t xml:space="preserve">APT Conference Preparatory  Group for WRC-15 </w:t>
            </w:r>
          </w:p>
        </w:tc>
        <w:tc>
          <w:tcPr>
            <w:tcW w:w="2340" w:type="dxa"/>
            <w:gridSpan w:val="2"/>
            <w:tcBorders>
              <w:top w:val="nil"/>
              <w:left w:val="nil"/>
              <w:bottom w:val="nil"/>
              <w:right w:val="nil"/>
            </w:tcBorders>
          </w:tcPr>
          <w:p w:rsidR="00295D9B" w:rsidRPr="0063627F" w:rsidRDefault="00295D9B" w:rsidP="006A4000">
            <w:pPr>
              <w:rPr>
                <w:rFonts w:eastAsia="SimSun"/>
                <w:b/>
                <w:bCs/>
                <w:lang w:val="fr-FR" w:eastAsia="zh-CN"/>
              </w:rPr>
            </w:pPr>
          </w:p>
        </w:tc>
      </w:tr>
      <w:tr w:rsidR="00295D9B" w:rsidRPr="00891D0B">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6A4000"/>
        </w:tc>
        <w:tc>
          <w:tcPr>
            <w:tcW w:w="2340" w:type="dxa"/>
            <w:gridSpan w:val="2"/>
            <w:tcBorders>
              <w:top w:val="nil"/>
              <w:left w:val="nil"/>
              <w:bottom w:val="single" w:sz="12" w:space="0" w:color="auto"/>
              <w:right w:val="nil"/>
            </w:tcBorders>
          </w:tcPr>
          <w:p w:rsidR="00295D9B" w:rsidRPr="00712451" w:rsidRDefault="00295D9B" w:rsidP="006A4000">
            <w:pPr>
              <w:rPr>
                <w:b/>
              </w:rPr>
            </w:pPr>
          </w:p>
        </w:tc>
      </w:tr>
    </w:tbl>
    <w:p w:rsidR="00DA7595" w:rsidRDefault="00C12FAC" w:rsidP="00DA7595">
      <w:pPr>
        <w:rPr>
          <w:lang w:eastAsia="ko-KR"/>
        </w:rPr>
      </w:pPr>
      <w:r>
        <w:rPr>
          <w:lang w:eastAsia="ko-KR"/>
        </w:rPr>
        <w:t>Source: APG15-2/OUT-11</w:t>
      </w:r>
    </w:p>
    <w:p w:rsidR="00D13B41" w:rsidRDefault="00D13B41" w:rsidP="00DA7595">
      <w:pPr>
        <w:jc w:val="center"/>
        <w:rPr>
          <w:b/>
          <w:sz w:val="28"/>
          <w:szCs w:val="28"/>
          <w:lang w:eastAsia="ko-KR"/>
        </w:rPr>
      </w:pPr>
    </w:p>
    <w:p w:rsidR="00C357AD" w:rsidRPr="00607E2B" w:rsidRDefault="00D1252E" w:rsidP="0063062B">
      <w:pPr>
        <w:jc w:val="center"/>
        <w:rPr>
          <w:b/>
          <w:bCs/>
          <w:caps/>
          <w:sz w:val="28"/>
          <w:szCs w:val="28"/>
        </w:rPr>
      </w:pPr>
      <w:r>
        <w:rPr>
          <w:b/>
          <w:bCs/>
          <w:caps/>
          <w:sz w:val="28"/>
          <w:szCs w:val="28"/>
        </w:rPr>
        <w:t>preliminary v</w:t>
      </w:r>
      <w:r w:rsidR="001C610F">
        <w:rPr>
          <w:b/>
          <w:bCs/>
          <w:caps/>
          <w:sz w:val="28"/>
          <w:szCs w:val="28"/>
        </w:rPr>
        <w:t>iews on WRC-15</w:t>
      </w:r>
      <w:r w:rsidR="007A507E">
        <w:rPr>
          <w:b/>
          <w:bCs/>
          <w:caps/>
          <w:sz w:val="28"/>
          <w:szCs w:val="28"/>
        </w:rPr>
        <w:t xml:space="preserve"> ag</w:t>
      </w:r>
      <w:r w:rsidR="00353A10">
        <w:rPr>
          <w:b/>
          <w:bCs/>
          <w:caps/>
          <w:sz w:val="28"/>
          <w:szCs w:val="28"/>
        </w:rPr>
        <w:t>enda item 1.8</w:t>
      </w:r>
    </w:p>
    <w:p w:rsidR="00DB0A68" w:rsidRDefault="00DB0A68" w:rsidP="00C357AD">
      <w:pPr>
        <w:jc w:val="center"/>
      </w:pPr>
    </w:p>
    <w:p w:rsidR="00C357AD" w:rsidRDefault="00C357AD" w:rsidP="00C357AD">
      <w:pPr>
        <w:jc w:val="center"/>
        <w:rPr>
          <w:b/>
        </w:rPr>
      </w:pPr>
    </w:p>
    <w:p w:rsidR="00C357AD" w:rsidRDefault="00C357AD" w:rsidP="00C357AD">
      <w:pPr>
        <w:jc w:val="both"/>
        <w:rPr>
          <w:b/>
        </w:rPr>
      </w:pPr>
    </w:p>
    <w:p w:rsidR="008319BF" w:rsidRPr="00C12FAC" w:rsidRDefault="00353A10" w:rsidP="00C357AD">
      <w:pPr>
        <w:jc w:val="both"/>
        <w:rPr>
          <w:b/>
        </w:rPr>
      </w:pPr>
      <w:r w:rsidRPr="00C12FAC">
        <w:rPr>
          <w:b/>
        </w:rPr>
        <w:t>Agenda Item 1.8</w:t>
      </w:r>
      <w:r w:rsidR="000A5418" w:rsidRPr="00C12FAC">
        <w:rPr>
          <w:b/>
        </w:rPr>
        <w:t xml:space="preserve">: </w:t>
      </w:r>
    </w:p>
    <w:p w:rsidR="00922FA2" w:rsidRPr="00C12FAC" w:rsidRDefault="00922FA2" w:rsidP="00C357AD">
      <w:pPr>
        <w:jc w:val="both"/>
      </w:pPr>
    </w:p>
    <w:p w:rsidR="00353A10" w:rsidRPr="00C12FAC" w:rsidRDefault="00606832" w:rsidP="000A54C5">
      <w:pPr>
        <w:spacing w:after="120"/>
        <w:rPr>
          <w:b/>
          <w:i/>
        </w:rPr>
      </w:pPr>
      <w:r w:rsidRPr="00C12FAC">
        <w:rPr>
          <w:i/>
        </w:rPr>
        <w:t xml:space="preserve">To </w:t>
      </w:r>
      <w:r w:rsidR="00353A10" w:rsidRPr="00C12FAC">
        <w:rPr>
          <w:i/>
        </w:rPr>
        <w:t xml:space="preserve">review the provisions relating to </w:t>
      </w:r>
      <w:r w:rsidRPr="00C12FAC">
        <w:rPr>
          <w:i/>
        </w:rPr>
        <w:t xml:space="preserve">Earth Stations </w:t>
      </w:r>
      <w:r w:rsidR="00353A10" w:rsidRPr="00C12FAC">
        <w:rPr>
          <w:i/>
        </w:rPr>
        <w:t xml:space="preserve">located on board </w:t>
      </w:r>
      <w:r w:rsidRPr="00C12FAC">
        <w:rPr>
          <w:i/>
        </w:rPr>
        <w:t xml:space="preserve">Vessels </w:t>
      </w:r>
      <w:r w:rsidR="00353A10" w:rsidRPr="00C12FAC">
        <w:rPr>
          <w:i/>
        </w:rPr>
        <w:t xml:space="preserve">(ESVs), based on studies conducted in accordance with Resolution </w:t>
      </w:r>
      <w:r w:rsidR="00353A10" w:rsidRPr="00C12FAC">
        <w:rPr>
          <w:b/>
          <w:i/>
        </w:rPr>
        <w:t>909 (WRC</w:t>
      </w:r>
      <w:r w:rsidR="00353A10" w:rsidRPr="00C12FAC">
        <w:rPr>
          <w:b/>
          <w:i/>
        </w:rPr>
        <w:noBreakHyphen/>
        <w:t>12)</w:t>
      </w:r>
      <w:r w:rsidR="00046691" w:rsidRPr="00C12FAC">
        <w:rPr>
          <w:b/>
          <w:i/>
        </w:rPr>
        <w:t>;</w:t>
      </w:r>
    </w:p>
    <w:p w:rsidR="00DA100B" w:rsidRPr="00C12FAC" w:rsidRDefault="00DA100B" w:rsidP="00606832">
      <w:pPr>
        <w:spacing w:after="120"/>
        <w:rPr>
          <w:b/>
          <w:i/>
        </w:rPr>
      </w:pPr>
    </w:p>
    <w:p w:rsidR="00DA100B" w:rsidRPr="00C12FAC" w:rsidRDefault="00DA100B" w:rsidP="00DA100B">
      <w:pPr>
        <w:jc w:val="both"/>
        <w:rPr>
          <w:b/>
        </w:rPr>
      </w:pPr>
      <w:r w:rsidRPr="00C12FAC">
        <w:t xml:space="preserve">Resolution </w:t>
      </w:r>
      <w:r w:rsidRPr="00C12FAC">
        <w:rPr>
          <w:b/>
        </w:rPr>
        <w:t>909 (WRC-12):</w:t>
      </w:r>
    </w:p>
    <w:p w:rsidR="00922FA2" w:rsidRPr="00C12FAC" w:rsidRDefault="00922FA2" w:rsidP="00DA100B">
      <w:pPr>
        <w:jc w:val="both"/>
        <w:rPr>
          <w:b/>
        </w:rPr>
      </w:pPr>
    </w:p>
    <w:p w:rsidR="00DA100B" w:rsidRPr="00C12FAC" w:rsidRDefault="00DA100B" w:rsidP="00DA100B">
      <w:pPr>
        <w:jc w:val="both"/>
        <w:rPr>
          <w:rFonts w:eastAsia="Times New Roman"/>
          <w:i/>
          <w:iCs/>
          <w:lang w:val="en-GB"/>
        </w:rPr>
      </w:pPr>
      <w:r w:rsidRPr="00C12FAC">
        <w:rPr>
          <w:rFonts w:eastAsia="Times New Roman"/>
          <w:i/>
          <w:iCs/>
          <w:lang w:val="en-GB"/>
        </w:rPr>
        <w:t>Provisions relating to earth stations located on board vessels which operate in fixed-satellite service networks in the uplink bands 5 925-6 425 MHz and 14-14.5GHz</w:t>
      </w:r>
    </w:p>
    <w:p w:rsidR="00DA100B" w:rsidRPr="00C12FAC" w:rsidRDefault="00DA100B" w:rsidP="00DA100B">
      <w:pPr>
        <w:jc w:val="both"/>
      </w:pPr>
    </w:p>
    <w:p w:rsidR="000A5418" w:rsidRPr="00C12FAC" w:rsidRDefault="000A5418" w:rsidP="00C357AD">
      <w:pPr>
        <w:jc w:val="both"/>
      </w:pPr>
    </w:p>
    <w:p w:rsidR="00762942" w:rsidRPr="00C12FAC" w:rsidRDefault="006A02CF" w:rsidP="00ED5A63">
      <w:pPr>
        <w:jc w:val="both"/>
        <w:rPr>
          <w:rFonts w:eastAsia="SimSun"/>
          <w:b/>
          <w:lang w:eastAsia="zh-CN"/>
        </w:rPr>
      </w:pPr>
      <w:r w:rsidRPr="00C12FAC">
        <w:rPr>
          <w:b/>
        </w:rPr>
        <w:t>APT Preliminary Views</w:t>
      </w:r>
    </w:p>
    <w:p w:rsidR="00D02818" w:rsidRPr="00C12FAC" w:rsidRDefault="00D02818" w:rsidP="00D02818">
      <w:pPr>
        <w:jc w:val="both"/>
        <w:rPr>
          <w:rFonts w:eastAsia="SimSun"/>
          <w:lang w:val="en" w:eastAsia="zh-CN"/>
        </w:rPr>
      </w:pPr>
    </w:p>
    <w:p w:rsidR="000C063D" w:rsidRPr="00C12FAC" w:rsidRDefault="000C063D" w:rsidP="00D02818">
      <w:pPr>
        <w:jc w:val="both"/>
        <w:rPr>
          <w:rFonts w:eastAsia="Times New Roman"/>
          <w:lang w:val="en"/>
        </w:rPr>
      </w:pPr>
      <w:r w:rsidRPr="00C12FAC">
        <w:rPr>
          <w:rFonts w:eastAsia="Times New Roman"/>
          <w:lang w:val="en"/>
        </w:rPr>
        <w:t xml:space="preserve">APT Members are of the view that there should be a review of results from </w:t>
      </w:r>
      <w:r w:rsidRPr="00C12FAC">
        <w:rPr>
          <w:rFonts w:eastAsia="Times New Roman" w:hint="eastAsia"/>
          <w:lang w:val="en"/>
        </w:rPr>
        <w:t>previous ITU-R</w:t>
      </w:r>
      <w:r w:rsidRPr="00C12FAC">
        <w:rPr>
          <w:rFonts w:eastAsia="Times New Roman"/>
          <w:lang w:val="en"/>
        </w:rPr>
        <w:t xml:space="preserve"> studies </w:t>
      </w:r>
      <w:r w:rsidRPr="00C12FAC">
        <w:rPr>
          <w:rFonts w:eastAsia="Times New Roman" w:hint="eastAsia"/>
          <w:lang w:val="en"/>
        </w:rPr>
        <w:t>taking into account</w:t>
      </w:r>
      <w:r w:rsidRPr="00C12FAC">
        <w:rPr>
          <w:rFonts w:eastAsia="Times New Roman"/>
          <w:lang w:val="en"/>
        </w:rPr>
        <w:t xml:space="preserve"> all relevant prevailing</w:t>
      </w:r>
      <w:r w:rsidRPr="00C12FAC">
        <w:rPr>
          <w:rFonts w:eastAsia="Times New Roman" w:hint="eastAsia"/>
          <w:lang w:val="en"/>
        </w:rPr>
        <w:t xml:space="preserve"> </w:t>
      </w:r>
      <w:r w:rsidRPr="00C12FAC">
        <w:rPr>
          <w:rFonts w:eastAsia="Times New Roman"/>
          <w:lang w:val="en"/>
        </w:rPr>
        <w:t xml:space="preserve">factors that were </w:t>
      </w:r>
      <w:r w:rsidRPr="00C12FAC">
        <w:rPr>
          <w:rFonts w:eastAsia="Times New Roman" w:hint="eastAsia"/>
          <w:lang w:val="en"/>
        </w:rPr>
        <w:t xml:space="preserve">not considered when </w:t>
      </w:r>
      <w:r w:rsidRPr="00C12FAC">
        <w:rPr>
          <w:rFonts w:eastAsia="Times New Roman"/>
          <w:lang w:val="en"/>
        </w:rPr>
        <w:t xml:space="preserve">the studies </w:t>
      </w:r>
      <w:r w:rsidRPr="00C12FAC">
        <w:rPr>
          <w:rFonts w:eastAsia="Times New Roman" w:hint="eastAsia"/>
          <w:lang w:val="en"/>
        </w:rPr>
        <w:t xml:space="preserve">were carried out. Such a review should also take into account the protection of the </w:t>
      </w:r>
      <w:r w:rsidRPr="00C12FAC">
        <w:rPr>
          <w:rFonts w:eastAsia="Times New Roman"/>
          <w:lang w:val="en"/>
        </w:rPr>
        <w:t>terrestrial</w:t>
      </w:r>
      <w:r w:rsidRPr="00C12FAC">
        <w:rPr>
          <w:rFonts w:eastAsia="Times New Roman" w:hint="eastAsia"/>
          <w:lang w:val="en"/>
        </w:rPr>
        <w:t xml:space="preserve"> services in accordance with the Resolution </w:t>
      </w:r>
      <w:r w:rsidRPr="00C12FAC">
        <w:rPr>
          <w:rFonts w:eastAsia="Times New Roman" w:hint="eastAsia"/>
          <w:b/>
          <w:lang w:val="en"/>
        </w:rPr>
        <w:t>909 (WRC-12)</w:t>
      </w:r>
      <w:r w:rsidRPr="00C12FAC">
        <w:rPr>
          <w:rFonts w:eastAsia="Times New Roman" w:hint="eastAsia"/>
          <w:lang w:val="en"/>
        </w:rPr>
        <w:t xml:space="preserve"> </w:t>
      </w:r>
      <w:r w:rsidRPr="00C12FAC">
        <w:rPr>
          <w:rFonts w:eastAsia="Times New Roman"/>
          <w:lang w:val="en"/>
        </w:rPr>
        <w:t xml:space="preserve">to enable administrations </w:t>
      </w:r>
      <w:r w:rsidRPr="00C12FAC">
        <w:rPr>
          <w:rFonts w:eastAsia="Times New Roman" w:hint="eastAsia"/>
          <w:lang w:val="en"/>
        </w:rPr>
        <w:t>to decide on</w:t>
      </w:r>
      <w:r w:rsidRPr="00C12FAC">
        <w:rPr>
          <w:rFonts w:eastAsia="Times New Roman"/>
          <w:lang w:val="en"/>
        </w:rPr>
        <w:t xml:space="preserve"> the potential for </w:t>
      </w:r>
      <w:r w:rsidRPr="00C12FAC">
        <w:rPr>
          <w:rFonts w:eastAsia="Times New Roman" w:hint="eastAsia"/>
          <w:lang w:val="en"/>
        </w:rPr>
        <w:t xml:space="preserve">possible </w:t>
      </w:r>
      <w:r w:rsidRPr="00C12FAC">
        <w:rPr>
          <w:rFonts w:eastAsia="Times New Roman"/>
          <w:lang w:val="en"/>
        </w:rPr>
        <w:t>relax</w:t>
      </w:r>
      <w:r w:rsidRPr="00C12FAC">
        <w:rPr>
          <w:rFonts w:eastAsia="Times New Roman" w:hint="eastAsia"/>
          <w:lang w:val="en"/>
        </w:rPr>
        <w:t>ation of</w:t>
      </w:r>
      <w:r w:rsidRPr="00C12FAC">
        <w:rPr>
          <w:rFonts w:eastAsia="Times New Roman"/>
          <w:lang w:val="en"/>
        </w:rPr>
        <w:t xml:space="preserve"> the current restrictions applying to ESVs.</w:t>
      </w:r>
    </w:p>
    <w:p w:rsidR="0018236B" w:rsidRPr="00C12FAC" w:rsidRDefault="0018236B" w:rsidP="00430203"/>
    <w:p w:rsidR="00C23DA5" w:rsidRPr="00C12FAC" w:rsidRDefault="00A60A42" w:rsidP="00A60A42">
      <w:pPr>
        <w:jc w:val="both"/>
        <w:rPr>
          <w:b/>
        </w:rPr>
      </w:pPr>
      <w:r w:rsidRPr="00C12FAC">
        <w:rPr>
          <w:b/>
        </w:rPr>
        <w:t>Other</w:t>
      </w:r>
      <w:r w:rsidR="0018236B" w:rsidRPr="00C12FAC">
        <w:rPr>
          <w:b/>
        </w:rPr>
        <w:t xml:space="preserve"> </w:t>
      </w:r>
      <w:r w:rsidRPr="00C12FAC">
        <w:rPr>
          <w:b/>
        </w:rPr>
        <w:t>V</w:t>
      </w:r>
      <w:r w:rsidR="0018236B" w:rsidRPr="00C12FAC">
        <w:rPr>
          <w:b/>
        </w:rPr>
        <w:t>iews</w:t>
      </w:r>
    </w:p>
    <w:p w:rsidR="00ED5A63" w:rsidRPr="00C12FAC" w:rsidRDefault="00ED5A63" w:rsidP="00A60A42">
      <w:pPr>
        <w:tabs>
          <w:tab w:val="left" w:pos="794"/>
          <w:tab w:val="left" w:pos="1191"/>
          <w:tab w:val="left" w:pos="1588"/>
          <w:tab w:val="left" w:pos="1985"/>
        </w:tabs>
        <w:autoSpaceDE w:val="0"/>
        <w:autoSpaceDN w:val="0"/>
        <w:adjustRightInd w:val="0"/>
        <w:jc w:val="both"/>
        <w:rPr>
          <w:lang w:val="en"/>
        </w:rPr>
      </w:pPr>
    </w:p>
    <w:p w:rsidR="009E01E7" w:rsidRPr="00C12FAC" w:rsidRDefault="00A60A42" w:rsidP="00A60A42">
      <w:pPr>
        <w:autoSpaceDE w:val="0"/>
        <w:autoSpaceDN w:val="0"/>
        <w:adjustRightInd w:val="0"/>
        <w:jc w:val="both"/>
        <w:rPr>
          <w:rFonts w:eastAsia="Times New Roman"/>
          <w:lang w:val="en"/>
        </w:rPr>
      </w:pPr>
      <w:r w:rsidRPr="00C12FAC">
        <w:rPr>
          <w:rFonts w:eastAsia="Times New Roman"/>
          <w:lang w:val="en"/>
        </w:rPr>
        <w:t>T</w:t>
      </w:r>
      <w:r w:rsidR="00C23DA5" w:rsidRPr="00C12FAC">
        <w:rPr>
          <w:rFonts w:eastAsia="Times New Roman"/>
          <w:lang w:val="en"/>
        </w:rPr>
        <w:t xml:space="preserve">he </w:t>
      </w:r>
      <w:r w:rsidRPr="00C12FAC">
        <w:rPr>
          <w:rFonts w:eastAsia="Times New Roman"/>
          <w:lang w:val="en"/>
        </w:rPr>
        <w:t xml:space="preserve">Islamic Republic </w:t>
      </w:r>
      <w:r w:rsidR="00C23DA5" w:rsidRPr="00C12FAC">
        <w:rPr>
          <w:rFonts w:eastAsia="Times New Roman"/>
          <w:lang w:val="en"/>
        </w:rPr>
        <w:t xml:space="preserve">of </w:t>
      </w:r>
      <w:r w:rsidRPr="00C12FAC">
        <w:rPr>
          <w:rFonts w:eastAsia="Times New Roman"/>
          <w:lang w:val="en"/>
        </w:rPr>
        <w:t xml:space="preserve">Iran </w:t>
      </w:r>
      <w:r w:rsidR="009E01E7" w:rsidRPr="00C12FAC">
        <w:rPr>
          <w:rFonts w:eastAsia="Times New Roman"/>
          <w:lang w:val="en"/>
        </w:rPr>
        <w:t xml:space="preserve">is of the view that, any reduction in antenna size and distance between the vessels and shore would adversely impact the deployment of fixed and mobile services of countries. However, should the advancement in technology justify modification of Resolution </w:t>
      </w:r>
      <w:r w:rsidR="009E01E7" w:rsidRPr="00C12FAC">
        <w:rPr>
          <w:rFonts w:eastAsia="Times New Roman"/>
          <w:b/>
          <w:lang w:val="en"/>
        </w:rPr>
        <w:t>902 (WRC-03)</w:t>
      </w:r>
      <w:r w:rsidR="009E01E7" w:rsidRPr="00C12FAC">
        <w:rPr>
          <w:rFonts w:eastAsia="Times New Roman"/>
          <w:lang w:val="en"/>
        </w:rPr>
        <w:t>, this could be done under traditional and routin</w:t>
      </w:r>
      <w:r w:rsidR="00E84DD4" w:rsidRPr="00C12FAC">
        <w:rPr>
          <w:rFonts w:eastAsia="Times New Roman" w:hint="eastAsia"/>
          <w:lang w:val="en"/>
        </w:rPr>
        <w:t>e</w:t>
      </w:r>
      <w:r w:rsidR="009E01E7" w:rsidRPr="00C12FAC">
        <w:rPr>
          <w:rFonts w:eastAsia="Times New Roman"/>
          <w:lang w:val="en"/>
        </w:rPr>
        <w:t xml:space="preserve"> activities of the ITU-R and does not thus need any decision by WRC-15.</w:t>
      </w:r>
    </w:p>
    <w:p w:rsidR="00FE60F6" w:rsidRPr="00C12FAC" w:rsidRDefault="00FE60F6" w:rsidP="00A60A42">
      <w:pPr>
        <w:autoSpaceDE w:val="0"/>
        <w:autoSpaceDN w:val="0"/>
        <w:adjustRightInd w:val="0"/>
        <w:jc w:val="both"/>
        <w:rPr>
          <w:rFonts w:eastAsia="Times New Roman"/>
          <w:lang w:val="en"/>
        </w:rPr>
      </w:pPr>
    </w:p>
    <w:p w:rsidR="00FE60F6" w:rsidRPr="00C12FAC" w:rsidRDefault="00FE60F6" w:rsidP="00D02818">
      <w:pPr>
        <w:jc w:val="both"/>
        <w:rPr>
          <w:rFonts w:eastAsia="Times New Roman"/>
          <w:lang w:val="en"/>
        </w:rPr>
      </w:pPr>
      <w:r w:rsidRPr="00C12FAC">
        <w:rPr>
          <w:rFonts w:eastAsia="Times New Roman" w:hint="eastAsia"/>
          <w:lang w:val="en"/>
        </w:rPr>
        <w:t>India is of the view that the ITU-R</w:t>
      </w:r>
      <w:r w:rsidRPr="00C12FAC">
        <w:rPr>
          <w:rFonts w:eastAsia="Times New Roman"/>
          <w:lang w:val="en"/>
        </w:rPr>
        <w:t xml:space="preserve"> studies </w:t>
      </w:r>
      <w:r w:rsidRPr="00C12FAC">
        <w:rPr>
          <w:rFonts w:eastAsia="Times New Roman" w:hint="eastAsia"/>
          <w:lang w:val="en"/>
        </w:rPr>
        <w:t xml:space="preserve">should </w:t>
      </w:r>
      <w:r w:rsidRPr="00C12FAC">
        <w:rPr>
          <w:rFonts w:eastAsia="Times New Roman"/>
          <w:lang w:val="en"/>
        </w:rPr>
        <w:t>tak</w:t>
      </w:r>
      <w:r w:rsidRPr="00C12FAC">
        <w:rPr>
          <w:rFonts w:eastAsia="Times New Roman" w:hint="eastAsia"/>
          <w:lang w:val="en"/>
        </w:rPr>
        <w:t>e</w:t>
      </w:r>
      <w:r w:rsidRPr="00C12FAC">
        <w:rPr>
          <w:rFonts w:eastAsia="Times New Roman"/>
          <w:lang w:val="en"/>
        </w:rPr>
        <w:t xml:space="preserve"> into account the critical importance of the bands under reference for public telecommunication services and broadband communications to remote rural communities and communications</w:t>
      </w:r>
      <w:r w:rsidRPr="00C12FAC">
        <w:rPr>
          <w:rFonts w:eastAsia="Times New Roman" w:hint="eastAsia"/>
          <w:lang w:val="en"/>
        </w:rPr>
        <w:t xml:space="preserve">, and </w:t>
      </w:r>
      <w:r w:rsidRPr="00C12FAC">
        <w:rPr>
          <w:rFonts w:eastAsia="Times New Roman"/>
          <w:lang w:val="en"/>
        </w:rPr>
        <w:t>are extensively used for medium- and long-distance backhaul for cellular networks in India, and their use will further grow as IMT systems are progressively deployed to span the country, reaching also to coastal belts</w:t>
      </w:r>
      <w:r w:rsidR="00BD5D6C" w:rsidRPr="00C12FAC">
        <w:rPr>
          <w:rFonts w:eastAsia="Times New Roman" w:hint="eastAsia"/>
          <w:lang w:val="en"/>
        </w:rPr>
        <w:t>.</w:t>
      </w:r>
    </w:p>
    <w:p w:rsidR="00D36655" w:rsidRPr="00C12FAC" w:rsidRDefault="00D36655" w:rsidP="00C357AD">
      <w:pPr>
        <w:jc w:val="both"/>
        <w:rPr>
          <w:b/>
        </w:rPr>
      </w:pPr>
    </w:p>
    <w:p w:rsidR="006A02CF" w:rsidRPr="00C12FAC" w:rsidRDefault="00D36655" w:rsidP="00ED5A63">
      <w:pPr>
        <w:jc w:val="both"/>
        <w:rPr>
          <w:b/>
        </w:rPr>
      </w:pPr>
      <w:r w:rsidRPr="00C12FAC">
        <w:rPr>
          <w:b/>
        </w:rPr>
        <w:t>Issues for Consideration at APG</w:t>
      </w:r>
      <w:r w:rsidR="007B00DD" w:rsidRPr="00C12FAC">
        <w:rPr>
          <w:b/>
        </w:rPr>
        <w:t>15-3</w:t>
      </w:r>
      <w:r w:rsidRPr="00C12FAC">
        <w:rPr>
          <w:b/>
        </w:rPr>
        <w:t xml:space="preserve"> Meeting</w:t>
      </w:r>
      <w:r w:rsidR="006A02CF" w:rsidRPr="00C12FAC">
        <w:rPr>
          <w:b/>
        </w:rPr>
        <w:t xml:space="preserve">  </w:t>
      </w:r>
    </w:p>
    <w:p w:rsidR="00ED5A63" w:rsidRPr="00C12FAC" w:rsidRDefault="00ED5A63" w:rsidP="00C357AD">
      <w:pPr>
        <w:jc w:val="both"/>
        <w:rPr>
          <w:b/>
        </w:rPr>
      </w:pPr>
    </w:p>
    <w:p w:rsidR="0071058E" w:rsidRDefault="0071058E" w:rsidP="00D02818">
      <w:pPr>
        <w:autoSpaceDE w:val="0"/>
        <w:autoSpaceDN w:val="0"/>
        <w:adjustRightInd w:val="0"/>
        <w:jc w:val="both"/>
        <w:rPr>
          <w:lang w:val="en"/>
        </w:rPr>
      </w:pPr>
      <w:r w:rsidRPr="00C12FAC">
        <w:rPr>
          <w:lang w:val="en"/>
        </w:rPr>
        <w:t xml:space="preserve">APT </w:t>
      </w:r>
      <w:r w:rsidR="00A60A42" w:rsidRPr="00C12FAC">
        <w:rPr>
          <w:lang w:val="en"/>
        </w:rPr>
        <w:t xml:space="preserve">Members </w:t>
      </w:r>
      <w:r w:rsidR="0018236B" w:rsidRPr="00C12FAC">
        <w:rPr>
          <w:lang w:val="en"/>
        </w:rPr>
        <w:t>a</w:t>
      </w:r>
      <w:r w:rsidRPr="00C12FAC">
        <w:rPr>
          <w:lang w:val="en"/>
        </w:rPr>
        <w:t>re encouraged to contribute their views, taking into account the APT preliminary views and submit contributions to the next APG meeting (APG2015-3).</w:t>
      </w:r>
    </w:p>
    <w:p w:rsidR="00C12FAC" w:rsidRDefault="00C12FAC" w:rsidP="00D02818">
      <w:pPr>
        <w:autoSpaceDE w:val="0"/>
        <w:autoSpaceDN w:val="0"/>
        <w:adjustRightInd w:val="0"/>
        <w:jc w:val="both"/>
        <w:rPr>
          <w:lang w:val="en"/>
        </w:rPr>
      </w:pPr>
    </w:p>
    <w:p w:rsidR="00C12FAC" w:rsidRPr="00C12FAC" w:rsidRDefault="00C12FAC" w:rsidP="00C12FAC">
      <w:pPr>
        <w:autoSpaceDE w:val="0"/>
        <w:autoSpaceDN w:val="0"/>
        <w:adjustRightInd w:val="0"/>
        <w:jc w:val="center"/>
        <w:rPr>
          <w:lang w:val="en"/>
        </w:rPr>
      </w:pPr>
      <w:r>
        <w:rPr>
          <w:lang w:val="en"/>
        </w:rPr>
        <w:t>_____________</w:t>
      </w:r>
      <w:bookmarkStart w:id="0" w:name="_GoBack"/>
      <w:bookmarkEnd w:id="0"/>
    </w:p>
    <w:sectPr w:rsidR="00C12FAC" w:rsidRPr="00C12FAC" w:rsidSect="00DB0A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9A" w:rsidRDefault="0039459A">
      <w:r>
        <w:separator/>
      </w:r>
    </w:p>
  </w:endnote>
  <w:endnote w:type="continuationSeparator" w:id="0">
    <w:p w:rsidR="0039459A" w:rsidRDefault="0039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Times New Roman"/>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E7" w:rsidRDefault="009E01E7"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1E7" w:rsidRDefault="009E01E7"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E7" w:rsidRDefault="009E01E7"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12FAC">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12FAC">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E01E7">
      <w:trPr>
        <w:cantSplit/>
        <w:trHeight w:val="204"/>
        <w:jc w:val="center"/>
      </w:trPr>
      <w:tc>
        <w:tcPr>
          <w:tcW w:w="1617" w:type="dxa"/>
          <w:tcBorders>
            <w:top w:val="single" w:sz="12" w:space="0" w:color="auto"/>
          </w:tcBorders>
        </w:tcPr>
        <w:p w:rsidR="009E01E7" w:rsidRPr="007B00DD" w:rsidRDefault="009E01E7" w:rsidP="00762576">
          <w:pPr>
            <w:rPr>
              <w:b/>
              <w:bCs/>
            </w:rPr>
          </w:pPr>
        </w:p>
      </w:tc>
      <w:tc>
        <w:tcPr>
          <w:tcW w:w="4394" w:type="dxa"/>
          <w:tcBorders>
            <w:top w:val="single" w:sz="12" w:space="0" w:color="auto"/>
          </w:tcBorders>
        </w:tcPr>
        <w:p w:rsidR="009E01E7" w:rsidRPr="00452C14" w:rsidRDefault="009E01E7" w:rsidP="00D13B41">
          <w:pPr>
            <w:pStyle w:val="Equation"/>
            <w:tabs>
              <w:tab w:val="clear" w:pos="4820"/>
              <w:tab w:val="clear" w:pos="9639"/>
              <w:tab w:val="left" w:pos="1191"/>
              <w:tab w:val="left" w:pos="1588"/>
              <w:tab w:val="left" w:pos="1985"/>
            </w:tabs>
            <w:spacing w:beforeLines="0" w:before="0"/>
            <w:rPr>
              <w:rFonts w:eastAsia="Batang"/>
              <w:lang w:val="fr-FR"/>
            </w:rPr>
          </w:pPr>
        </w:p>
      </w:tc>
      <w:tc>
        <w:tcPr>
          <w:tcW w:w="3912" w:type="dxa"/>
          <w:tcBorders>
            <w:top w:val="single" w:sz="12" w:space="0" w:color="auto"/>
          </w:tcBorders>
        </w:tcPr>
        <w:p w:rsidR="009E01E7" w:rsidRPr="007B00DD" w:rsidRDefault="009E01E7" w:rsidP="00C0704B">
          <w:pPr>
            <w:rPr>
              <w:b/>
              <w:lang w:eastAsia="ja-JP"/>
            </w:rPr>
          </w:pPr>
        </w:p>
      </w:tc>
    </w:tr>
  </w:tbl>
  <w:p w:rsidR="009E01E7" w:rsidRDefault="009E0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9A" w:rsidRDefault="0039459A">
      <w:r>
        <w:separator/>
      </w:r>
    </w:p>
  </w:footnote>
  <w:footnote w:type="continuationSeparator" w:id="0">
    <w:p w:rsidR="0039459A" w:rsidRDefault="00394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E7" w:rsidRDefault="009E01E7" w:rsidP="00C15633">
    <w:pPr>
      <w:pStyle w:val="Header"/>
      <w:tabs>
        <w:tab w:val="center" w:pos="4763"/>
        <w:tab w:val="left" w:pos="5820"/>
      </w:tabs>
      <w:rPr>
        <w:lang w:eastAsia="ko-KR"/>
      </w:rPr>
    </w:pPr>
    <w:r>
      <w:rPr>
        <w:lang w:eastAsia="ko-KR"/>
      </w:rPr>
      <w:tab/>
    </w:r>
    <w:r>
      <w:rPr>
        <w:rFonts w:hint="eastAsia"/>
        <w:lang w:eastAsia="ko-KR"/>
      </w:rPr>
      <w:t>A</w:t>
    </w:r>
    <w:r>
      <w:rPr>
        <w:lang w:eastAsia="ko-KR"/>
      </w:rPr>
      <w:t>PG15-2</w:t>
    </w:r>
    <w:r>
      <w:rPr>
        <w:rFonts w:hint="eastAsia"/>
        <w:lang w:eastAsia="ko-KR"/>
      </w:rPr>
      <w:t>/</w:t>
    </w:r>
    <w:r w:rsidR="00D02818" w:rsidRPr="0063627F">
      <w:rPr>
        <w:rFonts w:eastAsia="SimSun" w:hint="eastAsia"/>
        <w:lang w:eastAsia="zh-CN"/>
      </w:rPr>
      <w:t>OUT</w:t>
    </w:r>
    <w:r w:rsidR="00C57FA3">
      <w:rPr>
        <w:lang w:eastAsia="ko-KR"/>
      </w:rPr>
      <w:t>-11</w:t>
    </w:r>
  </w:p>
  <w:p w:rsidR="009E01E7" w:rsidRDefault="009E01E7"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D4F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612F9D0"/>
    <w:lvl w:ilvl="0">
      <w:numFmt w:val="bullet"/>
      <w:lvlText w:val="*"/>
      <w:lvlJc w:val="left"/>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3DAE0F9B"/>
    <w:multiLevelType w:val="multilevel"/>
    <w:tmpl w:val="ABAEB088"/>
    <w:lvl w:ilvl="0">
      <w:start w:val="1"/>
      <w:numFmt w:val="decimal"/>
      <w:lvlText w:val="%1"/>
      <w:lvlJc w:val="left"/>
      <w:pPr>
        <w:ind w:left="720" w:hanging="360"/>
      </w:pPr>
      <w:rPr>
        <w:rFonts w:hint="default"/>
      </w:rPr>
    </w:lvl>
    <w:lvl w:ilvl="1">
      <w:start w:val="1"/>
      <w:numFmt w:val="decimal"/>
      <w:isLgl/>
      <w:lvlText w:val="%1.%2"/>
      <w:lvlJc w:val="left"/>
      <w:pPr>
        <w:ind w:left="1170" w:hanging="810"/>
      </w:pPr>
      <w:rPr>
        <w:rFonts w:eastAsia="BatangChe" w:hint="default"/>
        <w:sz w:val="24"/>
      </w:rPr>
    </w:lvl>
    <w:lvl w:ilvl="2">
      <w:start w:val="1"/>
      <w:numFmt w:val="decimal"/>
      <w:isLgl/>
      <w:lvlText w:val="%1.%2.%3"/>
      <w:lvlJc w:val="left"/>
      <w:pPr>
        <w:ind w:left="1170" w:hanging="810"/>
      </w:pPr>
      <w:rPr>
        <w:rFonts w:eastAsia="BatangChe" w:hint="default"/>
        <w:sz w:val="24"/>
      </w:rPr>
    </w:lvl>
    <w:lvl w:ilvl="3">
      <w:start w:val="1"/>
      <w:numFmt w:val="decimal"/>
      <w:isLgl/>
      <w:lvlText w:val="%1.%2.%3.%4"/>
      <w:lvlJc w:val="left"/>
      <w:pPr>
        <w:ind w:left="1170" w:hanging="810"/>
      </w:pPr>
      <w:rPr>
        <w:rFonts w:eastAsia="BatangChe" w:hint="default"/>
        <w:sz w:val="24"/>
      </w:rPr>
    </w:lvl>
    <w:lvl w:ilvl="4">
      <w:start w:val="1"/>
      <w:numFmt w:val="decimal"/>
      <w:isLgl/>
      <w:lvlText w:val="%1.%2.%3.%4.%5"/>
      <w:lvlJc w:val="left"/>
      <w:pPr>
        <w:ind w:left="1440" w:hanging="1080"/>
      </w:pPr>
      <w:rPr>
        <w:rFonts w:eastAsia="BatangChe" w:hint="default"/>
        <w:sz w:val="24"/>
      </w:rPr>
    </w:lvl>
    <w:lvl w:ilvl="5">
      <w:start w:val="1"/>
      <w:numFmt w:val="decimal"/>
      <w:isLgl/>
      <w:lvlText w:val="%1.%2.%3.%4.%5.%6"/>
      <w:lvlJc w:val="left"/>
      <w:pPr>
        <w:ind w:left="1440" w:hanging="1080"/>
      </w:pPr>
      <w:rPr>
        <w:rFonts w:eastAsia="BatangChe" w:hint="default"/>
        <w:sz w:val="24"/>
      </w:rPr>
    </w:lvl>
    <w:lvl w:ilvl="6">
      <w:start w:val="1"/>
      <w:numFmt w:val="decimal"/>
      <w:isLgl/>
      <w:lvlText w:val="%1.%2.%3.%4.%5.%6.%7"/>
      <w:lvlJc w:val="left"/>
      <w:pPr>
        <w:ind w:left="1800" w:hanging="1440"/>
      </w:pPr>
      <w:rPr>
        <w:rFonts w:eastAsia="BatangChe" w:hint="default"/>
        <w:sz w:val="24"/>
      </w:rPr>
    </w:lvl>
    <w:lvl w:ilvl="7">
      <w:start w:val="1"/>
      <w:numFmt w:val="decimal"/>
      <w:isLgl/>
      <w:lvlText w:val="%1.%2.%3.%4.%5.%6.%7.%8"/>
      <w:lvlJc w:val="left"/>
      <w:pPr>
        <w:ind w:left="1800" w:hanging="1440"/>
      </w:pPr>
      <w:rPr>
        <w:rFonts w:eastAsia="BatangChe" w:hint="default"/>
        <w:sz w:val="24"/>
      </w:rPr>
    </w:lvl>
    <w:lvl w:ilvl="8">
      <w:start w:val="1"/>
      <w:numFmt w:val="decimal"/>
      <w:isLgl/>
      <w:lvlText w:val="%1.%2.%3.%4.%5.%6.%7.%8.%9"/>
      <w:lvlJc w:val="left"/>
      <w:pPr>
        <w:ind w:left="1800" w:hanging="1440"/>
      </w:pPr>
      <w:rPr>
        <w:rFonts w:eastAsia="BatangChe" w:hint="default"/>
        <w:sz w:val="24"/>
      </w:rPr>
    </w:lvl>
  </w:abstractNum>
  <w:abstractNum w:abstractNumId="10">
    <w:nsid w:val="44647C67"/>
    <w:multiLevelType w:val="hybridMultilevel"/>
    <w:tmpl w:val="CC64CA70"/>
    <w:lvl w:ilvl="0" w:tplc="76B8D2E4">
      <w:start w:val="10"/>
      <w:numFmt w:val="bullet"/>
      <w:lvlText w:val="-"/>
      <w:lvlJc w:val="left"/>
      <w:pPr>
        <w:ind w:left="360" w:hanging="360"/>
      </w:pPr>
      <w:rPr>
        <w:rFonts w:ascii="Times New Roman" w:eastAsia="BatangChe"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742215DE"/>
    <w:multiLevelType w:val="hybridMultilevel"/>
    <w:tmpl w:val="6D9C7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85C2B11"/>
    <w:multiLevelType w:val="hybridMultilevel"/>
    <w:tmpl w:val="0D1400C4"/>
    <w:lvl w:ilvl="0" w:tplc="ED186AF8">
      <w:start w:val="1"/>
      <w:numFmt w:val="decimal"/>
      <w:lvlText w:val="%1)"/>
      <w:lvlJc w:val="left"/>
      <w:pPr>
        <w:ind w:left="720" w:hanging="360"/>
      </w:pPr>
      <w:rPr>
        <w:rFonts w:eastAsia="BatangCh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1"/>
  </w:num>
  <w:num w:numId="5">
    <w:abstractNumId w:val="6"/>
  </w:num>
  <w:num w:numId="6">
    <w:abstractNumId w:val="8"/>
  </w:num>
  <w:num w:numId="7">
    <w:abstractNumId w:val="3"/>
  </w:num>
  <w:num w:numId="8">
    <w:abstractNumId w:val="2"/>
  </w:num>
  <w:num w:numId="9">
    <w:abstractNumId w:val="0"/>
  </w:num>
  <w:num w:numId="10">
    <w:abstractNumId w:val="10"/>
  </w:num>
  <w:num w:numId="11">
    <w:abstractNumId w:val="9"/>
  </w:num>
  <w:num w:numId="12">
    <w:abstractNumId w:val="12"/>
  </w:num>
  <w:num w:numId="13">
    <w:abstractNumId w:val="1"/>
    <w:lvlOverride w:ilvl="0">
      <w:lvl w:ilvl="0">
        <w:numFmt w:val="bullet"/>
        <w:lvlText w:val=""/>
        <w:legacy w:legacy="1" w:legacySpace="0" w:legacyIndent="360"/>
        <w:lvlJc w:val="left"/>
        <w:rPr>
          <w:rFonts w:ascii="Symbol" w:hAnsi="Symbol" w:hint="default"/>
        </w:rPr>
      </w:lvl>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3595B"/>
    <w:rsid w:val="00046691"/>
    <w:rsid w:val="00066BD3"/>
    <w:rsid w:val="000713CF"/>
    <w:rsid w:val="000756AE"/>
    <w:rsid w:val="00097A23"/>
    <w:rsid w:val="000A5418"/>
    <w:rsid w:val="000A54C5"/>
    <w:rsid w:val="000C063D"/>
    <w:rsid w:val="000C6936"/>
    <w:rsid w:val="000E0F64"/>
    <w:rsid w:val="000F517C"/>
    <w:rsid w:val="000F5540"/>
    <w:rsid w:val="00136D49"/>
    <w:rsid w:val="001467E7"/>
    <w:rsid w:val="00147B42"/>
    <w:rsid w:val="001539DD"/>
    <w:rsid w:val="00161191"/>
    <w:rsid w:val="0018236B"/>
    <w:rsid w:val="00196568"/>
    <w:rsid w:val="001A1BED"/>
    <w:rsid w:val="001A2CF1"/>
    <w:rsid w:val="001A2F16"/>
    <w:rsid w:val="001B18C2"/>
    <w:rsid w:val="001B4110"/>
    <w:rsid w:val="001C610F"/>
    <w:rsid w:val="001C7050"/>
    <w:rsid w:val="001D33BF"/>
    <w:rsid w:val="001D5D7E"/>
    <w:rsid w:val="00242EF5"/>
    <w:rsid w:val="00252C2C"/>
    <w:rsid w:val="00254A1B"/>
    <w:rsid w:val="00261A41"/>
    <w:rsid w:val="0028454D"/>
    <w:rsid w:val="00290ABD"/>
    <w:rsid w:val="00291C9E"/>
    <w:rsid w:val="002926D4"/>
    <w:rsid w:val="00295D9B"/>
    <w:rsid w:val="002A009F"/>
    <w:rsid w:val="002A14B9"/>
    <w:rsid w:val="002B29FE"/>
    <w:rsid w:val="002C07DA"/>
    <w:rsid w:val="002C7EA9"/>
    <w:rsid w:val="002D4DDA"/>
    <w:rsid w:val="002E1FC9"/>
    <w:rsid w:val="002E53B6"/>
    <w:rsid w:val="003044AA"/>
    <w:rsid w:val="00312676"/>
    <w:rsid w:val="00314A44"/>
    <w:rsid w:val="003150FB"/>
    <w:rsid w:val="00331139"/>
    <w:rsid w:val="00342F20"/>
    <w:rsid w:val="00344AF6"/>
    <w:rsid w:val="00353A10"/>
    <w:rsid w:val="00365474"/>
    <w:rsid w:val="00374F47"/>
    <w:rsid w:val="00375D89"/>
    <w:rsid w:val="003809C7"/>
    <w:rsid w:val="00393B99"/>
    <w:rsid w:val="0039459A"/>
    <w:rsid w:val="003B6263"/>
    <w:rsid w:val="003C64A7"/>
    <w:rsid w:val="003D3FDA"/>
    <w:rsid w:val="003D75C6"/>
    <w:rsid w:val="00420822"/>
    <w:rsid w:val="00430203"/>
    <w:rsid w:val="0044688E"/>
    <w:rsid w:val="00452C14"/>
    <w:rsid w:val="0045458F"/>
    <w:rsid w:val="004633B4"/>
    <w:rsid w:val="00473941"/>
    <w:rsid w:val="004B3553"/>
    <w:rsid w:val="004D3CF9"/>
    <w:rsid w:val="004F5209"/>
    <w:rsid w:val="004F7BB5"/>
    <w:rsid w:val="00525249"/>
    <w:rsid w:val="00530E8C"/>
    <w:rsid w:val="00532D8B"/>
    <w:rsid w:val="00545933"/>
    <w:rsid w:val="00557544"/>
    <w:rsid w:val="00567BC8"/>
    <w:rsid w:val="00572E9C"/>
    <w:rsid w:val="00587875"/>
    <w:rsid w:val="005D23EF"/>
    <w:rsid w:val="005D4EBB"/>
    <w:rsid w:val="005D7729"/>
    <w:rsid w:val="00606832"/>
    <w:rsid w:val="00607E2B"/>
    <w:rsid w:val="00623CE1"/>
    <w:rsid w:val="0063062B"/>
    <w:rsid w:val="0063627F"/>
    <w:rsid w:val="00667229"/>
    <w:rsid w:val="00673776"/>
    <w:rsid w:val="00682BE5"/>
    <w:rsid w:val="00690FED"/>
    <w:rsid w:val="006939A5"/>
    <w:rsid w:val="006A02CF"/>
    <w:rsid w:val="006A0A69"/>
    <w:rsid w:val="006A4000"/>
    <w:rsid w:val="006A5751"/>
    <w:rsid w:val="006C69F1"/>
    <w:rsid w:val="006C7B89"/>
    <w:rsid w:val="0071058E"/>
    <w:rsid w:val="00712451"/>
    <w:rsid w:val="00732F08"/>
    <w:rsid w:val="0074190C"/>
    <w:rsid w:val="00761DC7"/>
    <w:rsid w:val="00762576"/>
    <w:rsid w:val="00762942"/>
    <w:rsid w:val="00776FD1"/>
    <w:rsid w:val="00791060"/>
    <w:rsid w:val="007A507E"/>
    <w:rsid w:val="007A758C"/>
    <w:rsid w:val="007B00DD"/>
    <w:rsid w:val="007B5626"/>
    <w:rsid w:val="007C6F73"/>
    <w:rsid w:val="008004E0"/>
    <w:rsid w:val="0080570B"/>
    <w:rsid w:val="008148E1"/>
    <w:rsid w:val="008319BF"/>
    <w:rsid w:val="00865E79"/>
    <w:rsid w:val="00893553"/>
    <w:rsid w:val="008C7C4A"/>
    <w:rsid w:val="008D0E09"/>
    <w:rsid w:val="00922FA2"/>
    <w:rsid w:val="009427D1"/>
    <w:rsid w:val="0094380D"/>
    <w:rsid w:val="00945E24"/>
    <w:rsid w:val="0097693B"/>
    <w:rsid w:val="00993355"/>
    <w:rsid w:val="00994915"/>
    <w:rsid w:val="009A4A6D"/>
    <w:rsid w:val="009B6AC2"/>
    <w:rsid w:val="009C45E2"/>
    <w:rsid w:val="009E01E7"/>
    <w:rsid w:val="009E32C8"/>
    <w:rsid w:val="009F30AA"/>
    <w:rsid w:val="00A13265"/>
    <w:rsid w:val="00A51AD2"/>
    <w:rsid w:val="00A60A42"/>
    <w:rsid w:val="00A643D6"/>
    <w:rsid w:val="00A64FD7"/>
    <w:rsid w:val="00A71136"/>
    <w:rsid w:val="00A7132E"/>
    <w:rsid w:val="00A87BFF"/>
    <w:rsid w:val="00AA11CB"/>
    <w:rsid w:val="00AA474C"/>
    <w:rsid w:val="00AB4C6A"/>
    <w:rsid w:val="00AC3EDC"/>
    <w:rsid w:val="00AD7E5F"/>
    <w:rsid w:val="00B01AA1"/>
    <w:rsid w:val="00B07563"/>
    <w:rsid w:val="00B22906"/>
    <w:rsid w:val="00B30C81"/>
    <w:rsid w:val="00B4793B"/>
    <w:rsid w:val="00B50695"/>
    <w:rsid w:val="00B54C8A"/>
    <w:rsid w:val="00B60BCE"/>
    <w:rsid w:val="00B63811"/>
    <w:rsid w:val="00BD5D6C"/>
    <w:rsid w:val="00BE5138"/>
    <w:rsid w:val="00BF2A30"/>
    <w:rsid w:val="00BF42E1"/>
    <w:rsid w:val="00BF59A9"/>
    <w:rsid w:val="00C0704B"/>
    <w:rsid w:val="00C12FAC"/>
    <w:rsid w:val="00C15633"/>
    <w:rsid w:val="00C15799"/>
    <w:rsid w:val="00C23DA5"/>
    <w:rsid w:val="00C357AD"/>
    <w:rsid w:val="00C5495B"/>
    <w:rsid w:val="00C57FA3"/>
    <w:rsid w:val="00C6069C"/>
    <w:rsid w:val="00C76A63"/>
    <w:rsid w:val="00CA5AB8"/>
    <w:rsid w:val="00CB5420"/>
    <w:rsid w:val="00CD5431"/>
    <w:rsid w:val="00CD660B"/>
    <w:rsid w:val="00CD7678"/>
    <w:rsid w:val="00CF2491"/>
    <w:rsid w:val="00CF40D9"/>
    <w:rsid w:val="00D02818"/>
    <w:rsid w:val="00D1252E"/>
    <w:rsid w:val="00D13B41"/>
    <w:rsid w:val="00D31D57"/>
    <w:rsid w:val="00D32CE8"/>
    <w:rsid w:val="00D34458"/>
    <w:rsid w:val="00D36655"/>
    <w:rsid w:val="00D57772"/>
    <w:rsid w:val="00D74E2D"/>
    <w:rsid w:val="00D75A4D"/>
    <w:rsid w:val="00D838CD"/>
    <w:rsid w:val="00D8478B"/>
    <w:rsid w:val="00D86151"/>
    <w:rsid w:val="00DA100B"/>
    <w:rsid w:val="00DA7595"/>
    <w:rsid w:val="00DB0A68"/>
    <w:rsid w:val="00DB69CD"/>
    <w:rsid w:val="00DC43A3"/>
    <w:rsid w:val="00DD7C09"/>
    <w:rsid w:val="00DE25C5"/>
    <w:rsid w:val="00DF29F0"/>
    <w:rsid w:val="00E0124F"/>
    <w:rsid w:val="00E02053"/>
    <w:rsid w:val="00E2102A"/>
    <w:rsid w:val="00E674D3"/>
    <w:rsid w:val="00E70FD0"/>
    <w:rsid w:val="00E84DD4"/>
    <w:rsid w:val="00ED5A63"/>
    <w:rsid w:val="00EE4496"/>
    <w:rsid w:val="00EE4C81"/>
    <w:rsid w:val="00F441CA"/>
    <w:rsid w:val="00F716DA"/>
    <w:rsid w:val="00F764B3"/>
    <w:rsid w:val="00F84067"/>
    <w:rsid w:val="00FC3DB5"/>
    <w:rsid w:val="00FD4A68"/>
    <w:rsid w:val="00FE60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ListParagraph1">
    <w:name w:val="List Paragraph1"/>
    <w:basedOn w:val="Normal"/>
    <w:link w:val="ListParagraphChar"/>
    <w:uiPriority w:val="34"/>
    <w:qFormat/>
    <w:rsid w:val="0094380D"/>
    <w:pPr>
      <w:ind w:left="720"/>
      <w:contextualSpacing/>
    </w:pPr>
    <w:rPr>
      <w:rFonts w:cs="Angsana New"/>
    </w:rPr>
  </w:style>
  <w:style w:type="character" w:customStyle="1" w:styleId="ListParagraphChar">
    <w:name w:val="List Paragraph Char"/>
    <w:link w:val="ListParagraph1"/>
    <w:uiPriority w:val="34"/>
    <w:locked/>
    <w:rsid w:val="0094380D"/>
    <w:rPr>
      <w:rFonts w:eastAsia="BatangChe" w:cs="Angsana New"/>
      <w:sz w:val="24"/>
      <w:szCs w:val="24"/>
      <w:lang w:val="en-US"/>
    </w:rPr>
  </w:style>
  <w:style w:type="paragraph" w:customStyle="1" w:styleId="MS">
    <w:name w:val="MS바탕글"/>
    <w:basedOn w:val="Normal"/>
    <w:rsid w:val="0094380D"/>
    <w:pPr>
      <w:shd w:val="clear" w:color="auto" w:fill="FFFFFF"/>
      <w:autoSpaceDE w:val="0"/>
      <w:autoSpaceDN w:val="0"/>
      <w:textAlignment w:val="baseline"/>
    </w:pPr>
    <w:rPr>
      <w:rFonts w:ascii="Gulim" w:eastAsia="Gulim" w:hAnsi="Gulim" w:cs="Gulim"/>
      <w:color w:val="000000"/>
      <w:lang w:eastAsia="ko-KR"/>
    </w:rPr>
  </w:style>
  <w:style w:type="paragraph" w:customStyle="1" w:styleId="Headingb">
    <w:name w:val="Heading_b"/>
    <w:basedOn w:val="Normal"/>
    <w:next w:val="Normal"/>
    <w:rsid w:val="00147B42"/>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character" w:styleId="Hyperlink">
    <w:name w:val="Hyperlink"/>
    <w:rsid w:val="00147B42"/>
    <w:rPr>
      <w:color w:val="0000FF"/>
      <w:u w:val="single"/>
    </w:rPr>
  </w:style>
  <w:style w:type="paragraph" w:styleId="BalloonText">
    <w:name w:val="Balloon Text"/>
    <w:basedOn w:val="Normal"/>
    <w:semiHidden/>
    <w:rsid w:val="00D34458"/>
    <w:rPr>
      <w:rFonts w:ascii="Tahoma" w:hAnsi="Tahoma" w:cs="Tahoma"/>
      <w:sz w:val="16"/>
      <w:szCs w:val="16"/>
    </w:rPr>
  </w:style>
  <w:style w:type="character" w:customStyle="1" w:styleId="apple-style-span">
    <w:name w:val="apple-style-span"/>
    <w:basedOn w:val="DefaultParagraphFont"/>
    <w:rsid w:val="00314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ListParagraph1">
    <w:name w:val="List Paragraph1"/>
    <w:basedOn w:val="Normal"/>
    <w:link w:val="ListParagraphChar"/>
    <w:uiPriority w:val="34"/>
    <w:qFormat/>
    <w:rsid w:val="0094380D"/>
    <w:pPr>
      <w:ind w:left="720"/>
      <w:contextualSpacing/>
    </w:pPr>
    <w:rPr>
      <w:rFonts w:cs="Angsana New"/>
    </w:rPr>
  </w:style>
  <w:style w:type="character" w:customStyle="1" w:styleId="ListParagraphChar">
    <w:name w:val="List Paragraph Char"/>
    <w:link w:val="ListParagraph1"/>
    <w:uiPriority w:val="34"/>
    <w:locked/>
    <w:rsid w:val="0094380D"/>
    <w:rPr>
      <w:rFonts w:eastAsia="BatangChe" w:cs="Angsana New"/>
      <w:sz w:val="24"/>
      <w:szCs w:val="24"/>
      <w:lang w:val="en-US"/>
    </w:rPr>
  </w:style>
  <w:style w:type="paragraph" w:customStyle="1" w:styleId="MS">
    <w:name w:val="MS바탕글"/>
    <w:basedOn w:val="Normal"/>
    <w:rsid w:val="0094380D"/>
    <w:pPr>
      <w:shd w:val="clear" w:color="auto" w:fill="FFFFFF"/>
      <w:autoSpaceDE w:val="0"/>
      <w:autoSpaceDN w:val="0"/>
      <w:textAlignment w:val="baseline"/>
    </w:pPr>
    <w:rPr>
      <w:rFonts w:ascii="Gulim" w:eastAsia="Gulim" w:hAnsi="Gulim" w:cs="Gulim"/>
      <w:color w:val="000000"/>
      <w:lang w:eastAsia="ko-KR"/>
    </w:rPr>
  </w:style>
  <w:style w:type="paragraph" w:customStyle="1" w:styleId="Headingb">
    <w:name w:val="Heading_b"/>
    <w:basedOn w:val="Normal"/>
    <w:next w:val="Normal"/>
    <w:rsid w:val="00147B42"/>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character" w:styleId="Hyperlink">
    <w:name w:val="Hyperlink"/>
    <w:rsid w:val="00147B42"/>
    <w:rPr>
      <w:color w:val="0000FF"/>
      <w:u w:val="single"/>
    </w:rPr>
  </w:style>
  <w:style w:type="paragraph" w:styleId="BalloonText">
    <w:name w:val="Balloon Text"/>
    <w:basedOn w:val="Normal"/>
    <w:semiHidden/>
    <w:rsid w:val="00D34458"/>
    <w:rPr>
      <w:rFonts w:ascii="Tahoma" w:hAnsi="Tahoma" w:cs="Tahoma"/>
      <w:sz w:val="16"/>
      <w:szCs w:val="16"/>
    </w:rPr>
  </w:style>
  <w:style w:type="character" w:customStyle="1" w:styleId="apple-style-span">
    <w:name w:val="apple-style-span"/>
    <w:basedOn w:val="DefaultParagraphFont"/>
    <w:rsid w:val="0031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2128</CharactersWithSpaces>
  <SharedDoc>false</SharedDoc>
  <HLinks>
    <vt:vector size="30" baseType="variant">
      <vt:variant>
        <vt:i4>6488110</vt:i4>
      </vt:variant>
      <vt:variant>
        <vt:i4>3</vt:i4>
      </vt:variant>
      <vt:variant>
        <vt:i4>0</vt:i4>
      </vt:variant>
      <vt:variant>
        <vt:i4>5</vt:i4>
      </vt:variant>
      <vt:variant>
        <vt:lpwstr>http://www.itu.int/md/R12-WP4A-C/en</vt:lpwstr>
      </vt:variant>
      <vt:variant>
        <vt:lpwstr/>
      </vt:variant>
      <vt:variant>
        <vt:i4>6488110</vt:i4>
      </vt:variant>
      <vt:variant>
        <vt:i4>0</vt:i4>
      </vt:variant>
      <vt:variant>
        <vt:i4>0</vt:i4>
      </vt:variant>
      <vt:variant>
        <vt:i4>5</vt:i4>
      </vt:variant>
      <vt:variant>
        <vt:lpwstr>http://www.itu.int/md/R12-WP4A-C/en</vt:lpwstr>
      </vt:variant>
      <vt:variant>
        <vt:lpwstr/>
      </vt:variant>
      <vt:variant>
        <vt:i4>6422640</vt:i4>
      </vt:variant>
      <vt:variant>
        <vt:i4>14</vt:i4>
      </vt:variant>
      <vt:variant>
        <vt:i4>0</vt:i4>
      </vt:variant>
      <vt:variant>
        <vt:i4>5</vt:i4>
      </vt:variant>
      <vt:variant>
        <vt:lpwstr>mailto:</vt:lpwstr>
      </vt:variant>
      <vt:variant>
        <vt:lpwstr/>
      </vt:variant>
      <vt:variant>
        <vt:i4>7012421</vt:i4>
      </vt:variant>
      <vt:variant>
        <vt:i4>11</vt:i4>
      </vt:variant>
      <vt:variant>
        <vt:i4>0</vt:i4>
      </vt:variant>
      <vt:variant>
        <vt:i4>5</vt:i4>
      </vt:variant>
      <vt:variant>
        <vt:lpwstr>mailto:pc@cgpsols.com</vt:lpwstr>
      </vt:variant>
      <vt:variant>
        <vt:lpwstr/>
      </vt:variant>
      <vt:variant>
        <vt:i4>3866693</vt:i4>
      </vt:variant>
      <vt:variant>
        <vt:i4>8</vt:i4>
      </vt:variant>
      <vt:variant>
        <vt:i4>0</vt:i4>
      </vt:variant>
      <vt:variant>
        <vt:i4>5</vt:i4>
      </vt:variant>
      <vt:variant>
        <vt:lpwstr>mailto:Iraj.Mokarrami@cra.ir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2</cp:revision>
  <cp:lastPrinted>2004-07-28T02:14:00Z</cp:lastPrinted>
  <dcterms:created xsi:type="dcterms:W3CDTF">2013-07-16T05:13:00Z</dcterms:created>
  <dcterms:modified xsi:type="dcterms:W3CDTF">2013-07-16T05:13:00Z</dcterms:modified>
</cp:coreProperties>
</file>