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60674">
        <w:trPr>
          <w:cantSplit/>
        </w:trPr>
        <w:tc>
          <w:tcPr>
            <w:tcW w:w="1399" w:type="dxa"/>
            <w:vMerge w:val="restart"/>
          </w:tcPr>
          <w:p w14:paraId="41AAFC28" w14:textId="77777777" w:rsidR="00CF3963" w:rsidRPr="00891D0B" w:rsidRDefault="00CF3963" w:rsidP="0076067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60674">
            <w:r w:rsidRPr="00096326">
              <w:t>ASIA-PACIFIC TELECOMMUNITY</w:t>
            </w:r>
          </w:p>
        </w:tc>
        <w:tc>
          <w:tcPr>
            <w:tcW w:w="2700" w:type="dxa"/>
          </w:tcPr>
          <w:p w14:paraId="0D82F459" w14:textId="77777777" w:rsidR="00CF3963" w:rsidRPr="00096326" w:rsidRDefault="00CF3963" w:rsidP="00760674">
            <w:pPr>
              <w:rPr>
                <w:b/>
                <w:bCs/>
                <w:lang w:val="fr-FR"/>
              </w:rPr>
            </w:pPr>
            <w:r w:rsidRPr="00C15799">
              <w:rPr>
                <w:b/>
                <w:lang w:val="fr-FR"/>
              </w:rPr>
              <w:t>Document</w:t>
            </w:r>
            <w:r>
              <w:rPr>
                <w:b/>
                <w:lang w:val="fr-FR"/>
              </w:rPr>
              <w:t xml:space="preserve">: </w:t>
            </w:r>
          </w:p>
        </w:tc>
      </w:tr>
      <w:tr w:rsidR="00CF3963" w:rsidRPr="00C15799" w14:paraId="448FBFF1" w14:textId="77777777" w:rsidTr="00760674">
        <w:trPr>
          <w:cantSplit/>
        </w:trPr>
        <w:tc>
          <w:tcPr>
            <w:tcW w:w="1399" w:type="dxa"/>
            <w:vMerge/>
          </w:tcPr>
          <w:p w14:paraId="29C3EF27" w14:textId="77777777" w:rsidR="00CF3963" w:rsidRPr="00891D0B" w:rsidRDefault="00CF3963" w:rsidP="00760674"/>
        </w:tc>
        <w:tc>
          <w:tcPr>
            <w:tcW w:w="5720" w:type="dxa"/>
          </w:tcPr>
          <w:p w14:paraId="5CBA7DD0" w14:textId="77777777" w:rsidR="00CF3963" w:rsidRPr="00891D0B" w:rsidRDefault="00CF3963" w:rsidP="00760674">
            <w:pPr>
              <w:spacing w:line="0" w:lineRule="atLeast"/>
            </w:pPr>
            <w:r>
              <w:rPr>
                <w:b/>
              </w:rPr>
              <w:t>The 2nd Meeting of the APT Conference Preparatory  Group for WRC-19 (APG19-2)</w:t>
            </w:r>
          </w:p>
        </w:tc>
        <w:tc>
          <w:tcPr>
            <w:tcW w:w="2700" w:type="dxa"/>
          </w:tcPr>
          <w:p w14:paraId="79797BCF" w14:textId="00AF4678" w:rsidR="00CF3963" w:rsidRPr="00C15799" w:rsidRDefault="00CF3963" w:rsidP="00B22651">
            <w:pPr>
              <w:rPr>
                <w:b/>
                <w:bCs/>
                <w:lang w:val="fr-FR"/>
              </w:rPr>
            </w:pPr>
            <w:r>
              <w:rPr>
                <w:b/>
                <w:bCs/>
                <w:lang w:val="fr-FR"/>
              </w:rPr>
              <w:t>APG19-2/</w:t>
            </w:r>
            <w:r w:rsidR="00B22651">
              <w:rPr>
                <w:b/>
                <w:bCs/>
                <w:lang w:val="fr-FR"/>
              </w:rPr>
              <w:t>OUT-37</w:t>
            </w:r>
            <w:r w:rsidR="001157CF">
              <w:rPr>
                <w:b/>
                <w:bCs/>
                <w:lang w:val="fr-FR"/>
              </w:rPr>
              <w:t xml:space="preserve"> (Rev.1)</w:t>
            </w:r>
          </w:p>
        </w:tc>
      </w:tr>
      <w:tr w:rsidR="00CF3963" w:rsidRPr="00891D0B" w14:paraId="53A9E6D1" w14:textId="77777777" w:rsidTr="00760674">
        <w:trPr>
          <w:cantSplit/>
          <w:trHeight w:val="219"/>
        </w:trPr>
        <w:tc>
          <w:tcPr>
            <w:tcW w:w="1399" w:type="dxa"/>
            <w:vMerge/>
          </w:tcPr>
          <w:p w14:paraId="59C3513F" w14:textId="77777777" w:rsidR="00CF3963" w:rsidRPr="00C15799" w:rsidRDefault="00CF3963" w:rsidP="00760674">
            <w:pPr>
              <w:rPr>
                <w:lang w:val="fr-FR"/>
              </w:rPr>
            </w:pPr>
          </w:p>
        </w:tc>
        <w:tc>
          <w:tcPr>
            <w:tcW w:w="5720" w:type="dxa"/>
          </w:tcPr>
          <w:p w14:paraId="3510CFC7" w14:textId="77777777" w:rsidR="00CF3963" w:rsidRPr="00891D0B" w:rsidRDefault="00CF3963" w:rsidP="00760674">
            <w:r>
              <w:t>17 – 21 July 2017</w:t>
            </w:r>
            <w:r w:rsidRPr="00891D0B">
              <w:t xml:space="preserve">, </w:t>
            </w:r>
            <w:r>
              <w:t>Bali, Republic of Indonesia</w:t>
            </w:r>
          </w:p>
        </w:tc>
        <w:tc>
          <w:tcPr>
            <w:tcW w:w="2700" w:type="dxa"/>
          </w:tcPr>
          <w:p w14:paraId="60FFE2BA" w14:textId="76EEF6E5" w:rsidR="00CF3963" w:rsidRPr="00712451" w:rsidRDefault="00B22651" w:rsidP="00760674">
            <w:pPr>
              <w:rPr>
                <w:b/>
              </w:rPr>
            </w:pPr>
            <w:r>
              <w:rPr>
                <w:b/>
              </w:rPr>
              <w:t>21</w:t>
            </w:r>
            <w:r w:rsidR="00CF3963">
              <w:rPr>
                <w:b/>
              </w:rPr>
              <w:t xml:space="preserve"> July 2017</w:t>
            </w:r>
          </w:p>
        </w:tc>
      </w:tr>
    </w:tbl>
    <w:p w14:paraId="2E0E673C" w14:textId="77777777" w:rsidR="00D13D9D" w:rsidRPr="007673CA" w:rsidRDefault="00D13D9D" w:rsidP="00DA7595">
      <w:pPr>
        <w:rPr>
          <w:lang w:val="en-NZ" w:eastAsia="ko-KR"/>
        </w:rPr>
      </w:pPr>
    </w:p>
    <w:p w14:paraId="2E0E6743" w14:textId="77777777" w:rsidR="00930E64" w:rsidRPr="007457D3" w:rsidRDefault="00930E64" w:rsidP="00930E64">
      <w:pPr>
        <w:jc w:val="center"/>
        <w:rPr>
          <w:lang w:val="en-NZ"/>
        </w:rPr>
      </w:pPr>
    </w:p>
    <w:p w14:paraId="2E0E6744" w14:textId="257BBD6A" w:rsidR="00B64A60" w:rsidRPr="004B0B25" w:rsidRDefault="00B22651" w:rsidP="001157CF">
      <w:pPr>
        <w:spacing w:after="120"/>
        <w:jc w:val="center"/>
        <w:rPr>
          <w:rFonts w:eastAsiaTheme="minorEastAsia"/>
          <w:lang w:val="en-NZ" w:eastAsia="zh-CN"/>
        </w:rPr>
      </w:pPr>
      <w:r>
        <w:rPr>
          <w:lang w:val="en-NZ" w:eastAsia="ko-KR"/>
        </w:rPr>
        <w:t>Working Party 4</w:t>
      </w:r>
    </w:p>
    <w:p w14:paraId="2E0E6746" w14:textId="2837D419" w:rsidR="00B64A60" w:rsidRPr="004B0B25" w:rsidRDefault="00B64A60" w:rsidP="001157CF">
      <w:pPr>
        <w:spacing w:after="120"/>
        <w:jc w:val="center"/>
        <w:rPr>
          <w:rFonts w:eastAsiaTheme="minorEastAsia"/>
          <w:b/>
          <w:bCs/>
          <w:caps/>
          <w:lang w:val="en-NZ" w:eastAsia="zh-CN"/>
        </w:rPr>
      </w:pPr>
      <w:r w:rsidRPr="004B0B25">
        <w:rPr>
          <w:b/>
          <w:bCs/>
          <w:caps/>
          <w:lang w:val="en-NZ"/>
        </w:rPr>
        <w:t xml:space="preserve">PRELIMINARY VIEWs on </w:t>
      </w:r>
      <w:r w:rsidR="007457D3" w:rsidRPr="004B0B25">
        <w:rPr>
          <w:b/>
          <w:bCs/>
          <w:caps/>
          <w:lang w:val="en-NZ"/>
        </w:rPr>
        <w:t>WRC-19 agenda item 1.</w:t>
      </w:r>
      <w:r w:rsidR="007457D3" w:rsidRPr="004B0B25">
        <w:rPr>
          <w:rFonts w:eastAsiaTheme="minorEastAsia"/>
          <w:b/>
          <w:bCs/>
          <w:caps/>
          <w:lang w:val="en-NZ" w:eastAsia="zh-CN"/>
        </w:rPr>
        <w:t>2</w:t>
      </w:r>
    </w:p>
    <w:p w14:paraId="2E0E6747" w14:textId="77777777" w:rsidR="00B64A60" w:rsidRPr="007457D3" w:rsidRDefault="00B64A60" w:rsidP="00B64A60">
      <w:pPr>
        <w:rPr>
          <w:lang w:val="en-NZ"/>
        </w:rPr>
      </w:pPr>
    </w:p>
    <w:p w14:paraId="6E492D70" w14:textId="77777777" w:rsidR="004B0B25" w:rsidRDefault="004B0B25" w:rsidP="00B64A60">
      <w:pPr>
        <w:jc w:val="both"/>
        <w:rPr>
          <w:b/>
          <w:lang w:val="en-NZ"/>
        </w:rPr>
      </w:pPr>
    </w:p>
    <w:p w14:paraId="2E0E6748" w14:textId="673068D0" w:rsidR="00B64A60" w:rsidRPr="007457D3" w:rsidRDefault="007457D3" w:rsidP="00B64A60">
      <w:pPr>
        <w:jc w:val="both"/>
        <w:rPr>
          <w:lang w:val="en-NZ"/>
        </w:rPr>
      </w:pPr>
      <w:r w:rsidRPr="007457D3">
        <w:rPr>
          <w:b/>
          <w:lang w:val="en-NZ"/>
        </w:rPr>
        <w:t>Agenda Item 1.</w:t>
      </w:r>
      <w:r w:rsidRPr="007457D3">
        <w:rPr>
          <w:rFonts w:eastAsiaTheme="minorEastAsia"/>
          <w:b/>
          <w:lang w:val="en-NZ" w:eastAsia="zh-CN"/>
        </w:rPr>
        <w:t>2</w:t>
      </w:r>
      <w:r w:rsidR="00B64A60" w:rsidRPr="007457D3">
        <w:rPr>
          <w:b/>
          <w:lang w:val="en-NZ"/>
        </w:rPr>
        <w:t xml:space="preserve">: </w:t>
      </w:r>
    </w:p>
    <w:p w14:paraId="2E0E674A" w14:textId="1BD97E85" w:rsidR="00B64A60" w:rsidRPr="007457D3" w:rsidRDefault="007457D3" w:rsidP="00B64A60">
      <w:pPr>
        <w:jc w:val="both"/>
        <w:rPr>
          <w:rFonts w:eastAsia="SimSun"/>
          <w:i/>
          <w:iCs/>
          <w:szCs w:val="20"/>
          <w:lang w:eastAsia="zh-CN"/>
        </w:rPr>
      </w:pPr>
      <w:r w:rsidRPr="007457D3">
        <w:rPr>
          <w:rFonts w:eastAsia="SimSun"/>
          <w:i/>
          <w:iCs/>
          <w:szCs w:val="20"/>
          <w:lang w:eastAsia="zh-CN"/>
        </w:rPr>
        <w:t>T</w:t>
      </w:r>
      <w:r w:rsidRPr="007457D3">
        <w:rPr>
          <w:rFonts w:eastAsia="SimSun"/>
          <w:i/>
          <w:iCs/>
          <w:szCs w:val="20"/>
        </w:rPr>
        <w:t>o consider in-band power limits for earth stations operating in the mobile-satellite service, meteorological-satellite service and Earth exploration-satellite service in the frequency bands 401-403 MHz and 399.9-400.05 MHz, in accordance with Resolution</w:t>
      </w:r>
      <w:r w:rsidRPr="007457D3">
        <w:rPr>
          <w:rFonts w:eastAsia="SimSun"/>
          <w:b/>
          <w:bCs/>
          <w:i/>
          <w:iCs/>
          <w:szCs w:val="20"/>
        </w:rPr>
        <w:t> 765 (WRC</w:t>
      </w:r>
      <w:r w:rsidRPr="007457D3">
        <w:rPr>
          <w:rFonts w:eastAsia="SimSun"/>
          <w:b/>
          <w:bCs/>
          <w:i/>
          <w:iCs/>
          <w:szCs w:val="20"/>
        </w:rPr>
        <w:noBreakHyphen/>
        <w:t>15)</w:t>
      </w:r>
      <w:r w:rsidRPr="007457D3">
        <w:rPr>
          <w:rFonts w:eastAsia="SimSun"/>
          <w:i/>
          <w:iCs/>
          <w:szCs w:val="20"/>
          <w:lang w:eastAsia="zh-CN"/>
        </w:rPr>
        <w:t>;</w:t>
      </w:r>
    </w:p>
    <w:p w14:paraId="01D772E3" w14:textId="77777777" w:rsidR="007457D3" w:rsidRPr="007457D3" w:rsidRDefault="007457D3" w:rsidP="00B64A60">
      <w:pPr>
        <w:jc w:val="both"/>
        <w:rPr>
          <w:lang w:val="en-NZ"/>
        </w:rPr>
      </w:pPr>
    </w:p>
    <w:p w14:paraId="3A486577" w14:textId="60BC9877" w:rsidR="007F58B3" w:rsidRDefault="00B64A60" w:rsidP="00232919">
      <w:pPr>
        <w:spacing w:after="120"/>
        <w:jc w:val="both"/>
        <w:rPr>
          <w:rFonts w:eastAsiaTheme="minorEastAsia"/>
          <w:lang w:eastAsia="zh-CN"/>
        </w:rPr>
      </w:pPr>
      <w:r w:rsidRPr="007457D3">
        <w:rPr>
          <w:b/>
          <w:lang w:val="en-NZ" w:eastAsia="ko-KR"/>
        </w:rPr>
        <w:t xml:space="preserve">1. </w:t>
      </w:r>
      <w:r w:rsidRPr="007457D3">
        <w:rPr>
          <w:b/>
          <w:lang w:val="en-NZ" w:eastAsia="ko-KR"/>
        </w:rPr>
        <w:tab/>
        <w:t>Background</w:t>
      </w:r>
    </w:p>
    <w:p w14:paraId="0B5FA670" w14:textId="4B7D4C16" w:rsidR="00F903D9" w:rsidRPr="00760674" w:rsidRDefault="007F58B3" w:rsidP="001157CF">
      <w:pPr>
        <w:spacing w:afterLines="50" w:after="120"/>
        <w:jc w:val="both"/>
        <w:rPr>
          <w:rFonts w:eastAsiaTheme="minorEastAsia"/>
          <w:lang w:val="en-AU" w:eastAsia="zh-CN"/>
        </w:rPr>
      </w:pPr>
      <w:r w:rsidRPr="00760674">
        <w:rPr>
          <w:b/>
        </w:rPr>
        <w:t>Resolution 765 (WRC-15)</w:t>
      </w:r>
      <w:r w:rsidRPr="00760674">
        <w:t xml:space="preserve"> “Establishment of in-band power limits for earth stations operating in mobile-satellite service, the meteorological-satellite service and the Earth exploration-satellite service in the frequency bands 401-403 MHz and 399.9 400.05 MHz”, calls for the necessary technical, operational and regulatory consideration of the possibility of establishing in-band power limits for earth stations in the EESS and </w:t>
      </w:r>
      <w:proofErr w:type="spellStart"/>
      <w:r w:rsidRPr="00760674">
        <w:t>MetSat</w:t>
      </w:r>
      <w:proofErr w:type="spellEnd"/>
      <w:r w:rsidRPr="00760674">
        <w:t xml:space="preserve"> in the frequency bands 401-403 MHz and in the MSS frequency band 399.9-400.05 </w:t>
      </w:r>
      <w:proofErr w:type="spellStart"/>
      <w:r w:rsidRPr="00760674">
        <w:t>MHz.</w:t>
      </w:r>
      <w:proofErr w:type="spellEnd"/>
    </w:p>
    <w:p w14:paraId="6F80DF71" w14:textId="77D97626" w:rsidR="00F903D9" w:rsidRPr="00760674" w:rsidRDefault="005B539F" w:rsidP="001157CF">
      <w:pPr>
        <w:spacing w:afterLines="50" w:after="120"/>
        <w:jc w:val="both"/>
        <w:rPr>
          <w:rFonts w:eastAsiaTheme="minorEastAsia"/>
          <w:lang w:val="en-AU" w:eastAsia="zh-CN"/>
        </w:rPr>
      </w:pPr>
      <w:r w:rsidRPr="00760674">
        <w:rPr>
          <w:rFonts w:eastAsiaTheme="minorEastAsia"/>
          <w:lang w:val="en-AU" w:eastAsia="zh-CN"/>
        </w:rPr>
        <w:t>Earth exploration-satellite service (EESS), meteorological satellite service (</w:t>
      </w:r>
      <w:proofErr w:type="spellStart"/>
      <w:r w:rsidRPr="00760674">
        <w:rPr>
          <w:rFonts w:eastAsiaTheme="minorEastAsia"/>
          <w:lang w:val="en-AU" w:eastAsia="zh-CN"/>
        </w:rPr>
        <w:t>MetSat</w:t>
      </w:r>
      <w:proofErr w:type="spellEnd"/>
      <w:r w:rsidRPr="00760674">
        <w:rPr>
          <w:rFonts w:eastAsiaTheme="minorEastAsia"/>
          <w:lang w:val="en-AU" w:eastAsia="zh-CN"/>
        </w:rPr>
        <w:t>) and mobile-satellite service (MSS) systems in these frequency bands are currently used for data collection systems (DCS)</w:t>
      </w:r>
      <w:r w:rsidR="00645C74" w:rsidRPr="00760674">
        <w:rPr>
          <w:rFonts w:eastAsiaTheme="minorEastAsia" w:hint="eastAsia"/>
          <w:lang w:val="en-AU" w:eastAsia="zh-CN"/>
        </w:rPr>
        <w:t>. These systems</w:t>
      </w:r>
      <w:r w:rsidRPr="00760674">
        <w:rPr>
          <w:rFonts w:eastAsiaTheme="minorEastAsia"/>
          <w:lang w:val="en-AU" w:eastAsia="zh-CN"/>
        </w:rPr>
        <w:t xml:space="preserve"> </w:t>
      </w:r>
      <w:r w:rsidRPr="00760674">
        <w:rPr>
          <w:rFonts w:eastAsia="Times New Roman"/>
          <w:szCs w:val="20"/>
          <w:lang w:val="en-GB"/>
        </w:rPr>
        <w:t xml:space="preserve">are deployed worldwide in order to essentially collect weather and climate data </w:t>
      </w:r>
      <w:r w:rsidRPr="00760674">
        <w:rPr>
          <w:rFonts w:eastAsia="Times New Roman"/>
          <w:spacing w:val="-2"/>
        </w:rPr>
        <w:t xml:space="preserve">in the frequency band 399.9-400.05 MHz (Earth-to-space) under MSS and in the frequency band 401-403 MHz (Earth-to-space) under EESS and </w:t>
      </w:r>
      <w:proofErr w:type="spellStart"/>
      <w:r w:rsidRPr="00760674">
        <w:rPr>
          <w:rFonts w:eastAsia="Times New Roman"/>
          <w:spacing w:val="-2"/>
        </w:rPr>
        <w:t>MetSat</w:t>
      </w:r>
      <w:proofErr w:type="spellEnd"/>
      <w:r w:rsidRPr="00760674">
        <w:rPr>
          <w:rFonts w:eastAsia="Times New Roman"/>
          <w:spacing w:val="-2"/>
        </w:rPr>
        <w:t>.</w:t>
      </w:r>
      <w:r w:rsidRPr="00760674">
        <w:rPr>
          <w:rFonts w:eastAsiaTheme="minorEastAsia" w:hint="eastAsia"/>
          <w:spacing w:val="-2"/>
          <w:lang w:eastAsia="zh-CN"/>
        </w:rPr>
        <w:t xml:space="preserve"> </w:t>
      </w:r>
      <w:r w:rsidRPr="00760674">
        <w:rPr>
          <w:rFonts w:eastAsiaTheme="minorEastAsia"/>
          <w:lang w:val="en-AU" w:eastAsia="zh-CN"/>
        </w:rPr>
        <w:t>In these bands, earth stations, also called platforms, are deployed and send specific information</w:t>
      </w:r>
      <w:r w:rsidR="005264C2" w:rsidRPr="00760674">
        <w:rPr>
          <w:rFonts w:eastAsiaTheme="minorEastAsia" w:hint="eastAsia"/>
          <w:lang w:val="en-AU" w:eastAsia="zh-CN"/>
        </w:rPr>
        <w:t xml:space="preserve"> (</w:t>
      </w:r>
      <w:r w:rsidR="005264C2" w:rsidRPr="00760674">
        <w:t>essential weather and climate data</w:t>
      </w:r>
      <w:r w:rsidR="005264C2" w:rsidRPr="00760674">
        <w:rPr>
          <w:rFonts w:eastAsiaTheme="minorEastAsia" w:hint="eastAsia"/>
          <w:lang w:val="en-AU" w:eastAsia="zh-CN"/>
        </w:rPr>
        <w:t>)</w:t>
      </w:r>
      <w:r w:rsidRPr="00760674">
        <w:rPr>
          <w:rFonts w:eastAsiaTheme="minorEastAsia"/>
          <w:lang w:val="en-AU" w:eastAsia="zh-CN"/>
        </w:rPr>
        <w:t xml:space="preserve"> to dedicated </w:t>
      </w:r>
      <w:r w:rsidR="00645C74" w:rsidRPr="00760674">
        <w:rPr>
          <w:rFonts w:eastAsiaTheme="minorEastAsia" w:hint="eastAsia"/>
          <w:lang w:val="en-AU" w:eastAsia="zh-CN"/>
        </w:rPr>
        <w:t xml:space="preserve">DCS </w:t>
      </w:r>
      <w:r w:rsidRPr="00760674">
        <w:rPr>
          <w:rFonts w:eastAsiaTheme="minorEastAsia"/>
          <w:lang w:val="en-AU" w:eastAsia="zh-CN"/>
        </w:rPr>
        <w:t xml:space="preserve">satellites </w:t>
      </w:r>
      <w:r w:rsidRPr="00760674">
        <w:rPr>
          <w:rFonts w:eastAsiaTheme="minorEastAsia" w:hint="eastAsia"/>
          <w:lang w:val="en-AU" w:eastAsia="zh-CN"/>
        </w:rPr>
        <w:t xml:space="preserve">(GSO and non-GSO) </w:t>
      </w:r>
      <w:r w:rsidRPr="00760674">
        <w:rPr>
          <w:rFonts w:eastAsiaTheme="minorEastAsia"/>
          <w:lang w:val="en-AU" w:eastAsia="zh-CN"/>
        </w:rPr>
        <w:t>which collect the corresponding data when the platforms are in the satellite footprint.</w:t>
      </w:r>
      <w:r w:rsidRPr="00760674">
        <w:rPr>
          <w:rFonts w:eastAsiaTheme="minorEastAsia" w:hint="eastAsia"/>
          <w:lang w:val="en-AU" w:eastAsia="zh-CN"/>
        </w:rPr>
        <w:t xml:space="preserve"> </w:t>
      </w:r>
      <w:r w:rsidR="005264C2" w:rsidRPr="00760674">
        <w:rPr>
          <w:rFonts w:eastAsia="Times New Roman"/>
          <w:spacing w:val="-2"/>
        </w:rPr>
        <w:t>DCS stations usually operate using moderate/low power levels</w:t>
      </w:r>
      <w:r w:rsidR="005264C2" w:rsidRPr="00760674">
        <w:rPr>
          <w:rFonts w:eastAsia="Times New Roman"/>
          <w:spacing w:val="-2"/>
          <w:lang w:val="en-GB"/>
        </w:rPr>
        <w:t>.</w:t>
      </w:r>
    </w:p>
    <w:p w14:paraId="112B28E4" w14:textId="59A0F6FF" w:rsidR="005B539F" w:rsidRPr="00760674" w:rsidRDefault="005B539F" w:rsidP="001157CF">
      <w:pPr>
        <w:spacing w:afterLines="50" w:after="120"/>
        <w:jc w:val="both"/>
        <w:rPr>
          <w:rFonts w:eastAsiaTheme="minorEastAsia"/>
          <w:spacing w:val="-2"/>
          <w:lang w:eastAsia="zh-CN"/>
        </w:rPr>
      </w:pPr>
      <w:r w:rsidRPr="00760674">
        <w:rPr>
          <w:rFonts w:eastAsia="Times New Roman"/>
          <w:szCs w:val="20"/>
          <w:lang w:val="en-GB"/>
        </w:rPr>
        <w:t>However recently, there is a significant increase in use of the frequency bands 399.9-400.05 MHz</w:t>
      </w:r>
      <w:r w:rsidRPr="00760674">
        <w:rPr>
          <w:rFonts w:eastAsia="Times New Roman"/>
          <w:spacing w:val="-2"/>
        </w:rPr>
        <w:t xml:space="preserve"> (Earth-to-space) and </w:t>
      </w:r>
      <w:r w:rsidRPr="00760674">
        <w:rPr>
          <w:rFonts w:eastAsia="Times New Roman"/>
          <w:szCs w:val="20"/>
          <w:lang w:val="en-GB"/>
        </w:rPr>
        <w:t xml:space="preserve">401-403 MHz </w:t>
      </w:r>
      <w:r w:rsidRPr="00760674">
        <w:rPr>
          <w:rFonts w:eastAsia="Times New Roman"/>
          <w:spacing w:val="-2"/>
        </w:rPr>
        <w:t>(Earth-to-space)</w:t>
      </w:r>
      <w:r w:rsidRPr="00760674">
        <w:rPr>
          <w:rFonts w:eastAsia="Times New Roman"/>
          <w:szCs w:val="20"/>
          <w:lang w:val="en-GB"/>
        </w:rPr>
        <w:t xml:space="preserve"> for telemetry, tracking and command (TT&amp;C) purposes</w:t>
      </w:r>
      <w:r w:rsidRPr="00760674">
        <w:rPr>
          <w:rFonts w:eastAsia="Times New Roman"/>
          <w:spacing w:val="-2"/>
          <w:lang w:val="en-GB"/>
        </w:rPr>
        <w:t xml:space="preserve"> under the EESS, </w:t>
      </w:r>
      <w:proofErr w:type="spellStart"/>
      <w:r w:rsidRPr="00760674">
        <w:rPr>
          <w:rFonts w:eastAsia="Times New Roman"/>
          <w:spacing w:val="-2"/>
          <w:lang w:val="en-GB"/>
        </w:rPr>
        <w:t>MetSat</w:t>
      </w:r>
      <w:proofErr w:type="spellEnd"/>
      <w:r w:rsidRPr="00760674">
        <w:rPr>
          <w:rFonts w:eastAsia="Times New Roman"/>
          <w:spacing w:val="-2"/>
          <w:lang w:val="en-GB"/>
        </w:rPr>
        <w:t xml:space="preserve"> or MSS allocations</w:t>
      </w:r>
      <w:r w:rsidRPr="00760674">
        <w:rPr>
          <w:rFonts w:eastAsia="Times New Roman"/>
          <w:spacing w:val="-2"/>
        </w:rPr>
        <w:t>.</w:t>
      </w:r>
      <w:r w:rsidR="005264C2" w:rsidRPr="00760674">
        <w:rPr>
          <w:rFonts w:eastAsiaTheme="minorEastAsia"/>
          <w:lang w:val="en-NZ" w:eastAsia="zh-CN"/>
        </w:rPr>
        <w:t xml:space="preserve"> This is largely attributable to increased interest by educational institutions and especially by private and commercial entities seeking to operate large fleets and constellations of satellites. </w:t>
      </w:r>
      <w:r w:rsidR="00884208" w:rsidRPr="00760674">
        <w:rPr>
          <w:rFonts w:eastAsia="Times New Roman"/>
          <w:spacing w:val="-2"/>
          <w:lang w:val="en-GB"/>
        </w:rPr>
        <w:t xml:space="preserve">The output power levels of the earth stations referred to these </w:t>
      </w:r>
      <w:proofErr w:type="spellStart"/>
      <w:r w:rsidR="00884208" w:rsidRPr="00760674">
        <w:rPr>
          <w:rFonts w:eastAsia="Times New Roman"/>
          <w:spacing w:val="-2"/>
          <w:lang w:val="en-GB"/>
        </w:rPr>
        <w:t>tele</w:t>
      </w:r>
      <w:r w:rsidR="00903B17" w:rsidRPr="00760674">
        <w:rPr>
          <w:rFonts w:eastAsia="Times New Roman"/>
          <w:spacing w:val="-2"/>
          <w:lang w:val="en-GB"/>
        </w:rPr>
        <w:t>command</w:t>
      </w:r>
      <w:proofErr w:type="spellEnd"/>
      <w:r w:rsidR="00903B17" w:rsidRPr="00760674">
        <w:rPr>
          <w:rFonts w:eastAsia="Times New Roman"/>
          <w:spacing w:val="-2"/>
          <w:lang w:val="en-GB"/>
        </w:rPr>
        <w:t xml:space="preserve"> links (Earth-to-space)</w:t>
      </w:r>
      <w:r w:rsidR="00903B17" w:rsidRPr="00760674">
        <w:rPr>
          <w:rFonts w:eastAsiaTheme="minorEastAsia" w:hint="eastAsia"/>
          <w:spacing w:val="-2"/>
          <w:lang w:val="en-GB" w:eastAsia="zh-CN"/>
        </w:rPr>
        <w:t xml:space="preserve"> </w:t>
      </w:r>
      <w:r w:rsidR="00884208" w:rsidRPr="00760674">
        <w:rPr>
          <w:rFonts w:eastAsia="Times New Roman"/>
          <w:spacing w:val="-2"/>
          <w:lang w:val="en-GB"/>
        </w:rPr>
        <w:t>can be much higher</w:t>
      </w:r>
      <w:r w:rsidR="00884208" w:rsidRPr="00760674">
        <w:rPr>
          <w:rFonts w:eastAsia="Times New Roman"/>
          <w:b/>
          <w:bCs/>
          <w:spacing w:val="-2"/>
          <w:lang w:val="en-GB"/>
        </w:rPr>
        <w:t xml:space="preserve"> </w:t>
      </w:r>
      <w:r w:rsidR="00884208" w:rsidRPr="00760674">
        <w:rPr>
          <w:rFonts w:eastAsia="Times New Roman"/>
          <w:spacing w:val="-2"/>
          <w:lang w:val="en-GB"/>
        </w:rPr>
        <w:t xml:space="preserve">than the moderate/low power levels traditionally used for the operation of EESS, </w:t>
      </w:r>
      <w:proofErr w:type="spellStart"/>
      <w:r w:rsidR="00884208" w:rsidRPr="00760674">
        <w:rPr>
          <w:rFonts w:eastAsia="Times New Roman"/>
          <w:spacing w:val="-2"/>
          <w:lang w:val="en-GB"/>
        </w:rPr>
        <w:t>MetSat</w:t>
      </w:r>
      <w:proofErr w:type="spellEnd"/>
      <w:r w:rsidR="00884208" w:rsidRPr="00760674">
        <w:rPr>
          <w:rFonts w:eastAsia="Times New Roman"/>
          <w:spacing w:val="-2"/>
          <w:lang w:val="en-GB"/>
        </w:rPr>
        <w:t xml:space="preserve"> or MSS systems.</w:t>
      </w:r>
      <w:r w:rsidR="005264C2" w:rsidRPr="00760674">
        <w:rPr>
          <w:rFonts w:eastAsiaTheme="minorEastAsia"/>
          <w:lang w:val="en-NZ" w:eastAsia="zh-CN"/>
        </w:rPr>
        <w:t xml:space="preserve">The proliferation of </w:t>
      </w:r>
      <w:r w:rsidR="00903B17" w:rsidRPr="00760674">
        <w:rPr>
          <w:rFonts w:eastAsiaTheme="minorEastAsia" w:hint="eastAsia"/>
          <w:lang w:val="en-NZ" w:eastAsia="zh-CN"/>
        </w:rPr>
        <w:t xml:space="preserve">such </w:t>
      </w:r>
      <w:r w:rsidR="005264C2" w:rsidRPr="00760674">
        <w:rPr>
          <w:rFonts w:eastAsiaTheme="minorEastAsia"/>
          <w:lang w:val="en-NZ" w:eastAsia="zh-CN"/>
        </w:rPr>
        <w:t xml:space="preserve">TT&amp;C usage potentially poses a significant risk to the large number of existing low power </w:t>
      </w:r>
      <w:r w:rsidR="00645C74" w:rsidRPr="00760674">
        <w:rPr>
          <w:rFonts w:eastAsiaTheme="minorEastAsia"/>
          <w:lang w:val="en-NZ" w:eastAsia="zh-CN"/>
        </w:rPr>
        <w:t>DCS</w:t>
      </w:r>
      <w:r w:rsidR="005264C2" w:rsidRPr="00760674">
        <w:rPr>
          <w:rFonts w:eastAsiaTheme="minorEastAsia"/>
          <w:lang w:val="en-NZ" w:eastAsia="zh-CN"/>
        </w:rPr>
        <w:t xml:space="preserve"> stations communicating to sensitive receivers on GSO and non-GSO satellites</w:t>
      </w:r>
      <w:r w:rsidR="00892B26" w:rsidRPr="00760674">
        <w:rPr>
          <w:rFonts w:eastAsiaTheme="minorEastAsia" w:hint="eastAsia"/>
          <w:lang w:val="en-NZ" w:eastAsia="zh-CN"/>
        </w:rPr>
        <w:t>.</w:t>
      </w:r>
      <w:r w:rsidR="00903B17" w:rsidRPr="00760674">
        <w:rPr>
          <w:rFonts w:eastAsiaTheme="minorEastAsia" w:hint="eastAsia"/>
          <w:lang w:val="en-NZ" w:eastAsia="zh-CN"/>
        </w:rPr>
        <w:t xml:space="preserve"> </w:t>
      </w:r>
      <w:r w:rsidR="00645C74" w:rsidRPr="00760674">
        <w:rPr>
          <w:rFonts w:eastAsiaTheme="minorEastAsia" w:hint="eastAsia"/>
          <w:lang w:val="en-NZ" w:eastAsia="zh-CN"/>
        </w:rPr>
        <w:t xml:space="preserve">Therefore, </w:t>
      </w:r>
      <w:r w:rsidR="00645C74" w:rsidRPr="00760674">
        <w:rPr>
          <w:rFonts w:eastAsiaTheme="minorEastAsia" w:hint="eastAsia"/>
          <w:lang w:eastAsia="zh-CN"/>
        </w:rPr>
        <w:t xml:space="preserve">in </w:t>
      </w:r>
      <w:r w:rsidR="00645C74" w:rsidRPr="00760674">
        <w:t>order to ensure long term operations of existing and future DCS</w:t>
      </w:r>
      <w:r w:rsidR="00645C74" w:rsidRPr="00760674">
        <w:rPr>
          <w:rFonts w:eastAsiaTheme="minorEastAsia" w:hint="eastAsia"/>
          <w:lang w:eastAsia="zh-CN"/>
        </w:rPr>
        <w:t>, w</w:t>
      </w:r>
      <w:proofErr w:type="spellStart"/>
      <w:r w:rsidR="00892B26" w:rsidRPr="00760674">
        <w:rPr>
          <w:rFonts w:eastAsiaTheme="minorEastAsia"/>
          <w:lang w:val="en-NZ" w:eastAsia="zh-CN"/>
        </w:rPr>
        <w:t>ork</w:t>
      </w:r>
      <w:proofErr w:type="spellEnd"/>
      <w:r w:rsidR="00892B26" w:rsidRPr="00760674">
        <w:rPr>
          <w:rFonts w:eastAsiaTheme="minorEastAsia"/>
          <w:lang w:val="en-NZ" w:eastAsia="zh-CN"/>
        </w:rPr>
        <w:t xml:space="preserve"> under this item is to determine the potential impact of high power TT&amp;C operations and what, if any, power limitations are appropriate to protect the DCS operations.</w:t>
      </w:r>
      <w:r w:rsidR="00645C74" w:rsidRPr="00760674">
        <w:t xml:space="preserve"> </w:t>
      </w:r>
    </w:p>
    <w:p w14:paraId="2595D27D" w14:textId="34AFE6F1" w:rsidR="005B539F" w:rsidRPr="00760674" w:rsidRDefault="005264C2" w:rsidP="004C0F4E">
      <w:pPr>
        <w:spacing w:afterLines="50" w:after="120"/>
        <w:rPr>
          <w:rFonts w:eastAsiaTheme="minorEastAsia"/>
          <w:lang w:eastAsia="zh-CN"/>
        </w:rPr>
      </w:pPr>
      <w:r w:rsidRPr="00760674">
        <w:t>ITU-R Working Party 7B</w:t>
      </w:r>
      <w:r w:rsidR="005B539F" w:rsidRPr="00760674">
        <w:rPr>
          <w:spacing w:val="-2"/>
        </w:rPr>
        <w:t xml:space="preserve"> (WP 7B)</w:t>
      </w:r>
      <w:r w:rsidRPr="00760674">
        <w:rPr>
          <w:rFonts w:eastAsiaTheme="minorEastAsia" w:hint="eastAsia"/>
          <w:spacing w:val="-2"/>
          <w:lang w:eastAsia="zh-CN"/>
        </w:rPr>
        <w:t xml:space="preserve"> </w:t>
      </w:r>
      <w:r w:rsidR="005B539F" w:rsidRPr="00760674">
        <w:t xml:space="preserve">is designated as the responsible group for this agenda item. </w:t>
      </w:r>
    </w:p>
    <w:p w14:paraId="0C1B279E" w14:textId="479B2640" w:rsidR="00EB46D7" w:rsidRPr="00760674" w:rsidRDefault="00EB46D7" w:rsidP="00C65973">
      <w:pPr>
        <w:spacing w:after="50"/>
        <w:rPr>
          <w:lang w:val="en-AU"/>
        </w:rPr>
      </w:pPr>
      <w:r w:rsidRPr="00C65973">
        <w:t>Recent developments</w:t>
      </w:r>
      <w:r w:rsidR="004C0F4E" w:rsidRPr="00C65973">
        <w:rPr>
          <w:rFonts w:hint="eastAsia"/>
        </w:rPr>
        <w:t xml:space="preserve"> a</w:t>
      </w:r>
      <w:r w:rsidR="002C2F68" w:rsidRPr="00C65973">
        <w:rPr>
          <w:rFonts w:hint="eastAsia"/>
        </w:rPr>
        <w:t xml:space="preserve">t the </w:t>
      </w:r>
      <w:r w:rsidRPr="00C65973">
        <w:t>A</w:t>
      </w:r>
      <w:proofErr w:type="spellStart"/>
      <w:r w:rsidRPr="00760674">
        <w:rPr>
          <w:lang w:val="en-AU"/>
        </w:rPr>
        <w:t>pril</w:t>
      </w:r>
      <w:proofErr w:type="spellEnd"/>
      <w:r w:rsidRPr="00760674">
        <w:rPr>
          <w:lang w:val="en-AU"/>
        </w:rPr>
        <w:t xml:space="preserve"> 2017 WP 7B meeting</w:t>
      </w:r>
      <w:r w:rsidR="004C0F4E">
        <w:rPr>
          <w:rFonts w:eastAsiaTheme="minorEastAsia" w:hint="eastAsia"/>
          <w:lang w:val="en-AU" w:eastAsia="zh-CN"/>
        </w:rPr>
        <w:t xml:space="preserve"> are</w:t>
      </w:r>
      <w:r w:rsidRPr="00760674">
        <w:rPr>
          <w:lang w:val="en-AU"/>
        </w:rPr>
        <w:t xml:space="preserve">: </w:t>
      </w:r>
    </w:p>
    <w:p w14:paraId="08CB7D44" w14:textId="68CB0F45" w:rsidR="00EB46D7" w:rsidRPr="00C65973" w:rsidRDefault="00EB46D7" w:rsidP="00C65973">
      <w:pPr>
        <w:pStyle w:val="ListParagraph"/>
        <w:numPr>
          <w:ilvl w:val="0"/>
          <w:numId w:val="22"/>
        </w:numPr>
        <w:spacing w:after="50"/>
        <w:rPr>
          <w:lang w:val="en-AU"/>
        </w:rPr>
      </w:pPr>
      <w:r w:rsidRPr="00C65973">
        <w:rPr>
          <w:lang w:val="en-GB"/>
        </w:rPr>
        <w:t xml:space="preserve">A revised version of the </w:t>
      </w:r>
      <w:r w:rsidRPr="00C65973">
        <w:rPr>
          <w:lang w:val="en-AU"/>
        </w:rPr>
        <w:t>preliminary</w:t>
      </w:r>
      <w:r w:rsidRPr="00C65973">
        <w:rPr>
          <w:lang w:val="en-GB"/>
        </w:rPr>
        <w:t xml:space="preserve"> draft new Report ITU-R SA</w:t>
      </w:r>
      <w:proofErr w:type="gramStart"/>
      <w:r w:rsidRPr="00C65973">
        <w:rPr>
          <w:lang w:val="en-GB"/>
        </w:rPr>
        <w:t>.[</w:t>
      </w:r>
      <w:proofErr w:type="gramEnd"/>
      <w:r w:rsidRPr="00C65973">
        <w:rPr>
          <w:lang w:val="en-GB"/>
        </w:rPr>
        <w:t xml:space="preserve">400 MHz-LIMITS] was agreed (Document 7B/170 </w:t>
      </w:r>
      <w:hyperlink r:id="rId9" w:history="1">
        <w:r w:rsidRPr="00760674">
          <w:rPr>
            <w:rStyle w:val="Hyperlink"/>
            <w:lang w:bidi="en-US"/>
          </w:rPr>
          <w:t>Annex 18</w:t>
        </w:r>
      </w:hyperlink>
      <w:r w:rsidRPr="00C65973">
        <w:rPr>
          <w:lang w:val="en-GB"/>
        </w:rPr>
        <w:t xml:space="preserve">). The ‘Analysis’ section (6) of this Report is not yet </w:t>
      </w:r>
      <w:r w:rsidRPr="00C65973">
        <w:rPr>
          <w:lang w:val="en-GB"/>
        </w:rPr>
        <w:lastRenderedPageBreak/>
        <w:t>developed however the intention is to provide a ‘Method’ to derive the relevant power/</w:t>
      </w:r>
      <w:proofErr w:type="spellStart"/>
      <w:r w:rsidRPr="00C65973">
        <w:rPr>
          <w:lang w:val="en-GB"/>
        </w:rPr>
        <w:t>e.i.r.p</w:t>
      </w:r>
      <w:proofErr w:type="spellEnd"/>
      <w:r w:rsidRPr="00C65973">
        <w:rPr>
          <w:lang w:val="en-GB"/>
        </w:rPr>
        <w:t>. limits under this agenda item.</w:t>
      </w:r>
    </w:p>
    <w:p w14:paraId="01915B45" w14:textId="1D9927B5" w:rsidR="00EB46D7" w:rsidRPr="00C65973" w:rsidRDefault="00EB46D7" w:rsidP="00C65973">
      <w:pPr>
        <w:pStyle w:val="ListParagraph"/>
        <w:numPr>
          <w:ilvl w:val="0"/>
          <w:numId w:val="22"/>
        </w:numPr>
        <w:spacing w:after="50"/>
        <w:rPr>
          <w:lang w:val="en-AU"/>
        </w:rPr>
      </w:pPr>
      <w:r w:rsidRPr="00C65973">
        <w:rPr>
          <w:lang w:val="en-GB"/>
        </w:rPr>
        <w:t xml:space="preserve">The preliminary draft revision to Recommendation ITU-R SA.1163-2 </w:t>
      </w:r>
      <w:r w:rsidRPr="00C65973">
        <w:rPr>
          <w:i/>
          <w:lang w:val="en-GB"/>
        </w:rPr>
        <w:t>Interference criteria for service links in data collection systems in the Earth exploration-satellite and meteorological-satellite services</w:t>
      </w:r>
      <w:r w:rsidRPr="00C65973">
        <w:rPr>
          <w:lang w:val="en-GB"/>
        </w:rPr>
        <w:t xml:space="preserve"> (Document 7B/170 </w:t>
      </w:r>
      <w:hyperlink r:id="rId10" w:history="1">
        <w:r w:rsidRPr="00C65973">
          <w:rPr>
            <w:rStyle w:val="Hyperlink"/>
            <w:lang w:val="en-GB"/>
          </w:rPr>
          <w:t>Annex 16</w:t>
        </w:r>
      </w:hyperlink>
      <w:r w:rsidRPr="00C65973">
        <w:rPr>
          <w:lang w:val="en-GB"/>
        </w:rPr>
        <w:t xml:space="preserve">) proposes updates to include changes to EESS and </w:t>
      </w:r>
      <w:proofErr w:type="spellStart"/>
      <w:r w:rsidRPr="00C65973">
        <w:rPr>
          <w:lang w:val="en-GB"/>
        </w:rPr>
        <w:t>MetSat</w:t>
      </w:r>
      <w:proofErr w:type="spellEnd"/>
      <w:r w:rsidRPr="00C65973">
        <w:rPr>
          <w:lang w:val="en-GB"/>
        </w:rPr>
        <w:t xml:space="preserve"> systems characteristics since the last revision in 1999. It also proposes to limit the Recommendation to the case of GSO satellites as NGSO satellites are covered in Recommendation ITU-R SA.2044.</w:t>
      </w:r>
    </w:p>
    <w:p w14:paraId="40671712" w14:textId="71E25CF1" w:rsidR="00EB46D7" w:rsidRPr="00C65973" w:rsidRDefault="00EB46D7" w:rsidP="00C65973">
      <w:pPr>
        <w:pStyle w:val="ListParagraph"/>
        <w:numPr>
          <w:ilvl w:val="0"/>
          <w:numId w:val="22"/>
        </w:numPr>
        <w:spacing w:after="50"/>
        <w:rPr>
          <w:lang w:val="en-AU"/>
        </w:rPr>
      </w:pPr>
      <w:r w:rsidRPr="00C65973">
        <w:rPr>
          <w:lang w:val="en-GB"/>
        </w:rPr>
        <w:t xml:space="preserve">The </w:t>
      </w:r>
      <w:r w:rsidRPr="00760674">
        <w:rPr>
          <w:lang w:bidi="en-US"/>
        </w:rPr>
        <w:t xml:space="preserve">preliminary draft revision to Recommendation ITU-R SA.1164-2 </w:t>
      </w:r>
      <w:r w:rsidRPr="00C65973">
        <w:rPr>
          <w:i/>
          <w:lang w:bidi="en-US"/>
        </w:rPr>
        <w:t>Sharing and coordination criteria for service links in data collection systems in the Earth exploration</w:t>
      </w:r>
      <w:r w:rsidRPr="00C65973">
        <w:rPr>
          <w:i/>
          <w:lang w:bidi="en-US"/>
        </w:rPr>
        <w:noBreakHyphen/>
        <w:t>satellite and meteorological-satellite services</w:t>
      </w:r>
      <w:r w:rsidRPr="00760674">
        <w:rPr>
          <w:lang w:bidi="en-US"/>
        </w:rPr>
        <w:t xml:space="preserve"> (</w:t>
      </w:r>
      <w:r w:rsidRPr="00C65973">
        <w:rPr>
          <w:lang w:val="en-GB"/>
        </w:rPr>
        <w:t xml:space="preserve">Document 7B/170 </w:t>
      </w:r>
      <w:hyperlink r:id="rId11" w:history="1">
        <w:r w:rsidRPr="00760674">
          <w:rPr>
            <w:rStyle w:val="Hyperlink"/>
            <w:lang w:bidi="en-US"/>
          </w:rPr>
          <w:t>Annex 17</w:t>
        </w:r>
      </w:hyperlink>
      <w:r w:rsidRPr="00760674">
        <w:rPr>
          <w:lang w:bidi="en-US"/>
        </w:rPr>
        <w:t>) proposes updates to include changes to allocations and increases in spectrum usage since the previous revision in 1999. To be consistent with revisions to SA.1163 it also proposes to limit SA.1164 to the case of GSO satellites, since GSO satellites are covered in SA.2044.</w:t>
      </w:r>
    </w:p>
    <w:p w14:paraId="228F4798" w14:textId="461E83BC" w:rsidR="00232919" w:rsidRPr="00C65973" w:rsidRDefault="002E49F4" w:rsidP="00C65973">
      <w:pPr>
        <w:pStyle w:val="ListParagraph"/>
        <w:numPr>
          <w:ilvl w:val="0"/>
          <w:numId w:val="22"/>
        </w:numPr>
        <w:spacing w:afterLines="50" w:after="120"/>
        <w:rPr>
          <w:rFonts w:eastAsiaTheme="minorEastAsia"/>
          <w:lang w:eastAsia="zh-CN"/>
        </w:rPr>
      </w:pPr>
      <w:r w:rsidRPr="00C65973">
        <w:rPr>
          <w:rFonts w:eastAsiaTheme="minorEastAsia" w:hint="eastAsia"/>
          <w:lang w:eastAsia="zh-CN"/>
        </w:rPr>
        <w:t xml:space="preserve">WP7B has developed a method to establish in-band power limits and duty cycle for GSO and non-GSO satellites respectively. The final values of these power limits and duty cycle will be </w:t>
      </w:r>
      <w:r w:rsidRPr="00C65973">
        <w:rPr>
          <w:rFonts w:eastAsiaTheme="minorEastAsia"/>
          <w:lang w:eastAsia="zh-CN"/>
        </w:rPr>
        <w:t>finalized</w:t>
      </w:r>
      <w:r w:rsidRPr="00C65973">
        <w:rPr>
          <w:rFonts w:eastAsiaTheme="minorEastAsia" w:hint="eastAsia"/>
          <w:lang w:eastAsia="zh-CN"/>
        </w:rPr>
        <w:t xml:space="preserve"> in the next WP7B meeting.</w:t>
      </w:r>
      <w:r w:rsidR="00A668C1" w:rsidRPr="00C65973">
        <w:rPr>
          <w:rFonts w:eastAsiaTheme="minorEastAsia" w:hint="eastAsia"/>
          <w:lang w:eastAsia="zh-CN"/>
        </w:rPr>
        <w:t xml:space="preserve"> </w:t>
      </w:r>
    </w:p>
    <w:p w14:paraId="457C5D51" w14:textId="2FA28C3A" w:rsidR="00EB46D7" w:rsidRPr="00C65973" w:rsidRDefault="00EB46D7" w:rsidP="00C65973">
      <w:pPr>
        <w:pStyle w:val="ListParagraph"/>
        <w:numPr>
          <w:ilvl w:val="0"/>
          <w:numId w:val="22"/>
        </w:numPr>
        <w:spacing w:afterLines="50" w:after="120"/>
        <w:rPr>
          <w:rFonts w:eastAsiaTheme="minorEastAsia"/>
          <w:lang w:eastAsia="zh-CN"/>
        </w:rPr>
      </w:pPr>
      <w:r w:rsidRPr="00C65973">
        <w:rPr>
          <w:lang w:val="en-GB"/>
        </w:rPr>
        <w:t xml:space="preserve">Draft CPM text (Document 7B/170 </w:t>
      </w:r>
      <w:hyperlink r:id="rId12" w:history="1">
        <w:r w:rsidRPr="00C65973">
          <w:rPr>
            <w:rStyle w:val="Hyperlink"/>
            <w:lang w:val="en-GB"/>
          </w:rPr>
          <w:t>Annex 1)</w:t>
        </w:r>
      </w:hyperlink>
      <w:r w:rsidRPr="00C65973">
        <w:rPr>
          <w:lang w:val="en-GB"/>
        </w:rPr>
        <w:t xml:space="preserve"> was further developed but no ‘Methods’ to satisfy the agenda item have been developed.</w:t>
      </w:r>
    </w:p>
    <w:p w14:paraId="2E0E6751" w14:textId="77777777" w:rsidR="00B64A60" w:rsidRPr="007457D3" w:rsidRDefault="00B64A60" w:rsidP="00B64A60">
      <w:pPr>
        <w:jc w:val="both"/>
        <w:rPr>
          <w:lang w:val="en-NZ"/>
        </w:rPr>
      </w:pPr>
    </w:p>
    <w:p w14:paraId="2E0E6752" w14:textId="77777777" w:rsidR="00B64A60" w:rsidRPr="007457D3" w:rsidRDefault="00B64A60" w:rsidP="00B64A60">
      <w:pPr>
        <w:spacing w:after="120"/>
        <w:jc w:val="both"/>
        <w:rPr>
          <w:b/>
          <w:lang w:val="en-NZ" w:eastAsia="ko-KR"/>
        </w:rPr>
      </w:pPr>
      <w:r w:rsidRPr="007457D3">
        <w:rPr>
          <w:b/>
          <w:lang w:val="en-NZ" w:eastAsia="ko-KR"/>
        </w:rPr>
        <w:t xml:space="preserve">2. </w:t>
      </w:r>
      <w:r w:rsidRPr="007457D3">
        <w:rPr>
          <w:b/>
          <w:lang w:val="en-NZ" w:eastAsia="ko-KR"/>
        </w:rPr>
        <w:tab/>
        <w:t>Documents</w:t>
      </w:r>
    </w:p>
    <w:p w14:paraId="2E0E6753" w14:textId="6D934631" w:rsidR="00B64A60" w:rsidRPr="007457D3" w:rsidRDefault="00B64A60" w:rsidP="00B64A60">
      <w:pPr>
        <w:numPr>
          <w:ilvl w:val="0"/>
          <w:numId w:val="18"/>
        </w:numPr>
        <w:ind w:leftChars="145" w:left="708"/>
        <w:rPr>
          <w:lang w:val="en-NZ"/>
        </w:rPr>
      </w:pPr>
      <w:r w:rsidRPr="007457D3">
        <w:rPr>
          <w:lang w:val="en-NZ"/>
        </w:rPr>
        <w:t>Input Documents APG19-2/INP-</w:t>
      </w:r>
      <w:r w:rsidR="007457D3" w:rsidRPr="007457D3">
        <w:rPr>
          <w:rFonts w:eastAsiaTheme="minorEastAsia"/>
          <w:lang w:val="en-NZ" w:eastAsia="zh-CN"/>
        </w:rPr>
        <w:t>11</w:t>
      </w:r>
      <w:r w:rsidR="007457D3">
        <w:rPr>
          <w:rFonts w:eastAsiaTheme="minorEastAsia" w:hint="eastAsia"/>
          <w:lang w:val="en-NZ" w:eastAsia="zh-CN"/>
        </w:rPr>
        <w:t>(</w:t>
      </w:r>
      <w:r w:rsidR="007457D3" w:rsidRPr="007457D3">
        <w:rPr>
          <w:rFonts w:eastAsiaTheme="minorEastAsia"/>
          <w:lang w:val="en-NZ" w:eastAsia="zh-CN"/>
        </w:rPr>
        <w:t>KOR</w:t>
      </w:r>
      <w:r w:rsidR="007457D3">
        <w:rPr>
          <w:rFonts w:eastAsiaTheme="minorEastAsia" w:hint="eastAsia"/>
          <w:lang w:val="en-NZ" w:eastAsia="zh-CN"/>
        </w:rPr>
        <w:t xml:space="preserve">), </w:t>
      </w:r>
      <w:r w:rsidR="007457D3" w:rsidRPr="007457D3">
        <w:rPr>
          <w:rFonts w:eastAsiaTheme="minorEastAsia"/>
          <w:lang w:val="en-NZ" w:eastAsia="zh-CN"/>
        </w:rPr>
        <w:t>INP-31</w:t>
      </w:r>
      <w:r w:rsidR="007457D3">
        <w:rPr>
          <w:rFonts w:eastAsiaTheme="minorEastAsia" w:hint="eastAsia"/>
          <w:lang w:val="en-NZ" w:eastAsia="zh-CN"/>
        </w:rPr>
        <w:t xml:space="preserve"> (AUS), INP-37(IRN), </w:t>
      </w:r>
      <w:r w:rsidR="007457D3">
        <w:rPr>
          <w:rFonts w:eastAsiaTheme="minorEastAsia"/>
          <w:lang w:val="en-NZ" w:eastAsia="zh-CN"/>
        </w:rPr>
        <w:br/>
      </w:r>
      <w:r w:rsidR="007457D3">
        <w:rPr>
          <w:rFonts w:eastAsiaTheme="minorEastAsia" w:hint="eastAsia"/>
          <w:lang w:val="en-NZ" w:eastAsia="zh-CN"/>
        </w:rPr>
        <w:t>INP-52 (CHN), INP-58(J)</w:t>
      </w:r>
    </w:p>
    <w:p w14:paraId="2E0E6755" w14:textId="6387AC47" w:rsidR="00B64A60" w:rsidRPr="00232919" w:rsidRDefault="00B64A60" w:rsidP="00B64A60">
      <w:pPr>
        <w:numPr>
          <w:ilvl w:val="0"/>
          <w:numId w:val="18"/>
        </w:numPr>
        <w:ind w:leftChars="145" w:left="708"/>
        <w:jc w:val="both"/>
        <w:rPr>
          <w:lang w:val="en-NZ"/>
        </w:rPr>
      </w:pPr>
      <w:r w:rsidRPr="00232919">
        <w:rPr>
          <w:lang w:val="en-NZ"/>
        </w:rPr>
        <w:t>Info</w:t>
      </w:r>
      <w:r w:rsidR="0090566B" w:rsidRPr="00232919">
        <w:rPr>
          <w:lang w:val="en-NZ"/>
        </w:rPr>
        <w:t>rmation Documents APG19-2/INF-</w:t>
      </w:r>
      <w:r w:rsidR="0090566B" w:rsidRPr="00232919">
        <w:rPr>
          <w:rFonts w:hint="eastAsia"/>
          <w:lang w:val="en-NZ"/>
        </w:rPr>
        <w:t>01</w:t>
      </w:r>
      <w:r w:rsidR="0090566B" w:rsidRPr="00232919">
        <w:rPr>
          <w:rFonts w:eastAsiaTheme="minorEastAsia" w:hint="eastAsia"/>
          <w:lang w:val="en-NZ" w:eastAsia="zh-CN"/>
        </w:rPr>
        <w:t>,</w:t>
      </w:r>
      <w:r w:rsidR="00D06102">
        <w:rPr>
          <w:rFonts w:eastAsiaTheme="minorEastAsia" w:hint="eastAsia"/>
          <w:lang w:val="en-NZ" w:eastAsia="zh-CN"/>
        </w:rPr>
        <w:t xml:space="preserve"> </w:t>
      </w:r>
      <w:r w:rsidR="007127C7">
        <w:rPr>
          <w:rFonts w:hint="eastAsia"/>
          <w:lang w:val="en-NZ"/>
        </w:rPr>
        <w:t>INF</w:t>
      </w:r>
      <w:r w:rsidR="0090566B" w:rsidRPr="00232919">
        <w:rPr>
          <w:rFonts w:hint="eastAsia"/>
          <w:lang w:val="en-NZ"/>
        </w:rPr>
        <w:t>-04</w:t>
      </w:r>
      <w:r w:rsidR="0090566B" w:rsidRPr="00232919">
        <w:rPr>
          <w:rFonts w:eastAsiaTheme="minorEastAsia" w:hint="eastAsia"/>
          <w:lang w:val="en-NZ" w:eastAsia="zh-CN"/>
        </w:rPr>
        <w:t xml:space="preserve">, </w:t>
      </w:r>
      <w:r w:rsidR="0090566B" w:rsidRPr="00232919">
        <w:rPr>
          <w:rFonts w:hint="eastAsia"/>
          <w:lang w:val="en-NZ"/>
        </w:rPr>
        <w:t>IN</w:t>
      </w:r>
      <w:r w:rsidR="007127C7">
        <w:rPr>
          <w:lang w:val="en-NZ"/>
        </w:rPr>
        <w:t>F</w:t>
      </w:r>
      <w:r w:rsidR="0090566B" w:rsidRPr="00232919">
        <w:rPr>
          <w:rFonts w:hint="eastAsia"/>
          <w:lang w:val="en-NZ"/>
        </w:rPr>
        <w:t>-05</w:t>
      </w:r>
      <w:r w:rsidR="007127C7">
        <w:rPr>
          <w:lang w:val="en-NZ"/>
        </w:rPr>
        <w:t>, INF-14</w:t>
      </w:r>
    </w:p>
    <w:p w14:paraId="2E0E6756" w14:textId="77777777" w:rsidR="00B64A60" w:rsidRPr="007457D3" w:rsidRDefault="00B64A60" w:rsidP="00B64A60">
      <w:pPr>
        <w:jc w:val="both"/>
        <w:rPr>
          <w:lang w:val="en-NZ"/>
        </w:rPr>
      </w:pPr>
    </w:p>
    <w:p w14:paraId="2E0E6757" w14:textId="77777777" w:rsidR="00B64A60" w:rsidRPr="007457D3" w:rsidRDefault="00B64A60" w:rsidP="00B64A60">
      <w:pPr>
        <w:spacing w:after="120"/>
        <w:jc w:val="both"/>
        <w:rPr>
          <w:b/>
          <w:lang w:val="en-NZ" w:eastAsia="ko-KR"/>
        </w:rPr>
      </w:pPr>
      <w:r w:rsidRPr="007457D3">
        <w:rPr>
          <w:b/>
          <w:lang w:val="en-NZ" w:eastAsia="ko-KR"/>
        </w:rPr>
        <w:t xml:space="preserve">3. </w:t>
      </w:r>
      <w:r w:rsidRPr="007457D3">
        <w:rPr>
          <w:b/>
          <w:lang w:val="en-NZ" w:eastAsia="ko-KR"/>
        </w:rPr>
        <w:tab/>
        <w:t>Summary of Discussions</w:t>
      </w:r>
    </w:p>
    <w:p w14:paraId="304F9937" w14:textId="31EFCC4C" w:rsidR="004A2F96" w:rsidRPr="007457D3" w:rsidRDefault="004A2F96" w:rsidP="00B64A60">
      <w:pPr>
        <w:spacing w:after="120"/>
        <w:jc w:val="both"/>
        <w:rPr>
          <w:b/>
          <w:lang w:val="en-NZ" w:eastAsia="ko-KR"/>
        </w:rPr>
      </w:pPr>
      <w:r w:rsidRPr="007457D3">
        <w:rPr>
          <w:b/>
          <w:lang w:val="en-NZ" w:eastAsia="ko-KR"/>
        </w:rPr>
        <w:t>3.1</w:t>
      </w:r>
      <w:r w:rsidRPr="007457D3">
        <w:rPr>
          <w:b/>
          <w:lang w:val="en-NZ" w:eastAsia="ko-KR"/>
        </w:rPr>
        <w:tab/>
        <w:t xml:space="preserve"> Summary of Members’ view</w:t>
      </w:r>
    </w:p>
    <w:p w14:paraId="28B1F7B3" w14:textId="77777777" w:rsidR="007556BB" w:rsidRDefault="004A2F96" w:rsidP="00B64A60">
      <w:pPr>
        <w:spacing w:after="120"/>
        <w:jc w:val="both"/>
        <w:rPr>
          <w:rFonts w:eastAsiaTheme="minorEastAsia"/>
          <w:b/>
          <w:lang w:val="en-NZ" w:eastAsia="zh-CN"/>
        </w:rPr>
      </w:pPr>
      <w:r w:rsidRPr="007457D3">
        <w:rPr>
          <w:b/>
          <w:lang w:val="en-NZ" w:eastAsia="ko-KR"/>
        </w:rPr>
        <w:t xml:space="preserve">3.1.1 </w:t>
      </w:r>
      <w:r w:rsidR="007556BB">
        <w:rPr>
          <w:rFonts w:eastAsiaTheme="minorEastAsia" w:hint="eastAsia"/>
          <w:b/>
          <w:lang w:val="en-NZ" w:eastAsia="zh-CN"/>
        </w:rPr>
        <w:t>Korea (Republic of)</w:t>
      </w:r>
    </w:p>
    <w:p w14:paraId="7993A39D" w14:textId="133AA0BB" w:rsidR="004A2F96" w:rsidRPr="00907A6B" w:rsidRDefault="00907A6B" w:rsidP="00B64A60">
      <w:pPr>
        <w:spacing w:after="120"/>
        <w:jc w:val="both"/>
        <w:rPr>
          <w:rFonts w:eastAsiaTheme="minorEastAsia"/>
          <w:lang w:val="en-NZ" w:eastAsia="zh-CN"/>
        </w:rPr>
      </w:pPr>
      <w:r w:rsidRPr="00907A6B">
        <w:rPr>
          <w:lang w:val="en-NZ" w:eastAsia="ko-KR"/>
        </w:rPr>
        <w:t xml:space="preserve">The Republic of Korea supports the ITU-R studies in accordance with Resolution 765 (WRC-15) to conduct and complete, in time for WRC-19, the necessary technical, operational and regulatory studies on the possibility of establishing in-band power limits for earth stations in the EESS and </w:t>
      </w:r>
      <w:proofErr w:type="spellStart"/>
      <w:r w:rsidRPr="00907A6B">
        <w:rPr>
          <w:lang w:val="en-NZ" w:eastAsia="ko-KR"/>
        </w:rPr>
        <w:t>MetSat</w:t>
      </w:r>
      <w:proofErr w:type="spellEnd"/>
      <w:r w:rsidRPr="00907A6B">
        <w:rPr>
          <w:lang w:val="en-NZ" w:eastAsia="ko-KR"/>
        </w:rPr>
        <w:t xml:space="preserve"> in the frequency band 401-403 MHz and the MSS in the frequency band 399.9-400.05 </w:t>
      </w:r>
      <w:proofErr w:type="spellStart"/>
      <w:r w:rsidRPr="00907A6B">
        <w:rPr>
          <w:lang w:val="en-NZ" w:eastAsia="ko-KR"/>
        </w:rPr>
        <w:t>MHz.</w:t>
      </w:r>
      <w:proofErr w:type="spellEnd"/>
    </w:p>
    <w:p w14:paraId="23D82B66" w14:textId="77777777" w:rsidR="00907A6B" w:rsidRDefault="004A2F96" w:rsidP="00B64A60">
      <w:pPr>
        <w:spacing w:after="120"/>
        <w:jc w:val="both"/>
        <w:rPr>
          <w:rFonts w:eastAsiaTheme="minorEastAsia"/>
          <w:b/>
          <w:lang w:val="en-NZ" w:eastAsia="zh-CN"/>
        </w:rPr>
      </w:pPr>
      <w:r w:rsidRPr="007457D3">
        <w:rPr>
          <w:b/>
          <w:lang w:val="en-NZ" w:eastAsia="ko-KR"/>
        </w:rPr>
        <w:t xml:space="preserve">3.1.2 </w:t>
      </w:r>
      <w:r w:rsidR="007556BB">
        <w:rPr>
          <w:rFonts w:eastAsiaTheme="minorEastAsia" w:hint="eastAsia"/>
          <w:b/>
          <w:lang w:val="en-NZ" w:eastAsia="zh-CN"/>
        </w:rPr>
        <w:t>Australia</w:t>
      </w:r>
    </w:p>
    <w:p w14:paraId="6C0308E7" w14:textId="47D6905F" w:rsidR="004A2F96" w:rsidRPr="00907A6B" w:rsidRDefault="00907A6B" w:rsidP="00B64A60">
      <w:pPr>
        <w:spacing w:after="120"/>
        <w:jc w:val="both"/>
        <w:rPr>
          <w:rFonts w:eastAsiaTheme="minorEastAsia"/>
          <w:lang w:val="en-NZ" w:eastAsia="zh-CN"/>
        </w:rPr>
      </w:pPr>
      <w:r w:rsidRPr="00907A6B">
        <w:rPr>
          <w:lang w:val="en-NZ" w:eastAsia="ko-KR"/>
        </w:rPr>
        <w:t>Contingent upon results of ITU-R studies</w:t>
      </w:r>
      <w:r w:rsidR="001C19FA">
        <w:rPr>
          <w:rFonts w:eastAsiaTheme="minorEastAsia" w:hint="eastAsia"/>
          <w:lang w:val="en-NZ" w:eastAsia="zh-CN"/>
        </w:rPr>
        <w:t>,</w:t>
      </w:r>
      <w:r w:rsidRPr="00907A6B">
        <w:rPr>
          <w:lang w:val="en-NZ" w:eastAsia="ko-KR"/>
        </w:rPr>
        <w:t xml:space="preserve"> Australia supports the establishment of appropriate in band power limits for MSS, </w:t>
      </w:r>
      <w:proofErr w:type="spellStart"/>
      <w:r w:rsidRPr="00907A6B">
        <w:rPr>
          <w:lang w:val="en-NZ" w:eastAsia="ko-KR"/>
        </w:rPr>
        <w:t>MetSat</w:t>
      </w:r>
      <w:proofErr w:type="spellEnd"/>
      <w:r w:rsidRPr="00907A6B">
        <w:rPr>
          <w:lang w:val="en-NZ" w:eastAsia="ko-KR"/>
        </w:rPr>
        <w:t xml:space="preserve"> and EESS Earth stations operating in the 401-403 MHz and 399.9 400.05 MHz bands (Earth-to-space) in order to ensure compatibility between existing and future applications with these and other services operating in the frequency bands.</w:t>
      </w:r>
    </w:p>
    <w:p w14:paraId="234910FA" w14:textId="48F7DB1D" w:rsidR="007556BB" w:rsidRDefault="004A2F96" w:rsidP="00B64A60">
      <w:pPr>
        <w:spacing w:after="120"/>
        <w:jc w:val="both"/>
        <w:rPr>
          <w:rFonts w:eastAsiaTheme="minorEastAsia"/>
          <w:b/>
          <w:lang w:val="en-NZ" w:eastAsia="zh-CN"/>
        </w:rPr>
      </w:pPr>
      <w:r w:rsidRPr="007457D3">
        <w:rPr>
          <w:b/>
          <w:lang w:val="en-NZ" w:eastAsia="ko-KR"/>
        </w:rPr>
        <w:t>3.1.</w:t>
      </w:r>
      <w:r w:rsidR="007556BB">
        <w:rPr>
          <w:rFonts w:eastAsiaTheme="minorEastAsia" w:hint="eastAsia"/>
          <w:b/>
          <w:lang w:val="en-NZ" w:eastAsia="zh-CN"/>
        </w:rPr>
        <w:t>3</w:t>
      </w:r>
      <w:r w:rsidRPr="007457D3">
        <w:rPr>
          <w:b/>
          <w:lang w:val="en-NZ" w:eastAsia="ko-KR"/>
        </w:rPr>
        <w:t xml:space="preserve"> </w:t>
      </w:r>
      <w:r w:rsidR="007556BB">
        <w:rPr>
          <w:rFonts w:eastAsiaTheme="minorEastAsia" w:hint="eastAsia"/>
          <w:b/>
          <w:lang w:val="en-NZ" w:eastAsia="zh-CN"/>
        </w:rPr>
        <w:t>Iran (Islamic Republic of)</w:t>
      </w:r>
    </w:p>
    <w:p w14:paraId="30905104" w14:textId="7CCFAC60" w:rsidR="00907A6B" w:rsidRPr="00907A6B" w:rsidRDefault="00907A6B" w:rsidP="00B64A60">
      <w:pPr>
        <w:spacing w:after="120"/>
        <w:jc w:val="both"/>
        <w:rPr>
          <w:lang w:val="en-NZ" w:eastAsia="ko-KR"/>
        </w:rPr>
      </w:pPr>
      <w:r w:rsidRPr="00907A6B">
        <w:rPr>
          <w:lang w:val="en-NZ" w:eastAsia="ko-KR"/>
        </w:rPr>
        <w:t xml:space="preserve">Taking into account the result of ITU-R studies, This Administration may agree that for ensuring long term continuity of the operation of satellite data collection systems, the establishment of in-band power limits for earth stations operating in the MSS in the frequency band 399.9-400.05 MHz and in the EESS and </w:t>
      </w:r>
      <w:proofErr w:type="spellStart"/>
      <w:r w:rsidRPr="00907A6B">
        <w:rPr>
          <w:lang w:val="en-NZ" w:eastAsia="ko-KR"/>
        </w:rPr>
        <w:t>MetSat</w:t>
      </w:r>
      <w:proofErr w:type="spellEnd"/>
      <w:r w:rsidRPr="00907A6B">
        <w:rPr>
          <w:lang w:val="en-NZ" w:eastAsia="ko-KR"/>
        </w:rPr>
        <w:t xml:space="preserve"> in the frequency band 401-403 MHz is necessary.</w:t>
      </w:r>
    </w:p>
    <w:p w14:paraId="420F9CDB" w14:textId="77777777" w:rsidR="007556BB" w:rsidRDefault="007556BB" w:rsidP="00B64A60">
      <w:pPr>
        <w:spacing w:after="120"/>
        <w:jc w:val="both"/>
        <w:rPr>
          <w:rFonts w:eastAsiaTheme="minorEastAsia"/>
          <w:b/>
          <w:lang w:val="en-NZ" w:eastAsia="zh-CN"/>
        </w:rPr>
      </w:pPr>
      <w:r>
        <w:rPr>
          <w:rFonts w:eastAsiaTheme="minorEastAsia" w:hint="eastAsia"/>
          <w:b/>
          <w:lang w:val="en-NZ" w:eastAsia="zh-CN"/>
        </w:rPr>
        <w:t>3.1.4 China (People</w:t>
      </w:r>
      <w:r>
        <w:rPr>
          <w:rFonts w:eastAsiaTheme="minorEastAsia"/>
          <w:b/>
          <w:lang w:val="en-NZ" w:eastAsia="zh-CN"/>
        </w:rPr>
        <w:t>’</w:t>
      </w:r>
      <w:r>
        <w:rPr>
          <w:rFonts w:eastAsiaTheme="minorEastAsia" w:hint="eastAsia"/>
          <w:b/>
          <w:lang w:val="en-NZ" w:eastAsia="zh-CN"/>
        </w:rPr>
        <w:t>s Republic of)</w:t>
      </w:r>
    </w:p>
    <w:p w14:paraId="0CB4506D" w14:textId="4839EED3" w:rsidR="00907A6B" w:rsidRPr="00907A6B" w:rsidRDefault="00907A6B" w:rsidP="00B64A60">
      <w:pPr>
        <w:spacing w:after="120"/>
        <w:jc w:val="both"/>
        <w:rPr>
          <w:lang w:val="en-NZ" w:eastAsia="ko-KR"/>
        </w:rPr>
      </w:pPr>
      <w:r w:rsidRPr="00907A6B">
        <w:rPr>
          <w:lang w:val="en-NZ" w:eastAsia="ko-KR"/>
        </w:rPr>
        <w:lastRenderedPageBreak/>
        <w:t>China supports the studies on this agenda item carried out by ITU-R WP 7B. China also supports the establishment of the power limits set forth under this agenda item and is of the view that the limits should not constrain the reception of uplink data in the current allocated service in the 399.9-400.05 MHz band and the operation of the current data collection systems in the 401-403MHz band.</w:t>
      </w:r>
    </w:p>
    <w:p w14:paraId="76E22F90" w14:textId="0E3BB629" w:rsidR="004A2F96" w:rsidRPr="00907A6B" w:rsidRDefault="007556BB" w:rsidP="00B64A60">
      <w:pPr>
        <w:spacing w:after="120"/>
        <w:jc w:val="both"/>
        <w:rPr>
          <w:rFonts w:eastAsiaTheme="minorEastAsia"/>
          <w:b/>
          <w:lang w:val="en-NZ" w:eastAsia="zh-CN"/>
        </w:rPr>
      </w:pPr>
      <w:r>
        <w:rPr>
          <w:rFonts w:eastAsiaTheme="minorEastAsia" w:hint="eastAsia"/>
          <w:b/>
          <w:lang w:val="en-NZ" w:eastAsia="zh-CN"/>
        </w:rPr>
        <w:t>3.1.5 Japan</w:t>
      </w:r>
    </w:p>
    <w:p w14:paraId="7C5DF2E3" w14:textId="243562B7" w:rsidR="008454C8" w:rsidRPr="00907A6B" w:rsidRDefault="00907A6B" w:rsidP="00907A6B">
      <w:pPr>
        <w:spacing w:after="120"/>
        <w:jc w:val="both"/>
        <w:rPr>
          <w:lang w:val="en-NZ" w:eastAsia="ko-KR"/>
        </w:rPr>
      </w:pPr>
      <w:r w:rsidRPr="00907A6B">
        <w:rPr>
          <w:lang w:val="en-NZ" w:eastAsia="ko-KR"/>
        </w:rPr>
        <w:t>Since the frequency band 401-403 MHz is also used by EESS (Earth-to-space) for non-DCS purpose in Japan, this Administration is of the view that careful consideration should be given not to impose undue constraints on EESS (Earth-to-space) earth stations in this frequency band.</w:t>
      </w:r>
    </w:p>
    <w:p w14:paraId="30F0C444" w14:textId="4F46DB24" w:rsidR="00197C18" w:rsidRPr="007457D3" w:rsidRDefault="00197C18" w:rsidP="008454C8">
      <w:pPr>
        <w:spacing w:after="120"/>
        <w:jc w:val="both"/>
        <w:rPr>
          <w:b/>
          <w:lang w:val="en-NZ"/>
        </w:rPr>
      </w:pPr>
    </w:p>
    <w:p w14:paraId="7E81F481" w14:textId="725FCE4B" w:rsidR="008454C8" w:rsidRPr="00C65973" w:rsidRDefault="008454C8" w:rsidP="008454C8">
      <w:pPr>
        <w:spacing w:after="120"/>
        <w:jc w:val="both"/>
        <w:rPr>
          <w:b/>
          <w:lang w:val="en-NZ"/>
        </w:rPr>
      </w:pPr>
      <w:r w:rsidRPr="00C65973">
        <w:rPr>
          <w:b/>
          <w:lang w:val="en-NZ"/>
        </w:rPr>
        <w:t xml:space="preserve">3.2 </w:t>
      </w:r>
      <w:r w:rsidRPr="00C65973">
        <w:rPr>
          <w:b/>
          <w:lang w:val="en-NZ"/>
        </w:rPr>
        <w:tab/>
      </w:r>
      <w:r w:rsidRPr="00C65973">
        <w:rPr>
          <w:b/>
          <w:lang w:val="en-NZ" w:eastAsia="ko-KR"/>
        </w:rPr>
        <w:t>Key</w:t>
      </w:r>
      <w:r w:rsidRPr="00C65973">
        <w:rPr>
          <w:b/>
          <w:lang w:val="en-NZ"/>
        </w:rPr>
        <w:t xml:space="preserve"> </w:t>
      </w:r>
      <w:r w:rsidRPr="00C65973">
        <w:rPr>
          <w:b/>
          <w:lang w:val="en-NZ" w:eastAsia="ko-KR"/>
        </w:rPr>
        <w:t>points</w:t>
      </w:r>
      <w:r w:rsidRPr="00C65973">
        <w:rPr>
          <w:b/>
          <w:lang w:val="en-NZ"/>
        </w:rPr>
        <w:t xml:space="preserve"> raised during the meeting</w:t>
      </w:r>
    </w:p>
    <w:p w14:paraId="2E0E6758" w14:textId="20C62A11" w:rsidR="00036CC9" w:rsidRPr="00C65973" w:rsidRDefault="00A060E2" w:rsidP="00B22651">
      <w:pPr>
        <w:rPr>
          <w:lang w:val="en-NZ"/>
        </w:rPr>
      </w:pPr>
      <w:r w:rsidRPr="00C65973">
        <w:rPr>
          <w:rFonts w:eastAsiaTheme="minorEastAsia"/>
          <w:lang w:val="en-NZ" w:eastAsia="zh-CN"/>
        </w:rPr>
        <w:t>None</w:t>
      </w:r>
      <w:r w:rsidR="00C65973">
        <w:rPr>
          <w:rFonts w:eastAsiaTheme="minorEastAsia" w:hint="eastAsia"/>
          <w:lang w:val="en-NZ" w:eastAsia="zh-CN"/>
        </w:rPr>
        <w:t>.</w:t>
      </w:r>
    </w:p>
    <w:p w14:paraId="2E0E675A" w14:textId="77777777" w:rsidR="00585F3C" w:rsidRPr="007457D3" w:rsidRDefault="00585F3C" w:rsidP="00B64A60">
      <w:pPr>
        <w:jc w:val="both"/>
        <w:rPr>
          <w:lang w:val="en-NZ"/>
        </w:rPr>
      </w:pPr>
    </w:p>
    <w:p w14:paraId="2E0E675B" w14:textId="46368A45" w:rsidR="00B64A60" w:rsidRPr="007457D3" w:rsidRDefault="00B64A60" w:rsidP="00B64A60">
      <w:pPr>
        <w:spacing w:after="120"/>
        <w:jc w:val="both"/>
        <w:rPr>
          <w:b/>
          <w:lang w:val="en-NZ" w:eastAsia="ko-KR"/>
        </w:rPr>
      </w:pPr>
      <w:r w:rsidRPr="007457D3">
        <w:rPr>
          <w:b/>
          <w:lang w:val="en-NZ" w:eastAsia="ko-KR"/>
        </w:rPr>
        <w:t xml:space="preserve">4. </w:t>
      </w:r>
      <w:r w:rsidRPr="007457D3">
        <w:rPr>
          <w:b/>
          <w:lang w:val="en-NZ" w:eastAsia="ko-KR"/>
        </w:rPr>
        <w:tab/>
      </w:r>
      <w:r w:rsidR="004465AA" w:rsidRPr="007457D3">
        <w:rPr>
          <w:b/>
          <w:lang w:val="en-NZ" w:eastAsia="ko-KR"/>
        </w:rPr>
        <w:t xml:space="preserve">APT </w:t>
      </w:r>
      <w:r w:rsidRPr="007457D3">
        <w:rPr>
          <w:b/>
          <w:lang w:val="en-NZ" w:eastAsia="ko-KR"/>
        </w:rPr>
        <w:t>Preliminary View</w:t>
      </w:r>
      <w:r w:rsidR="00D53688" w:rsidRPr="007457D3">
        <w:rPr>
          <w:b/>
          <w:lang w:val="en-NZ" w:eastAsia="ko-KR"/>
        </w:rPr>
        <w:t>(s)</w:t>
      </w:r>
    </w:p>
    <w:p w14:paraId="2E0E675E" w14:textId="7ED57E52" w:rsidR="00FD6235" w:rsidRPr="00AB67ED" w:rsidRDefault="00BA202B" w:rsidP="00EE5935">
      <w:pPr>
        <w:spacing w:afterLines="50" w:after="120"/>
        <w:rPr>
          <w:lang w:val="en-NZ" w:eastAsia="ko-KR"/>
        </w:rPr>
      </w:pPr>
      <w:r>
        <w:rPr>
          <w:rFonts w:eastAsiaTheme="minorEastAsia" w:hint="eastAsia"/>
          <w:lang w:val="en-NZ" w:eastAsia="zh-CN"/>
        </w:rPr>
        <w:t>APT M</w:t>
      </w:r>
      <w:r w:rsidR="00EE5935">
        <w:rPr>
          <w:rFonts w:eastAsiaTheme="minorEastAsia" w:hint="eastAsia"/>
          <w:lang w:val="en-NZ" w:eastAsia="zh-CN"/>
        </w:rPr>
        <w:t xml:space="preserve">embers </w:t>
      </w:r>
      <w:r w:rsidR="00EE5935">
        <w:rPr>
          <w:lang w:val="en-NZ" w:eastAsia="ko-KR"/>
        </w:rPr>
        <w:t>support</w:t>
      </w:r>
      <w:r w:rsidR="00EE5935" w:rsidRPr="00907A6B">
        <w:rPr>
          <w:lang w:val="en-NZ" w:eastAsia="ko-KR"/>
        </w:rPr>
        <w:t xml:space="preserve"> the ITU-R studies in accordance with Resolution</w:t>
      </w:r>
      <w:r w:rsidR="00EE5935" w:rsidRPr="001C19FA">
        <w:rPr>
          <w:b/>
          <w:lang w:val="en-NZ" w:eastAsia="ko-KR"/>
        </w:rPr>
        <w:t xml:space="preserve"> 765 (WRC-15)</w:t>
      </w:r>
      <w:r w:rsidR="00EE5935" w:rsidRPr="00907A6B">
        <w:rPr>
          <w:lang w:val="en-NZ" w:eastAsia="ko-KR"/>
        </w:rPr>
        <w:t xml:space="preserve"> to conduct and complete, in time for WRC-19, the necessary technical, operational and regulatory studies on the possibility of establishing in-band power limits for earth stations in the EESS and </w:t>
      </w:r>
      <w:proofErr w:type="spellStart"/>
      <w:r w:rsidR="00EE5935" w:rsidRPr="00907A6B">
        <w:rPr>
          <w:lang w:val="en-NZ" w:eastAsia="ko-KR"/>
        </w:rPr>
        <w:t>MetSat</w:t>
      </w:r>
      <w:proofErr w:type="spellEnd"/>
      <w:r w:rsidR="00EE5935" w:rsidRPr="00907A6B">
        <w:rPr>
          <w:lang w:val="en-NZ" w:eastAsia="ko-KR"/>
        </w:rPr>
        <w:t xml:space="preserve"> in the frequency band 401-403 MHz and the MSS in the frequency band 399.9-400.05 MHz</w:t>
      </w:r>
      <w:r w:rsidR="00A7063E" w:rsidRPr="00AB67ED">
        <w:rPr>
          <w:rFonts w:hint="eastAsia"/>
          <w:lang w:val="en-NZ" w:eastAsia="ko-KR"/>
        </w:rPr>
        <w:t xml:space="preserve">, </w:t>
      </w:r>
      <w:r w:rsidR="00E47428">
        <w:rPr>
          <w:lang w:val="en-NZ" w:eastAsia="ko-KR"/>
        </w:rPr>
        <w:t>without any</w:t>
      </w:r>
      <w:r w:rsidR="00A7063E" w:rsidRPr="00AB67ED">
        <w:rPr>
          <w:rFonts w:hint="eastAsia"/>
          <w:lang w:val="en-NZ" w:eastAsia="ko-KR"/>
        </w:rPr>
        <w:t xml:space="preserve"> constraint to existing </w:t>
      </w:r>
      <w:r w:rsidR="00326923">
        <w:rPr>
          <w:rFonts w:eastAsiaTheme="minorEastAsia" w:hint="eastAsia"/>
          <w:lang w:val="en-NZ" w:eastAsia="zh-CN"/>
        </w:rPr>
        <w:t>services</w:t>
      </w:r>
      <w:r w:rsidR="00B41D4E">
        <w:rPr>
          <w:rFonts w:eastAsiaTheme="minorEastAsia" w:hint="eastAsia"/>
          <w:lang w:val="en-NZ" w:eastAsia="zh-CN"/>
        </w:rPr>
        <w:t xml:space="preserve"> </w:t>
      </w:r>
      <w:r w:rsidR="00326923">
        <w:rPr>
          <w:rFonts w:eastAsiaTheme="minorEastAsia" w:hint="eastAsia"/>
          <w:lang w:val="en-NZ" w:eastAsia="zh-CN"/>
        </w:rPr>
        <w:t>(including DCS and non-DCS systems)</w:t>
      </w:r>
      <w:r w:rsidR="00EE5935" w:rsidRPr="00907A6B">
        <w:rPr>
          <w:lang w:val="en-NZ" w:eastAsia="ko-KR"/>
        </w:rPr>
        <w:t>.</w:t>
      </w:r>
    </w:p>
    <w:p w14:paraId="61FEEEC3" w14:textId="29D601FA" w:rsidR="00EE5935" w:rsidRPr="00EE5935" w:rsidRDefault="00EE5935" w:rsidP="00EE5935">
      <w:pPr>
        <w:spacing w:afterLines="50" w:after="120"/>
        <w:rPr>
          <w:rFonts w:eastAsiaTheme="minorEastAsia"/>
          <w:lang w:val="en-NZ" w:eastAsia="zh-CN"/>
        </w:rPr>
      </w:pPr>
    </w:p>
    <w:p w14:paraId="2E0E675F" w14:textId="77777777" w:rsidR="00B64A60" w:rsidRPr="007457D3" w:rsidRDefault="00B64A60" w:rsidP="00B64A60">
      <w:pPr>
        <w:spacing w:after="120"/>
        <w:jc w:val="both"/>
        <w:rPr>
          <w:b/>
          <w:lang w:val="en-NZ" w:eastAsia="ko-KR"/>
        </w:rPr>
      </w:pPr>
      <w:r w:rsidRPr="007457D3">
        <w:rPr>
          <w:b/>
          <w:lang w:val="en-NZ" w:eastAsia="ko-KR"/>
        </w:rPr>
        <w:t xml:space="preserve">5. </w:t>
      </w:r>
      <w:r w:rsidRPr="007457D3">
        <w:rPr>
          <w:b/>
          <w:lang w:val="en-NZ" w:eastAsia="ko-KR"/>
        </w:rPr>
        <w:tab/>
        <w:t>Other Views</w:t>
      </w:r>
    </w:p>
    <w:p w14:paraId="2E0E6760" w14:textId="151749E1" w:rsidR="00B64A60" w:rsidRPr="007457D3" w:rsidRDefault="00197A39" w:rsidP="00B22651">
      <w:pPr>
        <w:rPr>
          <w:lang w:val="en-NZ"/>
        </w:rPr>
      </w:pPr>
      <w:r>
        <w:rPr>
          <w:rFonts w:eastAsiaTheme="minorEastAsia" w:hint="eastAsia"/>
          <w:lang w:val="en-NZ" w:eastAsia="zh-CN"/>
        </w:rPr>
        <w:t>None</w:t>
      </w:r>
      <w:r w:rsidR="00A060E2">
        <w:rPr>
          <w:rFonts w:eastAsiaTheme="minorEastAsia" w:hint="eastAsia"/>
          <w:lang w:val="en-NZ" w:eastAsia="zh-CN"/>
        </w:rPr>
        <w:t>.</w:t>
      </w:r>
      <w:r w:rsidR="00707C21" w:rsidRPr="007457D3">
        <w:rPr>
          <w:lang w:val="en-NZ"/>
        </w:rPr>
        <w:t xml:space="preserve"> </w:t>
      </w:r>
    </w:p>
    <w:p w14:paraId="2E0E6761" w14:textId="77777777" w:rsidR="00B64A60" w:rsidRPr="007457D3" w:rsidRDefault="00B64A60" w:rsidP="00B64A60">
      <w:pPr>
        <w:rPr>
          <w:lang w:val="en-NZ"/>
        </w:rPr>
      </w:pPr>
    </w:p>
    <w:p w14:paraId="11DF0159" w14:textId="3267A27E" w:rsidR="00D53688" w:rsidRPr="007457D3" w:rsidRDefault="00D53688" w:rsidP="0005033E">
      <w:pPr>
        <w:spacing w:afterLines="50" w:after="120"/>
        <w:rPr>
          <w:b/>
          <w:lang w:val="en-NZ"/>
        </w:rPr>
      </w:pPr>
      <w:r w:rsidRPr="007457D3">
        <w:rPr>
          <w:b/>
          <w:lang w:val="en-NZ"/>
        </w:rPr>
        <w:t xml:space="preserve">6. </w:t>
      </w:r>
      <w:r w:rsidRPr="007457D3">
        <w:rPr>
          <w:b/>
          <w:lang w:val="en-NZ"/>
        </w:rPr>
        <w:tab/>
        <w:t xml:space="preserve">Views from Other </w:t>
      </w:r>
      <w:r w:rsidR="00A564FB" w:rsidRPr="007457D3">
        <w:rPr>
          <w:b/>
          <w:lang w:val="en-NZ"/>
        </w:rPr>
        <w:t>Organisations</w:t>
      </w:r>
    </w:p>
    <w:p w14:paraId="21AB74CA" w14:textId="2D2774D1" w:rsidR="0005033E" w:rsidRDefault="0005033E" w:rsidP="0005033E">
      <w:pPr>
        <w:spacing w:afterLines="50" w:after="120"/>
        <w:rPr>
          <w:rFonts w:eastAsiaTheme="minorEastAsia"/>
          <w:b/>
          <w:lang w:val="en-NZ" w:eastAsia="zh-CN"/>
        </w:rPr>
      </w:pPr>
      <w:r w:rsidRPr="0005033E">
        <w:rPr>
          <w:rFonts w:eastAsiaTheme="minorEastAsia" w:hint="eastAsia"/>
          <w:b/>
          <w:lang w:val="en-NZ" w:eastAsia="zh-CN"/>
        </w:rPr>
        <w:t>6.1 CEPT</w:t>
      </w:r>
      <w:r>
        <w:rPr>
          <w:rFonts w:eastAsiaTheme="minorEastAsia" w:hint="eastAsia"/>
          <w:b/>
          <w:lang w:val="en-NZ" w:eastAsia="zh-CN"/>
        </w:rPr>
        <w:t xml:space="preserve"> </w:t>
      </w:r>
    </w:p>
    <w:p w14:paraId="7C554265" w14:textId="148FAD84" w:rsidR="0005033E" w:rsidRPr="0005033E" w:rsidRDefault="0005033E" w:rsidP="0005033E">
      <w:pPr>
        <w:spacing w:afterLines="50" w:after="120"/>
        <w:rPr>
          <w:rFonts w:eastAsiaTheme="minorEastAsia"/>
          <w:lang w:val="en-NZ" w:eastAsia="zh-CN"/>
        </w:rPr>
      </w:pPr>
      <w:r w:rsidRPr="0005033E">
        <w:rPr>
          <w:rFonts w:eastAsiaTheme="minorEastAsia"/>
          <w:lang w:val="en-NZ" w:eastAsia="zh-CN"/>
        </w:rPr>
        <w:t>In order to ensure long term continuity for the operation of satellite data collection systems, CEPT supports the establishment of in-band power/</w:t>
      </w:r>
      <w:proofErr w:type="spellStart"/>
      <w:r w:rsidRPr="0005033E">
        <w:rPr>
          <w:rFonts w:eastAsiaTheme="minorEastAsia"/>
          <w:lang w:val="en-NZ" w:eastAsia="zh-CN"/>
        </w:rPr>
        <w:t>e.i.r.p</w:t>
      </w:r>
      <w:proofErr w:type="spellEnd"/>
      <w:r w:rsidRPr="0005033E">
        <w:rPr>
          <w:rFonts w:eastAsiaTheme="minorEastAsia"/>
          <w:lang w:val="en-NZ" w:eastAsia="zh-CN"/>
        </w:rPr>
        <w:t xml:space="preserve"> limits, as appropriate, for earth stations in the EESS and </w:t>
      </w:r>
      <w:proofErr w:type="spellStart"/>
      <w:r w:rsidRPr="0005033E">
        <w:rPr>
          <w:rFonts w:eastAsiaTheme="minorEastAsia"/>
          <w:lang w:val="en-NZ" w:eastAsia="zh-CN"/>
        </w:rPr>
        <w:t>MetSat</w:t>
      </w:r>
      <w:proofErr w:type="spellEnd"/>
      <w:r w:rsidRPr="0005033E">
        <w:rPr>
          <w:rFonts w:eastAsiaTheme="minorEastAsia"/>
          <w:lang w:val="en-NZ" w:eastAsia="zh-CN"/>
        </w:rPr>
        <w:t xml:space="preserve"> in the frequency band 401-403 MHz and the MSS in the frequency band 399.9-400.05 MHz, taking into account the result of studies. In addition, for the frequency band 401-403 MHz, CEPT is of the view that different sets of limits have to be established for GSO and non-GSO systems.</w:t>
      </w:r>
    </w:p>
    <w:p w14:paraId="5DB93790" w14:textId="77777777" w:rsidR="001157CF" w:rsidRDefault="0005033E" w:rsidP="0005033E">
      <w:pPr>
        <w:spacing w:afterLines="50" w:after="120"/>
        <w:rPr>
          <w:rFonts w:eastAsiaTheme="minorEastAsia"/>
          <w:b/>
          <w:lang w:val="en-NZ" w:eastAsia="zh-CN"/>
        </w:rPr>
      </w:pPr>
      <w:r>
        <w:rPr>
          <w:rFonts w:eastAsiaTheme="minorEastAsia" w:hint="eastAsia"/>
          <w:b/>
          <w:lang w:val="en-NZ" w:eastAsia="zh-CN"/>
        </w:rPr>
        <w:t xml:space="preserve">6.2 </w:t>
      </w:r>
      <w:r w:rsidR="001157CF">
        <w:rPr>
          <w:rFonts w:eastAsiaTheme="minorEastAsia"/>
          <w:b/>
          <w:lang w:val="en-NZ" w:eastAsia="zh-CN"/>
        </w:rPr>
        <w:t>CITEL</w:t>
      </w:r>
    </w:p>
    <w:p w14:paraId="4C25F1DA" w14:textId="311449B8" w:rsidR="0005033E" w:rsidRDefault="0005033E" w:rsidP="0005033E">
      <w:pPr>
        <w:spacing w:afterLines="50" w:after="120"/>
        <w:rPr>
          <w:rFonts w:eastAsiaTheme="minorEastAsia"/>
          <w:b/>
          <w:lang w:val="en-NZ" w:eastAsia="zh-CN"/>
        </w:rPr>
      </w:pPr>
      <w:r>
        <w:rPr>
          <w:rFonts w:eastAsiaTheme="minorEastAsia" w:hint="eastAsia"/>
          <w:b/>
          <w:lang w:val="en-NZ" w:eastAsia="zh-CN"/>
        </w:rPr>
        <w:t xml:space="preserve">CAN, USA </w:t>
      </w:r>
    </w:p>
    <w:p w14:paraId="1CAFFAC1" w14:textId="1AFCC57D" w:rsidR="0005033E" w:rsidRPr="0005033E" w:rsidRDefault="0005033E" w:rsidP="0005033E">
      <w:pPr>
        <w:spacing w:afterLines="50" w:after="120"/>
        <w:rPr>
          <w:rFonts w:eastAsiaTheme="minorEastAsia"/>
          <w:lang w:val="en-NZ" w:eastAsia="zh-CN"/>
        </w:rPr>
      </w:pPr>
      <w:r w:rsidRPr="0005033E">
        <w:rPr>
          <w:rFonts w:eastAsiaTheme="minorEastAsia"/>
          <w:lang w:val="en-NZ" w:eastAsia="zh-CN"/>
        </w:rPr>
        <w:t>To support conducting and completing the necessary technical,</w:t>
      </w:r>
      <w:r w:rsidRPr="0005033E">
        <w:rPr>
          <w:rFonts w:eastAsiaTheme="minorEastAsia" w:hint="eastAsia"/>
          <w:lang w:val="en-NZ" w:eastAsia="zh-CN"/>
        </w:rPr>
        <w:t xml:space="preserve"> </w:t>
      </w:r>
      <w:r w:rsidRPr="0005033E">
        <w:rPr>
          <w:rFonts w:eastAsiaTheme="minorEastAsia"/>
          <w:lang w:val="en-NZ" w:eastAsia="zh-CN"/>
        </w:rPr>
        <w:t>operational, and regulatory studies on the possibility of establishing in</w:t>
      </w:r>
      <w:r w:rsidRPr="0005033E">
        <w:rPr>
          <w:rFonts w:eastAsiaTheme="minorEastAsia" w:hint="eastAsia"/>
          <w:lang w:val="en-NZ" w:eastAsia="zh-CN"/>
        </w:rPr>
        <w:t>-</w:t>
      </w:r>
      <w:r w:rsidRPr="0005033E">
        <w:rPr>
          <w:rFonts w:eastAsiaTheme="minorEastAsia"/>
          <w:lang w:val="en-NZ" w:eastAsia="zh-CN"/>
        </w:rPr>
        <w:t>band</w:t>
      </w:r>
      <w:r w:rsidRPr="0005033E">
        <w:rPr>
          <w:rFonts w:eastAsiaTheme="minorEastAsia" w:hint="eastAsia"/>
          <w:lang w:val="en-NZ" w:eastAsia="zh-CN"/>
        </w:rPr>
        <w:t xml:space="preserve"> </w:t>
      </w:r>
      <w:r w:rsidRPr="0005033E">
        <w:rPr>
          <w:rFonts w:eastAsiaTheme="minorEastAsia"/>
          <w:lang w:val="en-NZ" w:eastAsia="zh-CN"/>
        </w:rPr>
        <w:t xml:space="preserve">power limits for earth stations in the EESS and </w:t>
      </w:r>
      <w:proofErr w:type="spellStart"/>
      <w:r w:rsidRPr="0005033E">
        <w:rPr>
          <w:rFonts w:eastAsiaTheme="minorEastAsia"/>
          <w:lang w:val="en-NZ" w:eastAsia="zh-CN"/>
        </w:rPr>
        <w:t>MetSat</w:t>
      </w:r>
      <w:proofErr w:type="spellEnd"/>
      <w:r w:rsidRPr="0005033E">
        <w:rPr>
          <w:rFonts w:eastAsiaTheme="minorEastAsia"/>
          <w:lang w:val="en-NZ" w:eastAsia="zh-CN"/>
        </w:rPr>
        <w:t xml:space="preserve"> service in</w:t>
      </w:r>
      <w:r>
        <w:rPr>
          <w:rFonts w:eastAsiaTheme="minorEastAsia" w:hint="eastAsia"/>
          <w:lang w:val="en-NZ" w:eastAsia="zh-CN"/>
        </w:rPr>
        <w:t xml:space="preserve"> </w:t>
      </w:r>
      <w:r w:rsidRPr="0005033E">
        <w:rPr>
          <w:rFonts w:eastAsiaTheme="minorEastAsia"/>
          <w:lang w:val="en-NZ" w:eastAsia="zh-CN"/>
        </w:rPr>
        <w:t>the frequency band 401-403 MHz and the MSS in the frequency band</w:t>
      </w:r>
    </w:p>
    <w:p w14:paraId="57269B06" w14:textId="26337543" w:rsidR="0005033E" w:rsidRPr="0005033E" w:rsidRDefault="0005033E" w:rsidP="0005033E">
      <w:pPr>
        <w:spacing w:afterLines="50" w:after="120"/>
        <w:rPr>
          <w:rFonts w:eastAsiaTheme="minorEastAsia"/>
          <w:lang w:val="en-NZ" w:eastAsia="zh-CN"/>
        </w:rPr>
      </w:pPr>
      <w:r w:rsidRPr="0005033E">
        <w:rPr>
          <w:rFonts w:eastAsiaTheme="minorEastAsia"/>
          <w:lang w:val="en-NZ" w:eastAsia="zh-CN"/>
        </w:rPr>
        <w:t xml:space="preserve">399.9-400.05 </w:t>
      </w:r>
      <w:proofErr w:type="spellStart"/>
      <w:r w:rsidRPr="0005033E">
        <w:rPr>
          <w:rFonts w:eastAsiaTheme="minorEastAsia"/>
          <w:lang w:val="en-NZ" w:eastAsia="zh-CN"/>
        </w:rPr>
        <w:t>MHz.</w:t>
      </w:r>
      <w:proofErr w:type="spellEnd"/>
    </w:p>
    <w:p w14:paraId="20F6A384" w14:textId="725CD31C" w:rsidR="0005033E" w:rsidRDefault="0005033E" w:rsidP="0005033E">
      <w:pPr>
        <w:spacing w:afterLines="50" w:after="120"/>
        <w:rPr>
          <w:rFonts w:eastAsiaTheme="minorEastAsia"/>
          <w:lang w:val="en-NZ" w:eastAsia="zh-CN"/>
        </w:rPr>
      </w:pPr>
      <w:r>
        <w:rPr>
          <w:rFonts w:eastAsiaTheme="minorEastAsia" w:hint="eastAsia"/>
          <w:b/>
          <w:lang w:val="en-NZ" w:eastAsia="zh-CN"/>
        </w:rPr>
        <w:t>6.3 RCC</w:t>
      </w:r>
      <w:r w:rsidR="00232919">
        <w:rPr>
          <w:rFonts w:eastAsiaTheme="minorEastAsia" w:hint="eastAsia"/>
          <w:b/>
          <w:lang w:val="en-NZ" w:eastAsia="zh-CN"/>
        </w:rPr>
        <w:t xml:space="preserve"> </w:t>
      </w:r>
    </w:p>
    <w:p w14:paraId="553AA670" w14:textId="30EBC95C" w:rsidR="0005033E" w:rsidRPr="0005033E" w:rsidRDefault="0005033E" w:rsidP="0005033E">
      <w:pPr>
        <w:spacing w:afterLines="50" w:after="120"/>
        <w:rPr>
          <w:rFonts w:eastAsiaTheme="minorEastAsia"/>
          <w:lang w:val="en-NZ" w:eastAsia="zh-CN"/>
        </w:rPr>
      </w:pPr>
      <w:r w:rsidRPr="0005033E">
        <w:rPr>
          <w:rFonts w:eastAsiaTheme="minorEastAsia"/>
          <w:lang w:val="en-NZ" w:eastAsia="zh-CN"/>
        </w:rPr>
        <w:t>The RCC Administrations consider that studies should be conducted to identify and establish 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p>
    <w:p w14:paraId="44BAA07C" w14:textId="77777777" w:rsidR="001157CF" w:rsidRDefault="001157CF" w:rsidP="0005033E">
      <w:pPr>
        <w:spacing w:afterLines="50" w:after="120"/>
        <w:rPr>
          <w:rFonts w:eastAsiaTheme="minorEastAsia"/>
          <w:b/>
          <w:lang w:val="en-NZ" w:eastAsia="zh-CN"/>
        </w:rPr>
      </w:pPr>
    </w:p>
    <w:p w14:paraId="46AB9242" w14:textId="77777777" w:rsidR="001157CF" w:rsidRDefault="001157CF" w:rsidP="0005033E">
      <w:pPr>
        <w:spacing w:afterLines="50" w:after="120"/>
        <w:rPr>
          <w:rFonts w:eastAsiaTheme="minorEastAsia"/>
          <w:b/>
          <w:lang w:val="en-NZ" w:eastAsia="zh-CN"/>
        </w:rPr>
      </w:pPr>
    </w:p>
    <w:p w14:paraId="37EA3F0F" w14:textId="250B7CAC" w:rsidR="0005033E" w:rsidRDefault="0005033E" w:rsidP="0005033E">
      <w:pPr>
        <w:spacing w:afterLines="50" w:after="120"/>
        <w:rPr>
          <w:rFonts w:eastAsiaTheme="minorEastAsia"/>
          <w:lang w:val="en-NZ" w:eastAsia="zh-CN"/>
        </w:rPr>
      </w:pPr>
      <w:r>
        <w:rPr>
          <w:rFonts w:eastAsiaTheme="minorEastAsia" w:hint="eastAsia"/>
          <w:b/>
          <w:lang w:val="en-NZ" w:eastAsia="zh-CN"/>
        </w:rPr>
        <w:lastRenderedPageBreak/>
        <w:t>6.4 ASMG</w:t>
      </w:r>
    </w:p>
    <w:p w14:paraId="72E750E7" w14:textId="77777777" w:rsidR="00A55AEA" w:rsidRPr="00A55AEA" w:rsidRDefault="00A55AEA" w:rsidP="00A55AEA">
      <w:pPr>
        <w:spacing w:afterLines="50" w:after="120"/>
        <w:rPr>
          <w:rFonts w:eastAsiaTheme="minorEastAsia"/>
          <w:lang w:val="en-NZ" w:eastAsia="zh-CN"/>
        </w:rPr>
      </w:pPr>
      <w:r w:rsidRPr="00A55AEA">
        <w:rPr>
          <w:rFonts w:eastAsiaTheme="minorEastAsia"/>
          <w:lang w:val="en-NZ" w:eastAsia="zh-CN"/>
        </w:rPr>
        <w:t>Follow up the ongoing studies in the ITU-R.</w:t>
      </w:r>
    </w:p>
    <w:p w14:paraId="27C0EFD1" w14:textId="2F17B0D2" w:rsidR="00A55AEA" w:rsidRPr="00A55AEA" w:rsidRDefault="00A55AEA" w:rsidP="00A55AEA">
      <w:pPr>
        <w:spacing w:afterLines="50" w:after="120"/>
        <w:rPr>
          <w:rFonts w:eastAsiaTheme="minorEastAsia"/>
          <w:lang w:val="en-NZ" w:eastAsia="zh-CN"/>
        </w:rPr>
      </w:pPr>
      <w:r w:rsidRPr="00A55AEA">
        <w:rPr>
          <w:rFonts w:eastAsiaTheme="minorEastAsia"/>
          <w:lang w:val="en-NZ" w:eastAsia="zh-CN"/>
        </w:rPr>
        <w:t>Supporting the ongoing studies in order to establish in-band power limits for earth stations operating in Mobile satellite service (MSS), Meteorological satellite service (</w:t>
      </w:r>
      <w:proofErr w:type="spellStart"/>
      <w:r w:rsidRPr="00A55AEA">
        <w:rPr>
          <w:rFonts w:eastAsiaTheme="minorEastAsia"/>
          <w:lang w:val="en-NZ" w:eastAsia="zh-CN"/>
        </w:rPr>
        <w:t>MetSat</w:t>
      </w:r>
      <w:proofErr w:type="spellEnd"/>
      <w:r w:rsidRPr="00A55AEA">
        <w:rPr>
          <w:rFonts w:eastAsiaTheme="minorEastAsia"/>
          <w:lang w:val="en-NZ" w:eastAsia="zh-CN"/>
        </w:rPr>
        <w:t>) and Earth exploration service in the frequency bands 401-403MHz and 399.9-400.05MHz, in order to ensure the protection of the existing services without imposing any additional constraints in these services due to the massive usage of the fixed and mobile services in these frequency bands in the countries.</w:t>
      </w:r>
    </w:p>
    <w:p w14:paraId="3F16C651" w14:textId="77777777" w:rsidR="001157CF" w:rsidRDefault="001157CF" w:rsidP="0005033E">
      <w:pPr>
        <w:spacing w:afterLines="50" w:after="120"/>
        <w:rPr>
          <w:rFonts w:eastAsiaTheme="minorEastAsia"/>
          <w:b/>
          <w:lang w:val="en-NZ" w:eastAsia="zh-CN"/>
        </w:rPr>
      </w:pPr>
    </w:p>
    <w:p w14:paraId="116D5F53" w14:textId="692ABDD1" w:rsidR="00A55AEA" w:rsidRDefault="00A55AEA" w:rsidP="0005033E">
      <w:pPr>
        <w:spacing w:afterLines="50" w:after="120"/>
        <w:rPr>
          <w:rFonts w:eastAsiaTheme="minorEastAsia"/>
          <w:lang w:val="en-NZ" w:eastAsia="zh-CN"/>
        </w:rPr>
      </w:pPr>
      <w:r>
        <w:rPr>
          <w:rFonts w:eastAsiaTheme="minorEastAsia" w:hint="eastAsia"/>
          <w:b/>
          <w:lang w:val="en-NZ" w:eastAsia="zh-CN"/>
        </w:rPr>
        <w:t xml:space="preserve">6.5 ATU </w:t>
      </w:r>
      <w:r w:rsidRPr="0005033E">
        <w:rPr>
          <w:rFonts w:eastAsiaTheme="minorEastAsia" w:hint="eastAsia"/>
          <w:lang w:val="en-NZ" w:eastAsia="zh-CN"/>
        </w:rPr>
        <w:t>(</w:t>
      </w:r>
      <w:r>
        <w:rPr>
          <w:rFonts w:eastAsiaTheme="minorEastAsia" w:hint="eastAsia"/>
          <w:lang w:val="en-NZ" w:eastAsia="zh-CN"/>
        </w:rPr>
        <w:t>APG19-2/INF</w:t>
      </w:r>
      <w:r w:rsidRPr="0005033E">
        <w:rPr>
          <w:rFonts w:eastAsiaTheme="minorEastAsia" w:hint="eastAsia"/>
          <w:lang w:val="en-NZ" w:eastAsia="zh-CN"/>
        </w:rPr>
        <w:t>-01)</w:t>
      </w:r>
    </w:p>
    <w:p w14:paraId="2E0E6762" w14:textId="13B67D6B" w:rsidR="00B64A60" w:rsidRPr="007457D3" w:rsidRDefault="00A55AEA" w:rsidP="00A55AEA">
      <w:pPr>
        <w:spacing w:afterLines="50" w:after="120"/>
        <w:rPr>
          <w:lang w:val="en-NZ"/>
        </w:rPr>
      </w:pPr>
      <w:r w:rsidRPr="00A55AEA">
        <w:rPr>
          <w:rFonts w:eastAsiaTheme="minorEastAsia"/>
          <w:lang w:val="en-NZ" w:eastAsia="zh-CN"/>
        </w:rPr>
        <w:t>No preliminary position on this agenda item yet.</w:t>
      </w:r>
    </w:p>
    <w:p w14:paraId="67C2F12F" w14:textId="77777777" w:rsidR="001157CF" w:rsidRDefault="001157CF" w:rsidP="00B64A60">
      <w:pPr>
        <w:spacing w:after="120"/>
        <w:jc w:val="both"/>
        <w:rPr>
          <w:b/>
          <w:lang w:val="en-NZ" w:eastAsia="ko-KR"/>
        </w:rPr>
      </w:pPr>
      <w:bookmarkStart w:id="0" w:name="_GoBack"/>
      <w:bookmarkEnd w:id="0"/>
    </w:p>
    <w:p w14:paraId="2E0E6763" w14:textId="1327959E" w:rsidR="00B64A60" w:rsidRPr="00FD1828" w:rsidRDefault="00D53688" w:rsidP="00B64A60">
      <w:pPr>
        <w:spacing w:after="120"/>
        <w:jc w:val="both"/>
        <w:rPr>
          <w:b/>
          <w:lang w:val="en-NZ" w:eastAsia="ko-KR"/>
        </w:rPr>
      </w:pPr>
      <w:r w:rsidRPr="00FD1828">
        <w:rPr>
          <w:b/>
          <w:lang w:val="en-NZ" w:eastAsia="ko-KR"/>
        </w:rPr>
        <w:t>7</w:t>
      </w:r>
      <w:r w:rsidR="00B64A60" w:rsidRPr="00FD1828">
        <w:rPr>
          <w:b/>
          <w:lang w:val="en-NZ" w:eastAsia="ko-KR"/>
        </w:rPr>
        <w:t xml:space="preserve">. </w:t>
      </w:r>
      <w:r w:rsidR="00B64A60" w:rsidRPr="00FD1828">
        <w:rPr>
          <w:b/>
          <w:lang w:val="en-NZ" w:eastAsia="ko-KR"/>
        </w:rPr>
        <w:tab/>
        <w:t xml:space="preserve">Issues for </w:t>
      </w:r>
      <w:r w:rsidR="00585F3C" w:rsidRPr="00FD1828">
        <w:rPr>
          <w:b/>
          <w:lang w:val="en-NZ" w:eastAsia="ko-KR"/>
        </w:rPr>
        <w:t>C</w:t>
      </w:r>
      <w:r w:rsidR="00B64A60" w:rsidRPr="00FD1828">
        <w:rPr>
          <w:b/>
          <w:lang w:val="en-NZ" w:eastAsia="ko-KR"/>
        </w:rPr>
        <w:t xml:space="preserve">onsideration at </w:t>
      </w:r>
      <w:r w:rsidR="00585F3C" w:rsidRPr="00FD1828">
        <w:rPr>
          <w:b/>
          <w:lang w:val="en-NZ" w:eastAsia="ko-KR"/>
        </w:rPr>
        <w:t>N</w:t>
      </w:r>
      <w:r w:rsidR="00B64A60" w:rsidRPr="00FD1828">
        <w:rPr>
          <w:b/>
          <w:lang w:val="en-NZ" w:eastAsia="ko-KR"/>
        </w:rPr>
        <w:t xml:space="preserve">ext APG </w:t>
      </w:r>
      <w:r w:rsidR="00585F3C" w:rsidRPr="00FD1828">
        <w:rPr>
          <w:b/>
          <w:lang w:val="en-NZ" w:eastAsia="ko-KR"/>
        </w:rPr>
        <w:t>M</w:t>
      </w:r>
      <w:r w:rsidR="00B64A60" w:rsidRPr="00FD1828">
        <w:rPr>
          <w:b/>
          <w:lang w:val="en-NZ" w:eastAsia="ko-KR"/>
        </w:rPr>
        <w:t>eeting</w:t>
      </w:r>
    </w:p>
    <w:p w14:paraId="2E0E6766" w14:textId="3CAB7729" w:rsidR="00B64A60" w:rsidRPr="007457D3" w:rsidRDefault="00EF4FF2" w:rsidP="00B64A60">
      <w:pPr>
        <w:jc w:val="both"/>
        <w:rPr>
          <w:lang w:val="en-NZ"/>
        </w:rPr>
      </w:pPr>
      <w:r>
        <w:rPr>
          <w:rFonts w:eastAsiaTheme="minorEastAsia" w:hint="eastAsia"/>
          <w:lang w:val="en-NZ" w:eastAsia="zh-CN"/>
        </w:rPr>
        <w:t>APT M</w:t>
      </w:r>
      <w:r w:rsidR="002C2F68">
        <w:rPr>
          <w:rFonts w:eastAsiaTheme="minorEastAsia" w:hint="eastAsia"/>
          <w:lang w:val="en-NZ" w:eastAsia="zh-CN"/>
        </w:rPr>
        <w:t>embers are encouraged to participate in and contribute to the work of WP</w:t>
      </w:r>
      <w:r w:rsidR="00A50DC2">
        <w:rPr>
          <w:rFonts w:eastAsiaTheme="minorEastAsia" w:hint="eastAsia"/>
          <w:lang w:val="en-NZ" w:eastAsia="zh-CN"/>
        </w:rPr>
        <w:t xml:space="preserve"> </w:t>
      </w:r>
      <w:r w:rsidR="002C2F68">
        <w:rPr>
          <w:rFonts w:eastAsiaTheme="minorEastAsia" w:hint="eastAsia"/>
          <w:lang w:val="en-NZ" w:eastAsia="zh-CN"/>
        </w:rPr>
        <w:t>7B at its next meeting in October 2017</w:t>
      </w:r>
      <w:r w:rsidR="00C6140A">
        <w:rPr>
          <w:rFonts w:eastAsiaTheme="minorEastAsia"/>
          <w:lang w:val="en-NZ" w:eastAsia="zh-CN"/>
        </w:rPr>
        <w:t xml:space="preserve"> and as well as to APG19-3</w:t>
      </w:r>
      <w:r w:rsidR="001157CF">
        <w:rPr>
          <w:rFonts w:eastAsiaTheme="minorEastAsia"/>
          <w:lang w:val="en-NZ" w:eastAsia="zh-CN"/>
        </w:rPr>
        <w:t>.</w:t>
      </w:r>
    </w:p>
    <w:p w14:paraId="2E0E6767" w14:textId="77777777" w:rsidR="00B64A60" w:rsidRPr="007457D3" w:rsidRDefault="00B64A60" w:rsidP="00B64A60">
      <w:pPr>
        <w:jc w:val="both"/>
        <w:rPr>
          <w:lang w:val="en-NZ"/>
        </w:rPr>
      </w:pPr>
    </w:p>
    <w:p w14:paraId="2E0E6771" w14:textId="2B28DE6F" w:rsidR="00930E64" w:rsidRPr="00273C84" w:rsidRDefault="00B64A60" w:rsidP="00273C84">
      <w:pPr>
        <w:jc w:val="center"/>
        <w:rPr>
          <w:rFonts w:eastAsiaTheme="minorEastAsia"/>
          <w:snapToGrid w:val="0"/>
          <w:lang w:val="en-NZ" w:eastAsia="zh-CN"/>
        </w:rPr>
      </w:pPr>
      <w:r w:rsidRPr="007457D3">
        <w:rPr>
          <w:lang w:val="en-NZ"/>
        </w:rPr>
        <w:t>____________</w:t>
      </w:r>
    </w:p>
    <w:sectPr w:rsidR="00930E64" w:rsidRPr="00273C84" w:rsidSect="004C0F4E">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1C462" w14:textId="77777777" w:rsidR="00BE335D" w:rsidRDefault="00BE335D">
      <w:r>
        <w:separator/>
      </w:r>
    </w:p>
  </w:endnote>
  <w:endnote w:type="continuationSeparator" w:id="0">
    <w:p w14:paraId="53F35D32" w14:textId="77777777" w:rsidR="00BE335D" w:rsidRDefault="00BE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37E00" w:rsidRDefault="00937E0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37E00" w:rsidRDefault="00937E0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3DE3FF0" w:rsidR="00937E00" w:rsidRDefault="001157CF" w:rsidP="001157CF">
    <w:pPr>
      <w:pStyle w:val="Footer"/>
      <w:ind w:right="360"/>
    </w:pPr>
    <w:r>
      <w:rPr>
        <w:rFonts w:hint="eastAsia"/>
        <w:lang w:eastAsia="ko-KR"/>
      </w:rPr>
      <w:t>A</w:t>
    </w:r>
    <w:r>
      <w:rPr>
        <w:lang w:eastAsia="ko-KR"/>
      </w:rPr>
      <w:t>PG19-2/OUT-37</w:t>
    </w:r>
    <w:r>
      <w:rPr>
        <w:lang w:eastAsia="ko-KR"/>
      </w:rPr>
      <w:t>(Rev.1)</w:t>
    </w:r>
    <w:r>
      <w:rPr>
        <w:lang w:eastAsia="ko-KR"/>
      </w:rPr>
      <w:tab/>
    </w:r>
    <w:r>
      <w:rPr>
        <w:lang w:eastAsia="ko-KR"/>
      </w:rPr>
      <w:tab/>
    </w:r>
    <w:r w:rsidR="00937E00" w:rsidRPr="002C7EA9">
      <w:rPr>
        <w:rStyle w:val="PageNumber"/>
      </w:rPr>
      <w:t xml:space="preserve">Page </w:t>
    </w:r>
    <w:r w:rsidR="00937E00" w:rsidRPr="002C7EA9">
      <w:rPr>
        <w:rStyle w:val="PageNumber"/>
      </w:rPr>
      <w:fldChar w:fldCharType="begin"/>
    </w:r>
    <w:r w:rsidR="00937E00" w:rsidRPr="002C7EA9">
      <w:rPr>
        <w:rStyle w:val="PageNumber"/>
      </w:rPr>
      <w:instrText xml:space="preserve"> PAGE </w:instrText>
    </w:r>
    <w:r w:rsidR="00937E00" w:rsidRPr="002C7EA9">
      <w:rPr>
        <w:rStyle w:val="PageNumber"/>
      </w:rPr>
      <w:fldChar w:fldCharType="separate"/>
    </w:r>
    <w:r>
      <w:rPr>
        <w:rStyle w:val="PageNumber"/>
        <w:noProof/>
      </w:rPr>
      <w:t>4</w:t>
    </w:r>
    <w:r w:rsidR="00937E00" w:rsidRPr="002C7EA9">
      <w:rPr>
        <w:rStyle w:val="PageNumber"/>
      </w:rPr>
      <w:fldChar w:fldCharType="end"/>
    </w:r>
    <w:r w:rsidR="00937E00" w:rsidRPr="002C7EA9">
      <w:rPr>
        <w:rStyle w:val="PageNumber"/>
      </w:rPr>
      <w:t xml:space="preserve"> of </w:t>
    </w:r>
    <w:r w:rsidR="00937E00" w:rsidRPr="002C7EA9">
      <w:rPr>
        <w:rStyle w:val="PageNumber"/>
      </w:rPr>
      <w:fldChar w:fldCharType="begin"/>
    </w:r>
    <w:r w:rsidR="00937E00" w:rsidRPr="002C7EA9">
      <w:rPr>
        <w:rStyle w:val="PageNumber"/>
      </w:rPr>
      <w:instrText xml:space="preserve"> NUMPAGES </w:instrText>
    </w:r>
    <w:r w:rsidR="00937E00" w:rsidRPr="002C7EA9">
      <w:rPr>
        <w:rStyle w:val="PageNumber"/>
      </w:rPr>
      <w:fldChar w:fldCharType="separate"/>
    </w:r>
    <w:r>
      <w:rPr>
        <w:rStyle w:val="PageNumber"/>
        <w:noProof/>
      </w:rPr>
      <w:t>4</w:t>
    </w:r>
    <w:r w:rsidR="00937E0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37E00" w14:paraId="2E0E6780" w14:textId="77777777">
      <w:trPr>
        <w:cantSplit/>
        <w:trHeight w:val="204"/>
        <w:jc w:val="center"/>
      </w:trPr>
      <w:tc>
        <w:tcPr>
          <w:tcW w:w="1617" w:type="dxa"/>
          <w:tcBorders>
            <w:top w:val="single" w:sz="12" w:space="0" w:color="auto"/>
          </w:tcBorders>
        </w:tcPr>
        <w:p w14:paraId="2E0E677D" w14:textId="77777777" w:rsidR="00937E00" w:rsidRDefault="00937E00" w:rsidP="00762576">
          <w:pPr>
            <w:rPr>
              <w:b/>
              <w:bCs/>
            </w:rPr>
          </w:pPr>
        </w:p>
      </w:tc>
      <w:tc>
        <w:tcPr>
          <w:tcW w:w="4394" w:type="dxa"/>
          <w:tcBorders>
            <w:top w:val="single" w:sz="12" w:space="0" w:color="auto"/>
          </w:tcBorders>
        </w:tcPr>
        <w:p w14:paraId="2E0E677E" w14:textId="77777777" w:rsidR="00937E00" w:rsidRDefault="00937E00" w:rsidP="00762576">
          <w:pPr>
            <w:rPr>
              <w:rFonts w:eastAsia="Batang"/>
            </w:rPr>
          </w:pPr>
        </w:p>
      </w:tc>
      <w:tc>
        <w:tcPr>
          <w:tcW w:w="3912" w:type="dxa"/>
          <w:tcBorders>
            <w:top w:val="single" w:sz="12" w:space="0" w:color="auto"/>
          </w:tcBorders>
        </w:tcPr>
        <w:p w14:paraId="2E0E677F" w14:textId="77777777" w:rsidR="00937E00" w:rsidRDefault="00937E00" w:rsidP="00762576">
          <w:pPr>
            <w:rPr>
              <w:lang w:eastAsia="ja-JP"/>
            </w:rPr>
          </w:pPr>
        </w:p>
      </w:tc>
    </w:tr>
  </w:tbl>
  <w:p w14:paraId="2E0E6781" w14:textId="77777777" w:rsidR="00937E00" w:rsidRDefault="0093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10438" w14:textId="77777777" w:rsidR="00BE335D" w:rsidRDefault="00BE335D">
      <w:r>
        <w:separator/>
      </w:r>
    </w:p>
  </w:footnote>
  <w:footnote w:type="continuationSeparator" w:id="0">
    <w:p w14:paraId="561FCD36" w14:textId="77777777" w:rsidR="00BE335D" w:rsidRDefault="00BE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BFEFF09" w:rsidR="00937E00" w:rsidRDefault="00937E00" w:rsidP="00C15633">
    <w:pPr>
      <w:pStyle w:val="Header"/>
      <w:tabs>
        <w:tab w:val="center" w:pos="4763"/>
        <w:tab w:val="left" w:pos="5820"/>
      </w:tabs>
      <w:rPr>
        <w:lang w:eastAsia="ko-KR"/>
      </w:rPr>
    </w:pPr>
    <w:r>
      <w:rPr>
        <w:lang w:eastAsia="ko-KR"/>
      </w:rPr>
      <w:tab/>
    </w:r>
  </w:p>
  <w:p w14:paraId="2E0E6779" w14:textId="77777777" w:rsidR="00937E00" w:rsidRDefault="00937E0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8EF3BA6"/>
    <w:multiLevelType w:val="hybridMultilevel"/>
    <w:tmpl w:val="F51A8636"/>
    <w:lvl w:ilvl="0" w:tplc="A114EBFA">
      <w:start w:val="1"/>
      <w:numFmt w:val="bullet"/>
      <w:lvlText w:val="-"/>
      <w:lvlJc w:val="left"/>
      <w:pPr>
        <w:ind w:left="720" w:hanging="360"/>
      </w:pPr>
      <w:rPr>
        <w:rFonts w:ascii="Malgun Gothic" w:eastAsia="Malgun Gothic" w:hAnsi="Malgun Gothic" w:cstheme="minorBidi"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574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11549F1"/>
    <w:multiLevelType w:val="hybridMultilevel"/>
    <w:tmpl w:val="71E02630"/>
    <w:lvl w:ilvl="0" w:tplc="888CEC94">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3"/>
  </w:num>
  <w:num w:numId="8">
    <w:abstractNumId w:val="1"/>
  </w:num>
  <w:num w:numId="9">
    <w:abstractNumId w:val="19"/>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5"/>
  </w:num>
  <w:num w:numId="18">
    <w:abstractNumId w:val="12"/>
  </w:num>
  <w:num w:numId="19">
    <w:abstractNumId w:val="18"/>
  </w:num>
  <w:num w:numId="20">
    <w:abstractNumId w:val="8"/>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5033E"/>
    <w:rsid w:val="00070642"/>
    <w:rsid w:val="000713CF"/>
    <w:rsid w:val="00075C14"/>
    <w:rsid w:val="000822B5"/>
    <w:rsid w:val="00094B87"/>
    <w:rsid w:val="000A012B"/>
    <w:rsid w:val="000A5418"/>
    <w:rsid w:val="000A6E49"/>
    <w:rsid w:val="000E739E"/>
    <w:rsid w:val="000F345F"/>
    <w:rsid w:val="000F517C"/>
    <w:rsid w:val="000F5540"/>
    <w:rsid w:val="00105F1A"/>
    <w:rsid w:val="001157CF"/>
    <w:rsid w:val="001409B2"/>
    <w:rsid w:val="00152636"/>
    <w:rsid w:val="001539DD"/>
    <w:rsid w:val="00156782"/>
    <w:rsid w:val="001731F4"/>
    <w:rsid w:val="00180EA6"/>
    <w:rsid w:val="0019598B"/>
    <w:rsid w:val="00196568"/>
    <w:rsid w:val="00197A39"/>
    <w:rsid w:val="00197C18"/>
    <w:rsid w:val="001A2F16"/>
    <w:rsid w:val="001B1804"/>
    <w:rsid w:val="001B18C2"/>
    <w:rsid w:val="001C0C44"/>
    <w:rsid w:val="001C19FA"/>
    <w:rsid w:val="001C61A5"/>
    <w:rsid w:val="001C6707"/>
    <w:rsid w:val="001D5D7E"/>
    <w:rsid w:val="001D608F"/>
    <w:rsid w:val="001F5947"/>
    <w:rsid w:val="00202410"/>
    <w:rsid w:val="00214255"/>
    <w:rsid w:val="00214A0C"/>
    <w:rsid w:val="0021588B"/>
    <w:rsid w:val="002216AC"/>
    <w:rsid w:val="00232919"/>
    <w:rsid w:val="002506D2"/>
    <w:rsid w:val="00250DE2"/>
    <w:rsid w:val="00254A1B"/>
    <w:rsid w:val="0026064A"/>
    <w:rsid w:val="00273C84"/>
    <w:rsid w:val="0028454D"/>
    <w:rsid w:val="00291C9E"/>
    <w:rsid w:val="002926D4"/>
    <w:rsid w:val="00295D8B"/>
    <w:rsid w:val="002A6E16"/>
    <w:rsid w:val="002B06A3"/>
    <w:rsid w:val="002B435C"/>
    <w:rsid w:val="002B447F"/>
    <w:rsid w:val="002C07DA"/>
    <w:rsid w:val="002C2F68"/>
    <w:rsid w:val="002C7EA9"/>
    <w:rsid w:val="002E49F4"/>
    <w:rsid w:val="002E6E57"/>
    <w:rsid w:val="002F575D"/>
    <w:rsid w:val="003113D7"/>
    <w:rsid w:val="00311E8A"/>
    <w:rsid w:val="00326923"/>
    <w:rsid w:val="00342F20"/>
    <w:rsid w:val="00360377"/>
    <w:rsid w:val="00366548"/>
    <w:rsid w:val="003809C7"/>
    <w:rsid w:val="0038236C"/>
    <w:rsid w:val="00395B40"/>
    <w:rsid w:val="003A144C"/>
    <w:rsid w:val="003A6568"/>
    <w:rsid w:val="003B6263"/>
    <w:rsid w:val="003C29E6"/>
    <w:rsid w:val="003C64A7"/>
    <w:rsid w:val="003D1671"/>
    <w:rsid w:val="003D2F8D"/>
    <w:rsid w:val="003D3FDA"/>
    <w:rsid w:val="003D6D00"/>
    <w:rsid w:val="003E166F"/>
    <w:rsid w:val="004001E5"/>
    <w:rsid w:val="00420822"/>
    <w:rsid w:val="00420C74"/>
    <w:rsid w:val="00427F91"/>
    <w:rsid w:val="004465AA"/>
    <w:rsid w:val="0045458F"/>
    <w:rsid w:val="004633B4"/>
    <w:rsid w:val="004A2F96"/>
    <w:rsid w:val="004B0B25"/>
    <w:rsid w:val="004B0F7A"/>
    <w:rsid w:val="004B3553"/>
    <w:rsid w:val="004B3F4B"/>
    <w:rsid w:val="004C0F4E"/>
    <w:rsid w:val="004F0F5B"/>
    <w:rsid w:val="00500184"/>
    <w:rsid w:val="00503189"/>
    <w:rsid w:val="005264C2"/>
    <w:rsid w:val="00526D01"/>
    <w:rsid w:val="00530E8C"/>
    <w:rsid w:val="00545933"/>
    <w:rsid w:val="00552105"/>
    <w:rsid w:val="005562F2"/>
    <w:rsid w:val="00557544"/>
    <w:rsid w:val="00565BBB"/>
    <w:rsid w:val="005764C4"/>
    <w:rsid w:val="00585F3C"/>
    <w:rsid w:val="00586CA0"/>
    <w:rsid w:val="00587875"/>
    <w:rsid w:val="005A63EB"/>
    <w:rsid w:val="005B539F"/>
    <w:rsid w:val="005C33B6"/>
    <w:rsid w:val="005D6202"/>
    <w:rsid w:val="005D6E98"/>
    <w:rsid w:val="005F253B"/>
    <w:rsid w:val="00607E2B"/>
    <w:rsid w:val="006139D6"/>
    <w:rsid w:val="00616D1B"/>
    <w:rsid w:val="00623CE1"/>
    <w:rsid w:val="0063062B"/>
    <w:rsid w:val="00637351"/>
    <w:rsid w:val="00645C74"/>
    <w:rsid w:val="00646166"/>
    <w:rsid w:val="00654704"/>
    <w:rsid w:val="00654896"/>
    <w:rsid w:val="006621F0"/>
    <w:rsid w:val="006647BA"/>
    <w:rsid w:val="00667229"/>
    <w:rsid w:val="00677DB0"/>
    <w:rsid w:val="00682BE5"/>
    <w:rsid w:val="00690FED"/>
    <w:rsid w:val="006939A5"/>
    <w:rsid w:val="006A09C2"/>
    <w:rsid w:val="006D5223"/>
    <w:rsid w:val="006E12FC"/>
    <w:rsid w:val="006F2B2E"/>
    <w:rsid w:val="00705962"/>
    <w:rsid w:val="00707C21"/>
    <w:rsid w:val="00712451"/>
    <w:rsid w:val="007127C7"/>
    <w:rsid w:val="00717DE9"/>
    <w:rsid w:val="0072518B"/>
    <w:rsid w:val="00731041"/>
    <w:rsid w:val="007329E4"/>
    <w:rsid w:val="00732F08"/>
    <w:rsid w:val="007342F0"/>
    <w:rsid w:val="0074190C"/>
    <w:rsid w:val="007457D3"/>
    <w:rsid w:val="007556BB"/>
    <w:rsid w:val="00760674"/>
    <w:rsid w:val="00762576"/>
    <w:rsid w:val="007673CA"/>
    <w:rsid w:val="00791060"/>
    <w:rsid w:val="007957F1"/>
    <w:rsid w:val="007B5626"/>
    <w:rsid w:val="007B6124"/>
    <w:rsid w:val="007D3C53"/>
    <w:rsid w:val="007F094F"/>
    <w:rsid w:val="007F2628"/>
    <w:rsid w:val="007F2FBA"/>
    <w:rsid w:val="007F58B3"/>
    <w:rsid w:val="00800C3A"/>
    <w:rsid w:val="0080570B"/>
    <w:rsid w:val="008148E1"/>
    <w:rsid w:val="008319BF"/>
    <w:rsid w:val="008433C2"/>
    <w:rsid w:val="00844457"/>
    <w:rsid w:val="008454C8"/>
    <w:rsid w:val="00851D78"/>
    <w:rsid w:val="00873F9A"/>
    <w:rsid w:val="00884208"/>
    <w:rsid w:val="00890054"/>
    <w:rsid w:val="00892B26"/>
    <w:rsid w:val="008A1A0D"/>
    <w:rsid w:val="008A708F"/>
    <w:rsid w:val="008A76ED"/>
    <w:rsid w:val="008B1C83"/>
    <w:rsid w:val="008B3C72"/>
    <w:rsid w:val="008D0E09"/>
    <w:rsid w:val="008E1FBE"/>
    <w:rsid w:val="0090119B"/>
    <w:rsid w:val="00903007"/>
    <w:rsid w:val="00903B17"/>
    <w:rsid w:val="0090566B"/>
    <w:rsid w:val="00907A6B"/>
    <w:rsid w:val="00923816"/>
    <w:rsid w:val="0093074B"/>
    <w:rsid w:val="00930E64"/>
    <w:rsid w:val="00937E00"/>
    <w:rsid w:val="00956F8C"/>
    <w:rsid w:val="00961D57"/>
    <w:rsid w:val="00976716"/>
    <w:rsid w:val="0097693B"/>
    <w:rsid w:val="00993355"/>
    <w:rsid w:val="009963F7"/>
    <w:rsid w:val="009A4A6D"/>
    <w:rsid w:val="009B7E42"/>
    <w:rsid w:val="009E13DD"/>
    <w:rsid w:val="00A0503B"/>
    <w:rsid w:val="00A060E2"/>
    <w:rsid w:val="00A13265"/>
    <w:rsid w:val="00A14900"/>
    <w:rsid w:val="00A2159F"/>
    <w:rsid w:val="00A50DC2"/>
    <w:rsid w:val="00A529BC"/>
    <w:rsid w:val="00A5346C"/>
    <w:rsid w:val="00A55AEA"/>
    <w:rsid w:val="00A562F0"/>
    <w:rsid w:val="00A564FB"/>
    <w:rsid w:val="00A614C1"/>
    <w:rsid w:val="00A61EA6"/>
    <w:rsid w:val="00A668C1"/>
    <w:rsid w:val="00A7063E"/>
    <w:rsid w:val="00A71136"/>
    <w:rsid w:val="00AA474C"/>
    <w:rsid w:val="00AA667A"/>
    <w:rsid w:val="00AB67ED"/>
    <w:rsid w:val="00AC35EF"/>
    <w:rsid w:val="00AD2697"/>
    <w:rsid w:val="00AD7E5F"/>
    <w:rsid w:val="00AE3066"/>
    <w:rsid w:val="00AF68E4"/>
    <w:rsid w:val="00B01AA1"/>
    <w:rsid w:val="00B22651"/>
    <w:rsid w:val="00B30C81"/>
    <w:rsid w:val="00B41D4E"/>
    <w:rsid w:val="00B4793B"/>
    <w:rsid w:val="00B64A60"/>
    <w:rsid w:val="00B937D7"/>
    <w:rsid w:val="00B96B67"/>
    <w:rsid w:val="00BA202B"/>
    <w:rsid w:val="00BC57EF"/>
    <w:rsid w:val="00BE335D"/>
    <w:rsid w:val="00BF25F9"/>
    <w:rsid w:val="00C13FD5"/>
    <w:rsid w:val="00C15633"/>
    <w:rsid w:val="00C15799"/>
    <w:rsid w:val="00C32E84"/>
    <w:rsid w:val="00C35415"/>
    <w:rsid w:val="00C357AD"/>
    <w:rsid w:val="00C554CC"/>
    <w:rsid w:val="00C6069C"/>
    <w:rsid w:val="00C6140A"/>
    <w:rsid w:val="00C65973"/>
    <w:rsid w:val="00C74745"/>
    <w:rsid w:val="00C85119"/>
    <w:rsid w:val="00CD320B"/>
    <w:rsid w:val="00CD3F37"/>
    <w:rsid w:val="00CD5431"/>
    <w:rsid w:val="00CE4B93"/>
    <w:rsid w:val="00CF2491"/>
    <w:rsid w:val="00CF3963"/>
    <w:rsid w:val="00D06102"/>
    <w:rsid w:val="00D1252E"/>
    <w:rsid w:val="00D13D9D"/>
    <w:rsid w:val="00D15BAB"/>
    <w:rsid w:val="00D4496E"/>
    <w:rsid w:val="00D459A2"/>
    <w:rsid w:val="00D530FF"/>
    <w:rsid w:val="00D53688"/>
    <w:rsid w:val="00D5407A"/>
    <w:rsid w:val="00D57772"/>
    <w:rsid w:val="00D66E2A"/>
    <w:rsid w:val="00D72AE3"/>
    <w:rsid w:val="00D75A4D"/>
    <w:rsid w:val="00D8478B"/>
    <w:rsid w:val="00D86151"/>
    <w:rsid w:val="00D9172D"/>
    <w:rsid w:val="00DA7595"/>
    <w:rsid w:val="00DB0A68"/>
    <w:rsid w:val="00DC43A3"/>
    <w:rsid w:val="00DC4CF3"/>
    <w:rsid w:val="00DC5C01"/>
    <w:rsid w:val="00DD7C09"/>
    <w:rsid w:val="00DE2A56"/>
    <w:rsid w:val="00DE3E58"/>
    <w:rsid w:val="00E0124F"/>
    <w:rsid w:val="00E32C87"/>
    <w:rsid w:val="00E47428"/>
    <w:rsid w:val="00E674D3"/>
    <w:rsid w:val="00E70FD0"/>
    <w:rsid w:val="00E77C4B"/>
    <w:rsid w:val="00E9301F"/>
    <w:rsid w:val="00E9690A"/>
    <w:rsid w:val="00E97DC7"/>
    <w:rsid w:val="00EB46D7"/>
    <w:rsid w:val="00EB54A5"/>
    <w:rsid w:val="00EE5935"/>
    <w:rsid w:val="00EF4FF2"/>
    <w:rsid w:val="00F000EF"/>
    <w:rsid w:val="00F2504E"/>
    <w:rsid w:val="00F2585B"/>
    <w:rsid w:val="00F4053F"/>
    <w:rsid w:val="00F516E7"/>
    <w:rsid w:val="00F57BF7"/>
    <w:rsid w:val="00F6263E"/>
    <w:rsid w:val="00F627C2"/>
    <w:rsid w:val="00F73D20"/>
    <w:rsid w:val="00F84067"/>
    <w:rsid w:val="00F903D9"/>
    <w:rsid w:val="00FA50B4"/>
    <w:rsid w:val="00FC156A"/>
    <w:rsid w:val="00FC4FFA"/>
    <w:rsid w:val="00FD1828"/>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37DBC731-FABC-4062-B4AA-E9A07A51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styleId="LineNumber">
    <w:name w:val="line number"/>
    <w:basedOn w:val="DefaultParagraphFont"/>
    <w:semiHidden/>
    <w:unhideWhenUsed/>
    <w:rsid w:val="00A5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5/wp7b/c/R15-WP7B-C-0170!N01!MSW-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5/wp7b/c/R15-WP7B-C-0170!N17!MSW-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dms_ties/itu-r/md/15/wp7b/c/R15-WP7B-C-0170!N16!MSW-E.docx" TargetMode="External"/><Relationship Id="rId4" Type="http://schemas.openxmlformats.org/officeDocument/2006/relationships/settings" Target="settings.xml"/><Relationship Id="rId9" Type="http://schemas.openxmlformats.org/officeDocument/2006/relationships/hyperlink" Target="https://www.itu.int/dms_ties/itu-r/md/15/wp7b/c/R15-WP7B-C-0170!N18!MSW-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B90E-9296-4E38-8623-F733F5CD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2015-02-02T08:28:00Z</cp:lastPrinted>
  <dcterms:created xsi:type="dcterms:W3CDTF">2017-07-21T08:34:00Z</dcterms:created>
  <dcterms:modified xsi:type="dcterms:W3CDTF">2017-07-24T04:01:00Z</dcterms:modified>
</cp:coreProperties>
</file>