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B92F83" w:rsidRPr="00696487" w:rsidTr="009143E7">
        <w:trPr>
          <w:cantSplit/>
        </w:trPr>
        <w:tc>
          <w:tcPr>
            <w:tcW w:w="1399" w:type="dxa"/>
            <w:vMerge w:val="restart"/>
          </w:tcPr>
          <w:p w:rsidR="00B92F83" w:rsidRPr="00891D0B" w:rsidRDefault="00B92F83" w:rsidP="009143E7">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714375"/>
                  <wp:effectExtent l="0" t="0" r="0" b="9525"/>
                  <wp:docPr id="4"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B92F83" w:rsidRPr="00696487" w:rsidRDefault="00B92F83" w:rsidP="00696487">
            <w:pPr>
              <w:spacing w:after="0"/>
              <w:rPr>
                <w:rFonts w:asciiTheme="majorBidi" w:hAnsiTheme="majorBidi" w:cstheme="majorBidi"/>
                <w:sz w:val="24"/>
                <w:szCs w:val="24"/>
              </w:rPr>
            </w:pPr>
            <w:r w:rsidRPr="00696487">
              <w:rPr>
                <w:rFonts w:asciiTheme="majorBidi" w:hAnsiTheme="majorBidi" w:cstheme="majorBidi"/>
                <w:sz w:val="24"/>
                <w:szCs w:val="24"/>
              </w:rPr>
              <w:t>ASIA-PACIFIC TELECOMMUNITY</w:t>
            </w:r>
          </w:p>
        </w:tc>
        <w:tc>
          <w:tcPr>
            <w:tcW w:w="2700" w:type="dxa"/>
          </w:tcPr>
          <w:p w:rsidR="00B92F83" w:rsidRPr="00696487" w:rsidRDefault="00B92F83" w:rsidP="00696487">
            <w:pPr>
              <w:spacing w:after="0"/>
              <w:rPr>
                <w:rFonts w:asciiTheme="majorBidi" w:hAnsiTheme="majorBidi" w:cstheme="majorBidi"/>
                <w:b/>
                <w:bCs/>
                <w:sz w:val="24"/>
                <w:szCs w:val="24"/>
                <w:lang w:val="fr-FR"/>
              </w:rPr>
            </w:pPr>
            <w:r w:rsidRPr="00696487">
              <w:rPr>
                <w:rFonts w:asciiTheme="majorBidi" w:hAnsiTheme="majorBidi" w:cstheme="majorBidi"/>
                <w:b/>
                <w:sz w:val="24"/>
                <w:szCs w:val="24"/>
                <w:lang w:val="fr-FR"/>
              </w:rPr>
              <w:t xml:space="preserve">Document: </w:t>
            </w:r>
          </w:p>
        </w:tc>
      </w:tr>
      <w:tr w:rsidR="00B92F83" w:rsidRPr="00696487" w:rsidTr="009143E7">
        <w:trPr>
          <w:cantSplit/>
        </w:trPr>
        <w:tc>
          <w:tcPr>
            <w:tcW w:w="1399" w:type="dxa"/>
            <w:vMerge/>
          </w:tcPr>
          <w:p w:rsidR="00B92F83" w:rsidRPr="00891D0B" w:rsidRDefault="00B92F83" w:rsidP="009143E7"/>
        </w:tc>
        <w:tc>
          <w:tcPr>
            <w:tcW w:w="5720" w:type="dxa"/>
          </w:tcPr>
          <w:p w:rsidR="00B92F83" w:rsidRPr="00696487" w:rsidRDefault="00B92F83" w:rsidP="00696487">
            <w:pPr>
              <w:spacing w:after="0" w:line="0" w:lineRule="atLeast"/>
              <w:rPr>
                <w:rFonts w:asciiTheme="majorBidi" w:hAnsiTheme="majorBidi" w:cstheme="majorBidi"/>
                <w:sz w:val="24"/>
                <w:szCs w:val="24"/>
              </w:rPr>
            </w:pPr>
            <w:r w:rsidRPr="00696487">
              <w:rPr>
                <w:rFonts w:asciiTheme="majorBidi" w:hAnsiTheme="majorBidi" w:cstheme="majorBidi"/>
                <w:b/>
                <w:sz w:val="24"/>
                <w:szCs w:val="24"/>
              </w:rPr>
              <w:t>The 2nd Meeting of the APT Conference Preparatory  Group for WRC-19 (APG19-2)</w:t>
            </w:r>
          </w:p>
        </w:tc>
        <w:tc>
          <w:tcPr>
            <w:tcW w:w="2700" w:type="dxa"/>
          </w:tcPr>
          <w:p w:rsidR="00B92F83" w:rsidRPr="00696487" w:rsidRDefault="00B92F83" w:rsidP="006666A6">
            <w:pPr>
              <w:spacing w:after="0"/>
              <w:rPr>
                <w:rFonts w:asciiTheme="majorBidi" w:hAnsiTheme="majorBidi" w:cstheme="majorBidi"/>
                <w:b/>
                <w:bCs/>
                <w:sz w:val="24"/>
                <w:szCs w:val="24"/>
                <w:lang w:val="fr-FR"/>
              </w:rPr>
            </w:pPr>
            <w:r w:rsidRPr="00696487">
              <w:rPr>
                <w:rFonts w:asciiTheme="majorBidi" w:hAnsiTheme="majorBidi" w:cstheme="majorBidi"/>
                <w:b/>
                <w:bCs/>
                <w:sz w:val="24"/>
                <w:szCs w:val="24"/>
                <w:lang w:val="fr-FR"/>
              </w:rPr>
              <w:t>APG19-2/</w:t>
            </w:r>
            <w:r w:rsidR="00881586">
              <w:rPr>
                <w:rFonts w:asciiTheme="majorBidi" w:hAnsiTheme="majorBidi" w:cstheme="majorBidi"/>
                <w:b/>
                <w:bCs/>
                <w:sz w:val="24"/>
                <w:szCs w:val="24"/>
                <w:lang w:val="fr-FR"/>
              </w:rPr>
              <w:t>OUT-25</w:t>
            </w:r>
          </w:p>
        </w:tc>
      </w:tr>
      <w:tr w:rsidR="00B92F83" w:rsidRPr="00696487" w:rsidTr="009143E7">
        <w:trPr>
          <w:cantSplit/>
          <w:trHeight w:val="219"/>
        </w:trPr>
        <w:tc>
          <w:tcPr>
            <w:tcW w:w="1399" w:type="dxa"/>
            <w:vMerge/>
          </w:tcPr>
          <w:p w:rsidR="00B92F83" w:rsidRPr="00C15799" w:rsidRDefault="00B92F83" w:rsidP="009143E7">
            <w:pPr>
              <w:rPr>
                <w:lang w:val="fr-FR"/>
              </w:rPr>
            </w:pPr>
          </w:p>
        </w:tc>
        <w:tc>
          <w:tcPr>
            <w:tcW w:w="5720" w:type="dxa"/>
          </w:tcPr>
          <w:p w:rsidR="00B92F83" w:rsidRPr="00696487" w:rsidRDefault="00B92F83" w:rsidP="00696487">
            <w:pPr>
              <w:spacing w:after="0"/>
              <w:rPr>
                <w:rFonts w:asciiTheme="majorBidi" w:hAnsiTheme="majorBidi" w:cstheme="majorBidi"/>
                <w:sz w:val="24"/>
                <w:szCs w:val="24"/>
              </w:rPr>
            </w:pPr>
            <w:r w:rsidRPr="00696487">
              <w:rPr>
                <w:rFonts w:asciiTheme="majorBidi" w:hAnsiTheme="majorBidi" w:cstheme="majorBidi"/>
                <w:sz w:val="24"/>
                <w:szCs w:val="24"/>
              </w:rPr>
              <w:t>17 – 21 July 2017, Bali, Republic of Indonesia</w:t>
            </w:r>
          </w:p>
        </w:tc>
        <w:tc>
          <w:tcPr>
            <w:tcW w:w="2700" w:type="dxa"/>
          </w:tcPr>
          <w:p w:rsidR="00B92F83" w:rsidRPr="00696487" w:rsidRDefault="00672226" w:rsidP="00696487">
            <w:pPr>
              <w:spacing w:after="0"/>
              <w:rPr>
                <w:rFonts w:asciiTheme="majorBidi" w:hAnsiTheme="majorBidi" w:cstheme="majorBidi"/>
                <w:b/>
                <w:sz w:val="24"/>
                <w:szCs w:val="24"/>
              </w:rPr>
            </w:pPr>
            <w:r>
              <w:rPr>
                <w:rFonts w:asciiTheme="majorBidi" w:hAnsiTheme="majorBidi" w:cstheme="majorBidi"/>
                <w:b/>
                <w:sz w:val="24"/>
                <w:szCs w:val="24"/>
              </w:rPr>
              <w:t>21</w:t>
            </w:r>
            <w:r w:rsidR="00B92F83" w:rsidRPr="00696487">
              <w:rPr>
                <w:rFonts w:asciiTheme="majorBidi" w:hAnsiTheme="majorBidi" w:cstheme="majorBidi"/>
                <w:b/>
                <w:sz w:val="24"/>
                <w:szCs w:val="24"/>
              </w:rPr>
              <w:t xml:space="preserve"> July 2017</w:t>
            </w:r>
          </w:p>
        </w:tc>
      </w:tr>
    </w:tbl>
    <w:p w:rsidR="006666A6" w:rsidRDefault="006666A6" w:rsidP="006666A6">
      <w:pPr>
        <w:spacing w:after="0" w:line="240" w:lineRule="auto"/>
        <w:jc w:val="center"/>
        <w:rPr>
          <w:rFonts w:ascii="Times New Roman" w:eastAsia="BatangChe" w:hAnsi="Times New Roman" w:cs="Times New Roman"/>
          <w:bCs/>
          <w:caps/>
          <w:sz w:val="24"/>
          <w:szCs w:val="24"/>
        </w:rPr>
      </w:pPr>
    </w:p>
    <w:p w:rsidR="00664340" w:rsidRPr="00664340" w:rsidRDefault="00664340" w:rsidP="006666A6">
      <w:pPr>
        <w:spacing w:after="0" w:line="240" w:lineRule="auto"/>
        <w:jc w:val="center"/>
        <w:rPr>
          <w:rFonts w:ascii="Times New Roman" w:eastAsia="BatangChe" w:hAnsi="Times New Roman" w:cs="Times New Roman"/>
          <w:bCs/>
          <w:caps/>
          <w:sz w:val="24"/>
          <w:szCs w:val="24"/>
        </w:rPr>
      </w:pPr>
    </w:p>
    <w:p w:rsidR="00664340" w:rsidRPr="00244295" w:rsidRDefault="00664340" w:rsidP="00664340">
      <w:pPr>
        <w:spacing w:after="120" w:line="240" w:lineRule="auto"/>
        <w:jc w:val="center"/>
        <w:rPr>
          <w:rFonts w:asciiTheme="majorBidi" w:hAnsiTheme="majorBidi" w:cstheme="majorBidi"/>
          <w:bCs/>
          <w:caps/>
          <w:sz w:val="24"/>
          <w:szCs w:val="24"/>
        </w:rPr>
      </w:pPr>
      <w:r w:rsidRPr="00244295">
        <w:rPr>
          <w:rFonts w:asciiTheme="majorBidi" w:hAnsiTheme="majorBidi" w:cstheme="majorBidi"/>
          <w:bCs/>
          <w:sz w:val="24"/>
          <w:szCs w:val="24"/>
        </w:rPr>
        <w:t>Working Party 2</w:t>
      </w:r>
    </w:p>
    <w:p w:rsidR="00D37A3F" w:rsidRPr="00664340" w:rsidRDefault="00453C05" w:rsidP="00664340">
      <w:pPr>
        <w:spacing w:after="120" w:line="240" w:lineRule="auto"/>
        <w:jc w:val="center"/>
        <w:rPr>
          <w:rFonts w:asciiTheme="majorBidi" w:hAnsiTheme="majorBidi" w:cstheme="majorBidi"/>
          <w:b/>
          <w:bCs/>
          <w:caps/>
          <w:sz w:val="24"/>
          <w:szCs w:val="24"/>
        </w:rPr>
      </w:pPr>
      <w:r w:rsidRPr="00664340">
        <w:rPr>
          <w:rFonts w:asciiTheme="majorBidi" w:hAnsiTheme="majorBidi" w:cstheme="majorBidi"/>
          <w:b/>
          <w:bCs/>
          <w:caps/>
          <w:sz w:val="24"/>
          <w:szCs w:val="24"/>
        </w:rPr>
        <w:t xml:space="preserve"> </w:t>
      </w:r>
      <w:r w:rsidR="009C7BA5" w:rsidRPr="00664340">
        <w:rPr>
          <w:rFonts w:asciiTheme="majorBidi" w:hAnsiTheme="majorBidi" w:cstheme="majorBidi"/>
          <w:b/>
          <w:bCs/>
          <w:caps/>
          <w:sz w:val="24"/>
          <w:szCs w:val="24"/>
        </w:rPr>
        <w:t>preliminary views on WRC-1</w:t>
      </w:r>
      <w:r w:rsidR="006666A6" w:rsidRPr="00664340">
        <w:rPr>
          <w:rFonts w:asciiTheme="majorBidi" w:hAnsiTheme="majorBidi" w:cstheme="majorBidi"/>
          <w:b/>
          <w:bCs/>
          <w:caps/>
          <w:sz w:val="24"/>
          <w:szCs w:val="24"/>
        </w:rPr>
        <w:t xml:space="preserve">9 </w:t>
      </w:r>
      <w:r w:rsidR="009C7BA5" w:rsidRPr="00664340">
        <w:rPr>
          <w:rFonts w:asciiTheme="majorBidi" w:hAnsiTheme="majorBidi" w:cstheme="majorBidi"/>
          <w:b/>
          <w:bCs/>
          <w:caps/>
          <w:sz w:val="24"/>
          <w:szCs w:val="24"/>
        </w:rPr>
        <w:t>agenda item 9.1</w:t>
      </w:r>
      <w:r w:rsidR="006666A6" w:rsidRPr="00664340">
        <w:rPr>
          <w:rFonts w:asciiTheme="majorBidi" w:hAnsiTheme="majorBidi" w:cstheme="majorBidi"/>
          <w:b/>
          <w:bCs/>
          <w:caps/>
          <w:sz w:val="24"/>
          <w:szCs w:val="24"/>
        </w:rPr>
        <w:t xml:space="preserve"> (</w:t>
      </w:r>
      <w:r w:rsidR="009C7BA5" w:rsidRPr="00664340">
        <w:rPr>
          <w:rFonts w:asciiTheme="majorBidi" w:hAnsiTheme="majorBidi" w:cstheme="majorBidi"/>
          <w:b/>
          <w:bCs/>
          <w:caps/>
          <w:sz w:val="24"/>
          <w:szCs w:val="24"/>
        </w:rPr>
        <w:t>ISSUE 9.1.1</w:t>
      </w:r>
      <w:r w:rsidR="006666A6" w:rsidRPr="00664340">
        <w:rPr>
          <w:rFonts w:asciiTheme="majorBidi" w:hAnsiTheme="majorBidi" w:cstheme="majorBidi"/>
          <w:b/>
          <w:bCs/>
          <w:caps/>
          <w:sz w:val="24"/>
          <w:szCs w:val="24"/>
        </w:rPr>
        <w:t>)</w:t>
      </w:r>
    </w:p>
    <w:p w:rsidR="009C7BA5" w:rsidRPr="00B92F83" w:rsidRDefault="009C7BA5" w:rsidP="009C7BA5">
      <w:pPr>
        <w:jc w:val="center"/>
        <w:rPr>
          <w:rFonts w:asciiTheme="majorBidi" w:hAnsiTheme="majorBidi" w:cstheme="majorBidi"/>
          <w:b/>
          <w:bCs/>
          <w:caps/>
          <w:sz w:val="28"/>
          <w:szCs w:val="28"/>
        </w:rPr>
      </w:pPr>
    </w:p>
    <w:p w:rsidR="00576A69" w:rsidRPr="00696487" w:rsidRDefault="00576A69" w:rsidP="00576A69">
      <w:pPr>
        <w:pStyle w:val="NormalWeb"/>
        <w:spacing w:before="0" w:beforeAutospacing="0" w:after="0" w:afterAutospacing="0"/>
        <w:rPr>
          <w:rFonts w:asciiTheme="majorBidi" w:hAnsiTheme="majorBidi" w:cstheme="majorBidi"/>
          <w:rtl/>
        </w:rPr>
      </w:pPr>
      <w:r w:rsidRPr="00696487">
        <w:rPr>
          <w:rFonts w:asciiTheme="majorBidi" w:hAnsiTheme="majorBidi" w:cstheme="majorBidi"/>
          <w:b/>
          <w:bCs/>
          <w:color w:val="000000"/>
          <w:kern w:val="24"/>
          <w:lang w:val="en-GB"/>
        </w:rPr>
        <w:t>9</w:t>
      </w:r>
      <w:r w:rsidRPr="00696487">
        <w:rPr>
          <w:rFonts w:asciiTheme="majorBidi" w:hAnsiTheme="majorBidi" w:cstheme="majorBidi"/>
          <w:color w:val="000000"/>
          <w:kern w:val="24"/>
          <w:lang w:val="en-GB"/>
        </w:rPr>
        <w:t xml:space="preserve">    </w:t>
      </w:r>
      <w:r w:rsidRPr="00696487">
        <w:rPr>
          <w:rFonts w:asciiTheme="majorBidi" w:hAnsiTheme="majorBidi" w:cstheme="majorBidi"/>
          <w:i/>
          <w:iCs/>
          <w:color w:val="000000"/>
          <w:kern w:val="24"/>
          <w:lang w:val="en-GB"/>
        </w:rPr>
        <w:t>to consider and approve the Report of th</w:t>
      </w:r>
      <w:bookmarkStart w:id="0" w:name="_GoBack"/>
      <w:bookmarkEnd w:id="0"/>
      <w:r w:rsidRPr="00696487">
        <w:rPr>
          <w:rFonts w:asciiTheme="majorBidi" w:hAnsiTheme="majorBidi" w:cstheme="majorBidi"/>
          <w:i/>
          <w:iCs/>
          <w:color w:val="000000"/>
          <w:kern w:val="24"/>
          <w:lang w:val="en-GB"/>
        </w:rPr>
        <w:t xml:space="preserve">e Director of the Radiocommunication Bureau, in accordance with </w:t>
      </w:r>
      <w:r w:rsidRPr="00696487">
        <w:rPr>
          <w:rFonts w:asciiTheme="majorBidi" w:hAnsiTheme="majorBidi" w:cstheme="majorBidi"/>
          <w:b/>
          <w:bCs/>
          <w:i/>
          <w:iCs/>
          <w:color w:val="000000"/>
          <w:kern w:val="24"/>
          <w:lang w:val="en-GB"/>
        </w:rPr>
        <w:t>Article 7</w:t>
      </w:r>
      <w:r w:rsidRPr="00696487">
        <w:rPr>
          <w:rFonts w:asciiTheme="majorBidi" w:hAnsiTheme="majorBidi" w:cstheme="majorBidi"/>
          <w:i/>
          <w:iCs/>
          <w:color w:val="000000"/>
          <w:kern w:val="24"/>
          <w:lang w:val="en-GB"/>
        </w:rPr>
        <w:t xml:space="preserve"> of the Convention:</w:t>
      </w:r>
    </w:p>
    <w:p w:rsidR="009C7BA5" w:rsidRPr="00696487" w:rsidRDefault="00576A69" w:rsidP="00576A69">
      <w:pPr>
        <w:rPr>
          <w:rFonts w:asciiTheme="majorBidi" w:hAnsiTheme="majorBidi" w:cstheme="majorBidi"/>
          <w:sz w:val="24"/>
          <w:szCs w:val="24"/>
        </w:rPr>
      </w:pPr>
      <w:r w:rsidRPr="00696487">
        <w:rPr>
          <w:rFonts w:asciiTheme="majorBidi" w:hAnsiTheme="majorBidi" w:cstheme="majorBidi"/>
          <w:b/>
          <w:bCs/>
          <w:color w:val="000000"/>
          <w:kern w:val="24"/>
          <w:sz w:val="24"/>
          <w:szCs w:val="24"/>
          <w:lang w:val="en-GB"/>
        </w:rPr>
        <w:t>9.1</w:t>
      </w:r>
      <w:r w:rsidRPr="00696487">
        <w:rPr>
          <w:rFonts w:asciiTheme="majorBidi" w:hAnsiTheme="majorBidi" w:cstheme="majorBidi"/>
          <w:i/>
          <w:iCs/>
          <w:color w:val="000000"/>
          <w:kern w:val="24"/>
          <w:sz w:val="24"/>
          <w:szCs w:val="24"/>
          <w:lang w:val="en-GB"/>
        </w:rPr>
        <w:tab/>
      </w:r>
      <w:proofErr w:type="gramStart"/>
      <w:r w:rsidRPr="00696487">
        <w:rPr>
          <w:rFonts w:asciiTheme="majorBidi" w:hAnsiTheme="majorBidi" w:cstheme="majorBidi"/>
          <w:i/>
          <w:iCs/>
          <w:color w:val="000000"/>
          <w:kern w:val="24"/>
          <w:sz w:val="24"/>
          <w:szCs w:val="24"/>
          <w:lang w:val="en-GB"/>
        </w:rPr>
        <w:t>on</w:t>
      </w:r>
      <w:proofErr w:type="gramEnd"/>
      <w:r w:rsidRPr="00696487">
        <w:rPr>
          <w:rFonts w:asciiTheme="majorBidi" w:hAnsiTheme="majorBidi" w:cstheme="majorBidi"/>
          <w:i/>
          <w:iCs/>
          <w:color w:val="000000"/>
          <w:kern w:val="24"/>
          <w:sz w:val="24"/>
          <w:szCs w:val="24"/>
          <w:lang w:val="en-GB"/>
        </w:rPr>
        <w:t xml:space="preserve"> the activities of the Radiocommunication Sector since WRC-15;</w:t>
      </w:r>
    </w:p>
    <w:p w:rsidR="00576A69" w:rsidRPr="00696487" w:rsidRDefault="00345638" w:rsidP="00576A69">
      <w:pPr>
        <w:pStyle w:val="NormalWeb"/>
        <w:overflowPunct w:val="0"/>
        <w:spacing w:before="0" w:beforeAutospacing="0" w:after="0" w:afterAutospacing="0"/>
        <w:rPr>
          <w:rFonts w:asciiTheme="majorBidi" w:hAnsiTheme="majorBidi" w:cstheme="majorBidi"/>
        </w:rPr>
      </w:pPr>
      <w:r w:rsidRPr="00696487">
        <w:rPr>
          <w:rFonts w:asciiTheme="majorBidi" w:eastAsiaTheme="minorHAnsi" w:hAnsiTheme="majorBidi" w:cstheme="majorBidi"/>
          <w:b/>
          <w:bCs/>
          <w:color w:val="000000"/>
          <w:kern w:val="24"/>
          <w:lang w:val="en-GB"/>
        </w:rPr>
        <w:t xml:space="preserve">Issue </w:t>
      </w:r>
      <w:r w:rsidR="00576A69" w:rsidRPr="00696487">
        <w:rPr>
          <w:rFonts w:asciiTheme="majorBidi" w:eastAsiaTheme="minorHAnsi" w:hAnsiTheme="majorBidi" w:cstheme="majorBidi"/>
          <w:b/>
          <w:bCs/>
          <w:color w:val="000000"/>
          <w:kern w:val="24"/>
          <w:lang w:val="en-GB"/>
        </w:rPr>
        <w:t>9.1.1:</w:t>
      </w:r>
      <w:r w:rsidR="00576A69" w:rsidRPr="00696487">
        <w:rPr>
          <w:rFonts w:asciiTheme="majorBidi" w:hAnsiTheme="majorBidi" w:cstheme="majorBidi"/>
          <w:b/>
          <w:bCs/>
          <w:color w:val="000000"/>
          <w:kern w:val="24"/>
          <w:lang w:val="en-GB"/>
        </w:rPr>
        <w:tab/>
      </w:r>
      <w:r w:rsidR="00576A69" w:rsidRPr="006666A6">
        <w:rPr>
          <w:rFonts w:asciiTheme="majorBidi" w:hAnsiTheme="majorBidi" w:cstheme="majorBidi"/>
          <w:b/>
          <w:bCs/>
          <w:kern w:val="24"/>
          <w:lang w:val="en-GB"/>
        </w:rPr>
        <w:t>Resolution 212</w:t>
      </w:r>
      <w:r w:rsidR="00576A69" w:rsidRPr="00696487">
        <w:rPr>
          <w:rFonts w:asciiTheme="majorBidi" w:hAnsiTheme="majorBidi" w:cstheme="majorBidi"/>
          <w:b/>
          <w:bCs/>
          <w:color w:val="000000"/>
          <w:kern w:val="24"/>
          <w:lang w:val="en-GB"/>
        </w:rPr>
        <w:t xml:space="preserve"> (Rev.WRC-15)</w:t>
      </w:r>
      <w:r w:rsidR="00576A69" w:rsidRPr="00696487">
        <w:rPr>
          <w:rFonts w:asciiTheme="majorBidi" w:hAnsiTheme="majorBidi" w:cstheme="majorBidi"/>
          <w:b/>
          <w:bCs/>
          <w:color w:val="000000"/>
          <w:kern w:val="24"/>
        </w:rPr>
        <w:t xml:space="preserve"> </w:t>
      </w:r>
    </w:p>
    <w:p w:rsidR="00576A69" w:rsidRPr="00696487" w:rsidRDefault="00576A69" w:rsidP="00576A69">
      <w:pPr>
        <w:rPr>
          <w:rFonts w:asciiTheme="majorBidi" w:hAnsiTheme="majorBidi" w:cstheme="majorBidi"/>
          <w:i/>
          <w:iCs/>
          <w:color w:val="000000"/>
          <w:kern w:val="24"/>
          <w:sz w:val="24"/>
          <w:szCs w:val="24"/>
          <w:lang w:val="en-GB"/>
        </w:rPr>
      </w:pPr>
      <w:r w:rsidRPr="00696487">
        <w:rPr>
          <w:rFonts w:asciiTheme="majorBidi" w:hAnsiTheme="majorBidi" w:cstheme="majorBidi"/>
          <w:i/>
          <w:iCs/>
          <w:color w:val="000000"/>
          <w:kern w:val="24"/>
          <w:sz w:val="24"/>
          <w:szCs w:val="24"/>
          <w:lang w:val="en-GB"/>
        </w:rPr>
        <w:t>Implementation of International Mobile Telecommunications in the frequency bands 1885-2025 MHz and 2110 -2200 MHz</w:t>
      </w:r>
    </w:p>
    <w:p w:rsidR="00171534" w:rsidRDefault="006F7B05" w:rsidP="006F3485">
      <w:pPr>
        <w:spacing w:after="60"/>
        <w:rPr>
          <w:rFonts w:asciiTheme="majorBidi" w:hAnsiTheme="majorBidi" w:cstheme="majorBidi"/>
          <w:b/>
          <w:bCs/>
          <w:sz w:val="24"/>
          <w:szCs w:val="24"/>
        </w:rPr>
      </w:pPr>
      <w:r w:rsidRPr="006F7B05">
        <w:rPr>
          <w:rFonts w:asciiTheme="majorBidi" w:hAnsiTheme="majorBidi" w:cstheme="majorBidi"/>
          <w:b/>
          <w:bCs/>
          <w:sz w:val="24"/>
          <w:szCs w:val="24"/>
        </w:rPr>
        <w:t>1</w:t>
      </w:r>
      <w:r w:rsidRPr="006F7B05">
        <w:rPr>
          <w:rFonts w:asciiTheme="majorBidi" w:hAnsiTheme="majorBidi" w:cstheme="majorBidi"/>
          <w:b/>
          <w:bCs/>
          <w:sz w:val="24"/>
          <w:szCs w:val="24"/>
        </w:rPr>
        <w:tab/>
        <w:t>Background</w:t>
      </w:r>
      <w:r w:rsidR="00664340">
        <w:rPr>
          <w:rFonts w:asciiTheme="majorBidi" w:hAnsiTheme="majorBidi" w:cstheme="majorBidi"/>
          <w:b/>
          <w:bCs/>
          <w:sz w:val="24"/>
          <w:szCs w:val="24"/>
        </w:rPr>
        <w:t xml:space="preserve"> </w:t>
      </w:r>
    </w:p>
    <w:p w:rsidR="00244F08" w:rsidRPr="00E774F3" w:rsidRDefault="00244F08" w:rsidP="006F3485">
      <w:pPr>
        <w:spacing w:before="60" w:after="0" w:line="240" w:lineRule="auto"/>
        <w:jc w:val="both"/>
        <w:rPr>
          <w:rFonts w:asciiTheme="majorBidi" w:hAnsiTheme="majorBidi" w:cstheme="majorBidi"/>
          <w:noProof/>
          <w:sz w:val="24"/>
          <w:szCs w:val="24"/>
          <w:lang w:eastAsia="de-DE"/>
        </w:rPr>
      </w:pPr>
      <w:r w:rsidRPr="00696487">
        <w:rPr>
          <w:rFonts w:asciiTheme="majorBidi" w:eastAsia="Times New Roman" w:hAnsiTheme="majorBidi" w:cstheme="majorBidi"/>
          <w:noProof/>
          <w:sz w:val="24"/>
          <w:szCs w:val="24"/>
          <w:lang w:eastAsia="ja-JP"/>
        </w:rPr>
        <w:t xml:space="preserve">Resolution </w:t>
      </w:r>
      <w:r w:rsidRPr="00696487">
        <w:rPr>
          <w:rFonts w:asciiTheme="majorBidi" w:hAnsiTheme="majorBidi" w:cstheme="majorBidi"/>
          <w:b/>
          <w:noProof/>
          <w:sz w:val="24"/>
          <w:szCs w:val="24"/>
          <w:lang w:eastAsia="ko-KR"/>
        </w:rPr>
        <w:t>212 (Rev. WRC-15)</w:t>
      </w:r>
      <w:r w:rsidRPr="00696487">
        <w:rPr>
          <w:rFonts w:asciiTheme="majorBidi" w:eastAsia="Times New Roman" w:hAnsiTheme="majorBidi" w:cstheme="majorBidi"/>
          <w:noProof/>
          <w:sz w:val="24"/>
          <w:szCs w:val="24"/>
          <w:lang w:eastAsia="ja-JP"/>
        </w:rPr>
        <w:t xml:space="preserve"> invite</w:t>
      </w:r>
      <w:r w:rsidRPr="00696487">
        <w:rPr>
          <w:rFonts w:asciiTheme="majorBidi" w:hAnsiTheme="majorBidi" w:cstheme="majorBidi"/>
          <w:noProof/>
          <w:sz w:val="24"/>
          <w:szCs w:val="24"/>
          <w:lang w:eastAsia="ko-KR"/>
        </w:rPr>
        <w:t>s</w:t>
      </w:r>
      <w:r w:rsidRPr="00696487">
        <w:rPr>
          <w:rFonts w:asciiTheme="majorBidi" w:eastAsia="Times New Roman" w:hAnsiTheme="majorBidi" w:cstheme="majorBidi"/>
          <w:noProof/>
          <w:sz w:val="24"/>
          <w:szCs w:val="24"/>
          <w:lang w:eastAsia="ja-JP"/>
        </w:rPr>
        <w:t xml:space="preserve"> the ITU-R to study </w:t>
      </w:r>
      <w:r w:rsidRPr="00696487">
        <w:rPr>
          <w:rFonts w:asciiTheme="majorBidi" w:hAnsiTheme="majorBidi" w:cstheme="majorBidi"/>
          <w:noProof/>
          <w:sz w:val="24"/>
          <w:szCs w:val="24"/>
          <w:lang w:eastAsia="de-DE"/>
        </w:rPr>
        <w:t>possible technical and operational measures to ensure coexistence and compatibility between the terrestrial component of IMT (in the mobile service) and the satellite component of IMT (in the mobile service and the mobile-satellite service) in the frequency bands 1</w:t>
      </w:r>
      <w:r w:rsidR="00266F0B">
        <w:rPr>
          <w:rFonts w:asciiTheme="majorBidi" w:hAnsiTheme="majorBidi" w:cstheme="majorBidi"/>
          <w:noProof/>
          <w:sz w:val="24"/>
          <w:szCs w:val="24"/>
          <w:lang w:eastAsia="de-DE"/>
        </w:rPr>
        <w:t> </w:t>
      </w:r>
      <w:r w:rsidRPr="00696487">
        <w:rPr>
          <w:rFonts w:asciiTheme="majorBidi" w:hAnsiTheme="majorBidi" w:cstheme="majorBidi"/>
          <w:noProof/>
          <w:sz w:val="24"/>
          <w:szCs w:val="24"/>
          <w:lang w:eastAsia="de-DE"/>
        </w:rPr>
        <w:t>980-2</w:t>
      </w:r>
      <w:r w:rsidR="00266F0B">
        <w:rPr>
          <w:rFonts w:asciiTheme="majorBidi" w:hAnsiTheme="majorBidi" w:cstheme="majorBidi"/>
          <w:noProof/>
          <w:sz w:val="24"/>
          <w:szCs w:val="24"/>
          <w:lang w:eastAsia="de-DE"/>
        </w:rPr>
        <w:t> </w:t>
      </w:r>
      <w:r w:rsidRPr="00696487">
        <w:rPr>
          <w:rFonts w:asciiTheme="majorBidi" w:hAnsiTheme="majorBidi" w:cstheme="majorBidi"/>
          <w:noProof/>
          <w:sz w:val="24"/>
          <w:szCs w:val="24"/>
          <w:lang w:eastAsia="de-DE"/>
        </w:rPr>
        <w:t>010</w:t>
      </w:r>
      <w:r w:rsidR="00266F0B">
        <w:rPr>
          <w:rFonts w:asciiTheme="majorBidi" w:hAnsiTheme="majorBidi" w:cstheme="majorBidi"/>
          <w:noProof/>
          <w:sz w:val="24"/>
          <w:szCs w:val="24"/>
          <w:lang w:eastAsia="de-DE"/>
        </w:rPr>
        <w:t> </w:t>
      </w:r>
      <w:r w:rsidRPr="00696487">
        <w:rPr>
          <w:rFonts w:asciiTheme="majorBidi" w:hAnsiTheme="majorBidi" w:cstheme="majorBidi"/>
          <w:noProof/>
          <w:sz w:val="24"/>
          <w:szCs w:val="24"/>
          <w:lang w:eastAsia="de-DE"/>
        </w:rPr>
        <w:t>MHz and 2</w:t>
      </w:r>
      <w:r w:rsidR="00266F0B">
        <w:rPr>
          <w:rFonts w:asciiTheme="majorBidi" w:hAnsiTheme="majorBidi" w:cstheme="majorBidi"/>
          <w:noProof/>
          <w:sz w:val="24"/>
          <w:szCs w:val="24"/>
          <w:lang w:eastAsia="de-DE"/>
        </w:rPr>
        <w:t> </w:t>
      </w:r>
      <w:r w:rsidRPr="00696487">
        <w:rPr>
          <w:rFonts w:asciiTheme="majorBidi" w:hAnsiTheme="majorBidi" w:cstheme="majorBidi"/>
          <w:noProof/>
          <w:sz w:val="24"/>
          <w:szCs w:val="24"/>
          <w:lang w:eastAsia="de-DE"/>
        </w:rPr>
        <w:t>170</w:t>
      </w:r>
      <w:r w:rsidR="00266F0B">
        <w:rPr>
          <w:rFonts w:asciiTheme="majorBidi" w:hAnsiTheme="majorBidi" w:cstheme="majorBidi"/>
          <w:noProof/>
          <w:sz w:val="24"/>
          <w:szCs w:val="24"/>
          <w:lang w:eastAsia="de-DE"/>
        </w:rPr>
        <w:t>-</w:t>
      </w:r>
      <w:r w:rsidRPr="00696487">
        <w:rPr>
          <w:rFonts w:asciiTheme="majorBidi" w:hAnsiTheme="majorBidi" w:cstheme="majorBidi"/>
          <w:noProof/>
          <w:sz w:val="24"/>
          <w:szCs w:val="24"/>
          <w:lang w:eastAsia="de-DE"/>
        </w:rPr>
        <w:t>2 200</w:t>
      </w:r>
      <w:r w:rsidR="00266F0B">
        <w:rPr>
          <w:rFonts w:asciiTheme="majorBidi" w:hAnsiTheme="majorBidi" w:cstheme="majorBidi"/>
          <w:noProof/>
          <w:sz w:val="24"/>
          <w:szCs w:val="24"/>
          <w:lang w:eastAsia="de-DE"/>
        </w:rPr>
        <w:t> </w:t>
      </w:r>
      <w:r w:rsidRPr="00696487">
        <w:rPr>
          <w:rFonts w:asciiTheme="majorBidi" w:hAnsiTheme="majorBidi" w:cstheme="majorBidi"/>
          <w:noProof/>
          <w:sz w:val="24"/>
          <w:szCs w:val="24"/>
          <w:lang w:eastAsia="de-DE"/>
        </w:rPr>
        <w:t xml:space="preserve">MHz where those frequency bands are shared by the mobile service and the mobile-satellite service in different countries, in particular for the deployment of independent satellite and terrestrial components of IMT </w:t>
      </w:r>
      <w:r w:rsidRPr="00696487">
        <w:rPr>
          <w:rFonts w:asciiTheme="majorBidi" w:hAnsiTheme="majorBidi" w:cstheme="majorBidi"/>
          <w:sz w:val="24"/>
          <w:szCs w:val="24"/>
          <w:lang w:eastAsia="ko-KR"/>
        </w:rPr>
        <w:t>and</w:t>
      </w:r>
      <w:r w:rsidRPr="00696487">
        <w:rPr>
          <w:rFonts w:asciiTheme="majorBidi" w:hAnsiTheme="majorBidi" w:cstheme="majorBidi"/>
          <w:noProof/>
          <w:sz w:val="24"/>
          <w:szCs w:val="24"/>
          <w:lang w:eastAsia="de-DE"/>
        </w:rPr>
        <w:t xml:space="preserve"> to facilitate development of both the satellite and terrestrial components of IMT</w:t>
      </w:r>
      <w:r w:rsidRPr="00696487">
        <w:rPr>
          <w:rFonts w:asciiTheme="majorBidi" w:hAnsiTheme="majorBidi" w:cstheme="majorBidi"/>
          <w:noProof/>
          <w:sz w:val="24"/>
          <w:szCs w:val="24"/>
          <w:lang w:eastAsia="ko-KR"/>
        </w:rPr>
        <w:t>.</w:t>
      </w:r>
    </w:p>
    <w:p w:rsidR="00324686" w:rsidRDefault="00A02942" w:rsidP="006F3485">
      <w:pPr>
        <w:spacing w:before="60" w:after="0" w:line="240" w:lineRule="auto"/>
        <w:jc w:val="both"/>
        <w:rPr>
          <w:rFonts w:asciiTheme="majorBidi" w:hAnsiTheme="majorBidi" w:cstheme="majorBidi"/>
          <w:sz w:val="24"/>
          <w:szCs w:val="24"/>
        </w:rPr>
      </w:pPr>
      <w:r w:rsidRPr="00696487">
        <w:rPr>
          <w:rFonts w:asciiTheme="majorBidi" w:hAnsiTheme="majorBidi" w:cstheme="majorBidi"/>
          <w:sz w:val="24"/>
          <w:szCs w:val="24"/>
        </w:rPr>
        <w:t>The terrestrial component of IMT has already been deployed or is being considered for deployment in the frequency bands 1</w:t>
      </w:r>
      <w:r>
        <w:rPr>
          <w:rFonts w:asciiTheme="majorBidi" w:hAnsiTheme="majorBidi" w:cstheme="majorBidi"/>
          <w:sz w:val="24"/>
          <w:szCs w:val="24"/>
        </w:rPr>
        <w:t> </w:t>
      </w:r>
      <w:r w:rsidRPr="00696487">
        <w:rPr>
          <w:rFonts w:asciiTheme="majorBidi" w:hAnsiTheme="majorBidi" w:cstheme="majorBidi"/>
          <w:sz w:val="24"/>
          <w:szCs w:val="24"/>
        </w:rPr>
        <w:t>885-1</w:t>
      </w:r>
      <w:r>
        <w:rPr>
          <w:rFonts w:asciiTheme="majorBidi" w:hAnsiTheme="majorBidi" w:cstheme="majorBidi"/>
          <w:sz w:val="24"/>
          <w:szCs w:val="24"/>
        </w:rPr>
        <w:t> </w:t>
      </w:r>
      <w:r w:rsidRPr="00696487">
        <w:rPr>
          <w:rFonts w:asciiTheme="majorBidi" w:hAnsiTheme="majorBidi" w:cstheme="majorBidi"/>
          <w:sz w:val="24"/>
          <w:szCs w:val="24"/>
        </w:rPr>
        <w:t>980</w:t>
      </w:r>
      <w:r w:rsidR="00266F0B">
        <w:rPr>
          <w:rFonts w:asciiTheme="majorBidi" w:hAnsiTheme="majorBidi" w:cstheme="majorBidi"/>
          <w:sz w:val="24"/>
          <w:szCs w:val="24"/>
        </w:rPr>
        <w:t> </w:t>
      </w:r>
      <w:r w:rsidRPr="00696487">
        <w:rPr>
          <w:rFonts w:asciiTheme="majorBidi" w:hAnsiTheme="majorBidi" w:cstheme="majorBidi"/>
          <w:sz w:val="24"/>
          <w:szCs w:val="24"/>
        </w:rPr>
        <w:t>MHz, 2</w:t>
      </w:r>
      <w:r>
        <w:rPr>
          <w:rFonts w:asciiTheme="majorBidi" w:hAnsiTheme="majorBidi" w:cstheme="majorBidi"/>
          <w:sz w:val="24"/>
          <w:szCs w:val="24"/>
        </w:rPr>
        <w:t> </w:t>
      </w:r>
      <w:r w:rsidRPr="00696487">
        <w:rPr>
          <w:rFonts w:asciiTheme="majorBidi" w:hAnsiTheme="majorBidi" w:cstheme="majorBidi"/>
          <w:sz w:val="24"/>
          <w:szCs w:val="24"/>
        </w:rPr>
        <w:t>010-2</w:t>
      </w:r>
      <w:r>
        <w:rPr>
          <w:rFonts w:asciiTheme="majorBidi" w:hAnsiTheme="majorBidi" w:cstheme="majorBidi"/>
          <w:sz w:val="24"/>
          <w:szCs w:val="24"/>
        </w:rPr>
        <w:t> </w:t>
      </w:r>
      <w:r w:rsidRPr="00696487">
        <w:rPr>
          <w:rFonts w:asciiTheme="majorBidi" w:hAnsiTheme="majorBidi" w:cstheme="majorBidi"/>
          <w:sz w:val="24"/>
          <w:szCs w:val="24"/>
        </w:rPr>
        <w:t>025 MHz and 2</w:t>
      </w:r>
      <w:r>
        <w:rPr>
          <w:rFonts w:asciiTheme="majorBidi" w:hAnsiTheme="majorBidi" w:cstheme="majorBidi"/>
          <w:sz w:val="24"/>
          <w:szCs w:val="24"/>
        </w:rPr>
        <w:t> </w:t>
      </w:r>
      <w:r w:rsidRPr="00696487">
        <w:rPr>
          <w:rFonts w:asciiTheme="majorBidi" w:hAnsiTheme="majorBidi" w:cstheme="majorBidi"/>
          <w:sz w:val="24"/>
          <w:szCs w:val="24"/>
        </w:rPr>
        <w:t>110-2</w:t>
      </w:r>
      <w:r>
        <w:rPr>
          <w:rFonts w:asciiTheme="majorBidi" w:hAnsiTheme="majorBidi" w:cstheme="majorBidi"/>
          <w:sz w:val="24"/>
          <w:szCs w:val="24"/>
        </w:rPr>
        <w:t> </w:t>
      </w:r>
      <w:r w:rsidRPr="00696487">
        <w:rPr>
          <w:rFonts w:asciiTheme="majorBidi" w:hAnsiTheme="majorBidi" w:cstheme="majorBidi"/>
          <w:sz w:val="24"/>
          <w:szCs w:val="24"/>
        </w:rPr>
        <w:t>170</w:t>
      </w:r>
      <w:r w:rsidR="00266F0B">
        <w:rPr>
          <w:rFonts w:asciiTheme="majorBidi" w:hAnsiTheme="majorBidi" w:cstheme="majorBidi"/>
          <w:sz w:val="24"/>
          <w:szCs w:val="24"/>
        </w:rPr>
        <w:t> </w:t>
      </w:r>
      <w:proofErr w:type="spellStart"/>
      <w:r w:rsidRPr="00696487">
        <w:rPr>
          <w:rFonts w:asciiTheme="majorBidi" w:hAnsiTheme="majorBidi" w:cstheme="majorBidi"/>
          <w:sz w:val="24"/>
          <w:szCs w:val="24"/>
        </w:rPr>
        <w:t>MHz.</w:t>
      </w:r>
      <w:proofErr w:type="spellEnd"/>
      <w:r w:rsidRPr="00696487">
        <w:rPr>
          <w:rFonts w:asciiTheme="majorBidi" w:hAnsiTheme="majorBidi" w:cstheme="majorBidi"/>
          <w:sz w:val="24"/>
          <w:szCs w:val="24"/>
        </w:rPr>
        <w:t xml:space="preserve"> Both the </w:t>
      </w:r>
      <w:r w:rsidRPr="00696487">
        <w:rPr>
          <w:rFonts w:asciiTheme="majorBidi" w:hAnsiTheme="majorBidi" w:cstheme="majorBidi"/>
          <w:sz w:val="24"/>
          <w:szCs w:val="24"/>
          <w:lang w:eastAsia="ko-KR"/>
        </w:rPr>
        <w:t>terrestrial</w:t>
      </w:r>
      <w:r w:rsidRPr="00696487">
        <w:rPr>
          <w:rFonts w:asciiTheme="majorBidi" w:hAnsiTheme="majorBidi" w:cstheme="majorBidi"/>
          <w:sz w:val="24"/>
          <w:szCs w:val="24"/>
        </w:rPr>
        <w:t xml:space="preserve"> and satellite components of IMT have already been deployed or are being considered for deployment in the frequency bands 1</w:t>
      </w:r>
      <w:r w:rsidR="00266F0B">
        <w:rPr>
          <w:rFonts w:asciiTheme="majorBidi" w:hAnsiTheme="majorBidi" w:cstheme="majorBidi"/>
          <w:sz w:val="24"/>
          <w:szCs w:val="24"/>
        </w:rPr>
        <w:t> </w:t>
      </w:r>
      <w:r w:rsidRPr="00696487">
        <w:rPr>
          <w:rFonts w:asciiTheme="majorBidi" w:hAnsiTheme="majorBidi" w:cstheme="majorBidi"/>
          <w:sz w:val="24"/>
          <w:szCs w:val="24"/>
        </w:rPr>
        <w:t>980-2</w:t>
      </w:r>
      <w:r w:rsidR="00266F0B">
        <w:rPr>
          <w:rFonts w:asciiTheme="majorBidi" w:hAnsiTheme="majorBidi" w:cstheme="majorBidi"/>
          <w:sz w:val="24"/>
          <w:szCs w:val="24"/>
        </w:rPr>
        <w:t> </w:t>
      </w:r>
      <w:r w:rsidRPr="00696487">
        <w:rPr>
          <w:rFonts w:asciiTheme="majorBidi" w:hAnsiTheme="majorBidi" w:cstheme="majorBidi"/>
          <w:sz w:val="24"/>
          <w:szCs w:val="24"/>
        </w:rPr>
        <w:t>010</w:t>
      </w:r>
      <w:r w:rsidR="00266F0B">
        <w:rPr>
          <w:rFonts w:asciiTheme="majorBidi" w:hAnsiTheme="majorBidi" w:cstheme="majorBidi"/>
          <w:sz w:val="24"/>
          <w:szCs w:val="24"/>
        </w:rPr>
        <w:t> </w:t>
      </w:r>
      <w:r w:rsidRPr="00696487">
        <w:rPr>
          <w:rFonts w:asciiTheme="majorBidi" w:hAnsiTheme="majorBidi" w:cstheme="majorBidi"/>
          <w:sz w:val="24"/>
          <w:szCs w:val="24"/>
        </w:rPr>
        <w:t>MHz and 2</w:t>
      </w:r>
      <w:r w:rsidR="00266F0B">
        <w:rPr>
          <w:rFonts w:asciiTheme="majorBidi" w:hAnsiTheme="majorBidi" w:cstheme="majorBidi"/>
          <w:sz w:val="24"/>
          <w:szCs w:val="24"/>
        </w:rPr>
        <w:t> </w:t>
      </w:r>
      <w:r w:rsidRPr="00696487">
        <w:rPr>
          <w:rFonts w:asciiTheme="majorBidi" w:hAnsiTheme="majorBidi" w:cstheme="majorBidi"/>
          <w:sz w:val="24"/>
          <w:szCs w:val="24"/>
        </w:rPr>
        <w:t>170-2</w:t>
      </w:r>
      <w:r w:rsidR="00266F0B">
        <w:rPr>
          <w:rFonts w:asciiTheme="majorBidi" w:hAnsiTheme="majorBidi" w:cstheme="majorBidi"/>
          <w:sz w:val="24"/>
          <w:szCs w:val="24"/>
        </w:rPr>
        <w:t> </w:t>
      </w:r>
      <w:r w:rsidRPr="00696487">
        <w:rPr>
          <w:rFonts w:asciiTheme="majorBidi" w:hAnsiTheme="majorBidi" w:cstheme="majorBidi"/>
          <w:sz w:val="24"/>
          <w:szCs w:val="24"/>
        </w:rPr>
        <w:t>200</w:t>
      </w:r>
      <w:r w:rsidR="00266F0B">
        <w:rPr>
          <w:rFonts w:asciiTheme="majorBidi" w:hAnsiTheme="majorBidi" w:cstheme="majorBidi"/>
          <w:sz w:val="24"/>
          <w:szCs w:val="24"/>
        </w:rPr>
        <w:t> </w:t>
      </w:r>
      <w:proofErr w:type="spellStart"/>
      <w:r w:rsidRPr="00696487">
        <w:rPr>
          <w:rFonts w:asciiTheme="majorBidi" w:hAnsiTheme="majorBidi" w:cstheme="majorBidi"/>
          <w:sz w:val="24"/>
          <w:szCs w:val="24"/>
        </w:rPr>
        <w:t>MHz.</w:t>
      </w:r>
      <w:proofErr w:type="spellEnd"/>
    </w:p>
    <w:p w:rsidR="00324686" w:rsidRDefault="00E774F3" w:rsidP="006F3485">
      <w:pPr>
        <w:spacing w:before="60" w:after="0" w:line="240" w:lineRule="auto"/>
        <w:jc w:val="both"/>
        <w:rPr>
          <w:rFonts w:asciiTheme="majorBidi" w:hAnsiTheme="majorBidi" w:cstheme="majorBidi"/>
          <w:noProof/>
          <w:sz w:val="24"/>
          <w:szCs w:val="24"/>
          <w:lang w:eastAsia="de-DE"/>
        </w:rPr>
      </w:pPr>
      <w:r w:rsidRPr="00696487">
        <w:rPr>
          <w:rFonts w:asciiTheme="majorBidi" w:hAnsiTheme="majorBidi" w:cstheme="majorBidi"/>
          <w:noProof/>
          <w:sz w:val="24"/>
          <w:szCs w:val="24"/>
          <w:lang w:eastAsia="de-DE"/>
        </w:rPr>
        <w:t xml:space="preserve">It was noted that co-frequency deployment of independent satellite and terrestrial IMT components in the same geographical area is not feasible unless technique, such as the use of an appropriate guardband or other mitigation techniques are applied to ensure coexistence and </w:t>
      </w:r>
      <w:r w:rsidRPr="00696487">
        <w:rPr>
          <w:rFonts w:asciiTheme="majorBidi" w:hAnsiTheme="majorBidi" w:cstheme="majorBidi"/>
          <w:sz w:val="24"/>
          <w:szCs w:val="24"/>
          <w:lang w:eastAsia="ko-KR"/>
        </w:rPr>
        <w:t>compatibility</w:t>
      </w:r>
      <w:r w:rsidRPr="00696487">
        <w:rPr>
          <w:rFonts w:asciiTheme="majorBidi" w:hAnsiTheme="majorBidi" w:cstheme="majorBidi"/>
          <w:noProof/>
          <w:sz w:val="24"/>
          <w:szCs w:val="24"/>
          <w:lang w:eastAsia="de-DE"/>
        </w:rPr>
        <w:t xml:space="preserve"> between the terrestrial and satellite components of IMT.</w:t>
      </w:r>
    </w:p>
    <w:p w:rsidR="00324686" w:rsidRDefault="009B5DD9" w:rsidP="006F3485">
      <w:pPr>
        <w:spacing w:before="60" w:after="0" w:line="240" w:lineRule="auto"/>
        <w:jc w:val="both"/>
        <w:rPr>
          <w:rFonts w:asciiTheme="majorBidi" w:hAnsiTheme="majorBidi" w:cstheme="majorBidi"/>
          <w:noProof/>
          <w:sz w:val="24"/>
          <w:szCs w:val="24"/>
          <w:lang w:eastAsia="ko-KR"/>
        </w:rPr>
      </w:pPr>
      <w:r w:rsidRPr="00696487">
        <w:rPr>
          <w:rFonts w:asciiTheme="majorBidi" w:hAnsiTheme="majorBidi" w:cstheme="majorBidi"/>
          <w:sz w:val="24"/>
          <w:szCs w:val="24"/>
        </w:rPr>
        <w:t xml:space="preserve">It was also noted that satellite and terrestrial IMT components deployed in adjacent geographical areas </w:t>
      </w:r>
      <w:r w:rsidRPr="00696487">
        <w:rPr>
          <w:rFonts w:asciiTheme="majorBidi" w:hAnsiTheme="majorBidi" w:cstheme="majorBidi"/>
          <w:sz w:val="24"/>
          <w:szCs w:val="24"/>
          <w:lang w:eastAsia="ko-KR"/>
        </w:rPr>
        <w:t>might</w:t>
      </w:r>
      <w:r w:rsidRPr="00696487">
        <w:rPr>
          <w:rFonts w:asciiTheme="majorBidi" w:hAnsiTheme="majorBidi" w:cstheme="majorBidi"/>
          <w:sz w:val="24"/>
          <w:szCs w:val="24"/>
        </w:rPr>
        <w:t xml:space="preserve"> require technical and operational measures to avoid harmful interference between them.</w:t>
      </w:r>
    </w:p>
    <w:p w:rsidR="00324686" w:rsidRDefault="003F56D7" w:rsidP="006F3485">
      <w:pPr>
        <w:spacing w:before="60" w:after="0" w:line="240" w:lineRule="auto"/>
        <w:jc w:val="both"/>
        <w:rPr>
          <w:rFonts w:asciiTheme="majorBidi" w:hAnsiTheme="majorBidi" w:cstheme="majorBidi"/>
          <w:noProof/>
          <w:sz w:val="24"/>
          <w:szCs w:val="24"/>
          <w:lang w:eastAsia="ko-KR"/>
        </w:rPr>
      </w:pPr>
      <w:r w:rsidRPr="00696487">
        <w:rPr>
          <w:rFonts w:asciiTheme="majorBidi" w:hAnsiTheme="majorBidi" w:cstheme="majorBidi"/>
          <w:sz w:val="24"/>
          <w:szCs w:val="24"/>
          <w:lang w:eastAsia="ja-JP"/>
        </w:rPr>
        <w:t xml:space="preserve">Within ITU-R, Working Party </w:t>
      </w:r>
      <w:r w:rsidRPr="009B5DD9">
        <w:rPr>
          <w:rFonts w:asciiTheme="majorBidi" w:hAnsiTheme="majorBidi" w:cstheme="majorBidi"/>
          <w:b/>
          <w:bCs/>
          <w:sz w:val="24"/>
          <w:szCs w:val="24"/>
          <w:lang w:eastAsia="ja-JP"/>
        </w:rPr>
        <w:t>4C</w:t>
      </w:r>
      <w:r w:rsidRPr="00696487">
        <w:rPr>
          <w:rFonts w:asciiTheme="majorBidi" w:hAnsiTheme="majorBidi" w:cstheme="majorBidi"/>
          <w:sz w:val="24"/>
          <w:szCs w:val="24"/>
          <w:lang w:eastAsia="ja-JP"/>
        </w:rPr>
        <w:t xml:space="preserve"> (</w:t>
      </w:r>
      <w:r w:rsidRPr="009B5DD9">
        <w:rPr>
          <w:rFonts w:asciiTheme="majorBidi" w:hAnsiTheme="majorBidi" w:cstheme="majorBidi"/>
          <w:b/>
          <w:bCs/>
          <w:sz w:val="24"/>
          <w:szCs w:val="24"/>
          <w:lang w:eastAsia="ja-JP"/>
        </w:rPr>
        <w:t>WP</w:t>
      </w:r>
      <w:r w:rsidR="009B5DD9">
        <w:rPr>
          <w:rFonts w:asciiTheme="majorBidi" w:hAnsiTheme="majorBidi" w:cstheme="majorBidi"/>
          <w:b/>
          <w:bCs/>
          <w:sz w:val="24"/>
          <w:szCs w:val="24"/>
          <w:lang w:eastAsia="ja-JP"/>
        </w:rPr>
        <w:t> </w:t>
      </w:r>
      <w:r w:rsidRPr="009B5DD9">
        <w:rPr>
          <w:rFonts w:asciiTheme="majorBidi" w:hAnsiTheme="majorBidi" w:cstheme="majorBidi"/>
          <w:b/>
          <w:bCs/>
          <w:sz w:val="24"/>
          <w:szCs w:val="24"/>
          <w:lang w:eastAsia="ja-JP"/>
        </w:rPr>
        <w:t>4C</w:t>
      </w:r>
      <w:r w:rsidRPr="003F56D7">
        <w:rPr>
          <w:rFonts w:asciiTheme="majorBidi" w:hAnsiTheme="majorBidi" w:cstheme="majorBidi"/>
          <w:sz w:val="24"/>
          <w:szCs w:val="24"/>
          <w:lang w:eastAsia="ja-JP"/>
        </w:rPr>
        <w:t>)</w:t>
      </w:r>
      <w:r w:rsidRPr="003F56D7">
        <w:rPr>
          <w:rFonts w:asciiTheme="majorBidi" w:hAnsiTheme="majorBidi" w:cstheme="majorBidi"/>
          <w:noProof/>
          <w:sz w:val="24"/>
          <w:szCs w:val="24"/>
          <w:lang w:eastAsia="ko-KR"/>
        </w:rPr>
        <w:t xml:space="preserve"> and Working Party </w:t>
      </w:r>
      <w:r w:rsidRPr="009B5DD9">
        <w:rPr>
          <w:rFonts w:asciiTheme="majorBidi" w:hAnsiTheme="majorBidi" w:cstheme="majorBidi"/>
          <w:b/>
          <w:bCs/>
          <w:noProof/>
          <w:sz w:val="24"/>
          <w:szCs w:val="24"/>
          <w:lang w:eastAsia="ko-KR"/>
        </w:rPr>
        <w:t>5D</w:t>
      </w:r>
      <w:r w:rsidRPr="003F56D7">
        <w:rPr>
          <w:rFonts w:asciiTheme="majorBidi" w:hAnsiTheme="majorBidi" w:cstheme="majorBidi"/>
          <w:noProof/>
          <w:sz w:val="24"/>
          <w:szCs w:val="24"/>
          <w:lang w:eastAsia="ko-KR"/>
        </w:rPr>
        <w:t xml:space="preserve"> (</w:t>
      </w:r>
      <w:r w:rsidRPr="009B5DD9">
        <w:rPr>
          <w:rFonts w:asciiTheme="majorBidi" w:hAnsiTheme="majorBidi" w:cstheme="majorBidi"/>
          <w:b/>
          <w:bCs/>
          <w:noProof/>
          <w:sz w:val="24"/>
          <w:szCs w:val="24"/>
          <w:lang w:eastAsia="ko-KR"/>
        </w:rPr>
        <w:t>WP</w:t>
      </w:r>
      <w:r w:rsidR="009B5DD9">
        <w:rPr>
          <w:rFonts w:asciiTheme="majorBidi" w:hAnsiTheme="majorBidi" w:cstheme="majorBidi"/>
          <w:b/>
          <w:bCs/>
          <w:noProof/>
          <w:sz w:val="24"/>
          <w:szCs w:val="24"/>
          <w:lang w:eastAsia="ko-KR"/>
        </w:rPr>
        <w:t> </w:t>
      </w:r>
      <w:r w:rsidRPr="009B5DD9">
        <w:rPr>
          <w:rFonts w:asciiTheme="majorBidi" w:hAnsiTheme="majorBidi" w:cstheme="majorBidi"/>
          <w:b/>
          <w:bCs/>
          <w:noProof/>
          <w:sz w:val="24"/>
          <w:szCs w:val="24"/>
          <w:lang w:eastAsia="ko-KR"/>
        </w:rPr>
        <w:t>5D</w:t>
      </w:r>
      <w:r w:rsidRPr="003F56D7">
        <w:rPr>
          <w:rFonts w:asciiTheme="majorBidi" w:hAnsiTheme="majorBidi" w:cstheme="majorBidi"/>
          <w:noProof/>
          <w:sz w:val="24"/>
          <w:szCs w:val="24"/>
          <w:lang w:eastAsia="ko-KR"/>
        </w:rPr>
        <w:t xml:space="preserve">) are responsible for the studies requested in the </w:t>
      </w:r>
      <w:r w:rsidRPr="003F56D7">
        <w:rPr>
          <w:rFonts w:asciiTheme="majorBidi" w:hAnsiTheme="majorBidi" w:cstheme="majorBidi"/>
          <w:i/>
          <w:iCs/>
          <w:noProof/>
          <w:sz w:val="24"/>
          <w:szCs w:val="24"/>
          <w:lang w:eastAsia="ko-KR"/>
        </w:rPr>
        <w:t>invites ITU-R</w:t>
      </w:r>
      <w:r w:rsidRPr="003F56D7">
        <w:rPr>
          <w:rFonts w:asciiTheme="majorBidi" w:hAnsiTheme="majorBidi" w:cstheme="majorBidi"/>
          <w:noProof/>
          <w:sz w:val="24"/>
          <w:szCs w:val="24"/>
          <w:lang w:eastAsia="ko-KR"/>
        </w:rPr>
        <w:t xml:space="preserve"> of </w:t>
      </w:r>
      <w:r w:rsidRPr="003F56D7">
        <w:rPr>
          <w:rStyle w:val="ECCParagraph"/>
          <w:rFonts w:asciiTheme="majorBidi" w:hAnsiTheme="majorBidi" w:cstheme="majorBidi"/>
          <w:sz w:val="24"/>
          <w:szCs w:val="24"/>
          <w:lang w:eastAsia="ja-JP"/>
        </w:rPr>
        <w:t xml:space="preserve">Resolution </w:t>
      </w:r>
      <w:r w:rsidRPr="003F56D7">
        <w:rPr>
          <w:rStyle w:val="ECCParagraph"/>
          <w:rFonts w:asciiTheme="majorBidi" w:hAnsiTheme="majorBidi" w:cstheme="majorBidi"/>
          <w:b/>
          <w:bCs/>
          <w:sz w:val="24"/>
          <w:szCs w:val="24"/>
          <w:lang w:eastAsia="ja-JP"/>
        </w:rPr>
        <w:t>212 (Rev.WRC-15)</w:t>
      </w:r>
      <w:r w:rsidRPr="003F56D7">
        <w:rPr>
          <w:rFonts w:asciiTheme="majorBidi" w:hAnsiTheme="majorBidi" w:cstheme="majorBidi"/>
          <w:noProof/>
          <w:sz w:val="24"/>
          <w:szCs w:val="24"/>
          <w:lang w:eastAsia="ko-KR"/>
        </w:rPr>
        <w:t xml:space="preserve"> with respect</w:t>
      </w:r>
      <w:r w:rsidRPr="00696487">
        <w:rPr>
          <w:rFonts w:asciiTheme="majorBidi" w:hAnsiTheme="majorBidi" w:cstheme="majorBidi"/>
          <w:noProof/>
          <w:sz w:val="24"/>
          <w:szCs w:val="24"/>
          <w:lang w:eastAsia="ko-KR"/>
        </w:rPr>
        <w:t xml:space="preserve"> to the </w:t>
      </w:r>
      <w:r w:rsidRPr="00696487">
        <w:rPr>
          <w:rFonts w:asciiTheme="majorBidi" w:hAnsiTheme="majorBidi" w:cstheme="majorBidi"/>
          <w:sz w:val="24"/>
          <w:szCs w:val="24"/>
          <w:lang w:eastAsia="ko-KR"/>
        </w:rPr>
        <w:t>satellite</w:t>
      </w:r>
      <w:r w:rsidRPr="00696487">
        <w:rPr>
          <w:rFonts w:asciiTheme="majorBidi" w:hAnsiTheme="majorBidi" w:cstheme="majorBidi"/>
          <w:noProof/>
          <w:sz w:val="24"/>
          <w:szCs w:val="24"/>
          <w:lang w:eastAsia="ko-KR"/>
        </w:rPr>
        <w:t xml:space="preserve"> </w:t>
      </w:r>
      <w:r>
        <w:rPr>
          <w:rFonts w:asciiTheme="majorBidi" w:hAnsiTheme="majorBidi" w:cstheme="majorBidi"/>
          <w:noProof/>
          <w:sz w:val="24"/>
          <w:szCs w:val="24"/>
          <w:lang w:eastAsia="ko-KR"/>
        </w:rPr>
        <w:t xml:space="preserve">and </w:t>
      </w:r>
      <w:r w:rsidRPr="00696487">
        <w:rPr>
          <w:rFonts w:asciiTheme="majorBidi" w:hAnsiTheme="majorBidi" w:cstheme="majorBidi"/>
          <w:noProof/>
          <w:sz w:val="24"/>
          <w:szCs w:val="24"/>
          <w:lang w:eastAsia="ko-KR"/>
        </w:rPr>
        <w:t>terrestrial component</w:t>
      </w:r>
      <w:r>
        <w:rPr>
          <w:rFonts w:asciiTheme="majorBidi" w:hAnsiTheme="majorBidi" w:cstheme="majorBidi"/>
          <w:noProof/>
          <w:sz w:val="24"/>
          <w:szCs w:val="24"/>
          <w:lang w:eastAsia="ko-KR"/>
        </w:rPr>
        <w:t>s</w:t>
      </w:r>
      <w:r w:rsidRPr="00696487">
        <w:rPr>
          <w:rFonts w:asciiTheme="majorBidi" w:hAnsiTheme="majorBidi" w:cstheme="majorBidi"/>
          <w:noProof/>
          <w:sz w:val="24"/>
          <w:szCs w:val="24"/>
          <w:lang w:eastAsia="ko-KR"/>
        </w:rPr>
        <w:t xml:space="preserve"> of IMT</w:t>
      </w:r>
      <w:r>
        <w:rPr>
          <w:rFonts w:asciiTheme="majorBidi" w:hAnsiTheme="majorBidi" w:cstheme="majorBidi"/>
          <w:noProof/>
          <w:sz w:val="24"/>
          <w:szCs w:val="24"/>
          <w:lang w:eastAsia="ko-KR"/>
        </w:rPr>
        <w:t xml:space="preserve">, respectively, </w:t>
      </w:r>
      <w:r w:rsidRPr="00696487">
        <w:rPr>
          <w:rFonts w:asciiTheme="majorBidi" w:hAnsiTheme="majorBidi" w:cstheme="majorBidi"/>
          <w:noProof/>
          <w:sz w:val="24"/>
          <w:szCs w:val="24"/>
          <w:lang w:eastAsia="ko-KR"/>
        </w:rPr>
        <w:t>taking into account the technical and operational characteristics provided by</w:t>
      </w:r>
      <w:r>
        <w:rPr>
          <w:rFonts w:asciiTheme="majorBidi" w:hAnsiTheme="majorBidi" w:cstheme="majorBidi"/>
          <w:noProof/>
          <w:sz w:val="24"/>
          <w:szCs w:val="24"/>
          <w:lang w:eastAsia="ko-KR"/>
        </w:rPr>
        <w:t xml:space="preserve"> relevant above Working Parties.</w:t>
      </w:r>
    </w:p>
    <w:p w:rsidR="006F7B05" w:rsidRDefault="00244F08" w:rsidP="006F3485">
      <w:pPr>
        <w:spacing w:before="60" w:after="0" w:line="240" w:lineRule="auto"/>
        <w:jc w:val="both"/>
        <w:rPr>
          <w:rFonts w:asciiTheme="majorBidi" w:hAnsiTheme="majorBidi" w:cstheme="majorBidi"/>
          <w:sz w:val="24"/>
          <w:szCs w:val="24"/>
          <w:lang w:eastAsia="ko-KR"/>
        </w:rPr>
      </w:pPr>
      <w:r w:rsidRPr="00696487">
        <w:rPr>
          <w:rFonts w:asciiTheme="majorBidi" w:hAnsiTheme="majorBidi" w:cstheme="majorBidi"/>
          <w:sz w:val="24"/>
          <w:szCs w:val="24"/>
          <w:lang w:eastAsia="de-DE"/>
        </w:rPr>
        <w:t>Based</w:t>
      </w:r>
      <w:r w:rsidRPr="00696487">
        <w:rPr>
          <w:rFonts w:asciiTheme="majorBidi" w:hAnsiTheme="majorBidi" w:cstheme="majorBidi"/>
          <w:sz w:val="24"/>
          <w:szCs w:val="24"/>
          <w:lang w:eastAsia="ko-KR"/>
        </w:rPr>
        <w:t xml:space="preserve"> on the above, WP</w:t>
      </w:r>
      <w:r w:rsidR="00266F0B">
        <w:rPr>
          <w:rFonts w:asciiTheme="majorBidi" w:hAnsiTheme="majorBidi" w:cstheme="majorBidi"/>
          <w:sz w:val="24"/>
          <w:szCs w:val="24"/>
          <w:lang w:eastAsia="ko-KR"/>
        </w:rPr>
        <w:t> </w:t>
      </w:r>
      <w:r w:rsidRPr="00266F0B">
        <w:rPr>
          <w:rFonts w:asciiTheme="majorBidi" w:hAnsiTheme="majorBidi" w:cstheme="majorBidi"/>
          <w:b/>
          <w:bCs/>
          <w:sz w:val="24"/>
          <w:szCs w:val="24"/>
          <w:lang w:eastAsia="ko-KR"/>
        </w:rPr>
        <w:t>5D</w:t>
      </w:r>
      <w:r w:rsidRPr="00696487">
        <w:rPr>
          <w:rFonts w:asciiTheme="majorBidi" w:hAnsiTheme="majorBidi" w:cstheme="majorBidi"/>
          <w:sz w:val="24"/>
          <w:szCs w:val="24"/>
          <w:lang w:eastAsia="ko-KR"/>
        </w:rPr>
        <w:t xml:space="preserve"> and WP</w:t>
      </w:r>
      <w:r w:rsidR="00266F0B">
        <w:rPr>
          <w:rFonts w:asciiTheme="majorBidi" w:hAnsiTheme="majorBidi" w:cstheme="majorBidi"/>
          <w:sz w:val="24"/>
          <w:szCs w:val="24"/>
          <w:lang w:eastAsia="ko-KR"/>
        </w:rPr>
        <w:t> </w:t>
      </w:r>
      <w:r w:rsidRPr="00266F0B">
        <w:rPr>
          <w:rFonts w:asciiTheme="majorBidi" w:hAnsiTheme="majorBidi" w:cstheme="majorBidi"/>
          <w:b/>
          <w:bCs/>
          <w:sz w:val="24"/>
          <w:szCs w:val="24"/>
          <w:lang w:eastAsia="ko-KR"/>
        </w:rPr>
        <w:t>4C</w:t>
      </w:r>
      <w:r w:rsidRPr="00696487">
        <w:rPr>
          <w:rFonts w:asciiTheme="majorBidi" w:hAnsiTheme="majorBidi" w:cstheme="majorBidi"/>
          <w:sz w:val="24"/>
          <w:szCs w:val="24"/>
          <w:lang w:eastAsia="ko-KR"/>
        </w:rPr>
        <w:t xml:space="preserve"> have jointly developed the w</w:t>
      </w:r>
      <w:r w:rsidRPr="00696487">
        <w:rPr>
          <w:rFonts w:asciiTheme="majorBidi" w:hAnsiTheme="majorBidi" w:cstheme="majorBidi"/>
          <w:sz w:val="24"/>
          <w:szCs w:val="24"/>
        </w:rPr>
        <w:t xml:space="preserve">orking document towards a preliminary draft new </w:t>
      </w:r>
      <w:r w:rsidRPr="00696487">
        <w:rPr>
          <w:rFonts w:asciiTheme="majorBidi" w:hAnsiTheme="majorBidi" w:cstheme="majorBidi"/>
          <w:sz w:val="24"/>
          <w:szCs w:val="24"/>
          <w:lang w:eastAsia="ko-KR"/>
        </w:rPr>
        <w:t>[Recommendation/</w:t>
      </w:r>
      <w:r w:rsidRPr="00696487">
        <w:rPr>
          <w:rFonts w:asciiTheme="majorBidi" w:hAnsiTheme="majorBidi" w:cstheme="majorBidi"/>
          <w:sz w:val="24"/>
          <w:szCs w:val="24"/>
        </w:rPr>
        <w:t>Report</w:t>
      </w:r>
      <w:r w:rsidRPr="00696487">
        <w:rPr>
          <w:rFonts w:asciiTheme="majorBidi" w:hAnsiTheme="majorBidi" w:cstheme="majorBidi"/>
          <w:sz w:val="24"/>
          <w:szCs w:val="24"/>
          <w:lang w:eastAsia="ko-KR"/>
        </w:rPr>
        <w:t>]</w:t>
      </w:r>
      <w:r w:rsidRPr="00696487">
        <w:rPr>
          <w:rFonts w:asciiTheme="majorBidi" w:hAnsiTheme="majorBidi" w:cstheme="majorBidi"/>
          <w:sz w:val="24"/>
          <w:szCs w:val="24"/>
        </w:rPr>
        <w:t xml:space="preserve"> ITU-R M</w:t>
      </w:r>
      <w:proofErr w:type="gramStart"/>
      <w:r w:rsidRPr="00696487">
        <w:rPr>
          <w:rFonts w:asciiTheme="majorBidi" w:hAnsiTheme="majorBidi" w:cstheme="majorBidi"/>
          <w:sz w:val="24"/>
          <w:szCs w:val="24"/>
        </w:rPr>
        <w:t>.[</w:t>
      </w:r>
      <w:proofErr w:type="gramEnd"/>
      <w:r w:rsidRPr="00696487">
        <w:rPr>
          <w:rFonts w:asciiTheme="majorBidi" w:hAnsiTheme="majorBidi" w:cstheme="majorBidi"/>
          <w:sz w:val="24"/>
          <w:szCs w:val="24"/>
          <w:lang w:eastAsia="ko-KR"/>
        </w:rPr>
        <w:t>MSS/IMT-ADVANCED SHARING]</w:t>
      </w:r>
      <w:r w:rsidRPr="00244F08">
        <w:rPr>
          <w:rFonts w:asciiTheme="majorBidi" w:hAnsiTheme="majorBidi" w:cstheme="majorBidi"/>
          <w:sz w:val="24"/>
          <w:szCs w:val="24"/>
          <w:lang w:eastAsia="ko-KR"/>
        </w:rPr>
        <w:t>.</w:t>
      </w:r>
    </w:p>
    <w:p w:rsidR="006F3485" w:rsidRDefault="006F3485" w:rsidP="006F3485">
      <w:pPr>
        <w:spacing w:before="60" w:after="0" w:line="240" w:lineRule="auto"/>
        <w:jc w:val="both"/>
        <w:rPr>
          <w:rFonts w:asciiTheme="majorBidi" w:hAnsiTheme="majorBidi" w:cstheme="majorBidi"/>
          <w:sz w:val="24"/>
          <w:szCs w:val="24"/>
          <w:lang w:eastAsia="ko-KR"/>
        </w:rPr>
      </w:pPr>
    </w:p>
    <w:p w:rsidR="006F7B05" w:rsidRDefault="0090170F" w:rsidP="006F3485">
      <w:pPr>
        <w:spacing w:after="60"/>
        <w:rPr>
          <w:rFonts w:asciiTheme="majorBidi" w:hAnsiTheme="majorBidi" w:cstheme="majorBidi"/>
          <w:b/>
          <w:bCs/>
          <w:sz w:val="24"/>
          <w:szCs w:val="24"/>
        </w:rPr>
      </w:pPr>
      <w:r>
        <w:rPr>
          <w:rFonts w:asciiTheme="majorBidi" w:hAnsiTheme="majorBidi" w:cstheme="majorBidi"/>
          <w:b/>
          <w:bCs/>
          <w:sz w:val="24"/>
          <w:szCs w:val="24"/>
        </w:rPr>
        <w:t>2</w:t>
      </w:r>
      <w:r w:rsidR="006F7B05" w:rsidRPr="006F7B05">
        <w:rPr>
          <w:rFonts w:asciiTheme="majorBidi" w:hAnsiTheme="majorBidi" w:cstheme="majorBidi"/>
          <w:b/>
          <w:bCs/>
          <w:sz w:val="24"/>
          <w:szCs w:val="24"/>
        </w:rPr>
        <w:tab/>
      </w:r>
      <w:r w:rsidR="006F7B05">
        <w:rPr>
          <w:rFonts w:asciiTheme="majorBidi" w:hAnsiTheme="majorBidi" w:cstheme="majorBidi"/>
          <w:b/>
          <w:bCs/>
          <w:sz w:val="24"/>
          <w:szCs w:val="24"/>
        </w:rPr>
        <w:t>Documents</w:t>
      </w:r>
    </w:p>
    <w:p w:rsidR="006F7B05" w:rsidRPr="006F7B05" w:rsidRDefault="006F7B05" w:rsidP="006F3485">
      <w:pPr>
        <w:spacing w:after="60"/>
        <w:rPr>
          <w:rFonts w:asciiTheme="majorBidi" w:hAnsiTheme="majorBidi" w:cstheme="majorBidi"/>
          <w:b/>
          <w:bCs/>
          <w:sz w:val="24"/>
          <w:szCs w:val="24"/>
        </w:rPr>
      </w:pPr>
      <w:r w:rsidRPr="006F7B05">
        <w:rPr>
          <w:rFonts w:asciiTheme="majorBidi" w:hAnsiTheme="majorBidi" w:cstheme="majorBidi"/>
          <w:b/>
          <w:bCs/>
          <w:sz w:val="24"/>
          <w:szCs w:val="24"/>
        </w:rPr>
        <w:t>2.1</w:t>
      </w:r>
      <w:r w:rsidRPr="006F7B05">
        <w:rPr>
          <w:rFonts w:asciiTheme="majorBidi" w:hAnsiTheme="majorBidi" w:cstheme="majorBidi"/>
          <w:b/>
          <w:bCs/>
          <w:sz w:val="24"/>
          <w:szCs w:val="24"/>
        </w:rPr>
        <w:tab/>
        <w:t>Input Documents:</w:t>
      </w:r>
    </w:p>
    <w:p w:rsidR="009A1BFC" w:rsidRPr="00A60F09" w:rsidRDefault="00DB590F" w:rsidP="00A60F09">
      <w:pPr>
        <w:jc w:val="both"/>
        <w:rPr>
          <w:rFonts w:asciiTheme="majorBidi" w:hAnsiTheme="majorBidi" w:cstheme="majorBidi"/>
          <w:i/>
        </w:rPr>
      </w:pPr>
      <w:hyperlink r:id="rId8" w:history="1">
        <w:r w:rsidR="009A1BFC" w:rsidRPr="00A60F09">
          <w:rPr>
            <w:rStyle w:val="Hyperlink"/>
            <w:rFonts w:asciiTheme="majorBidi" w:hAnsiTheme="majorBidi" w:cstheme="majorBidi"/>
            <w:lang w:eastAsia="ko-KR"/>
          </w:rPr>
          <w:t>APG19-2</w:t>
        </w:r>
      </w:hyperlink>
      <w:r w:rsidR="009A1BFC" w:rsidRPr="00A60F09">
        <w:rPr>
          <w:rFonts w:asciiTheme="majorBidi" w:hAnsiTheme="majorBidi" w:cstheme="majorBidi"/>
          <w:lang w:eastAsia="ko-KR"/>
        </w:rPr>
        <w:t>/</w:t>
      </w:r>
      <w:hyperlink r:id="rId9" w:tgtFrame="_blank" w:history="1">
        <w:r w:rsidR="009A1BFC" w:rsidRPr="00A60F09">
          <w:rPr>
            <w:rFonts w:asciiTheme="majorBidi" w:eastAsia="Times New Roman" w:hAnsiTheme="majorBidi" w:cstheme="majorBidi"/>
            <w:color w:val="0000FF"/>
            <w:u w:val="single"/>
          </w:rPr>
          <w:t>INP-09 (KOR)</w:t>
        </w:r>
      </w:hyperlink>
      <w:r w:rsidR="009A1BFC" w:rsidRPr="00A60F09">
        <w:rPr>
          <w:rFonts w:asciiTheme="majorBidi" w:hAnsiTheme="majorBidi" w:cstheme="majorBidi"/>
          <w:lang w:eastAsia="ko-KR"/>
        </w:rPr>
        <w:t xml:space="preserve">, </w:t>
      </w:r>
      <w:hyperlink r:id="rId10" w:tgtFrame="_blank" w:history="1">
        <w:r w:rsidR="009A1BFC" w:rsidRPr="00A60F09">
          <w:rPr>
            <w:rFonts w:asciiTheme="majorBidi" w:eastAsia="Times New Roman" w:hAnsiTheme="majorBidi" w:cstheme="majorBidi"/>
            <w:color w:val="0000FF"/>
            <w:u w:val="single"/>
          </w:rPr>
          <w:t>INP-21 (NZ</w:t>
        </w:r>
        <w:r w:rsidR="00A60F09" w:rsidRPr="00A60F09">
          <w:rPr>
            <w:rFonts w:asciiTheme="majorBidi" w:eastAsia="Times New Roman" w:hAnsiTheme="majorBidi" w:cstheme="majorBidi"/>
            <w:color w:val="0000FF"/>
            <w:u w:val="single"/>
          </w:rPr>
          <w:t>L</w:t>
        </w:r>
        <w:r w:rsidR="009A1BFC" w:rsidRPr="00A60F09">
          <w:rPr>
            <w:rFonts w:asciiTheme="majorBidi" w:eastAsia="Times New Roman" w:hAnsiTheme="majorBidi" w:cstheme="majorBidi"/>
            <w:color w:val="0000FF"/>
            <w:u w:val="single"/>
          </w:rPr>
          <w:t>)</w:t>
        </w:r>
      </w:hyperlink>
      <w:r w:rsidR="009A1BFC" w:rsidRPr="00A60F09">
        <w:rPr>
          <w:rFonts w:asciiTheme="majorBidi" w:hAnsiTheme="majorBidi" w:cstheme="majorBidi"/>
          <w:lang w:eastAsia="ko-KR"/>
        </w:rPr>
        <w:t xml:space="preserve">, </w:t>
      </w:r>
      <w:hyperlink r:id="rId11" w:tgtFrame="_blank" w:history="1">
        <w:r w:rsidR="00A60F09" w:rsidRPr="00A60F09">
          <w:rPr>
            <w:rFonts w:asciiTheme="majorBidi" w:eastAsia="Times New Roman" w:hAnsiTheme="majorBidi" w:cstheme="majorBidi"/>
            <w:color w:val="0000FF"/>
            <w:u w:val="single"/>
          </w:rPr>
          <w:t>INP-29 (AUS)</w:t>
        </w:r>
      </w:hyperlink>
      <w:r w:rsidR="009A1BFC" w:rsidRPr="00A60F09">
        <w:rPr>
          <w:rFonts w:asciiTheme="majorBidi" w:hAnsiTheme="majorBidi" w:cstheme="majorBidi"/>
          <w:lang w:eastAsia="ko-KR"/>
        </w:rPr>
        <w:t xml:space="preserve">, </w:t>
      </w:r>
      <w:hyperlink r:id="rId12" w:tgtFrame="_blank" w:history="1">
        <w:r w:rsidR="00A60F09" w:rsidRPr="00A60F09">
          <w:rPr>
            <w:rFonts w:asciiTheme="majorBidi" w:eastAsia="Times New Roman" w:hAnsiTheme="majorBidi" w:cstheme="majorBidi"/>
            <w:color w:val="0000FF"/>
            <w:u w:val="single"/>
          </w:rPr>
          <w:t>INP-40 (INS)</w:t>
        </w:r>
      </w:hyperlink>
      <w:r w:rsidR="00A60F09" w:rsidRPr="00A60F09">
        <w:rPr>
          <w:rFonts w:asciiTheme="majorBidi" w:hAnsiTheme="majorBidi" w:cstheme="majorBidi"/>
          <w:lang w:eastAsia="ko-KR"/>
        </w:rPr>
        <w:t xml:space="preserve">, </w:t>
      </w:r>
      <w:hyperlink r:id="rId13" w:tgtFrame="_blank" w:history="1">
        <w:r w:rsidR="00A60F09" w:rsidRPr="00A60F09">
          <w:rPr>
            <w:rFonts w:asciiTheme="majorBidi" w:eastAsia="Times New Roman" w:hAnsiTheme="majorBidi" w:cstheme="majorBidi"/>
            <w:color w:val="0000FF"/>
            <w:u w:val="single"/>
          </w:rPr>
          <w:t>INP-56 (J)</w:t>
        </w:r>
      </w:hyperlink>
    </w:p>
    <w:p w:rsidR="006F7B05" w:rsidRPr="006F7B05" w:rsidRDefault="006F7B05" w:rsidP="006F3485">
      <w:pPr>
        <w:spacing w:after="60"/>
        <w:rPr>
          <w:rFonts w:asciiTheme="majorBidi" w:hAnsiTheme="majorBidi" w:cstheme="majorBidi"/>
          <w:b/>
          <w:bCs/>
          <w:sz w:val="24"/>
          <w:szCs w:val="24"/>
        </w:rPr>
      </w:pPr>
      <w:r w:rsidRPr="006F7B05">
        <w:rPr>
          <w:rFonts w:asciiTheme="majorBidi" w:hAnsiTheme="majorBidi" w:cstheme="majorBidi"/>
          <w:b/>
          <w:bCs/>
          <w:sz w:val="24"/>
          <w:szCs w:val="24"/>
        </w:rPr>
        <w:lastRenderedPageBreak/>
        <w:t>2.2</w:t>
      </w:r>
      <w:r w:rsidRPr="006F7B05">
        <w:rPr>
          <w:rFonts w:asciiTheme="majorBidi" w:hAnsiTheme="majorBidi" w:cstheme="majorBidi"/>
          <w:b/>
          <w:bCs/>
          <w:sz w:val="24"/>
          <w:szCs w:val="24"/>
        </w:rPr>
        <w:tab/>
        <w:t>Information Documents:</w:t>
      </w:r>
    </w:p>
    <w:p w:rsidR="00A60F09" w:rsidRPr="005D2CBA" w:rsidRDefault="00DB590F" w:rsidP="00A60F09">
      <w:pPr>
        <w:jc w:val="both"/>
        <w:rPr>
          <w:rFonts w:asciiTheme="majorBidi" w:hAnsiTheme="majorBidi" w:cstheme="majorBidi"/>
          <w:sz w:val="24"/>
          <w:szCs w:val="24"/>
        </w:rPr>
      </w:pPr>
      <w:hyperlink r:id="rId14" w:history="1">
        <w:r w:rsidR="00A60F09" w:rsidRPr="005D2CBA">
          <w:rPr>
            <w:rStyle w:val="Hyperlink"/>
            <w:rFonts w:asciiTheme="majorBidi" w:hAnsiTheme="majorBidi" w:cstheme="majorBidi"/>
            <w:sz w:val="24"/>
            <w:szCs w:val="24"/>
          </w:rPr>
          <w:t>APG19-2</w:t>
        </w:r>
      </w:hyperlink>
      <w:r w:rsidR="00A60F09" w:rsidRPr="005D2CBA">
        <w:rPr>
          <w:rFonts w:asciiTheme="majorBidi" w:hAnsiTheme="majorBidi" w:cstheme="majorBidi"/>
          <w:sz w:val="24"/>
          <w:szCs w:val="24"/>
        </w:rPr>
        <w:t>/</w:t>
      </w:r>
      <w:hyperlink r:id="rId15" w:history="1">
        <w:r w:rsidR="00A60F09" w:rsidRPr="005D2CBA">
          <w:rPr>
            <w:rStyle w:val="Hyperlink"/>
            <w:rFonts w:asciiTheme="majorBidi" w:hAnsiTheme="majorBidi" w:cstheme="majorBidi"/>
            <w:sz w:val="24"/>
            <w:szCs w:val="24"/>
          </w:rPr>
          <w:t>INF-04 (CITEL)</w:t>
        </w:r>
      </w:hyperlink>
      <w:r w:rsidR="00A60F09" w:rsidRPr="005D2CBA">
        <w:rPr>
          <w:rFonts w:asciiTheme="majorBidi" w:hAnsiTheme="majorBidi" w:cstheme="majorBidi"/>
          <w:sz w:val="24"/>
          <w:szCs w:val="24"/>
        </w:rPr>
        <w:t xml:space="preserve">, </w:t>
      </w:r>
      <w:hyperlink r:id="rId16" w:tgtFrame="_blank" w:history="1">
        <w:r w:rsidR="00A60F09" w:rsidRPr="005D2CBA">
          <w:rPr>
            <w:rStyle w:val="Hyperlink"/>
            <w:rFonts w:asciiTheme="majorBidi" w:hAnsiTheme="majorBidi" w:cstheme="majorBidi"/>
            <w:sz w:val="24"/>
            <w:szCs w:val="24"/>
          </w:rPr>
          <w:t>INF-05 (RCC)</w:t>
        </w:r>
      </w:hyperlink>
      <w:r w:rsidR="00A60F09" w:rsidRPr="005D2CBA">
        <w:rPr>
          <w:rFonts w:asciiTheme="majorBidi" w:hAnsiTheme="majorBidi" w:cstheme="majorBidi"/>
          <w:sz w:val="24"/>
          <w:szCs w:val="24"/>
        </w:rPr>
        <w:t xml:space="preserve">, </w:t>
      </w:r>
      <w:hyperlink r:id="rId17" w:history="1">
        <w:r w:rsidR="00A60F09" w:rsidRPr="005D2CBA">
          <w:rPr>
            <w:rStyle w:val="Hyperlink"/>
            <w:rFonts w:asciiTheme="majorBidi" w:hAnsiTheme="majorBidi" w:cstheme="majorBidi"/>
            <w:sz w:val="24"/>
            <w:szCs w:val="24"/>
          </w:rPr>
          <w:t>INF-14 (CEPT)</w:t>
        </w:r>
      </w:hyperlink>
    </w:p>
    <w:p w:rsidR="006F7B05" w:rsidRDefault="00B63440" w:rsidP="006F3485">
      <w:pPr>
        <w:spacing w:after="60"/>
        <w:rPr>
          <w:rFonts w:asciiTheme="majorBidi" w:hAnsiTheme="majorBidi" w:cstheme="majorBidi"/>
          <w:b/>
          <w:bCs/>
          <w:sz w:val="24"/>
          <w:szCs w:val="24"/>
        </w:rPr>
      </w:pPr>
      <w:r w:rsidRPr="005D2CBA">
        <w:rPr>
          <w:rFonts w:asciiTheme="majorBidi" w:hAnsiTheme="majorBidi" w:cstheme="majorBidi"/>
          <w:b/>
          <w:bCs/>
          <w:sz w:val="24"/>
          <w:szCs w:val="24"/>
        </w:rPr>
        <w:t>3</w:t>
      </w:r>
      <w:r w:rsidR="006F7B05" w:rsidRPr="006F7B05">
        <w:rPr>
          <w:rFonts w:asciiTheme="majorBidi" w:hAnsiTheme="majorBidi" w:cstheme="majorBidi"/>
          <w:b/>
          <w:bCs/>
          <w:sz w:val="24"/>
          <w:szCs w:val="24"/>
        </w:rPr>
        <w:tab/>
      </w:r>
      <w:r w:rsidR="006F7B05">
        <w:rPr>
          <w:rFonts w:asciiTheme="majorBidi" w:hAnsiTheme="majorBidi" w:cstheme="majorBidi"/>
          <w:b/>
          <w:bCs/>
          <w:sz w:val="24"/>
          <w:szCs w:val="24"/>
        </w:rPr>
        <w:t>Summary</w:t>
      </w:r>
      <w:r w:rsidRPr="005D2CBA">
        <w:rPr>
          <w:rFonts w:asciiTheme="majorBidi" w:hAnsiTheme="majorBidi" w:cstheme="majorBidi"/>
          <w:b/>
          <w:bCs/>
          <w:sz w:val="24"/>
          <w:szCs w:val="24"/>
        </w:rPr>
        <w:t xml:space="preserve"> of Discussion</w:t>
      </w:r>
      <w:r w:rsidR="009D71F1">
        <w:rPr>
          <w:rFonts w:asciiTheme="majorBidi" w:hAnsiTheme="majorBidi" w:cstheme="majorBidi"/>
          <w:b/>
          <w:bCs/>
          <w:sz w:val="24"/>
          <w:szCs w:val="24"/>
        </w:rPr>
        <w:t>s</w:t>
      </w:r>
    </w:p>
    <w:p w:rsidR="006F7B05" w:rsidRDefault="009D71F1" w:rsidP="006F3485">
      <w:pPr>
        <w:spacing w:after="60"/>
        <w:rPr>
          <w:rFonts w:asciiTheme="majorBidi" w:hAnsiTheme="majorBidi" w:cstheme="majorBidi"/>
          <w:b/>
          <w:bCs/>
          <w:sz w:val="24"/>
          <w:szCs w:val="24"/>
        </w:rPr>
      </w:pPr>
      <w:r>
        <w:rPr>
          <w:rFonts w:asciiTheme="majorBidi" w:hAnsiTheme="majorBidi" w:cstheme="majorBidi"/>
          <w:b/>
          <w:bCs/>
          <w:sz w:val="24"/>
          <w:szCs w:val="24"/>
        </w:rPr>
        <w:t>3.1</w:t>
      </w:r>
      <w:r w:rsidR="002A68F0">
        <w:rPr>
          <w:rFonts w:asciiTheme="majorBidi" w:hAnsiTheme="majorBidi" w:cstheme="majorBidi"/>
          <w:b/>
          <w:bCs/>
          <w:sz w:val="24"/>
          <w:szCs w:val="24"/>
        </w:rPr>
        <w:tab/>
      </w:r>
      <w:r w:rsidR="006F7B05">
        <w:rPr>
          <w:rFonts w:asciiTheme="majorBidi" w:hAnsiTheme="majorBidi" w:cstheme="majorBidi"/>
          <w:b/>
          <w:bCs/>
          <w:sz w:val="24"/>
          <w:szCs w:val="24"/>
        </w:rPr>
        <w:t>Summary</w:t>
      </w:r>
      <w:r>
        <w:rPr>
          <w:rFonts w:asciiTheme="majorBidi" w:hAnsiTheme="majorBidi" w:cstheme="majorBidi"/>
          <w:b/>
          <w:bCs/>
          <w:sz w:val="24"/>
          <w:szCs w:val="24"/>
        </w:rPr>
        <w:t xml:space="preserve"> of Members</w:t>
      </w:r>
      <w:r w:rsidR="00127B56">
        <w:rPr>
          <w:rFonts w:asciiTheme="majorBidi" w:hAnsiTheme="majorBidi" w:cstheme="majorBidi"/>
          <w:b/>
          <w:bCs/>
          <w:sz w:val="24"/>
          <w:szCs w:val="24"/>
        </w:rPr>
        <w:t>'</w:t>
      </w:r>
      <w:r>
        <w:rPr>
          <w:rFonts w:asciiTheme="majorBidi" w:hAnsiTheme="majorBidi" w:cstheme="majorBidi"/>
          <w:b/>
          <w:bCs/>
          <w:sz w:val="24"/>
          <w:szCs w:val="24"/>
        </w:rPr>
        <w:t xml:space="preserve"> view</w:t>
      </w:r>
    </w:p>
    <w:p w:rsidR="00171534" w:rsidRDefault="002A68F0" w:rsidP="006F3485">
      <w:pPr>
        <w:spacing w:after="60"/>
        <w:rPr>
          <w:rFonts w:asciiTheme="majorBidi" w:hAnsiTheme="majorBidi" w:cstheme="majorBidi"/>
          <w:b/>
          <w:bCs/>
          <w:sz w:val="24"/>
          <w:szCs w:val="24"/>
        </w:rPr>
      </w:pPr>
      <w:r>
        <w:rPr>
          <w:rFonts w:asciiTheme="majorBidi" w:hAnsiTheme="majorBidi" w:cstheme="majorBidi"/>
          <w:b/>
          <w:bCs/>
          <w:sz w:val="24"/>
          <w:szCs w:val="24"/>
        </w:rPr>
        <w:t>3.1.1</w:t>
      </w:r>
      <w:r>
        <w:rPr>
          <w:rFonts w:asciiTheme="majorBidi" w:hAnsiTheme="majorBidi" w:cstheme="majorBidi"/>
          <w:b/>
          <w:bCs/>
          <w:sz w:val="24"/>
          <w:szCs w:val="24"/>
        </w:rPr>
        <w:tab/>
      </w:r>
      <w:r w:rsidR="0068396F" w:rsidRPr="0068396F">
        <w:rPr>
          <w:rFonts w:asciiTheme="majorBidi" w:hAnsiTheme="majorBidi" w:cstheme="majorBidi"/>
          <w:b/>
          <w:bCs/>
          <w:sz w:val="24"/>
          <w:szCs w:val="24"/>
        </w:rPr>
        <w:t>Korea</w:t>
      </w:r>
    </w:p>
    <w:p w:rsidR="0068396F" w:rsidRDefault="0068396F" w:rsidP="006F3485">
      <w:pPr>
        <w:spacing w:before="60" w:after="0" w:line="240" w:lineRule="auto"/>
        <w:jc w:val="both"/>
        <w:rPr>
          <w:rFonts w:asciiTheme="majorBidi" w:hAnsiTheme="majorBidi" w:cstheme="majorBidi"/>
          <w:b/>
          <w:bCs/>
          <w:sz w:val="24"/>
          <w:szCs w:val="24"/>
        </w:rPr>
      </w:pPr>
      <w:r w:rsidRPr="0068396F">
        <w:rPr>
          <w:rFonts w:asciiTheme="majorBidi" w:eastAsia="Malgun Gothic" w:hAnsiTheme="majorBidi" w:cstheme="majorBidi"/>
          <w:bCs/>
          <w:snapToGrid w:val="0"/>
          <w:sz w:val="24"/>
          <w:szCs w:val="24"/>
          <w:lang w:eastAsia="ko-KR"/>
        </w:rPr>
        <w:t xml:space="preserve">The Republic of Korea supports to conduct ITU-R studies on </w:t>
      </w:r>
      <w:r w:rsidRPr="0068396F">
        <w:rPr>
          <w:rFonts w:asciiTheme="majorBidi" w:hAnsiTheme="majorBidi" w:cstheme="majorBidi"/>
          <w:sz w:val="24"/>
          <w:szCs w:val="24"/>
          <w:lang w:eastAsia="de-DE"/>
        </w:rPr>
        <w:t xml:space="preserve">possible technical and operational measures to ensure coexistence and compatibility between the </w:t>
      </w:r>
      <w:r w:rsidRPr="0068396F">
        <w:rPr>
          <w:rFonts w:asciiTheme="majorBidi" w:hAnsiTheme="majorBidi" w:cstheme="majorBidi"/>
          <w:noProof/>
          <w:sz w:val="24"/>
          <w:szCs w:val="24"/>
          <w:lang w:eastAsia="de-DE"/>
        </w:rPr>
        <w:t>terrestrial</w:t>
      </w:r>
      <w:r w:rsidRPr="0068396F">
        <w:rPr>
          <w:rFonts w:asciiTheme="majorBidi" w:hAnsiTheme="majorBidi" w:cstheme="majorBidi"/>
          <w:sz w:val="24"/>
          <w:szCs w:val="24"/>
          <w:lang w:eastAsia="de-DE"/>
        </w:rPr>
        <w:t xml:space="preserve"> component of IMT and the satellite component of IMT</w:t>
      </w:r>
      <w:r w:rsidRPr="0068396F">
        <w:rPr>
          <w:rFonts w:asciiTheme="majorBidi" w:hAnsiTheme="majorBidi" w:cstheme="majorBidi"/>
          <w:sz w:val="24"/>
          <w:szCs w:val="24"/>
          <w:lang w:eastAsia="ko-KR"/>
        </w:rPr>
        <w:t xml:space="preserve"> </w:t>
      </w:r>
      <w:r w:rsidRPr="0068396F">
        <w:rPr>
          <w:rFonts w:asciiTheme="majorBidi" w:eastAsia="Malgun Gothic" w:hAnsiTheme="majorBidi" w:cstheme="majorBidi"/>
          <w:bCs/>
          <w:snapToGrid w:val="0"/>
          <w:sz w:val="24"/>
          <w:szCs w:val="24"/>
          <w:lang w:eastAsia="ko-KR"/>
        </w:rPr>
        <w:t>in the frequency bands 1</w:t>
      </w:r>
      <w:r w:rsidR="00BE200F">
        <w:rPr>
          <w:rFonts w:asciiTheme="majorBidi" w:eastAsia="Malgun Gothic" w:hAnsiTheme="majorBidi" w:cstheme="majorBidi"/>
          <w:bCs/>
          <w:snapToGrid w:val="0"/>
          <w:sz w:val="24"/>
          <w:szCs w:val="24"/>
          <w:lang w:eastAsia="ko-KR"/>
        </w:rPr>
        <w:t> </w:t>
      </w:r>
      <w:r w:rsidRPr="0068396F">
        <w:rPr>
          <w:rFonts w:asciiTheme="majorBidi" w:eastAsia="Malgun Gothic" w:hAnsiTheme="majorBidi" w:cstheme="majorBidi"/>
          <w:bCs/>
          <w:snapToGrid w:val="0"/>
          <w:sz w:val="24"/>
          <w:szCs w:val="24"/>
          <w:lang w:eastAsia="ko-KR"/>
        </w:rPr>
        <w:t>980–2</w:t>
      </w:r>
      <w:r w:rsidR="00BE200F">
        <w:rPr>
          <w:rFonts w:asciiTheme="majorBidi" w:eastAsia="Malgun Gothic" w:hAnsiTheme="majorBidi" w:cstheme="majorBidi"/>
          <w:bCs/>
          <w:snapToGrid w:val="0"/>
          <w:sz w:val="24"/>
          <w:szCs w:val="24"/>
          <w:lang w:eastAsia="ko-KR"/>
        </w:rPr>
        <w:t> </w:t>
      </w:r>
      <w:r w:rsidRPr="0068396F">
        <w:rPr>
          <w:rFonts w:asciiTheme="majorBidi" w:eastAsia="Malgun Gothic" w:hAnsiTheme="majorBidi" w:cstheme="majorBidi"/>
          <w:bCs/>
          <w:snapToGrid w:val="0"/>
          <w:sz w:val="24"/>
          <w:szCs w:val="24"/>
          <w:lang w:eastAsia="ko-KR"/>
        </w:rPr>
        <w:t>010 MHz and 2</w:t>
      </w:r>
      <w:r w:rsidR="00BE200F">
        <w:rPr>
          <w:rFonts w:asciiTheme="majorBidi" w:eastAsia="Malgun Gothic" w:hAnsiTheme="majorBidi" w:cstheme="majorBidi"/>
          <w:bCs/>
          <w:snapToGrid w:val="0"/>
          <w:sz w:val="24"/>
          <w:szCs w:val="24"/>
          <w:lang w:eastAsia="ko-KR"/>
        </w:rPr>
        <w:t> </w:t>
      </w:r>
      <w:r w:rsidRPr="0068396F">
        <w:rPr>
          <w:rFonts w:asciiTheme="majorBidi" w:eastAsia="Malgun Gothic" w:hAnsiTheme="majorBidi" w:cstheme="majorBidi"/>
          <w:bCs/>
          <w:snapToGrid w:val="0"/>
          <w:sz w:val="24"/>
          <w:szCs w:val="24"/>
          <w:lang w:eastAsia="ko-KR"/>
        </w:rPr>
        <w:t>170–2</w:t>
      </w:r>
      <w:r w:rsidR="00BE200F">
        <w:rPr>
          <w:rFonts w:asciiTheme="majorBidi" w:eastAsia="Malgun Gothic" w:hAnsiTheme="majorBidi" w:cstheme="majorBidi"/>
          <w:bCs/>
          <w:snapToGrid w:val="0"/>
          <w:sz w:val="24"/>
          <w:szCs w:val="24"/>
          <w:lang w:eastAsia="ko-KR"/>
        </w:rPr>
        <w:t> </w:t>
      </w:r>
      <w:r w:rsidRPr="0068396F">
        <w:rPr>
          <w:rFonts w:asciiTheme="majorBidi" w:eastAsia="Malgun Gothic" w:hAnsiTheme="majorBidi" w:cstheme="majorBidi"/>
          <w:bCs/>
          <w:snapToGrid w:val="0"/>
          <w:sz w:val="24"/>
          <w:szCs w:val="24"/>
          <w:lang w:eastAsia="ko-KR"/>
        </w:rPr>
        <w:t xml:space="preserve">200 MHz in different countries. </w:t>
      </w:r>
      <w:r w:rsidRPr="0068396F">
        <w:rPr>
          <w:rFonts w:asciiTheme="majorBidi" w:hAnsiTheme="majorBidi" w:cstheme="majorBidi"/>
          <w:sz w:val="24"/>
          <w:szCs w:val="24"/>
          <w:lang w:eastAsia="ko-KR"/>
        </w:rPr>
        <w:t xml:space="preserve">The Republic of Korea is of the view that the discussion of </w:t>
      </w:r>
      <w:r w:rsidRPr="00BE200F">
        <w:rPr>
          <w:rFonts w:asciiTheme="majorBidi" w:hAnsiTheme="majorBidi" w:cstheme="majorBidi"/>
          <w:b/>
          <w:bCs/>
          <w:sz w:val="24"/>
          <w:szCs w:val="24"/>
          <w:lang w:eastAsia="ko-KR"/>
        </w:rPr>
        <w:t>WRC-19</w:t>
      </w:r>
      <w:r w:rsidRPr="0068396F">
        <w:rPr>
          <w:rFonts w:asciiTheme="majorBidi" w:hAnsiTheme="majorBidi" w:cstheme="majorBidi"/>
          <w:sz w:val="24"/>
          <w:szCs w:val="24"/>
          <w:lang w:eastAsia="ko-KR"/>
        </w:rPr>
        <w:t xml:space="preserve"> AI </w:t>
      </w:r>
      <w:r w:rsidR="006F7B05" w:rsidRPr="006F7B05">
        <w:rPr>
          <w:rFonts w:asciiTheme="majorBidi" w:hAnsiTheme="majorBidi" w:cstheme="majorBidi"/>
          <w:b/>
          <w:bCs/>
          <w:sz w:val="24"/>
          <w:szCs w:val="24"/>
          <w:lang w:eastAsia="ko-KR"/>
        </w:rPr>
        <w:t>9.1</w:t>
      </w:r>
      <w:r w:rsidRPr="0068396F">
        <w:rPr>
          <w:rFonts w:asciiTheme="majorBidi" w:hAnsiTheme="majorBidi" w:cstheme="majorBidi"/>
          <w:sz w:val="24"/>
          <w:szCs w:val="24"/>
          <w:lang w:eastAsia="ko-KR"/>
        </w:rPr>
        <w:t xml:space="preserve"> (issue </w:t>
      </w:r>
      <w:r w:rsidR="006F7B05" w:rsidRPr="006F7B05">
        <w:rPr>
          <w:rFonts w:asciiTheme="majorBidi" w:hAnsiTheme="majorBidi" w:cstheme="majorBidi"/>
          <w:b/>
          <w:bCs/>
          <w:sz w:val="24"/>
          <w:szCs w:val="24"/>
          <w:lang w:eastAsia="ko-KR"/>
        </w:rPr>
        <w:t>9.1.1</w:t>
      </w:r>
      <w:r w:rsidRPr="0068396F">
        <w:rPr>
          <w:rFonts w:asciiTheme="majorBidi" w:hAnsiTheme="majorBidi" w:cstheme="majorBidi"/>
          <w:sz w:val="24"/>
          <w:szCs w:val="24"/>
          <w:lang w:eastAsia="ko-KR"/>
        </w:rPr>
        <w:t xml:space="preserve">) should be limited to possible technical and operational measures to ensure their coexistence, as addressed in Resolution </w:t>
      </w:r>
      <w:r w:rsidRPr="0068396F">
        <w:rPr>
          <w:rFonts w:asciiTheme="majorBidi" w:hAnsiTheme="majorBidi" w:cstheme="majorBidi"/>
          <w:b/>
          <w:sz w:val="24"/>
          <w:szCs w:val="24"/>
          <w:lang w:eastAsia="ko-KR"/>
        </w:rPr>
        <w:t>212 (Rev.WRC-15)</w:t>
      </w:r>
      <w:r w:rsidRPr="0068396F">
        <w:rPr>
          <w:rFonts w:asciiTheme="majorBidi" w:hAnsiTheme="majorBidi" w:cstheme="majorBidi"/>
          <w:sz w:val="24"/>
          <w:szCs w:val="24"/>
          <w:lang w:eastAsia="ko-KR"/>
        </w:rPr>
        <w:t xml:space="preserve">, and the regulatory consideration is </w:t>
      </w:r>
      <w:r w:rsidRPr="0068396F">
        <w:rPr>
          <w:rFonts w:asciiTheme="majorBidi" w:hAnsiTheme="majorBidi" w:cstheme="majorBidi"/>
          <w:noProof/>
          <w:sz w:val="24"/>
          <w:szCs w:val="24"/>
          <w:lang w:eastAsia="ko-KR"/>
        </w:rPr>
        <w:t>its</w:t>
      </w:r>
      <w:r w:rsidRPr="0068396F">
        <w:rPr>
          <w:rFonts w:asciiTheme="majorBidi" w:hAnsiTheme="majorBidi" w:cstheme="majorBidi"/>
          <w:sz w:val="24"/>
          <w:szCs w:val="24"/>
          <w:lang w:eastAsia="ko-KR"/>
        </w:rPr>
        <w:t xml:space="preserve"> out of scope.</w:t>
      </w:r>
    </w:p>
    <w:p w:rsidR="0068396F" w:rsidRPr="0068396F" w:rsidRDefault="0068396F" w:rsidP="006F3485">
      <w:pPr>
        <w:spacing w:after="0" w:line="240" w:lineRule="auto"/>
        <w:jc w:val="both"/>
        <w:rPr>
          <w:rFonts w:asciiTheme="majorBidi" w:hAnsiTheme="majorBidi" w:cstheme="majorBidi"/>
          <w:b/>
          <w:bCs/>
          <w:sz w:val="24"/>
          <w:szCs w:val="24"/>
        </w:rPr>
      </w:pPr>
    </w:p>
    <w:p w:rsidR="00171534" w:rsidRDefault="002A68F0" w:rsidP="006F3485">
      <w:pPr>
        <w:spacing w:after="60"/>
        <w:rPr>
          <w:rFonts w:asciiTheme="majorBidi" w:hAnsiTheme="majorBidi" w:cstheme="majorBidi"/>
          <w:b/>
          <w:bCs/>
          <w:sz w:val="24"/>
          <w:szCs w:val="24"/>
        </w:rPr>
      </w:pPr>
      <w:r>
        <w:rPr>
          <w:rFonts w:asciiTheme="majorBidi" w:hAnsiTheme="majorBidi" w:cstheme="majorBidi"/>
          <w:b/>
          <w:bCs/>
          <w:sz w:val="24"/>
          <w:szCs w:val="24"/>
        </w:rPr>
        <w:t>3.1.2</w:t>
      </w:r>
      <w:r>
        <w:rPr>
          <w:rFonts w:asciiTheme="majorBidi" w:hAnsiTheme="majorBidi" w:cstheme="majorBidi"/>
          <w:b/>
          <w:bCs/>
          <w:sz w:val="24"/>
          <w:szCs w:val="24"/>
        </w:rPr>
        <w:tab/>
      </w:r>
      <w:r w:rsidR="0068396F" w:rsidRPr="0068396F">
        <w:rPr>
          <w:rFonts w:asciiTheme="majorBidi" w:hAnsiTheme="majorBidi" w:cstheme="majorBidi"/>
          <w:b/>
          <w:bCs/>
          <w:sz w:val="24"/>
          <w:szCs w:val="24"/>
        </w:rPr>
        <w:t>New Zealand</w:t>
      </w:r>
    </w:p>
    <w:p w:rsidR="0068396F" w:rsidRPr="006F3485" w:rsidRDefault="0068396F" w:rsidP="006F3485">
      <w:pPr>
        <w:spacing w:before="60" w:after="0" w:line="240" w:lineRule="auto"/>
        <w:jc w:val="both"/>
        <w:rPr>
          <w:rFonts w:asciiTheme="majorBidi" w:hAnsiTheme="majorBidi" w:cstheme="majorBidi"/>
          <w:sz w:val="24"/>
          <w:szCs w:val="24"/>
        </w:rPr>
      </w:pPr>
      <w:r w:rsidRPr="0068396F">
        <w:rPr>
          <w:rFonts w:asciiTheme="majorBidi" w:hAnsiTheme="majorBidi" w:cstheme="majorBidi"/>
          <w:sz w:val="24"/>
          <w:szCs w:val="24"/>
          <w:lang w:val="en-NZ"/>
        </w:rPr>
        <w:t xml:space="preserve">New Zealand supports </w:t>
      </w:r>
      <w:r w:rsidRPr="0068396F">
        <w:rPr>
          <w:rFonts w:asciiTheme="majorBidi" w:hAnsiTheme="majorBidi" w:cstheme="majorBidi"/>
          <w:sz w:val="24"/>
          <w:szCs w:val="24"/>
          <w:lang w:eastAsia="ko-KR"/>
        </w:rPr>
        <w:t>appropriate</w:t>
      </w:r>
      <w:r w:rsidRPr="0068396F">
        <w:rPr>
          <w:rFonts w:asciiTheme="majorBidi" w:hAnsiTheme="majorBidi" w:cstheme="majorBidi"/>
          <w:sz w:val="24"/>
          <w:szCs w:val="24"/>
          <w:lang w:val="en-NZ"/>
        </w:rPr>
        <w:t xml:space="preserve"> studies on the technical and operational measures to ensure </w:t>
      </w:r>
      <w:r w:rsidRPr="006F3485">
        <w:rPr>
          <w:rFonts w:asciiTheme="majorBidi" w:hAnsiTheme="majorBidi" w:cstheme="majorBidi"/>
          <w:sz w:val="24"/>
          <w:szCs w:val="24"/>
        </w:rPr>
        <w:t>coexistence and compatibility between the terrestrial a</w:t>
      </w:r>
      <w:r w:rsidR="00BE200F" w:rsidRPr="006F3485">
        <w:rPr>
          <w:rFonts w:asciiTheme="majorBidi" w:hAnsiTheme="majorBidi" w:cstheme="majorBidi"/>
          <w:sz w:val="24"/>
          <w:szCs w:val="24"/>
        </w:rPr>
        <w:t>nd satellite components of IMT.</w:t>
      </w:r>
    </w:p>
    <w:p w:rsidR="0068396F" w:rsidRDefault="0068396F" w:rsidP="006F3485">
      <w:pPr>
        <w:spacing w:before="60" w:after="0" w:line="240" w:lineRule="auto"/>
        <w:jc w:val="both"/>
        <w:rPr>
          <w:rFonts w:asciiTheme="majorBidi" w:hAnsiTheme="majorBidi" w:cstheme="majorBidi"/>
          <w:sz w:val="24"/>
          <w:szCs w:val="24"/>
          <w:lang w:val="en-NZ"/>
        </w:rPr>
      </w:pPr>
      <w:r w:rsidRPr="006F3485">
        <w:rPr>
          <w:rFonts w:asciiTheme="majorBidi" w:hAnsiTheme="majorBidi" w:cstheme="majorBidi"/>
          <w:sz w:val="24"/>
          <w:szCs w:val="24"/>
        </w:rPr>
        <w:t xml:space="preserve">Since the Radio </w:t>
      </w:r>
      <w:r w:rsidRPr="0068396F">
        <w:rPr>
          <w:rFonts w:asciiTheme="majorBidi" w:hAnsiTheme="majorBidi" w:cstheme="majorBidi"/>
          <w:sz w:val="24"/>
          <w:szCs w:val="24"/>
        </w:rPr>
        <w:t>Regulations</w:t>
      </w:r>
      <w:r w:rsidRPr="006F3485">
        <w:rPr>
          <w:rFonts w:asciiTheme="majorBidi" w:hAnsiTheme="majorBidi" w:cstheme="majorBidi"/>
          <w:sz w:val="24"/>
          <w:szCs w:val="24"/>
        </w:rPr>
        <w:t xml:space="preserve"> did not establish priority neither between terrestrial and satellite components of IMT, nor between Mobile Service (MS) and Mobile-Satellite Service (MSS) in the bands</w:t>
      </w:r>
      <w:r w:rsidRPr="0068396F">
        <w:rPr>
          <w:rFonts w:asciiTheme="majorBidi" w:hAnsiTheme="majorBidi" w:cstheme="majorBidi"/>
          <w:sz w:val="24"/>
          <w:szCs w:val="24"/>
          <w:lang w:val="en-NZ"/>
        </w:rPr>
        <w:t xml:space="preserve"> 1</w:t>
      </w:r>
      <w:r w:rsidR="00BE200F">
        <w:rPr>
          <w:rFonts w:asciiTheme="majorBidi" w:hAnsiTheme="majorBidi" w:cstheme="majorBidi"/>
          <w:sz w:val="24"/>
          <w:szCs w:val="24"/>
          <w:lang w:val="en-NZ"/>
        </w:rPr>
        <w:t> </w:t>
      </w:r>
      <w:r w:rsidRPr="0068396F">
        <w:rPr>
          <w:rFonts w:asciiTheme="majorBidi" w:hAnsiTheme="majorBidi" w:cstheme="majorBidi"/>
          <w:sz w:val="24"/>
          <w:szCs w:val="24"/>
          <w:lang w:val="en-NZ"/>
        </w:rPr>
        <w:t>980-2</w:t>
      </w:r>
      <w:r w:rsidR="00BE200F">
        <w:rPr>
          <w:rFonts w:asciiTheme="majorBidi" w:hAnsiTheme="majorBidi" w:cstheme="majorBidi"/>
          <w:sz w:val="24"/>
          <w:szCs w:val="24"/>
          <w:lang w:val="en-NZ"/>
        </w:rPr>
        <w:t> </w:t>
      </w:r>
      <w:r w:rsidRPr="0068396F">
        <w:rPr>
          <w:rFonts w:asciiTheme="majorBidi" w:hAnsiTheme="majorBidi" w:cstheme="majorBidi"/>
          <w:sz w:val="24"/>
          <w:szCs w:val="24"/>
          <w:lang w:val="en-NZ"/>
        </w:rPr>
        <w:t>010</w:t>
      </w:r>
      <w:r w:rsidR="00266F0B">
        <w:rPr>
          <w:rFonts w:asciiTheme="majorBidi" w:hAnsiTheme="majorBidi" w:cstheme="majorBidi"/>
          <w:sz w:val="24"/>
          <w:szCs w:val="24"/>
          <w:lang w:val="en-NZ"/>
        </w:rPr>
        <w:t> </w:t>
      </w:r>
      <w:r w:rsidRPr="0068396F">
        <w:rPr>
          <w:rFonts w:asciiTheme="majorBidi" w:hAnsiTheme="majorBidi" w:cstheme="majorBidi"/>
          <w:sz w:val="24"/>
          <w:szCs w:val="24"/>
          <w:lang w:val="en-NZ"/>
        </w:rPr>
        <w:t>MHz and 2</w:t>
      </w:r>
      <w:r w:rsidR="00BE200F">
        <w:rPr>
          <w:rFonts w:asciiTheme="majorBidi" w:hAnsiTheme="majorBidi" w:cstheme="majorBidi"/>
          <w:sz w:val="24"/>
          <w:szCs w:val="24"/>
          <w:lang w:val="en-NZ"/>
        </w:rPr>
        <w:t> </w:t>
      </w:r>
      <w:r w:rsidRPr="0068396F">
        <w:rPr>
          <w:rFonts w:asciiTheme="majorBidi" w:hAnsiTheme="majorBidi" w:cstheme="majorBidi"/>
          <w:sz w:val="24"/>
          <w:szCs w:val="24"/>
          <w:lang w:val="en-NZ"/>
        </w:rPr>
        <w:t>170-2</w:t>
      </w:r>
      <w:r w:rsidR="00BE200F">
        <w:rPr>
          <w:rFonts w:asciiTheme="majorBidi" w:hAnsiTheme="majorBidi" w:cstheme="majorBidi"/>
          <w:sz w:val="24"/>
          <w:szCs w:val="24"/>
          <w:lang w:val="en-NZ"/>
        </w:rPr>
        <w:t> </w:t>
      </w:r>
      <w:r w:rsidRPr="0068396F">
        <w:rPr>
          <w:rFonts w:asciiTheme="majorBidi" w:hAnsiTheme="majorBidi" w:cstheme="majorBidi"/>
          <w:sz w:val="24"/>
          <w:szCs w:val="24"/>
          <w:lang w:val="en-NZ"/>
        </w:rPr>
        <w:t>200</w:t>
      </w:r>
      <w:r w:rsidR="00266F0B">
        <w:rPr>
          <w:rFonts w:asciiTheme="majorBidi" w:hAnsiTheme="majorBidi" w:cstheme="majorBidi"/>
          <w:sz w:val="24"/>
          <w:szCs w:val="24"/>
          <w:lang w:val="en-NZ"/>
        </w:rPr>
        <w:t> </w:t>
      </w:r>
      <w:r w:rsidRPr="0068396F">
        <w:rPr>
          <w:rFonts w:asciiTheme="majorBidi" w:hAnsiTheme="majorBidi" w:cstheme="majorBidi"/>
          <w:sz w:val="24"/>
          <w:szCs w:val="24"/>
          <w:lang w:val="en-NZ"/>
        </w:rPr>
        <w:t>MHz, New Zealand is currently of the view that the priority of regulatory status could be established based on their deployment by a specific future date.</w:t>
      </w:r>
    </w:p>
    <w:p w:rsidR="0068396F" w:rsidRPr="006F3485" w:rsidRDefault="0068396F" w:rsidP="006F3485">
      <w:pPr>
        <w:spacing w:after="0" w:line="240" w:lineRule="auto"/>
        <w:jc w:val="both"/>
        <w:rPr>
          <w:rFonts w:asciiTheme="majorBidi" w:hAnsiTheme="majorBidi" w:cstheme="majorBidi"/>
          <w:b/>
          <w:bCs/>
          <w:sz w:val="24"/>
          <w:szCs w:val="24"/>
        </w:rPr>
      </w:pPr>
    </w:p>
    <w:p w:rsidR="00363228" w:rsidRPr="0068396F" w:rsidRDefault="002A68F0" w:rsidP="006F3485">
      <w:pPr>
        <w:spacing w:after="60"/>
        <w:rPr>
          <w:rFonts w:asciiTheme="majorBidi" w:hAnsiTheme="majorBidi" w:cstheme="majorBidi"/>
          <w:b/>
          <w:bCs/>
          <w:sz w:val="24"/>
          <w:szCs w:val="24"/>
        </w:rPr>
      </w:pPr>
      <w:r>
        <w:rPr>
          <w:rFonts w:asciiTheme="majorBidi" w:hAnsiTheme="majorBidi" w:cstheme="majorBidi"/>
          <w:b/>
          <w:bCs/>
          <w:sz w:val="24"/>
          <w:szCs w:val="24"/>
        </w:rPr>
        <w:t>3.1.3</w:t>
      </w:r>
      <w:r>
        <w:rPr>
          <w:rFonts w:asciiTheme="majorBidi" w:hAnsiTheme="majorBidi" w:cstheme="majorBidi"/>
          <w:b/>
          <w:bCs/>
          <w:sz w:val="24"/>
          <w:szCs w:val="24"/>
        </w:rPr>
        <w:tab/>
      </w:r>
      <w:r w:rsidR="0068396F" w:rsidRPr="0068396F">
        <w:rPr>
          <w:rFonts w:asciiTheme="majorBidi" w:hAnsiTheme="majorBidi" w:cstheme="majorBidi"/>
          <w:b/>
          <w:bCs/>
          <w:sz w:val="24"/>
          <w:szCs w:val="24"/>
        </w:rPr>
        <w:t>Australia</w:t>
      </w:r>
    </w:p>
    <w:p w:rsidR="0068396F" w:rsidRPr="0068396F" w:rsidRDefault="0068396F" w:rsidP="006F3485">
      <w:pPr>
        <w:spacing w:before="60" w:after="0" w:line="240" w:lineRule="auto"/>
        <w:jc w:val="both"/>
        <w:rPr>
          <w:rFonts w:asciiTheme="majorBidi" w:eastAsia="Times New Roman" w:hAnsiTheme="majorBidi" w:cstheme="majorBidi"/>
          <w:sz w:val="24"/>
          <w:szCs w:val="24"/>
          <w:lang w:bidi="en-US"/>
        </w:rPr>
      </w:pPr>
      <w:r w:rsidRPr="0068396F">
        <w:rPr>
          <w:rFonts w:asciiTheme="majorBidi" w:eastAsia="Times New Roman" w:hAnsiTheme="majorBidi" w:cstheme="majorBidi"/>
          <w:sz w:val="24"/>
          <w:szCs w:val="24"/>
          <w:lang w:bidi="en-US"/>
        </w:rPr>
        <w:t xml:space="preserve">Australia supports ITU-R studies regarding possible technical and operational measures to </w:t>
      </w:r>
      <w:r w:rsidRPr="0068396F">
        <w:rPr>
          <w:rFonts w:asciiTheme="majorBidi" w:eastAsia="Malgun Gothic" w:hAnsiTheme="majorBidi" w:cstheme="majorBidi"/>
          <w:bCs/>
          <w:snapToGrid w:val="0"/>
          <w:sz w:val="24"/>
          <w:szCs w:val="24"/>
          <w:lang w:eastAsia="ko-KR"/>
        </w:rPr>
        <w:t>ensure</w:t>
      </w:r>
      <w:r w:rsidRPr="0068396F">
        <w:rPr>
          <w:rFonts w:asciiTheme="majorBidi" w:eastAsia="Times New Roman" w:hAnsiTheme="majorBidi" w:cstheme="majorBidi"/>
          <w:sz w:val="24"/>
          <w:szCs w:val="24"/>
          <w:lang w:bidi="en-US"/>
        </w:rPr>
        <w:t xml:space="preserve"> </w:t>
      </w:r>
      <w:r w:rsidRPr="006F3485">
        <w:rPr>
          <w:rFonts w:asciiTheme="majorBidi" w:hAnsiTheme="majorBidi" w:cstheme="majorBidi"/>
          <w:sz w:val="24"/>
          <w:szCs w:val="24"/>
        </w:rPr>
        <w:t>coexistence</w:t>
      </w:r>
      <w:r w:rsidRPr="0068396F">
        <w:rPr>
          <w:rFonts w:asciiTheme="majorBidi" w:eastAsia="Times New Roman" w:hAnsiTheme="majorBidi" w:cstheme="majorBidi"/>
          <w:sz w:val="24"/>
          <w:szCs w:val="24"/>
          <w:lang w:bidi="en-US"/>
        </w:rPr>
        <w:t xml:space="preserve"> and compatibility between the terrestrial component of IMT (in the mobile service) and the satellite component of IMT (in the mobile service and the mobile-satellite service) in the frequency </w:t>
      </w:r>
      <w:r w:rsidRPr="0068396F">
        <w:rPr>
          <w:rFonts w:asciiTheme="majorBidi" w:hAnsiTheme="majorBidi" w:cstheme="majorBidi"/>
          <w:sz w:val="24"/>
          <w:szCs w:val="24"/>
          <w:lang w:eastAsia="ko-KR"/>
        </w:rPr>
        <w:t>bands</w:t>
      </w:r>
      <w:r w:rsidRPr="0068396F">
        <w:rPr>
          <w:rFonts w:asciiTheme="majorBidi" w:eastAsia="Times New Roman" w:hAnsiTheme="majorBidi" w:cstheme="majorBidi"/>
          <w:sz w:val="24"/>
          <w:szCs w:val="24"/>
          <w:lang w:bidi="en-US"/>
        </w:rPr>
        <w:t xml:space="preserve"> 1</w:t>
      </w:r>
      <w:r w:rsidR="00BE200F">
        <w:rPr>
          <w:rFonts w:asciiTheme="majorBidi" w:eastAsia="Times New Roman" w:hAnsiTheme="majorBidi" w:cstheme="majorBidi"/>
          <w:sz w:val="24"/>
          <w:szCs w:val="24"/>
          <w:lang w:bidi="en-US"/>
        </w:rPr>
        <w:t> </w:t>
      </w:r>
      <w:r w:rsidRPr="0068396F">
        <w:rPr>
          <w:rFonts w:asciiTheme="majorBidi" w:eastAsia="Times New Roman" w:hAnsiTheme="majorBidi" w:cstheme="majorBidi"/>
          <w:sz w:val="24"/>
          <w:szCs w:val="24"/>
          <w:lang w:bidi="en-US"/>
        </w:rPr>
        <w:t>980- 2</w:t>
      </w:r>
      <w:r w:rsidR="00BE200F">
        <w:rPr>
          <w:rFonts w:asciiTheme="majorBidi" w:eastAsia="Times New Roman" w:hAnsiTheme="majorBidi" w:cstheme="majorBidi"/>
          <w:sz w:val="24"/>
          <w:szCs w:val="24"/>
          <w:lang w:bidi="en-US"/>
        </w:rPr>
        <w:t> </w:t>
      </w:r>
      <w:r w:rsidRPr="0068396F">
        <w:rPr>
          <w:rFonts w:asciiTheme="majorBidi" w:eastAsia="Times New Roman" w:hAnsiTheme="majorBidi" w:cstheme="majorBidi"/>
          <w:sz w:val="24"/>
          <w:szCs w:val="24"/>
          <w:lang w:bidi="en-US"/>
        </w:rPr>
        <w:t>010</w:t>
      </w:r>
      <w:r w:rsidR="00266F0B">
        <w:rPr>
          <w:rFonts w:asciiTheme="majorBidi" w:eastAsia="Times New Roman" w:hAnsiTheme="majorBidi" w:cstheme="majorBidi"/>
          <w:sz w:val="24"/>
          <w:szCs w:val="24"/>
          <w:lang w:bidi="en-US"/>
        </w:rPr>
        <w:t> </w:t>
      </w:r>
      <w:r w:rsidRPr="0068396F">
        <w:rPr>
          <w:rFonts w:asciiTheme="majorBidi" w:eastAsia="Times New Roman" w:hAnsiTheme="majorBidi" w:cstheme="majorBidi"/>
          <w:sz w:val="24"/>
          <w:szCs w:val="24"/>
          <w:lang w:bidi="en-US"/>
        </w:rPr>
        <w:t>MHz and 2</w:t>
      </w:r>
      <w:r w:rsidR="00BE200F">
        <w:rPr>
          <w:rFonts w:asciiTheme="majorBidi" w:eastAsia="Times New Roman" w:hAnsiTheme="majorBidi" w:cstheme="majorBidi"/>
          <w:sz w:val="24"/>
          <w:szCs w:val="24"/>
          <w:lang w:bidi="en-US"/>
        </w:rPr>
        <w:t> </w:t>
      </w:r>
      <w:r w:rsidRPr="0068396F">
        <w:rPr>
          <w:rFonts w:asciiTheme="majorBidi" w:eastAsia="Times New Roman" w:hAnsiTheme="majorBidi" w:cstheme="majorBidi"/>
          <w:sz w:val="24"/>
          <w:szCs w:val="24"/>
          <w:lang w:bidi="en-US"/>
        </w:rPr>
        <w:t>170-2</w:t>
      </w:r>
      <w:r w:rsidR="00BE200F">
        <w:rPr>
          <w:rFonts w:asciiTheme="majorBidi" w:eastAsia="Times New Roman" w:hAnsiTheme="majorBidi" w:cstheme="majorBidi"/>
          <w:sz w:val="24"/>
          <w:szCs w:val="24"/>
          <w:lang w:bidi="en-US"/>
        </w:rPr>
        <w:t> </w:t>
      </w:r>
      <w:r w:rsidRPr="0068396F">
        <w:rPr>
          <w:rFonts w:asciiTheme="majorBidi" w:eastAsia="Times New Roman" w:hAnsiTheme="majorBidi" w:cstheme="majorBidi"/>
          <w:sz w:val="24"/>
          <w:szCs w:val="24"/>
          <w:lang w:bidi="en-US"/>
        </w:rPr>
        <w:t>200</w:t>
      </w:r>
      <w:r w:rsidR="00266F0B">
        <w:rPr>
          <w:rFonts w:asciiTheme="majorBidi" w:eastAsia="Times New Roman" w:hAnsiTheme="majorBidi" w:cstheme="majorBidi"/>
          <w:sz w:val="24"/>
          <w:szCs w:val="24"/>
          <w:lang w:bidi="en-US"/>
        </w:rPr>
        <w:t> </w:t>
      </w:r>
      <w:proofErr w:type="spellStart"/>
      <w:r w:rsidRPr="0068396F">
        <w:rPr>
          <w:rFonts w:asciiTheme="majorBidi" w:eastAsia="Times New Roman" w:hAnsiTheme="majorBidi" w:cstheme="majorBidi"/>
          <w:sz w:val="24"/>
          <w:szCs w:val="24"/>
          <w:lang w:bidi="en-US"/>
        </w:rPr>
        <w:t>MHz.</w:t>
      </w:r>
      <w:proofErr w:type="spellEnd"/>
    </w:p>
    <w:p w:rsidR="0068396F" w:rsidRPr="0068396F" w:rsidRDefault="0068396F" w:rsidP="0068396F">
      <w:pPr>
        <w:spacing w:before="120" w:after="0" w:line="240" w:lineRule="auto"/>
        <w:jc w:val="both"/>
        <w:rPr>
          <w:rFonts w:asciiTheme="majorBidi" w:eastAsia="Times New Roman" w:hAnsiTheme="majorBidi" w:cstheme="majorBidi"/>
          <w:sz w:val="24"/>
          <w:szCs w:val="24"/>
          <w:lang w:bidi="en-US"/>
        </w:rPr>
      </w:pPr>
      <w:r w:rsidRPr="0068396F">
        <w:rPr>
          <w:rFonts w:asciiTheme="majorBidi" w:eastAsia="Times New Roman" w:hAnsiTheme="majorBidi" w:cstheme="majorBidi"/>
          <w:sz w:val="24"/>
          <w:szCs w:val="24"/>
          <w:lang w:bidi="en-US"/>
        </w:rPr>
        <w:t xml:space="preserve">Australia supports no change to the Radio Regulations, but encourages the development of appropriate ITU-R Recommendations/Reports </w:t>
      </w:r>
      <w:r w:rsidRPr="0068396F">
        <w:rPr>
          <w:rFonts w:asciiTheme="majorBidi" w:hAnsiTheme="majorBidi" w:cstheme="majorBidi"/>
          <w:sz w:val="24"/>
          <w:szCs w:val="24"/>
          <w:lang w:eastAsia="ko-KR"/>
        </w:rPr>
        <w:t>to</w:t>
      </w:r>
      <w:r w:rsidRPr="0068396F">
        <w:rPr>
          <w:rFonts w:asciiTheme="majorBidi" w:eastAsia="Times New Roman" w:hAnsiTheme="majorBidi" w:cstheme="majorBidi"/>
          <w:sz w:val="24"/>
          <w:szCs w:val="24"/>
          <w:lang w:bidi="en-US"/>
        </w:rPr>
        <w:t xml:space="preserve"> address this issue.</w:t>
      </w:r>
    </w:p>
    <w:p w:rsidR="0068396F" w:rsidRDefault="0068396F" w:rsidP="006F3485">
      <w:pPr>
        <w:spacing w:after="0" w:line="240" w:lineRule="auto"/>
        <w:jc w:val="both"/>
        <w:rPr>
          <w:rFonts w:asciiTheme="majorBidi" w:hAnsiTheme="majorBidi" w:cstheme="majorBidi"/>
          <w:b/>
          <w:bCs/>
          <w:sz w:val="24"/>
          <w:szCs w:val="24"/>
        </w:rPr>
      </w:pPr>
    </w:p>
    <w:p w:rsidR="0068396F" w:rsidRDefault="002A68F0" w:rsidP="006F3485">
      <w:pPr>
        <w:spacing w:after="60"/>
        <w:rPr>
          <w:rFonts w:asciiTheme="majorBidi" w:hAnsiTheme="majorBidi" w:cstheme="majorBidi"/>
          <w:b/>
          <w:bCs/>
          <w:sz w:val="24"/>
          <w:szCs w:val="24"/>
        </w:rPr>
      </w:pPr>
      <w:r>
        <w:rPr>
          <w:rFonts w:asciiTheme="majorBidi" w:hAnsiTheme="majorBidi" w:cstheme="majorBidi"/>
          <w:b/>
          <w:bCs/>
          <w:sz w:val="24"/>
          <w:szCs w:val="24"/>
        </w:rPr>
        <w:t>3.1.4</w:t>
      </w:r>
      <w:r>
        <w:rPr>
          <w:rFonts w:asciiTheme="majorBidi" w:hAnsiTheme="majorBidi" w:cstheme="majorBidi"/>
          <w:b/>
          <w:bCs/>
          <w:sz w:val="24"/>
          <w:szCs w:val="24"/>
        </w:rPr>
        <w:tab/>
      </w:r>
      <w:r w:rsidR="0068396F" w:rsidRPr="0068396F">
        <w:rPr>
          <w:rFonts w:asciiTheme="majorBidi" w:hAnsiTheme="majorBidi" w:cstheme="majorBidi"/>
          <w:b/>
          <w:bCs/>
          <w:sz w:val="24"/>
          <w:szCs w:val="24"/>
        </w:rPr>
        <w:t>Indonesia</w:t>
      </w:r>
    </w:p>
    <w:p w:rsidR="0068396F" w:rsidRPr="0068396F" w:rsidRDefault="0068396F" w:rsidP="006F3485">
      <w:pPr>
        <w:spacing w:before="60" w:after="0" w:line="240" w:lineRule="auto"/>
        <w:jc w:val="both"/>
        <w:rPr>
          <w:rFonts w:asciiTheme="majorBidi" w:hAnsiTheme="majorBidi" w:cstheme="majorBidi"/>
          <w:b/>
          <w:bCs/>
          <w:sz w:val="24"/>
          <w:szCs w:val="24"/>
        </w:rPr>
      </w:pPr>
      <w:r w:rsidRPr="0068396F">
        <w:rPr>
          <w:rFonts w:asciiTheme="majorBidi" w:hAnsiTheme="majorBidi" w:cstheme="majorBidi"/>
          <w:sz w:val="24"/>
          <w:szCs w:val="24"/>
        </w:rPr>
        <w:t xml:space="preserve">Indonesia is </w:t>
      </w:r>
      <w:r w:rsidRPr="006F3485">
        <w:rPr>
          <w:rFonts w:asciiTheme="majorBidi" w:hAnsiTheme="majorBidi" w:cstheme="majorBidi"/>
          <w:sz w:val="24"/>
          <w:szCs w:val="24"/>
          <w:lang w:eastAsia="ja-JP"/>
        </w:rPr>
        <w:t>of</w:t>
      </w:r>
      <w:r w:rsidRPr="0068396F">
        <w:rPr>
          <w:rFonts w:asciiTheme="majorBidi" w:hAnsiTheme="majorBidi" w:cstheme="majorBidi"/>
          <w:sz w:val="24"/>
          <w:szCs w:val="24"/>
        </w:rPr>
        <w:t xml:space="preserve"> the view to support the compatibility studies in defining compatibility conditions, including technical and operational measures as well as regulatory provisions, with regard to IMT systems in order to ensure coexistence and compatibility between IMT terrestrial component (in mobile service) and IMT satellite component (in mobile-satellite service), in the frequency bands 1</w:t>
      </w:r>
      <w:r w:rsidR="00BE200F">
        <w:rPr>
          <w:rFonts w:asciiTheme="majorBidi" w:hAnsiTheme="majorBidi" w:cstheme="majorBidi"/>
          <w:sz w:val="24"/>
          <w:szCs w:val="24"/>
        </w:rPr>
        <w:t> </w:t>
      </w:r>
      <w:r w:rsidRPr="0068396F">
        <w:rPr>
          <w:rFonts w:asciiTheme="majorBidi" w:hAnsiTheme="majorBidi" w:cstheme="majorBidi"/>
          <w:sz w:val="24"/>
          <w:szCs w:val="24"/>
        </w:rPr>
        <w:t>980−2</w:t>
      </w:r>
      <w:r w:rsidR="00BE200F">
        <w:rPr>
          <w:rFonts w:asciiTheme="majorBidi" w:hAnsiTheme="majorBidi" w:cstheme="majorBidi"/>
          <w:sz w:val="24"/>
          <w:szCs w:val="24"/>
        </w:rPr>
        <w:t> </w:t>
      </w:r>
      <w:r w:rsidRPr="0068396F">
        <w:rPr>
          <w:rFonts w:asciiTheme="majorBidi" w:hAnsiTheme="majorBidi" w:cstheme="majorBidi"/>
          <w:sz w:val="24"/>
          <w:szCs w:val="24"/>
        </w:rPr>
        <w:t>010</w:t>
      </w:r>
      <w:r w:rsidR="00266F0B">
        <w:rPr>
          <w:rFonts w:asciiTheme="majorBidi" w:hAnsiTheme="majorBidi" w:cstheme="majorBidi"/>
          <w:sz w:val="24"/>
          <w:szCs w:val="24"/>
        </w:rPr>
        <w:t> </w:t>
      </w:r>
      <w:r w:rsidRPr="0068396F">
        <w:rPr>
          <w:rFonts w:asciiTheme="majorBidi" w:hAnsiTheme="majorBidi" w:cstheme="majorBidi"/>
          <w:sz w:val="24"/>
          <w:szCs w:val="24"/>
        </w:rPr>
        <w:t>MHz and 2</w:t>
      </w:r>
      <w:r w:rsidR="00BE200F">
        <w:rPr>
          <w:rFonts w:asciiTheme="majorBidi" w:hAnsiTheme="majorBidi" w:cstheme="majorBidi"/>
          <w:sz w:val="24"/>
          <w:szCs w:val="24"/>
        </w:rPr>
        <w:t> </w:t>
      </w:r>
      <w:r w:rsidRPr="0068396F">
        <w:rPr>
          <w:rFonts w:asciiTheme="majorBidi" w:hAnsiTheme="majorBidi" w:cstheme="majorBidi"/>
          <w:sz w:val="24"/>
          <w:szCs w:val="24"/>
        </w:rPr>
        <w:t>170−2</w:t>
      </w:r>
      <w:r w:rsidR="00BE200F">
        <w:rPr>
          <w:rFonts w:asciiTheme="majorBidi" w:hAnsiTheme="majorBidi" w:cstheme="majorBidi"/>
          <w:sz w:val="24"/>
          <w:szCs w:val="24"/>
        </w:rPr>
        <w:t> </w:t>
      </w:r>
      <w:r w:rsidRPr="0068396F">
        <w:rPr>
          <w:rFonts w:asciiTheme="majorBidi" w:hAnsiTheme="majorBidi" w:cstheme="majorBidi"/>
          <w:sz w:val="24"/>
          <w:szCs w:val="24"/>
        </w:rPr>
        <w:t>200</w:t>
      </w:r>
      <w:r w:rsidR="00266F0B">
        <w:rPr>
          <w:rFonts w:asciiTheme="majorBidi" w:hAnsiTheme="majorBidi" w:cstheme="majorBidi"/>
          <w:sz w:val="24"/>
          <w:szCs w:val="24"/>
        </w:rPr>
        <w:t> </w:t>
      </w:r>
      <w:r w:rsidRPr="0068396F">
        <w:rPr>
          <w:rFonts w:asciiTheme="majorBidi" w:hAnsiTheme="majorBidi" w:cstheme="majorBidi"/>
          <w:sz w:val="24"/>
          <w:szCs w:val="24"/>
        </w:rPr>
        <w:t xml:space="preserve">MHz where those frequency bands are potentially shared by mobile service and mobile-satellite service in </w:t>
      </w:r>
      <w:r w:rsidRPr="0068396F">
        <w:rPr>
          <w:rFonts w:asciiTheme="majorBidi" w:hAnsiTheme="majorBidi" w:cstheme="majorBidi"/>
          <w:sz w:val="24"/>
          <w:szCs w:val="24"/>
          <w:lang w:eastAsia="ko-KR"/>
        </w:rPr>
        <w:t>neighboring</w:t>
      </w:r>
      <w:r w:rsidRPr="0068396F">
        <w:rPr>
          <w:rFonts w:asciiTheme="majorBidi" w:hAnsiTheme="majorBidi" w:cstheme="majorBidi"/>
          <w:sz w:val="24"/>
          <w:szCs w:val="24"/>
        </w:rPr>
        <w:t xml:space="preserve"> countries.</w:t>
      </w:r>
    </w:p>
    <w:p w:rsidR="0068396F" w:rsidRDefault="0068396F" w:rsidP="006F3485">
      <w:pPr>
        <w:spacing w:after="0" w:line="240" w:lineRule="auto"/>
        <w:jc w:val="both"/>
        <w:rPr>
          <w:rFonts w:asciiTheme="majorBidi" w:hAnsiTheme="majorBidi" w:cstheme="majorBidi"/>
          <w:b/>
          <w:bCs/>
          <w:sz w:val="24"/>
          <w:szCs w:val="24"/>
        </w:rPr>
      </w:pPr>
    </w:p>
    <w:p w:rsidR="0068396F" w:rsidRPr="0068396F" w:rsidRDefault="002A68F0" w:rsidP="006F3485">
      <w:pPr>
        <w:spacing w:after="60"/>
        <w:rPr>
          <w:rFonts w:asciiTheme="majorBidi" w:hAnsiTheme="majorBidi" w:cstheme="majorBidi"/>
          <w:b/>
          <w:bCs/>
          <w:sz w:val="24"/>
          <w:szCs w:val="24"/>
        </w:rPr>
      </w:pPr>
      <w:r>
        <w:rPr>
          <w:rFonts w:asciiTheme="majorBidi" w:hAnsiTheme="majorBidi" w:cstheme="majorBidi"/>
          <w:b/>
          <w:bCs/>
          <w:sz w:val="24"/>
          <w:szCs w:val="24"/>
        </w:rPr>
        <w:t>3.1.</w:t>
      </w:r>
      <w:r w:rsidR="00920937">
        <w:rPr>
          <w:rFonts w:asciiTheme="majorBidi" w:hAnsiTheme="majorBidi" w:cstheme="majorBidi"/>
          <w:b/>
          <w:bCs/>
          <w:sz w:val="24"/>
          <w:szCs w:val="24"/>
        </w:rPr>
        <w:t>5</w:t>
      </w:r>
      <w:r>
        <w:rPr>
          <w:rFonts w:asciiTheme="majorBidi" w:hAnsiTheme="majorBidi" w:cstheme="majorBidi"/>
          <w:b/>
          <w:bCs/>
          <w:sz w:val="24"/>
          <w:szCs w:val="24"/>
        </w:rPr>
        <w:tab/>
      </w:r>
      <w:r w:rsidR="0068396F" w:rsidRPr="0068396F">
        <w:rPr>
          <w:rFonts w:asciiTheme="majorBidi" w:hAnsiTheme="majorBidi" w:cstheme="majorBidi"/>
          <w:b/>
          <w:bCs/>
          <w:sz w:val="24"/>
          <w:szCs w:val="24"/>
        </w:rPr>
        <w:t>Japan</w:t>
      </w:r>
    </w:p>
    <w:p w:rsidR="0068396F" w:rsidRDefault="0068396F" w:rsidP="006F3485">
      <w:pPr>
        <w:spacing w:before="60" w:after="0" w:line="240" w:lineRule="auto"/>
        <w:jc w:val="both"/>
        <w:rPr>
          <w:rFonts w:asciiTheme="majorBidi" w:hAnsiTheme="majorBidi" w:cstheme="majorBidi"/>
          <w:sz w:val="24"/>
          <w:szCs w:val="24"/>
          <w:lang w:eastAsia="ja-JP"/>
        </w:rPr>
      </w:pPr>
      <w:r w:rsidRPr="0068396F">
        <w:rPr>
          <w:rFonts w:asciiTheme="majorBidi" w:hAnsiTheme="majorBidi" w:cstheme="majorBidi"/>
          <w:sz w:val="24"/>
          <w:szCs w:val="24"/>
          <w:lang w:eastAsia="ja-JP"/>
        </w:rPr>
        <w:t xml:space="preserve">Recognizing that the ITU-R study is considering </w:t>
      </w:r>
      <w:proofErr w:type="spellStart"/>
      <w:r w:rsidRPr="0068396F">
        <w:rPr>
          <w:rFonts w:asciiTheme="majorBidi" w:hAnsiTheme="majorBidi" w:cstheme="majorBidi"/>
          <w:sz w:val="24"/>
          <w:szCs w:val="24"/>
          <w:lang w:eastAsia="ja-JP"/>
        </w:rPr>
        <w:t>pfd</w:t>
      </w:r>
      <w:proofErr w:type="spellEnd"/>
      <w:r w:rsidRPr="0068396F">
        <w:rPr>
          <w:rFonts w:asciiTheme="majorBidi" w:hAnsiTheme="majorBidi" w:cstheme="majorBidi"/>
          <w:sz w:val="24"/>
          <w:szCs w:val="24"/>
          <w:lang w:eastAsia="ja-JP"/>
        </w:rPr>
        <w:t xml:space="preserve"> levels on the Earth’s surface to protect terrestrial </w:t>
      </w:r>
      <w:r w:rsidRPr="0068396F">
        <w:rPr>
          <w:rFonts w:asciiTheme="majorBidi" w:hAnsiTheme="majorBidi" w:cstheme="majorBidi"/>
          <w:sz w:val="24"/>
          <w:szCs w:val="24"/>
          <w:lang w:eastAsia="ko-KR"/>
        </w:rPr>
        <w:t>component</w:t>
      </w:r>
      <w:r w:rsidRPr="0068396F">
        <w:rPr>
          <w:rFonts w:asciiTheme="majorBidi" w:hAnsiTheme="majorBidi" w:cstheme="majorBidi"/>
          <w:sz w:val="24"/>
          <w:szCs w:val="24"/>
          <w:lang w:eastAsia="ja-JP"/>
        </w:rPr>
        <w:t xml:space="preserve"> of IMT from the satellite component of IMT which is intending to provide its service in the adjacent geographical area, Japan supports technical studies in ITU-R on the </w:t>
      </w:r>
      <w:r w:rsidRPr="0068396F">
        <w:rPr>
          <w:rFonts w:asciiTheme="majorBidi" w:hAnsiTheme="majorBidi" w:cstheme="majorBidi"/>
          <w:sz w:val="24"/>
          <w:szCs w:val="24"/>
        </w:rPr>
        <w:t>coexistence and compatibility between the terrestrial component of IMT and the satellite component of IMT in the frequency bands 1 980-2 010 MHz and 2 170-2 200 </w:t>
      </w:r>
      <w:proofErr w:type="spellStart"/>
      <w:r w:rsidRPr="0068396F">
        <w:rPr>
          <w:rFonts w:asciiTheme="majorBidi" w:hAnsiTheme="majorBidi" w:cstheme="majorBidi"/>
          <w:sz w:val="24"/>
          <w:szCs w:val="24"/>
        </w:rPr>
        <w:t>MHz</w:t>
      </w:r>
      <w:r w:rsidRPr="0068396F">
        <w:rPr>
          <w:rFonts w:asciiTheme="majorBidi" w:hAnsiTheme="majorBidi" w:cstheme="majorBidi"/>
          <w:sz w:val="24"/>
          <w:szCs w:val="24"/>
          <w:lang w:eastAsia="ja-JP"/>
        </w:rPr>
        <w:t>.</w:t>
      </w:r>
      <w:proofErr w:type="spellEnd"/>
    </w:p>
    <w:p w:rsidR="00BE200F" w:rsidRPr="006F3485" w:rsidRDefault="00BE200F" w:rsidP="006F3485">
      <w:pPr>
        <w:spacing w:after="0" w:line="240" w:lineRule="auto"/>
        <w:jc w:val="both"/>
        <w:rPr>
          <w:rFonts w:asciiTheme="majorBidi" w:hAnsiTheme="majorBidi" w:cstheme="majorBidi"/>
          <w:b/>
          <w:bCs/>
          <w:sz w:val="24"/>
          <w:szCs w:val="24"/>
        </w:rPr>
      </w:pPr>
    </w:p>
    <w:p w:rsidR="00171534" w:rsidRDefault="009D71F1" w:rsidP="006F3485">
      <w:pPr>
        <w:spacing w:after="60"/>
        <w:rPr>
          <w:rFonts w:asciiTheme="majorBidi" w:hAnsiTheme="majorBidi" w:cstheme="majorBidi"/>
          <w:b/>
          <w:bCs/>
          <w:sz w:val="24"/>
          <w:szCs w:val="24"/>
        </w:rPr>
      </w:pPr>
      <w:r>
        <w:rPr>
          <w:rFonts w:asciiTheme="majorBidi" w:hAnsiTheme="majorBidi" w:cstheme="majorBidi"/>
          <w:b/>
          <w:bCs/>
          <w:sz w:val="24"/>
          <w:szCs w:val="24"/>
        </w:rPr>
        <w:t>3.2</w:t>
      </w:r>
      <w:r w:rsidR="002A68F0">
        <w:rPr>
          <w:rFonts w:asciiTheme="majorBidi" w:hAnsiTheme="majorBidi" w:cstheme="majorBidi"/>
          <w:b/>
          <w:bCs/>
          <w:sz w:val="24"/>
          <w:szCs w:val="24"/>
        </w:rPr>
        <w:tab/>
      </w:r>
      <w:r>
        <w:rPr>
          <w:rFonts w:asciiTheme="majorBidi" w:hAnsiTheme="majorBidi" w:cstheme="majorBidi"/>
          <w:b/>
          <w:bCs/>
          <w:sz w:val="24"/>
          <w:szCs w:val="24"/>
        </w:rPr>
        <w:t>Key point</w:t>
      </w:r>
      <w:r w:rsidR="00A010B5">
        <w:rPr>
          <w:rFonts w:asciiTheme="majorBidi" w:hAnsiTheme="majorBidi" w:cstheme="majorBidi"/>
          <w:b/>
          <w:bCs/>
          <w:sz w:val="24"/>
          <w:szCs w:val="24"/>
        </w:rPr>
        <w:t>s</w:t>
      </w:r>
      <w:r>
        <w:rPr>
          <w:rFonts w:asciiTheme="majorBidi" w:hAnsiTheme="majorBidi" w:cstheme="majorBidi"/>
          <w:b/>
          <w:bCs/>
          <w:sz w:val="24"/>
          <w:szCs w:val="24"/>
        </w:rPr>
        <w:t xml:space="preserve"> raised during meeting</w:t>
      </w:r>
    </w:p>
    <w:p w:rsidR="006F7B05" w:rsidRDefault="00332AE6" w:rsidP="00266F0B">
      <w:pPr>
        <w:spacing w:line="240" w:lineRule="auto"/>
        <w:jc w:val="both"/>
        <w:rPr>
          <w:rFonts w:asciiTheme="majorBidi" w:hAnsiTheme="majorBidi" w:cstheme="majorBidi"/>
          <w:b/>
          <w:bCs/>
          <w:sz w:val="24"/>
          <w:szCs w:val="24"/>
        </w:rPr>
      </w:pPr>
      <w:r w:rsidRPr="00332AE6">
        <w:rPr>
          <w:rFonts w:asciiTheme="majorBidi" w:eastAsia="Malgun Gothic" w:hAnsiTheme="majorBidi" w:cstheme="majorBidi"/>
          <w:bCs/>
          <w:snapToGrid w:val="0"/>
          <w:sz w:val="24"/>
          <w:szCs w:val="24"/>
          <w:lang w:eastAsia="ko-KR"/>
        </w:rPr>
        <w:t>APT M</w:t>
      </w:r>
      <w:r w:rsidR="001A6882" w:rsidRPr="00332AE6">
        <w:rPr>
          <w:rFonts w:asciiTheme="majorBidi" w:eastAsia="Malgun Gothic" w:hAnsiTheme="majorBidi" w:cstheme="majorBidi"/>
          <w:bCs/>
          <w:snapToGrid w:val="0"/>
          <w:sz w:val="24"/>
          <w:szCs w:val="24"/>
          <w:lang w:eastAsia="ko-KR"/>
        </w:rPr>
        <w:t xml:space="preserve">embers discussed scope of the agenda item </w:t>
      </w:r>
      <w:r w:rsidR="00963AF9" w:rsidRPr="00332AE6">
        <w:rPr>
          <w:rFonts w:asciiTheme="majorBidi" w:eastAsia="Malgun Gothic" w:hAnsiTheme="majorBidi" w:cstheme="majorBidi"/>
          <w:bCs/>
          <w:snapToGrid w:val="0"/>
          <w:sz w:val="24"/>
          <w:szCs w:val="24"/>
          <w:lang w:eastAsia="ko-KR"/>
        </w:rPr>
        <w:t xml:space="preserve">under Resolution </w:t>
      </w:r>
      <w:r w:rsidR="00963AF9" w:rsidRPr="00332AE6">
        <w:rPr>
          <w:rFonts w:asciiTheme="majorBidi" w:eastAsia="Malgun Gothic" w:hAnsiTheme="majorBidi" w:cstheme="majorBidi"/>
          <w:b/>
          <w:snapToGrid w:val="0"/>
          <w:sz w:val="24"/>
          <w:szCs w:val="24"/>
          <w:lang w:eastAsia="ko-KR"/>
        </w:rPr>
        <w:t>212</w:t>
      </w:r>
      <w:r w:rsidR="00963AF9" w:rsidRPr="00332AE6">
        <w:rPr>
          <w:rFonts w:asciiTheme="majorBidi" w:eastAsia="Malgun Gothic" w:hAnsiTheme="majorBidi" w:cstheme="majorBidi"/>
          <w:bCs/>
          <w:snapToGrid w:val="0"/>
          <w:sz w:val="24"/>
          <w:szCs w:val="24"/>
          <w:lang w:eastAsia="ko-KR"/>
        </w:rPr>
        <w:t xml:space="preserve"> </w:t>
      </w:r>
      <w:r w:rsidR="00963AF9" w:rsidRPr="00332AE6">
        <w:rPr>
          <w:rFonts w:asciiTheme="majorBidi" w:eastAsia="Malgun Gothic" w:hAnsiTheme="majorBidi" w:cstheme="majorBidi"/>
          <w:b/>
          <w:snapToGrid w:val="0"/>
          <w:sz w:val="24"/>
          <w:szCs w:val="24"/>
          <w:lang w:eastAsia="ko-KR"/>
        </w:rPr>
        <w:t>(Rev.WRC-15)</w:t>
      </w:r>
      <w:r w:rsidR="006F7B05" w:rsidRPr="00332AE6">
        <w:rPr>
          <w:rFonts w:asciiTheme="majorBidi" w:hAnsiTheme="majorBidi" w:cstheme="majorBidi"/>
          <w:sz w:val="24"/>
          <w:szCs w:val="24"/>
        </w:rPr>
        <w:t>.</w:t>
      </w:r>
    </w:p>
    <w:p w:rsidR="00171534" w:rsidRDefault="002A68F0" w:rsidP="006F3485">
      <w:pPr>
        <w:spacing w:after="60"/>
        <w:rPr>
          <w:rFonts w:asciiTheme="majorBidi" w:hAnsiTheme="majorBidi" w:cstheme="majorBidi"/>
          <w:b/>
          <w:bCs/>
          <w:sz w:val="24"/>
          <w:szCs w:val="24"/>
        </w:rPr>
      </w:pPr>
      <w:r>
        <w:rPr>
          <w:rFonts w:asciiTheme="majorBidi" w:hAnsiTheme="majorBidi" w:cstheme="majorBidi" w:hint="eastAsia"/>
          <w:b/>
          <w:bCs/>
          <w:sz w:val="24"/>
          <w:szCs w:val="24"/>
        </w:rPr>
        <w:lastRenderedPageBreak/>
        <w:t>4</w:t>
      </w:r>
      <w:r>
        <w:rPr>
          <w:rFonts w:asciiTheme="majorBidi" w:hAnsiTheme="majorBidi" w:cstheme="majorBidi"/>
          <w:b/>
          <w:bCs/>
          <w:sz w:val="24"/>
          <w:szCs w:val="24"/>
        </w:rPr>
        <w:tab/>
      </w:r>
      <w:r w:rsidR="00B63440" w:rsidRPr="005D2CBA">
        <w:rPr>
          <w:rFonts w:asciiTheme="majorBidi" w:hAnsiTheme="majorBidi" w:cstheme="majorBidi"/>
          <w:b/>
          <w:bCs/>
          <w:sz w:val="24"/>
          <w:szCs w:val="24"/>
        </w:rPr>
        <w:t>APT Preliminary Views</w:t>
      </w:r>
    </w:p>
    <w:p w:rsidR="00171534" w:rsidRDefault="00332AE6" w:rsidP="006F3485">
      <w:pPr>
        <w:spacing w:line="240" w:lineRule="auto"/>
        <w:jc w:val="both"/>
        <w:rPr>
          <w:rFonts w:asciiTheme="majorBidi" w:hAnsiTheme="majorBidi" w:cstheme="majorBidi"/>
          <w:bCs/>
          <w:sz w:val="24"/>
          <w:szCs w:val="24"/>
        </w:rPr>
      </w:pPr>
      <w:r>
        <w:rPr>
          <w:rFonts w:asciiTheme="majorBidi" w:eastAsia="Malgun Gothic" w:hAnsiTheme="majorBidi" w:cstheme="majorBidi" w:hint="eastAsia"/>
          <w:bCs/>
          <w:snapToGrid w:val="0"/>
          <w:sz w:val="24"/>
          <w:szCs w:val="24"/>
          <w:lang w:eastAsia="ko-KR"/>
        </w:rPr>
        <w:t>APT M</w:t>
      </w:r>
      <w:r w:rsidR="002D385A" w:rsidRPr="00721519">
        <w:rPr>
          <w:rFonts w:asciiTheme="majorBidi" w:eastAsia="Malgun Gothic" w:hAnsiTheme="majorBidi" w:cstheme="majorBidi" w:hint="eastAsia"/>
          <w:bCs/>
          <w:snapToGrid w:val="0"/>
          <w:sz w:val="24"/>
          <w:szCs w:val="24"/>
          <w:lang w:eastAsia="ko-KR"/>
        </w:rPr>
        <w:t>embers</w:t>
      </w:r>
      <w:r w:rsidR="006A6380" w:rsidRPr="00721519">
        <w:rPr>
          <w:rFonts w:asciiTheme="majorBidi" w:eastAsia="Malgun Gothic" w:hAnsiTheme="majorBidi" w:cstheme="majorBidi"/>
          <w:bCs/>
          <w:snapToGrid w:val="0"/>
          <w:sz w:val="24"/>
          <w:szCs w:val="24"/>
          <w:lang w:eastAsia="ko-KR"/>
        </w:rPr>
        <w:t xml:space="preserve"> supports conduct</w:t>
      </w:r>
      <w:r w:rsidR="00D85BF5">
        <w:rPr>
          <w:rFonts w:asciiTheme="majorBidi" w:eastAsia="Malgun Gothic" w:hAnsiTheme="majorBidi" w:cstheme="majorBidi"/>
          <w:bCs/>
          <w:snapToGrid w:val="0"/>
          <w:sz w:val="24"/>
          <w:szCs w:val="24"/>
          <w:lang w:eastAsia="ko-KR"/>
        </w:rPr>
        <w:t>ing</w:t>
      </w:r>
      <w:r w:rsidR="006A6380" w:rsidRPr="00721519">
        <w:rPr>
          <w:rFonts w:asciiTheme="majorBidi" w:eastAsia="Malgun Gothic" w:hAnsiTheme="majorBidi" w:cstheme="majorBidi"/>
          <w:bCs/>
          <w:snapToGrid w:val="0"/>
          <w:sz w:val="24"/>
          <w:szCs w:val="24"/>
          <w:lang w:eastAsia="ko-KR"/>
        </w:rPr>
        <w:t xml:space="preserve"> ITU-R studies on possible technical and operational measures</w:t>
      </w:r>
      <w:r w:rsidR="006A6380" w:rsidRPr="00721519">
        <w:rPr>
          <w:rFonts w:asciiTheme="majorBidi" w:hAnsiTheme="majorBidi" w:cstheme="majorBidi"/>
          <w:sz w:val="24"/>
          <w:szCs w:val="24"/>
          <w:lang w:eastAsia="de-DE"/>
        </w:rPr>
        <w:t xml:space="preserve"> to ensure coexistence and compatibility between the </w:t>
      </w:r>
      <w:r w:rsidR="006A6380" w:rsidRPr="00721519">
        <w:rPr>
          <w:rFonts w:asciiTheme="majorBidi" w:hAnsiTheme="majorBidi" w:cstheme="majorBidi"/>
          <w:noProof/>
          <w:sz w:val="24"/>
          <w:szCs w:val="24"/>
          <w:lang w:eastAsia="de-DE"/>
        </w:rPr>
        <w:t>terrestrial</w:t>
      </w:r>
      <w:r w:rsidR="006A6380" w:rsidRPr="00721519">
        <w:rPr>
          <w:rFonts w:asciiTheme="majorBidi" w:hAnsiTheme="majorBidi" w:cstheme="majorBidi"/>
          <w:sz w:val="24"/>
          <w:szCs w:val="24"/>
          <w:lang w:eastAsia="de-DE"/>
        </w:rPr>
        <w:t xml:space="preserve"> component of IMT and the satellite </w:t>
      </w:r>
      <w:r w:rsidR="006A6380" w:rsidRPr="006F3485">
        <w:rPr>
          <w:rFonts w:asciiTheme="majorBidi" w:eastAsia="Malgun Gothic" w:hAnsiTheme="majorBidi" w:cstheme="majorBidi"/>
          <w:bCs/>
          <w:snapToGrid w:val="0"/>
          <w:sz w:val="24"/>
          <w:szCs w:val="24"/>
          <w:lang w:eastAsia="ko-KR"/>
        </w:rPr>
        <w:t>component</w:t>
      </w:r>
      <w:r w:rsidR="006A6380" w:rsidRPr="00721519">
        <w:rPr>
          <w:rFonts w:asciiTheme="majorBidi" w:hAnsiTheme="majorBidi" w:cstheme="majorBidi"/>
          <w:sz w:val="24"/>
          <w:szCs w:val="24"/>
          <w:lang w:eastAsia="de-DE"/>
        </w:rPr>
        <w:t xml:space="preserve"> of IMT</w:t>
      </w:r>
      <w:r w:rsidR="006A6380" w:rsidRPr="00721519">
        <w:rPr>
          <w:rFonts w:asciiTheme="majorBidi" w:hAnsiTheme="majorBidi" w:cstheme="majorBidi"/>
          <w:sz w:val="24"/>
          <w:szCs w:val="24"/>
          <w:lang w:eastAsia="ko-KR"/>
        </w:rPr>
        <w:t xml:space="preserve"> </w:t>
      </w:r>
      <w:r w:rsidR="006A6380" w:rsidRPr="00721519">
        <w:rPr>
          <w:rFonts w:asciiTheme="majorBidi" w:eastAsia="Malgun Gothic" w:hAnsiTheme="majorBidi" w:cstheme="majorBidi"/>
          <w:bCs/>
          <w:snapToGrid w:val="0"/>
          <w:sz w:val="24"/>
          <w:szCs w:val="24"/>
          <w:lang w:eastAsia="ko-KR"/>
        </w:rPr>
        <w:t>in the frequency bands 1</w:t>
      </w:r>
      <w:r w:rsidR="002D385A" w:rsidRPr="00721519">
        <w:rPr>
          <w:rFonts w:asciiTheme="majorBidi" w:eastAsia="Malgun Gothic" w:hAnsiTheme="majorBidi" w:cstheme="majorBidi"/>
          <w:bCs/>
          <w:snapToGrid w:val="0"/>
          <w:sz w:val="24"/>
          <w:szCs w:val="24"/>
          <w:lang w:eastAsia="ko-KR"/>
        </w:rPr>
        <w:t> </w:t>
      </w:r>
      <w:r w:rsidR="006A6380" w:rsidRPr="00721519">
        <w:rPr>
          <w:rFonts w:asciiTheme="majorBidi" w:eastAsia="Malgun Gothic" w:hAnsiTheme="majorBidi" w:cstheme="majorBidi"/>
          <w:bCs/>
          <w:snapToGrid w:val="0"/>
          <w:sz w:val="24"/>
          <w:szCs w:val="24"/>
          <w:lang w:eastAsia="ko-KR"/>
        </w:rPr>
        <w:t>980–2</w:t>
      </w:r>
      <w:r w:rsidR="002D385A" w:rsidRPr="00721519">
        <w:rPr>
          <w:rFonts w:asciiTheme="majorBidi" w:eastAsia="Malgun Gothic" w:hAnsiTheme="majorBidi" w:cstheme="majorBidi"/>
          <w:bCs/>
          <w:snapToGrid w:val="0"/>
          <w:sz w:val="24"/>
          <w:szCs w:val="24"/>
          <w:lang w:eastAsia="ko-KR"/>
        </w:rPr>
        <w:t> </w:t>
      </w:r>
      <w:r w:rsidR="006A6380" w:rsidRPr="00721519">
        <w:rPr>
          <w:rFonts w:asciiTheme="majorBidi" w:eastAsia="Malgun Gothic" w:hAnsiTheme="majorBidi" w:cstheme="majorBidi"/>
          <w:bCs/>
          <w:snapToGrid w:val="0"/>
          <w:sz w:val="24"/>
          <w:szCs w:val="24"/>
          <w:lang w:eastAsia="ko-KR"/>
        </w:rPr>
        <w:t>010 MHz and 2</w:t>
      </w:r>
      <w:r w:rsidR="002D385A" w:rsidRPr="00721519">
        <w:rPr>
          <w:rFonts w:asciiTheme="majorBidi" w:eastAsia="Malgun Gothic" w:hAnsiTheme="majorBidi" w:cstheme="majorBidi"/>
          <w:bCs/>
          <w:snapToGrid w:val="0"/>
          <w:sz w:val="24"/>
          <w:szCs w:val="24"/>
          <w:lang w:eastAsia="ko-KR"/>
        </w:rPr>
        <w:t> </w:t>
      </w:r>
      <w:r w:rsidR="006A6380" w:rsidRPr="00721519">
        <w:rPr>
          <w:rFonts w:asciiTheme="majorBidi" w:eastAsia="Malgun Gothic" w:hAnsiTheme="majorBidi" w:cstheme="majorBidi"/>
          <w:bCs/>
          <w:snapToGrid w:val="0"/>
          <w:sz w:val="24"/>
          <w:szCs w:val="24"/>
          <w:lang w:eastAsia="ko-KR"/>
        </w:rPr>
        <w:t>170–2</w:t>
      </w:r>
      <w:r w:rsidR="002D385A" w:rsidRPr="00721519">
        <w:rPr>
          <w:rFonts w:asciiTheme="majorBidi" w:eastAsia="Malgun Gothic" w:hAnsiTheme="majorBidi" w:cstheme="majorBidi"/>
          <w:bCs/>
          <w:snapToGrid w:val="0"/>
          <w:sz w:val="24"/>
          <w:szCs w:val="24"/>
          <w:lang w:eastAsia="ko-KR"/>
        </w:rPr>
        <w:t> </w:t>
      </w:r>
      <w:r w:rsidR="006A6380" w:rsidRPr="00721519">
        <w:rPr>
          <w:rFonts w:asciiTheme="majorBidi" w:eastAsia="Malgun Gothic" w:hAnsiTheme="majorBidi" w:cstheme="majorBidi"/>
          <w:bCs/>
          <w:snapToGrid w:val="0"/>
          <w:sz w:val="24"/>
          <w:szCs w:val="24"/>
          <w:lang w:eastAsia="ko-KR"/>
        </w:rPr>
        <w:t>200 MHz in different countries</w:t>
      </w:r>
      <w:r w:rsidR="008F52EC">
        <w:rPr>
          <w:rFonts w:asciiTheme="majorBidi" w:eastAsia="Malgun Gothic" w:hAnsiTheme="majorBidi" w:cstheme="majorBidi"/>
          <w:bCs/>
          <w:snapToGrid w:val="0"/>
          <w:sz w:val="24"/>
          <w:szCs w:val="24"/>
          <w:lang w:eastAsia="ko-KR"/>
        </w:rPr>
        <w:t>.</w:t>
      </w:r>
    </w:p>
    <w:p w:rsidR="00C573BC" w:rsidRDefault="002A68F0" w:rsidP="006F3485">
      <w:pPr>
        <w:spacing w:after="60"/>
        <w:rPr>
          <w:rFonts w:asciiTheme="majorBidi" w:hAnsiTheme="majorBidi" w:cstheme="majorBidi"/>
          <w:sz w:val="24"/>
          <w:szCs w:val="24"/>
        </w:rPr>
      </w:pPr>
      <w:r>
        <w:rPr>
          <w:rFonts w:asciiTheme="majorBidi" w:hAnsiTheme="majorBidi" w:cstheme="majorBidi"/>
          <w:b/>
          <w:bCs/>
          <w:sz w:val="24"/>
          <w:szCs w:val="24"/>
        </w:rPr>
        <w:t>5</w:t>
      </w:r>
      <w:r>
        <w:rPr>
          <w:rFonts w:asciiTheme="majorBidi" w:hAnsiTheme="majorBidi" w:cstheme="majorBidi"/>
          <w:b/>
          <w:bCs/>
          <w:sz w:val="24"/>
          <w:szCs w:val="24"/>
        </w:rPr>
        <w:tab/>
      </w:r>
      <w:r w:rsidR="00182DB1" w:rsidRPr="005D2CBA">
        <w:rPr>
          <w:rFonts w:asciiTheme="majorBidi" w:hAnsiTheme="majorBidi" w:cstheme="majorBidi"/>
          <w:b/>
          <w:bCs/>
          <w:sz w:val="24"/>
          <w:szCs w:val="24"/>
        </w:rPr>
        <w:t>Other views</w:t>
      </w:r>
    </w:p>
    <w:p w:rsidR="00FC35B2" w:rsidRDefault="00084E81" w:rsidP="006F3485">
      <w:pPr>
        <w:spacing w:after="60" w:line="240" w:lineRule="auto"/>
        <w:jc w:val="both"/>
        <w:rPr>
          <w:rFonts w:asciiTheme="majorBidi" w:hAnsiTheme="majorBidi" w:cstheme="majorBidi"/>
          <w:sz w:val="24"/>
          <w:szCs w:val="24"/>
        </w:rPr>
      </w:pPr>
      <w:r w:rsidRPr="00332AE6">
        <w:rPr>
          <w:rStyle w:val="Artdef"/>
          <w:rFonts w:asciiTheme="majorBidi" w:hAnsiTheme="majorBidi" w:cstheme="majorBidi"/>
          <w:b w:val="0"/>
          <w:sz w:val="24"/>
          <w:szCs w:val="24"/>
          <w:lang w:eastAsia="zh-CN"/>
        </w:rPr>
        <w:t>Some APT Members</w:t>
      </w:r>
      <w:r w:rsidR="00B93234" w:rsidRPr="00332AE6">
        <w:rPr>
          <w:rStyle w:val="Artdef"/>
          <w:rFonts w:asciiTheme="majorBidi" w:hAnsiTheme="majorBidi" w:cstheme="majorBidi"/>
          <w:b w:val="0"/>
          <w:sz w:val="24"/>
          <w:szCs w:val="24"/>
          <w:lang w:eastAsia="zh-CN"/>
        </w:rPr>
        <w:t xml:space="preserve"> expressed the</w:t>
      </w:r>
      <w:r w:rsidR="00FC35B2" w:rsidRPr="00332AE6">
        <w:rPr>
          <w:rStyle w:val="Artdef"/>
          <w:rFonts w:asciiTheme="majorBidi" w:hAnsiTheme="majorBidi" w:cstheme="majorBidi"/>
          <w:b w:val="0"/>
          <w:sz w:val="24"/>
          <w:szCs w:val="24"/>
          <w:lang w:eastAsia="zh-CN"/>
        </w:rPr>
        <w:t xml:space="preserve"> </w:t>
      </w:r>
      <w:r w:rsidR="00B93234" w:rsidRPr="00332AE6">
        <w:rPr>
          <w:rStyle w:val="Artdef"/>
          <w:rFonts w:asciiTheme="majorBidi" w:hAnsiTheme="majorBidi" w:cstheme="majorBidi"/>
          <w:b w:val="0"/>
          <w:sz w:val="24"/>
          <w:szCs w:val="24"/>
          <w:lang w:eastAsia="zh-CN"/>
        </w:rPr>
        <w:t xml:space="preserve">view </w:t>
      </w:r>
      <w:r w:rsidRPr="00332AE6">
        <w:rPr>
          <w:rStyle w:val="Artdef"/>
          <w:rFonts w:asciiTheme="majorBidi" w:hAnsiTheme="majorBidi" w:cstheme="majorBidi"/>
          <w:b w:val="0"/>
          <w:sz w:val="24"/>
          <w:szCs w:val="24"/>
          <w:lang w:eastAsia="zh-CN"/>
        </w:rPr>
        <w:t xml:space="preserve">that, in line with the Resolution </w:t>
      </w:r>
      <w:r w:rsidRPr="00332AE6">
        <w:rPr>
          <w:rStyle w:val="Artdef"/>
          <w:rFonts w:asciiTheme="majorBidi" w:hAnsiTheme="majorBidi" w:cstheme="majorBidi"/>
          <w:sz w:val="24"/>
          <w:szCs w:val="24"/>
          <w:lang w:eastAsia="zh-CN"/>
        </w:rPr>
        <w:t>212 (Rev.WRC-15)</w:t>
      </w:r>
      <w:r w:rsidR="00B93234" w:rsidRPr="00332AE6">
        <w:rPr>
          <w:rStyle w:val="Artdef"/>
          <w:rFonts w:asciiTheme="majorBidi" w:hAnsiTheme="majorBidi" w:cstheme="majorBidi"/>
          <w:b w:val="0"/>
          <w:sz w:val="24"/>
          <w:szCs w:val="24"/>
          <w:lang w:eastAsia="zh-CN"/>
        </w:rPr>
        <w:t>,</w:t>
      </w:r>
      <w:r w:rsidR="00B93234" w:rsidRPr="00FC35B2">
        <w:rPr>
          <w:rStyle w:val="Artdef"/>
          <w:rFonts w:asciiTheme="majorBidi" w:hAnsiTheme="majorBidi" w:cstheme="majorBidi"/>
          <w:b w:val="0"/>
          <w:sz w:val="24"/>
          <w:szCs w:val="24"/>
          <w:lang w:eastAsia="zh-CN"/>
        </w:rPr>
        <w:t xml:space="preserve"> since c</w:t>
      </w:r>
      <w:r w:rsidR="00B93234" w:rsidRPr="00FC35B2">
        <w:rPr>
          <w:rFonts w:asciiTheme="majorBidi" w:hAnsiTheme="majorBidi" w:cstheme="majorBidi"/>
          <w:sz w:val="24"/>
          <w:szCs w:val="24"/>
        </w:rPr>
        <w:t xml:space="preserve">oexistence </w:t>
      </w:r>
      <w:r w:rsidR="00C75960" w:rsidRPr="00FC35B2">
        <w:rPr>
          <w:rFonts w:asciiTheme="majorBidi" w:hAnsiTheme="majorBidi" w:cstheme="majorBidi"/>
          <w:sz w:val="24"/>
          <w:szCs w:val="24"/>
        </w:rPr>
        <w:t xml:space="preserve">of the independent satellite and terrestrial IMT components in co-coverage areas in the frequency bands </w:t>
      </w:r>
      <w:r w:rsidR="00C75960" w:rsidRPr="00FC35B2">
        <w:rPr>
          <w:rFonts w:asciiTheme="majorBidi" w:eastAsia="Malgun Gothic" w:hAnsiTheme="majorBidi" w:cstheme="majorBidi"/>
          <w:bCs/>
          <w:snapToGrid w:val="0"/>
          <w:sz w:val="24"/>
          <w:szCs w:val="24"/>
          <w:lang w:eastAsia="ko-KR"/>
        </w:rPr>
        <w:t xml:space="preserve">1 980–2 010 MHz and 2 170–2 200 MHz </w:t>
      </w:r>
      <w:r w:rsidR="00C75960" w:rsidRPr="00FC35B2">
        <w:rPr>
          <w:rFonts w:asciiTheme="majorBidi" w:hAnsiTheme="majorBidi" w:cstheme="majorBidi"/>
          <w:sz w:val="24"/>
          <w:szCs w:val="24"/>
        </w:rPr>
        <w:t>is not feasible</w:t>
      </w:r>
      <w:r w:rsidR="00B93234" w:rsidRPr="00FC35B2">
        <w:rPr>
          <w:rFonts w:asciiTheme="majorBidi" w:hAnsiTheme="majorBidi" w:cstheme="majorBidi"/>
          <w:sz w:val="24"/>
          <w:szCs w:val="24"/>
        </w:rPr>
        <w:t>,</w:t>
      </w:r>
      <w:r w:rsidR="00C75960" w:rsidRPr="00FC35B2">
        <w:rPr>
          <w:rFonts w:asciiTheme="majorBidi" w:hAnsiTheme="majorBidi" w:cstheme="majorBidi"/>
          <w:sz w:val="24"/>
          <w:szCs w:val="24"/>
        </w:rPr>
        <w:t xml:space="preserve"> necessary operational measure</w:t>
      </w:r>
      <w:r w:rsidR="00B93234" w:rsidRPr="00FC35B2">
        <w:rPr>
          <w:rFonts w:asciiTheme="majorBidi" w:hAnsiTheme="majorBidi" w:cstheme="majorBidi"/>
          <w:sz w:val="24"/>
          <w:szCs w:val="24"/>
        </w:rPr>
        <w:t>s</w:t>
      </w:r>
      <w:r w:rsidR="00C75960" w:rsidRPr="00FC35B2">
        <w:rPr>
          <w:rFonts w:asciiTheme="majorBidi" w:hAnsiTheme="majorBidi" w:cstheme="majorBidi"/>
          <w:sz w:val="24"/>
          <w:szCs w:val="24"/>
        </w:rPr>
        <w:t xml:space="preserve"> </w:t>
      </w:r>
      <w:r w:rsidRPr="00332AE6">
        <w:rPr>
          <w:rFonts w:asciiTheme="majorBidi" w:eastAsia="Malgun Gothic" w:hAnsiTheme="majorBidi" w:cstheme="majorBidi"/>
          <w:bCs/>
          <w:snapToGrid w:val="0"/>
          <w:sz w:val="24"/>
          <w:szCs w:val="24"/>
          <w:lang w:eastAsia="ko-KR"/>
        </w:rPr>
        <w:t>may need to be taken</w:t>
      </w:r>
      <w:r w:rsidR="00C75960" w:rsidRPr="00FC35B2">
        <w:rPr>
          <w:rFonts w:asciiTheme="majorBidi" w:hAnsiTheme="majorBidi" w:cstheme="majorBidi"/>
          <w:sz w:val="24"/>
          <w:szCs w:val="24"/>
        </w:rPr>
        <w:t xml:space="preserve"> by the planned terrestrial component or planned satellite component of IMT systems, to ensure compatibility with any component of existing IMT systems which is already deployed in different countries.</w:t>
      </w:r>
      <w:r w:rsidR="00FC35B2" w:rsidRPr="00FC35B2">
        <w:rPr>
          <w:rFonts w:asciiTheme="majorBidi" w:hAnsiTheme="majorBidi" w:cstheme="majorBidi"/>
          <w:sz w:val="24"/>
          <w:szCs w:val="24"/>
        </w:rPr>
        <w:t xml:space="preserve"> </w:t>
      </w:r>
    </w:p>
    <w:p w:rsidR="00FC35B2" w:rsidRDefault="00FC35B2" w:rsidP="006F3485">
      <w:pPr>
        <w:spacing w:after="60" w:line="240" w:lineRule="auto"/>
        <w:jc w:val="both"/>
        <w:rPr>
          <w:rFonts w:asciiTheme="majorBidi" w:hAnsiTheme="majorBidi" w:cstheme="majorBidi"/>
          <w:sz w:val="24"/>
          <w:szCs w:val="24"/>
        </w:rPr>
      </w:pPr>
      <w:r>
        <w:rPr>
          <w:rFonts w:asciiTheme="majorBidi" w:hAnsiTheme="majorBidi" w:cstheme="majorBidi"/>
          <w:sz w:val="24"/>
          <w:szCs w:val="24"/>
        </w:rPr>
        <w:t xml:space="preserve">Some </w:t>
      </w:r>
      <w:r w:rsidRPr="006F3485">
        <w:rPr>
          <w:rFonts w:asciiTheme="majorBidi" w:eastAsia="Malgun Gothic" w:hAnsiTheme="majorBidi" w:cstheme="majorBidi"/>
          <w:bCs/>
          <w:snapToGrid w:val="0"/>
          <w:sz w:val="24"/>
          <w:szCs w:val="24"/>
          <w:lang w:eastAsia="ko-KR"/>
        </w:rPr>
        <w:t>APT</w:t>
      </w:r>
      <w:r>
        <w:rPr>
          <w:rFonts w:asciiTheme="majorBidi" w:hAnsiTheme="majorBidi" w:cstheme="majorBidi"/>
          <w:sz w:val="24"/>
          <w:szCs w:val="24"/>
        </w:rPr>
        <w:t xml:space="preserve"> Members expressed that </w:t>
      </w:r>
      <w:r w:rsidR="00D95BEA">
        <w:rPr>
          <w:rFonts w:asciiTheme="majorBidi" w:hAnsiTheme="majorBidi" w:cstheme="majorBidi"/>
          <w:sz w:val="24"/>
          <w:szCs w:val="24"/>
        </w:rPr>
        <w:t xml:space="preserve">there exist </w:t>
      </w:r>
      <w:r>
        <w:rPr>
          <w:rFonts w:asciiTheme="majorBidi" w:hAnsiTheme="majorBidi" w:cstheme="majorBidi"/>
          <w:sz w:val="24"/>
          <w:szCs w:val="24"/>
        </w:rPr>
        <w:t xml:space="preserve">concerns and difficulties </w:t>
      </w:r>
      <w:r w:rsidR="00D95BEA">
        <w:rPr>
          <w:rFonts w:asciiTheme="majorBidi" w:hAnsiTheme="majorBidi" w:cstheme="majorBidi"/>
          <w:sz w:val="24"/>
          <w:szCs w:val="24"/>
        </w:rPr>
        <w:t xml:space="preserve">with </w:t>
      </w:r>
      <w:r>
        <w:rPr>
          <w:rFonts w:asciiTheme="majorBidi" w:hAnsiTheme="majorBidi" w:cstheme="majorBidi"/>
          <w:sz w:val="24"/>
          <w:szCs w:val="24"/>
        </w:rPr>
        <w:t>the above view</w:t>
      </w:r>
      <w:r w:rsidR="00D95BEA">
        <w:rPr>
          <w:rFonts w:asciiTheme="majorBidi" w:hAnsiTheme="majorBidi" w:cstheme="majorBidi"/>
          <w:sz w:val="24"/>
          <w:szCs w:val="24"/>
        </w:rPr>
        <w:t>, especially within the coverage area not included in the service area for satellite component of IMT,</w:t>
      </w:r>
      <w:r>
        <w:rPr>
          <w:rFonts w:asciiTheme="majorBidi" w:hAnsiTheme="majorBidi" w:cstheme="majorBidi"/>
          <w:sz w:val="24"/>
          <w:szCs w:val="24"/>
        </w:rPr>
        <w:t xml:space="preserve"> which appears to be in contradiction with Resolution </w:t>
      </w:r>
      <w:r w:rsidRPr="00FC35B2">
        <w:rPr>
          <w:rFonts w:asciiTheme="majorBidi" w:hAnsiTheme="majorBidi" w:cstheme="majorBidi"/>
          <w:b/>
          <w:bCs/>
          <w:sz w:val="24"/>
          <w:szCs w:val="24"/>
        </w:rPr>
        <w:t>212 (WRC-15)</w:t>
      </w:r>
      <w:r>
        <w:rPr>
          <w:rFonts w:asciiTheme="majorBidi" w:hAnsiTheme="majorBidi" w:cstheme="majorBidi"/>
          <w:sz w:val="24"/>
          <w:szCs w:val="24"/>
        </w:rPr>
        <w:t>.</w:t>
      </w:r>
    </w:p>
    <w:p w:rsidR="00171534" w:rsidRPr="00FC35B2" w:rsidRDefault="00B93234" w:rsidP="006F3485">
      <w:pPr>
        <w:spacing w:after="60" w:line="240" w:lineRule="auto"/>
        <w:jc w:val="both"/>
        <w:rPr>
          <w:rFonts w:asciiTheme="majorBidi" w:hAnsiTheme="majorBidi" w:cstheme="majorBidi"/>
          <w:sz w:val="24"/>
          <w:szCs w:val="24"/>
          <w:lang w:val="en-NZ"/>
        </w:rPr>
      </w:pPr>
      <w:r w:rsidRPr="00FC35B2">
        <w:rPr>
          <w:rFonts w:asciiTheme="majorBidi" w:hAnsiTheme="majorBidi" w:cstheme="majorBidi"/>
          <w:sz w:val="24"/>
          <w:szCs w:val="24"/>
        </w:rPr>
        <w:t xml:space="preserve">Some other APT Members are considering ITU-R studies </w:t>
      </w:r>
      <w:r w:rsidR="00FC35B2" w:rsidRPr="00FC35B2">
        <w:rPr>
          <w:rFonts w:asciiTheme="majorBidi" w:hAnsiTheme="majorBidi" w:cstheme="majorBidi"/>
          <w:sz w:val="24"/>
          <w:szCs w:val="24"/>
        </w:rPr>
        <w:t xml:space="preserve">on </w:t>
      </w:r>
      <w:r w:rsidRPr="00FC35B2">
        <w:rPr>
          <w:rFonts w:asciiTheme="majorBidi" w:hAnsiTheme="majorBidi" w:cstheme="majorBidi"/>
          <w:sz w:val="24"/>
          <w:szCs w:val="24"/>
        </w:rPr>
        <w:t>compatibility and sharing between terrestrial and satellite components of IMT with respect to tech</w:t>
      </w:r>
      <w:r w:rsidR="006F3485">
        <w:rPr>
          <w:rFonts w:asciiTheme="majorBidi" w:hAnsiTheme="majorBidi" w:cstheme="majorBidi"/>
          <w:sz w:val="24"/>
          <w:szCs w:val="24"/>
        </w:rPr>
        <w:t>nical and operational measures.</w:t>
      </w:r>
    </w:p>
    <w:p w:rsidR="006F3485" w:rsidRPr="006F3485" w:rsidRDefault="006F3485" w:rsidP="006F3485">
      <w:pPr>
        <w:spacing w:after="0" w:line="240" w:lineRule="auto"/>
        <w:jc w:val="both"/>
        <w:rPr>
          <w:rFonts w:asciiTheme="majorBidi" w:hAnsiTheme="majorBidi" w:cstheme="majorBidi"/>
          <w:b/>
          <w:bCs/>
          <w:sz w:val="24"/>
          <w:szCs w:val="24"/>
        </w:rPr>
      </w:pPr>
    </w:p>
    <w:p w:rsidR="00B92F83" w:rsidRDefault="00B92F83" w:rsidP="006F3485">
      <w:pPr>
        <w:spacing w:after="60"/>
        <w:rPr>
          <w:rFonts w:asciiTheme="majorBidi" w:hAnsiTheme="majorBidi" w:cstheme="majorBidi"/>
          <w:b/>
          <w:bCs/>
          <w:sz w:val="24"/>
          <w:szCs w:val="24"/>
        </w:rPr>
      </w:pPr>
      <w:r w:rsidRPr="005D2CBA">
        <w:rPr>
          <w:rFonts w:asciiTheme="majorBidi" w:hAnsiTheme="majorBidi" w:cstheme="majorBidi"/>
          <w:b/>
          <w:bCs/>
          <w:sz w:val="24"/>
          <w:szCs w:val="24"/>
        </w:rPr>
        <w:t xml:space="preserve">6 </w:t>
      </w:r>
      <w:r w:rsidR="00F07C49">
        <w:rPr>
          <w:rFonts w:asciiTheme="majorBidi" w:hAnsiTheme="majorBidi" w:cstheme="majorBidi"/>
          <w:b/>
          <w:bCs/>
          <w:sz w:val="24"/>
          <w:szCs w:val="24"/>
        </w:rPr>
        <w:tab/>
      </w:r>
      <w:r w:rsidRPr="005D2CBA">
        <w:rPr>
          <w:rFonts w:asciiTheme="majorBidi" w:hAnsiTheme="majorBidi" w:cstheme="majorBidi"/>
          <w:b/>
          <w:bCs/>
          <w:sz w:val="24"/>
          <w:szCs w:val="24"/>
        </w:rPr>
        <w:t>Views from Other Organization</w:t>
      </w:r>
      <w:r w:rsidR="009D71F1">
        <w:rPr>
          <w:rFonts w:asciiTheme="majorBidi" w:hAnsiTheme="majorBidi" w:cstheme="majorBidi"/>
          <w:b/>
          <w:bCs/>
          <w:sz w:val="24"/>
          <w:szCs w:val="24"/>
        </w:rPr>
        <w:t>s</w:t>
      </w:r>
    </w:p>
    <w:p w:rsidR="00171534" w:rsidRDefault="006F7B05" w:rsidP="006F3485">
      <w:pPr>
        <w:spacing w:after="60"/>
        <w:rPr>
          <w:rFonts w:asciiTheme="majorBidi" w:hAnsiTheme="majorBidi" w:cstheme="majorBidi"/>
          <w:b/>
          <w:bCs/>
          <w:sz w:val="24"/>
          <w:szCs w:val="24"/>
        </w:rPr>
      </w:pPr>
      <w:r w:rsidRPr="006F7B05">
        <w:rPr>
          <w:rFonts w:asciiTheme="majorBidi" w:hAnsiTheme="majorBidi" w:cstheme="majorBidi"/>
          <w:b/>
          <w:bCs/>
          <w:sz w:val="24"/>
          <w:szCs w:val="24"/>
        </w:rPr>
        <w:t>6.1</w:t>
      </w:r>
      <w:r w:rsidRPr="006F7B05">
        <w:rPr>
          <w:rFonts w:asciiTheme="majorBidi" w:hAnsiTheme="majorBidi" w:cstheme="majorBidi"/>
          <w:b/>
          <w:bCs/>
          <w:sz w:val="24"/>
          <w:szCs w:val="24"/>
        </w:rPr>
        <w:tab/>
        <w:t>Inter-American Telecommunication Commission (CITEL)</w:t>
      </w:r>
    </w:p>
    <w:p w:rsidR="00F13713" w:rsidRPr="006F3485" w:rsidRDefault="006F7B05" w:rsidP="006F3485">
      <w:pPr>
        <w:spacing w:after="60"/>
        <w:rPr>
          <w:rFonts w:asciiTheme="majorBidi" w:hAnsiTheme="majorBidi" w:cstheme="majorBidi"/>
          <w:b/>
          <w:bCs/>
          <w:sz w:val="24"/>
          <w:szCs w:val="24"/>
        </w:rPr>
      </w:pPr>
      <w:r w:rsidRPr="006F3485">
        <w:rPr>
          <w:rFonts w:asciiTheme="majorBidi" w:hAnsiTheme="majorBidi" w:cstheme="majorBidi"/>
          <w:b/>
          <w:bCs/>
          <w:sz w:val="24"/>
          <w:szCs w:val="24"/>
        </w:rPr>
        <w:t>Canada</w:t>
      </w:r>
    </w:p>
    <w:p w:rsidR="00171534" w:rsidRDefault="006F7B05" w:rsidP="006F3485">
      <w:pPr>
        <w:spacing w:after="60" w:line="240" w:lineRule="auto"/>
        <w:jc w:val="both"/>
        <w:rPr>
          <w:rFonts w:asciiTheme="majorBidi" w:hAnsiTheme="majorBidi" w:cstheme="majorBidi"/>
          <w:color w:val="000000"/>
          <w:sz w:val="24"/>
          <w:szCs w:val="24"/>
        </w:rPr>
      </w:pPr>
      <w:r w:rsidRPr="006F7B05">
        <w:rPr>
          <w:rFonts w:asciiTheme="majorBidi" w:hAnsiTheme="majorBidi" w:cstheme="majorBidi"/>
          <w:color w:val="000000"/>
          <w:sz w:val="24"/>
          <w:szCs w:val="24"/>
        </w:rPr>
        <w:t>There should not be any impact from the outcome of these studies on the existing use of the frequency bands by</w:t>
      </w:r>
      <w:r w:rsidR="00F13713">
        <w:rPr>
          <w:rFonts w:asciiTheme="majorBidi" w:hAnsiTheme="majorBidi" w:cstheme="majorBidi"/>
          <w:color w:val="000000"/>
          <w:sz w:val="24"/>
          <w:szCs w:val="24"/>
        </w:rPr>
        <w:t xml:space="preserve"> </w:t>
      </w:r>
      <w:r w:rsidRPr="006F7B05">
        <w:rPr>
          <w:rFonts w:asciiTheme="majorBidi" w:hAnsiTheme="majorBidi" w:cstheme="majorBidi"/>
          <w:color w:val="000000"/>
          <w:sz w:val="24"/>
          <w:szCs w:val="24"/>
        </w:rPr>
        <w:t>the terrestrial component of IMT in 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170‐2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180</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MHz (part of the 1</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710‐1</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780/2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110‐2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180</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MHz IMT frequency</w:t>
      </w:r>
      <w:r w:rsidR="00F13713">
        <w:rPr>
          <w:rFonts w:asciiTheme="majorBidi" w:hAnsiTheme="majorBidi" w:cstheme="majorBidi"/>
          <w:color w:val="000000"/>
          <w:sz w:val="24"/>
          <w:szCs w:val="24"/>
        </w:rPr>
        <w:t xml:space="preserve"> </w:t>
      </w:r>
      <w:r w:rsidRPr="006F7B05">
        <w:rPr>
          <w:rFonts w:asciiTheme="majorBidi" w:hAnsiTheme="majorBidi" w:cstheme="majorBidi"/>
          <w:color w:val="000000"/>
          <w:sz w:val="24"/>
          <w:szCs w:val="24"/>
        </w:rPr>
        <w:t>band) nor on flexible MS/MSS use in 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000‐2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010 &amp; 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180‐2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200</w:t>
      </w:r>
      <w:r w:rsidR="00266F0B">
        <w:rPr>
          <w:rFonts w:asciiTheme="majorBidi" w:hAnsiTheme="majorBidi" w:cstheme="majorBidi"/>
          <w:color w:val="000000"/>
          <w:sz w:val="24"/>
          <w:szCs w:val="24"/>
        </w:rPr>
        <w:t> </w:t>
      </w:r>
      <w:proofErr w:type="spellStart"/>
      <w:r w:rsidRPr="006F7B05">
        <w:rPr>
          <w:rFonts w:asciiTheme="majorBidi" w:hAnsiTheme="majorBidi" w:cstheme="majorBidi"/>
          <w:color w:val="000000"/>
          <w:sz w:val="24"/>
          <w:szCs w:val="24"/>
        </w:rPr>
        <w:t>MHz.</w:t>
      </w:r>
      <w:proofErr w:type="spellEnd"/>
    </w:p>
    <w:p w:rsidR="00F13713" w:rsidRDefault="00F13713" w:rsidP="00F13713">
      <w:pPr>
        <w:autoSpaceDE w:val="0"/>
        <w:autoSpaceDN w:val="0"/>
        <w:adjustRightInd w:val="0"/>
        <w:spacing w:after="0" w:line="240" w:lineRule="auto"/>
        <w:rPr>
          <w:rFonts w:asciiTheme="majorBidi" w:hAnsiTheme="majorBidi" w:cstheme="majorBidi"/>
          <w:b/>
          <w:bCs/>
          <w:color w:val="000000"/>
          <w:sz w:val="24"/>
          <w:szCs w:val="24"/>
        </w:rPr>
      </w:pPr>
    </w:p>
    <w:p w:rsidR="00F13713" w:rsidRPr="006F3485" w:rsidRDefault="006F7B05" w:rsidP="006F3485">
      <w:pPr>
        <w:spacing w:after="60"/>
        <w:rPr>
          <w:rFonts w:asciiTheme="majorBidi" w:hAnsiTheme="majorBidi" w:cstheme="majorBidi"/>
          <w:b/>
          <w:bCs/>
          <w:sz w:val="24"/>
          <w:szCs w:val="24"/>
        </w:rPr>
      </w:pPr>
      <w:r w:rsidRPr="006F3485">
        <w:rPr>
          <w:rFonts w:asciiTheme="majorBidi" w:hAnsiTheme="majorBidi" w:cstheme="majorBidi"/>
          <w:b/>
          <w:bCs/>
          <w:sz w:val="24"/>
          <w:szCs w:val="24"/>
        </w:rPr>
        <w:t>MEX</w:t>
      </w:r>
    </w:p>
    <w:p w:rsidR="00171534" w:rsidRDefault="006F7B05" w:rsidP="006F3485">
      <w:pPr>
        <w:spacing w:after="60" w:line="240" w:lineRule="auto"/>
        <w:jc w:val="both"/>
        <w:rPr>
          <w:rFonts w:asciiTheme="majorBidi" w:hAnsiTheme="majorBidi" w:cstheme="majorBidi"/>
          <w:color w:val="000000"/>
          <w:sz w:val="24"/>
          <w:szCs w:val="24"/>
        </w:rPr>
      </w:pPr>
      <w:r w:rsidRPr="006F7B05">
        <w:rPr>
          <w:rFonts w:asciiTheme="majorBidi" w:hAnsiTheme="majorBidi" w:cstheme="majorBidi"/>
          <w:color w:val="000000"/>
          <w:sz w:val="24"/>
          <w:szCs w:val="24"/>
        </w:rPr>
        <w:t>For the administration of Mexico, it is important to know the outcomes of these studies, since the bands 1</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710‐1</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780/2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110‐2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180</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MHz and 1</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850‐1</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920/1</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930‐2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000</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MHz are designated for the terrestrial component of IMT in</w:t>
      </w:r>
      <w:r w:rsidR="00F13713">
        <w:rPr>
          <w:rFonts w:asciiTheme="majorBidi" w:hAnsiTheme="majorBidi" w:cstheme="majorBidi"/>
          <w:color w:val="000000"/>
          <w:sz w:val="24"/>
          <w:szCs w:val="24"/>
        </w:rPr>
        <w:t xml:space="preserve"> </w:t>
      </w:r>
      <w:r w:rsidRPr="006F7B05">
        <w:rPr>
          <w:rFonts w:asciiTheme="majorBidi" w:hAnsiTheme="majorBidi" w:cstheme="majorBidi"/>
          <w:color w:val="000000"/>
          <w:sz w:val="24"/>
          <w:szCs w:val="24"/>
        </w:rPr>
        <w:t>Mexico. The segmentation specified for these bands is based on an FDD scheme in which the 1</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710‐1</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780</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MHz and</w:t>
      </w:r>
      <w:r w:rsidR="00F13713">
        <w:rPr>
          <w:rFonts w:asciiTheme="majorBidi" w:hAnsiTheme="majorBidi" w:cstheme="majorBidi"/>
          <w:color w:val="000000"/>
          <w:sz w:val="24"/>
          <w:szCs w:val="24"/>
        </w:rPr>
        <w:t xml:space="preserve"> </w:t>
      </w:r>
      <w:r w:rsidRPr="006F7B05">
        <w:rPr>
          <w:rFonts w:asciiTheme="majorBidi" w:hAnsiTheme="majorBidi" w:cstheme="majorBidi"/>
          <w:color w:val="000000"/>
          <w:sz w:val="24"/>
          <w:szCs w:val="24"/>
        </w:rPr>
        <w:t>1</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850‐1</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920</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MHz segments are used for base‐mobile transmission and the 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110‐2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180</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MHz and 1</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930‐2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000</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MHz</w:t>
      </w:r>
      <w:r w:rsidR="00F13713">
        <w:rPr>
          <w:rFonts w:asciiTheme="majorBidi" w:hAnsiTheme="majorBidi" w:cstheme="majorBidi"/>
          <w:color w:val="000000"/>
          <w:sz w:val="24"/>
          <w:szCs w:val="24"/>
        </w:rPr>
        <w:t xml:space="preserve"> </w:t>
      </w:r>
      <w:r w:rsidRPr="006F7B05">
        <w:rPr>
          <w:rFonts w:asciiTheme="majorBidi" w:hAnsiTheme="majorBidi" w:cstheme="majorBidi"/>
          <w:color w:val="000000"/>
          <w:sz w:val="24"/>
          <w:szCs w:val="24"/>
        </w:rPr>
        <w:t>segments are used for base‐mobile transmission. In addition, Mexico is authorized to exploit the emission and</w:t>
      </w:r>
      <w:r w:rsidR="00F13713">
        <w:rPr>
          <w:rFonts w:asciiTheme="majorBidi" w:hAnsiTheme="majorBidi" w:cstheme="majorBidi"/>
          <w:color w:val="000000"/>
          <w:sz w:val="24"/>
          <w:szCs w:val="24"/>
        </w:rPr>
        <w:t xml:space="preserve"> </w:t>
      </w:r>
      <w:r w:rsidRPr="006F7B05">
        <w:rPr>
          <w:rFonts w:asciiTheme="majorBidi" w:hAnsiTheme="majorBidi" w:cstheme="majorBidi"/>
          <w:color w:val="000000"/>
          <w:sz w:val="24"/>
          <w:szCs w:val="24"/>
        </w:rPr>
        <w:t>reception rights of signals and frequency bands associated with foreign satellite systems that cover—and can</w:t>
      </w:r>
      <w:r w:rsidR="00F13713">
        <w:rPr>
          <w:rFonts w:asciiTheme="majorBidi" w:hAnsiTheme="majorBidi" w:cstheme="majorBidi"/>
          <w:color w:val="000000"/>
          <w:sz w:val="24"/>
          <w:szCs w:val="24"/>
        </w:rPr>
        <w:t xml:space="preserve"> </w:t>
      </w:r>
      <w:r w:rsidRPr="006F7B05">
        <w:rPr>
          <w:rFonts w:asciiTheme="majorBidi" w:hAnsiTheme="majorBidi" w:cstheme="majorBidi"/>
          <w:color w:val="000000"/>
          <w:sz w:val="24"/>
          <w:szCs w:val="24"/>
        </w:rPr>
        <w:t>provide services within—its national territory at the 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000‐2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010/2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190‐2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200</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MHz frequency band.</w:t>
      </w:r>
    </w:p>
    <w:p w:rsidR="00171534" w:rsidRDefault="006F7B05" w:rsidP="006F3485">
      <w:pPr>
        <w:spacing w:after="60" w:line="240" w:lineRule="auto"/>
        <w:jc w:val="both"/>
        <w:rPr>
          <w:rFonts w:asciiTheme="majorBidi" w:hAnsiTheme="majorBidi" w:cstheme="majorBidi"/>
          <w:color w:val="000000"/>
          <w:sz w:val="24"/>
          <w:szCs w:val="24"/>
        </w:rPr>
      </w:pPr>
      <w:r w:rsidRPr="006F7B05">
        <w:rPr>
          <w:rFonts w:asciiTheme="majorBidi" w:hAnsiTheme="majorBidi" w:cstheme="majorBidi"/>
          <w:color w:val="000000"/>
          <w:sz w:val="24"/>
          <w:szCs w:val="24"/>
        </w:rPr>
        <w:t>Accordingly, if the 1</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980‐2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000</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MHz and 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170‐2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190</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MHz frequency bands were used for the satellite component of</w:t>
      </w:r>
      <w:r w:rsidR="00F13713">
        <w:rPr>
          <w:rFonts w:asciiTheme="majorBidi" w:hAnsiTheme="majorBidi" w:cstheme="majorBidi"/>
          <w:color w:val="000000"/>
          <w:sz w:val="24"/>
          <w:szCs w:val="24"/>
        </w:rPr>
        <w:t xml:space="preserve"> </w:t>
      </w:r>
      <w:r w:rsidRPr="006F7B05">
        <w:rPr>
          <w:rFonts w:asciiTheme="majorBidi" w:hAnsiTheme="majorBidi" w:cstheme="majorBidi"/>
          <w:color w:val="000000"/>
          <w:sz w:val="24"/>
          <w:szCs w:val="24"/>
        </w:rPr>
        <w:t>IMT in a country with which Mexico shares borders, it would be necessary to set out the technical and operational</w:t>
      </w:r>
      <w:r w:rsidR="00F13713">
        <w:rPr>
          <w:rFonts w:asciiTheme="majorBidi" w:hAnsiTheme="majorBidi" w:cstheme="majorBidi"/>
          <w:color w:val="000000"/>
          <w:sz w:val="24"/>
          <w:szCs w:val="24"/>
        </w:rPr>
        <w:t xml:space="preserve"> </w:t>
      </w:r>
      <w:r w:rsidRPr="006F7B05">
        <w:rPr>
          <w:rFonts w:asciiTheme="majorBidi" w:hAnsiTheme="majorBidi" w:cstheme="majorBidi"/>
          <w:color w:val="000000"/>
          <w:sz w:val="24"/>
          <w:szCs w:val="24"/>
        </w:rPr>
        <w:t>measures to ensure coexistence and compatibility between the two IMT components.</w:t>
      </w:r>
    </w:p>
    <w:p w:rsidR="00171534" w:rsidRDefault="00171534" w:rsidP="006F3485">
      <w:pPr>
        <w:spacing w:after="60" w:line="240" w:lineRule="auto"/>
        <w:jc w:val="both"/>
        <w:rPr>
          <w:rFonts w:asciiTheme="majorBidi" w:hAnsiTheme="majorBidi" w:cstheme="majorBidi"/>
          <w:color w:val="000000"/>
          <w:sz w:val="24"/>
          <w:szCs w:val="24"/>
        </w:rPr>
      </w:pPr>
    </w:p>
    <w:p w:rsidR="00171534" w:rsidRDefault="006F7B05" w:rsidP="006F3485">
      <w:pPr>
        <w:spacing w:after="60"/>
        <w:rPr>
          <w:rFonts w:asciiTheme="majorBidi" w:hAnsiTheme="majorBidi" w:cstheme="majorBidi"/>
          <w:b/>
          <w:bCs/>
          <w:sz w:val="24"/>
          <w:szCs w:val="24"/>
        </w:rPr>
      </w:pPr>
      <w:r w:rsidRPr="006F7B05">
        <w:rPr>
          <w:rFonts w:asciiTheme="majorBidi" w:hAnsiTheme="majorBidi" w:cstheme="majorBidi"/>
          <w:b/>
          <w:bCs/>
          <w:sz w:val="24"/>
          <w:szCs w:val="24"/>
        </w:rPr>
        <w:t>6.2</w:t>
      </w:r>
      <w:r w:rsidRPr="006F7B05">
        <w:rPr>
          <w:rFonts w:asciiTheme="majorBidi" w:hAnsiTheme="majorBidi" w:cstheme="majorBidi"/>
          <w:b/>
          <w:bCs/>
          <w:sz w:val="24"/>
          <w:szCs w:val="24"/>
        </w:rPr>
        <w:tab/>
        <w:t>Regional Commonwealth in the field of Communications (RCC)</w:t>
      </w:r>
    </w:p>
    <w:p w:rsidR="00171534" w:rsidRDefault="006F7B05" w:rsidP="006F3485">
      <w:pPr>
        <w:spacing w:after="60" w:line="240" w:lineRule="auto"/>
        <w:jc w:val="both"/>
        <w:rPr>
          <w:rFonts w:asciiTheme="majorBidi" w:hAnsiTheme="majorBidi" w:cstheme="majorBidi"/>
          <w:color w:val="000000"/>
          <w:sz w:val="24"/>
          <w:szCs w:val="24"/>
        </w:rPr>
      </w:pPr>
      <w:r w:rsidRPr="006F7B05">
        <w:rPr>
          <w:rFonts w:asciiTheme="majorBidi" w:hAnsiTheme="majorBidi" w:cstheme="majorBidi"/>
          <w:color w:val="000000"/>
          <w:sz w:val="24"/>
          <w:szCs w:val="24"/>
        </w:rPr>
        <w:t xml:space="preserve">The RCC Administrations are in </w:t>
      </w:r>
      <w:proofErr w:type="spellStart"/>
      <w:r w:rsidRPr="006F7B05">
        <w:rPr>
          <w:rFonts w:asciiTheme="majorBidi" w:hAnsiTheme="majorBidi" w:cstheme="majorBidi"/>
          <w:color w:val="000000"/>
          <w:sz w:val="24"/>
          <w:szCs w:val="24"/>
        </w:rPr>
        <w:t>favour</w:t>
      </w:r>
      <w:proofErr w:type="spellEnd"/>
      <w:r w:rsidRPr="006F7B05">
        <w:rPr>
          <w:rFonts w:asciiTheme="majorBidi" w:hAnsiTheme="majorBidi" w:cstheme="majorBidi"/>
          <w:color w:val="000000"/>
          <w:sz w:val="24"/>
          <w:szCs w:val="24"/>
        </w:rPr>
        <w:t xml:space="preserve"> of development of technical and operational measures as well as regulatory provisions with regard to IMT systems in order to ensure compatibility between IMT terrestrial component (in mobile service) and IMT satellite component (in mobile-satellite service), including GSO and non-GSO systems, in the frequency bands 1</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980−2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 xml:space="preserve">010 MHz and </w:t>
      </w:r>
      <w:r w:rsidRPr="006F7B05">
        <w:rPr>
          <w:rFonts w:asciiTheme="majorBidi" w:hAnsiTheme="majorBidi" w:cstheme="majorBidi"/>
          <w:color w:val="000000"/>
          <w:sz w:val="24"/>
          <w:szCs w:val="24"/>
        </w:rPr>
        <w:lastRenderedPageBreak/>
        <w:t>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170−2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200 MHz where those frequency bands are shared by mobile service and the mobile-satellite service in different countries.</w:t>
      </w:r>
    </w:p>
    <w:p w:rsidR="00171534" w:rsidRDefault="006F7B05" w:rsidP="006F3485">
      <w:pPr>
        <w:spacing w:after="60" w:line="240" w:lineRule="auto"/>
        <w:jc w:val="both"/>
        <w:rPr>
          <w:rFonts w:asciiTheme="majorBidi" w:hAnsiTheme="majorBidi" w:cstheme="majorBidi"/>
          <w:color w:val="000000"/>
          <w:sz w:val="24"/>
          <w:szCs w:val="24"/>
        </w:rPr>
      </w:pPr>
      <w:r w:rsidRPr="006F7B05">
        <w:rPr>
          <w:rFonts w:asciiTheme="majorBidi" w:hAnsiTheme="majorBidi" w:cstheme="majorBidi"/>
          <w:color w:val="000000"/>
          <w:sz w:val="24"/>
          <w:szCs w:val="24"/>
        </w:rPr>
        <w:t>The RCC Administrations consider that when developing technical and operational measures with regard to terrestrial IMT systems only those characteristics of terrestrial IMT systems which are specified in ITU-R Recommendations and Reports should be used.</w:t>
      </w:r>
    </w:p>
    <w:p w:rsidR="00171534" w:rsidRPr="006F3485" w:rsidRDefault="00171534" w:rsidP="006F3485">
      <w:pPr>
        <w:spacing w:after="60" w:line="240" w:lineRule="auto"/>
        <w:jc w:val="both"/>
        <w:rPr>
          <w:rFonts w:asciiTheme="majorBidi" w:hAnsiTheme="majorBidi" w:cstheme="majorBidi"/>
          <w:color w:val="000000"/>
          <w:sz w:val="24"/>
          <w:szCs w:val="24"/>
        </w:rPr>
      </w:pPr>
    </w:p>
    <w:p w:rsidR="00171534" w:rsidRDefault="006F7B05" w:rsidP="006F3485">
      <w:pPr>
        <w:spacing w:after="60"/>
        <w:rPr>
          <w:rFonts w:asciiTheme="majorBidi" w:hAnsiTheme="majorBidi" w:cstheme="majorBidi"/>
          <w:b/>
          <w:bCs/>
          <w:sz w:val="24"/>
          <w:szCs w:val="24"/>
        </w:rPr>
      </w:pPr>
      <w:r w:rsidRPr="006F7B05">
        <w:rPr>
          <w:rFonts w:asciiTheme="majorBidi" w:hAnsiTheme="majorBidi" w:cstheme="majorBidi"/>
          <w:b/>
          <w:bCs/>
          <w:sz w:val="24"/>
          <w:szCs w:val="24"/>
        </w:rPr>
        <w:t>6.3</w:t>
      </w:r>
      <w:r w:rsidRPr="006F7B05">
        <w:rPr>
          <w:rFonts w:asciiTheme="majorBidi" w:hAnsiTheme="majorBidi" w:cstheme="majorBidi"/>
          <w:b/>
          <w:bCs/>
          <w:sz w:val="24"/>
          <w:szCs w:val="24"/>
        </w:rPr>
        <w:tab/>
        <w:t>European Conference of Postal and Telecommunications Administrations (CEPT)</w:t>
      </w:r>
    </w:p>
    <w:p w:rsidR="00171534" w:rsidRDefault="006F7B05" w:rsidP="006F3485">
      <w:pPr>
        <w:spacing w:after="60" w:line="240" w:lineRule="auto"/>
        <w:jc w:val="both"/>
        <w:rPr>
          <w:rFonts w:asciiTheme="majorBidi" w:hAnsiTheme="majorBidi" w:cstheme="majorBidi"/>
          <w:color w:val="000000"/>
          <w:sz w:val="24"/>
          <w:szCs w:val="24"/>
        </w:rPr>
      </w:pPr>
      <w:r w:rsidRPr="006F7B05">
        <w:rPr>
          <w:rFonts w:asciiTheme="majorBidi" w:hAnsiTheme="majorBidi" w:cstheme="majorBidi"/>
          <w:color w:val="000000"/>
          <w:sz w:val="24"/>
          <w:szCs w:val="24"/>
        </w:rPr>
        <w:t>CEPT is of the view that it is required to carry out compatibility studies and to define</w:t>
      </w:r>
      <w:r w:rsidR="00F13713">
        <w:rPr>
          <w:rFonts w:asciiTheme="majorBidi" w:hAnsiTheme="majorBidi" w:cstheme="majorBidi"/>
          <w:color w:val="000000"/>
          <w:sz w:val="24"/>
          <w:szCs w:val="24"/>
        </w:rPr>
        <w:t xml:space="preserve"> </w:t>
      </w:r>
      <w:r w:rsidRPr="006F7B05">
        <w:rPr>
          <w:rFonts w:asciiTheme="majorBidi" w:hAnsiTheme="majorBidi" w:cstheme="majorBidi"/>
          <w:color w:val="000000"/>
          <w:sz w:val="24"/>
          <w:szCs w:val="24"/>
        </w:rPr>
        <w:t>compatibility conditions of terrestrial component of IMT (in the mobile service) and</w:t>
      </w:r>
      <w:r w:rsidR="00F13713">
        <w:rPr>
          <w:rFonts w:asciiTheme="majorBidi" w:hAnsiTheme="majorBidi" w:cstheme="majorBidi"/>
          <w:color w:val="000000"/>
          <w:sz w:val="24"/>
          <w:szCs w:val="24"/>
        </w:rPr>
        <w:t xml:space="preserve"> </w:t>
      </w:r>
      <w:r w:rsidRPr="006F7B05">
        <w:rPr>
          <w:rFonts w:asciiTheme="majorBidi" w:hAnsiTheme="majorBidi" w:cstheme="majorBidi"/>
          <w:color w:val="000000"/>
          <w:sz w:val="24"/>
          <w:szCs w:val="24"/>
        </w:rPr>
        <w:t>satellite GSO and NGSO systems (in the mobile satellite service) in the frequency bands</w:t>
      </w:r>
      <w:r w:rsidR="00F13713">
        <w:rPr>
          <w:rFonts w:asciiTheme="majorBidi" w:hAnsiTheme="majorBidi" w:cstheme="majorBidi"/>
          <w:color w:val="000000"/>
          <w:sz w:val="24"/>
          <w:szCs w:val="24"/>
        </w:rPr>
        <w:t xml:space="preserve"> </w:t>
      </w:r>
      <w:r w:rsidRPr="006F7B05">
        <w:rPr>
          <w:rFonts w:asciiTheme="majorBidi" w:hAnsiTheme="majorBidi" w:cstheme="majorBidi"/>
          <w:color w:val="000000"/>
          <w:sz w:val="24"/>
          <w:szCs w:val="24"/>
        </w:rPr>
        <w:t>1</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980–2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010</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MHz and 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170–2</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200</w:t>
      </w:r>
      <w:r w:rsidR="00266F0B">
        <w:rPr>
          <w:rFonts w:asciiTheme="majorBidi" w:hAnsiTheme="majorBidi" w:cstheme="majorBidi"/>
          <w:color w:val="000000"/>
          <w:sz w:val="24"/>
          <w:szCs w:val="24"/>
        </w:rPr>
        <w:t> </w:t>
      </w:r>
      <w:r w:rsidRPr="006F7B05">
        <w:rPr>
          <w:rFonts w:asciiTheme="majorBidi" w:hAnsiTheme="majorBidi" w:cstheme="majorBidi"/>
          <w:color w:val="000000"/>
          <w:sz w:val="24"/>
          <w:szCs w:val="24"/>
        </w:rPr>
        <w:t>MHz considering the case that these frequency bands</w:t>
      </w:r>
      <w:r w:rsidR="00F13713">
        <w:rPr>
          <w:rFonts w:asciiTheme="majorBidi" w:hAnsiTheme="majorBidi" w:cstheme="majorBidi"/>
          <w:color w:val="000000"/>
          <w:sz w:val="24"/>
          <w:szCs w:val="24"/>
        </w:rPr>
        <w:t xml:space="preserve"> </w:t>
      </w:r>
      <w:r w:rsidRPr="006F7B05">
        <w:rPr>
          <w:rFonts w:asciiTheme="majorBidi" w:hAnsiTheme="majorBidi" w:cstheme="majorBidi"/>
          <w:color w:val="000000"/>
          <w:sz w:val="24"/>
          <w:szCs w:val="24"/>
        </w:rPr>
        <w:t>are used by the mobile service and mobile satellite service in different countries.</w:t>
      </w:r>
    </w:p>
    <w:p w:rsidR="00171534" w:rsidRDefault="00171534" w:rsidP="006F3485">
      <w:pPr>
        <w:spacing w:after="60" w:line="240" w:lineRule="auto"/>
        <w:jc w:val="both"/>
        <w:rPr>
          <w:rFonts w:asciiTheme="majorBidi" w:hAnsiTheme="majorBidi" w:cstheme="majorBidi"/>
          <w:color w:val="000000"/>
          <w:sz w:val="24"/>
          <w:szCs w:val="24"/>
        </w:rPr>
      </w:pPr>
    </w:p>
    <w:p w:rsidR="00171534" w:rsidRDefault="00B92F83" w:rsidP="006F3485">
      <w:pPr>
        <w:spacing w:after="60"/>
        <w:rPr>
          <w:rFonts w:asciiTheme="majorBidi" w:hAnsiTheme="majorBidi" w:cstheme="majorBidi"/>
          <w:b/>
          <w:bCs/>
          <w:sz w:val="24"/>
          <w:szCs w:val="24"/>
        </w:rPr>
      </w:pPr>
      <w:r w:rsidRPr="005D2CBA">
        <w:rPr>
          <w:rFonts w:asciiTheme="majorBidi" w:hAnsiTheme="majorBidi" w:cstheme="majorBidi"/>
          <w:b/>
          <w:bCs/>
          <w:sz w:val="24"/>
          <w:szCs w:val="24"/>
        </w:rPr>
        <w:t xml:space="preserve">7 </w:t>
      </w:r>
      <w:r w:rsidR="00A010B5">
        <w:rPr>
          <w:rFonts w:asciiTheme="majorBidi" w:hAnsiTheme="majorBidi" w:cstheme="majorBidi"/>
          <w:b/>
          <w:bCs/>
          <w:sz w:val="24"/>
          <w:szCs w:val="24"/>
        </w:rPr>
        <w:tab/>
      </w:r>
      <w:r w:rsidRPr="005D2CBA">
        <w:rPr>
          <w:rFonts w:asciiTheme="majorBidi" w:hAnsiTheme="majorBidi" w:cstheme="majorBidi"/>
          <w:b/>
          <w:bCs/>
          <w:sz w:val="24"/>
          <w:szCs w:val="24"/>
        </w:rPr>
        <w:t>Issues for Consideration at Next APG Meeting</w:t>
      </w:r>
    </w:p>
    <w:p w:rsidR="00D67B01" w:rsidRDefault="00C573BC">
      <w:pPr>
        <w:jc w:val="both"/>
        <w:rPr>
          <w:rFonts w:asciiTheme="majorBidi" w:hAnsiTheme="majorBidi" w:cstheme="majorBidi"/>
          <w:snapToGrid w:val="0"/>
          <w:sz w:val="24"/>
          <w:szCs w:val="24"/>
          <w:lang w:val="en-AU"/>
        </w:rPr>
      </w:pPr>
      <w:r w:rsidRPr="00C573BC">
        <w:rPr>
          <w:rFonts w:asciiTheme="majorBidi" w:hAnsiTheme="majorBidi" w:cstheme="majorBidi"/>
          <w:snapToGrid w:val="0"/>
          <w:sz w:val="24"/>
          <w:szCs w:val="24"/>
          <w:lang w:val="en-AU"/>
        </w:rPr>
        <w:t xml:space="preserve">APT </w:t>
      </w:r>
      <w:r w:rsidRPr="00C573BC">
        <w:rPr>
          <w:rFonts w:asciiTheme="majorBidi" w:hAnsiTheme="majorBidi" w:cstheme="majorBidi"/>
          <w:snapToGrid w:val="0"/>
          <w:sz w:val="24"/>
          <w:szCs w:val="24"/>
          <w:lang w:val="en-AU" w:eastAsia="ja-JP"/>
        </w:rPr>
        <w:t>M</w:t>
      </w:r>
      <w:r w:rsidRPr="00C573BC">
        <w:rPr>
          <w:rFonts w:asciiTheme="majorBidi" w:hAnsiTheme="majorBidi" w:cstheme="majorBidi"/>
          <w:snapToGrid w:val="0"/>
          <w:sz w:val="24"/>
          <w:szCs w:val="24"/>
          <w:lang w:val="en-AU"/>
        </w:rPr>
        <w:t xml:space="preserve">embers are encouraged to submit their contributions for further considerations in the next </w:t>
      </w:r>
      <w:r>
        <w:rPr>
          <w:rFonts w:asciiTheme="majorBidi" w:hAnsiTheme="majorBidi" w:cstheme="majorBidi"/>
          <w:snapToGrid w:val="0"/>
          <w:sz w:val="24"/>
          <w:szCs w:val="24"/>
          <w:lang w:val="en-AU"/>
        </w:rPr>
        <w:t xml:space="preserve">APG19 </w:t>
      </w:r>
      <w:r w:rsidRPr="00C573BC">
        <w:rPr>
          <w:rFonts w:asciiTheme="majorBidi" w:hAnsiTheme="majorBidi" w:cstheme="majorBidi"/>
          <w:snapToGrid w:val="0"/>
          <w:sz w:val="24"/>
          <w:szCs w:val="24"/>
          <w:lang w:val="en-AU"/>
        </w:rPr>
        <w:t>meetings</w:t>
      </w:r>
      <w:r w:rsidR="00776F2D">
        <w:rPr>
          <w:rFonts w:asciiTheme="majorBidi" w:hAnsiTheme="majorBidi" w:cstheme="majorBidi"/>
          <w:snapToGrid w:val="0"/>
          <w:sz w:val="24"/>
          <w:szCs w:val="24"/>
          <w:lang w:val="en-AU"/>
        </w:rPr>
        <w:t>, taking into account progress of ITU-R studies</w:t>
      </w:r>
      <w:r w:rsidRPr="00C573BC">
        <w:rPr>
          <w:rFonts w:asciiTheme="majorBidi" w:hAnsiTheme="majorBidi" w:cstheme="majorBidi"/>
          <w:snapToGrid w:val="0"/>
          <w:sz w:val="24"/>
          <w:szCs w:val="24"/>
          <w:lang w:val="en-AU"/>
        </w:rPr>
        <w:t>.</w:t>
      </w:r>
    </w:p>
    <w:p w:rsidR="006F3485" w:rsidRDefault="006F3485" w:rsidP="006F3485">
      <w:pPr>
        <w:jc w:val="center"/>
        <w:rPr>
          <w:rFonts w:asciiTheme="majorBidi" w:hAnsiTheme="majorBidi" w:cstheme="majorBidi"/>
          <w:sz w:val="24"/>
          <w:szCs w:val="24"/>
          <w:lang w:eastAsia="ja-JP"/>
        </w:rPr>
      </w:pPr>
      <w:r>
        <w:rPr>
          <w:rFonts w:asciiTheme="majorBidi" w:hAnsiTheme="majorBidi" w:cstheme="majorBidi"/>
          <w:snapToGrid w:val="0"/>
          <w:sz w:val="24"/>
          <w:szCs w:val="24"/>
          <w:lang w:val="en-AU"/>
        </w:rPr>
        <w:t>_____________________________</w:t>
      </w:r>
    </w:p>
    <w:sectPr w:rsidR="006F3485" w:rsidSect="00453C05">
      <w:footerReference w:type="default" r:id="rId18"/>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90F" w:rsidRDefault="00DB590F" w:rsidP="00345638">
      <w:pPr>
        <w:spacing w:after="0" w:line="240" w:lineRule="auto"/>
      </w:pPr>
      <w:r>
        <w:separator/>
      </w:r>
    </w:p>
  </w:endnote>
  <w:endnote w:type="continuationSeparator" w:id="0">
    <w:p w:rsidR="00DB590F" w:rsidRDefault="00DB590F" w:rsidP="0034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26497"/>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664340" w:rsidRPr="00664340" w:rsidRDefault="00664340" w:rsidP="00664340">
            <w:pPr>
              <w:pStyle w:val="Header"/>
              <w:rPr>
                <w:rFonts w:ascii="Times New Roman" w:hAnsi="Times New Roman" w:cs="Times New Roman"/>
                <w:sz w:val="24"/>
                <w:szCs w:val="24"/>
              </w:rPr>
            </w:pPr>
            <w:r w:rsidRPr="00453C05">
              <w:rPr>
                <w:rFonts w:ascii="Times New Roman" w:hAnsi="Times New Roman" w:cs="Times New Roman"/>
                <w:sz w:val="24"/>
                <w:szCs w:val="24"/>
              </w:rPr>
              <w:t>APG19-2</w:t>
            </w:r>
            <w:r>
              <w:rPr>
                <w:rFonts w:ascii="Times New Roman" w:hAnsi="Times New Roman" w:cs="Times New Roman"/>
                <w:sz w:val="24"/>
                <w:szCs w:val="24"/>
              </w:rPr>
              <w:t>/OUT-25</w:t>
            </w:r>
            <w:r>
              <w:rPr>
                <w:rFonts w:ascii="Times New Roman" w:hAnsi="Times New Roman" w:cs="Times New Roman"/>
                <w:sz w:val="24"/>
                <w:szCs w:val="24"/>
              </w:rPr>
              <w:tab/>
            </w:r>
            <w:r>
              <w:rPr>
                <w:rFonts w:ascii="Times New Roman" w:hAnsi="Times New Roman" w:cs="Times New Roman"/>
                <w:sz w:val="24"/>
                <w:szCs w:val="24"/>
              </w:rPr>
              <w:tab/>
            </w:r>
            <w:r w:rsidRPr="00664340">
              <w:rPr>
                <w:rFonts w:ascii="Times New Roman" w:hAnsi="Times New Roman" w:cs="Times New Roman"/>
                <w:sz w:val="24"/>
                <w:szCs w:val="24"/>
              </w:rPr>
              <w:t xml:space="preserve">Page </w:t>
            </w:r>
            <w:r w:rsidRPr="00664340">
              <w:rPr>
                <w:rFonts w:ascii="Times New Roman" w:hAnsi="Times New Roman" w:cs="Times New Roman"/>
                <w:bCs/>
                <w:sz w:val="24"/>
                <w:szCs w:val="24"/>
              </w:rPr>
              <w:fldChar w:fldCharType="begin"/>
            </w:r>
            <w:r w:rsidRPr="00664340">
              <w:rPr>
                <w:rFonts w:ascii="Times New Roman" w:hAnsi="Times New Roman" w:cs="Times New Roman"/>
                <w:bCs/>
                <w:sz w:val="24"/>
                <w:szCs w:val="24"/>
              </w:rPr>
              <w:instrText xml:space="preserve"> PAGE </w:instrText>
            </w:r>
            <w:r w:rsidRPr="00664340">
              <w:rPr>
                <w:rFonts w:ascii="Times New Roman" w:hAnsi="Times New Roman" w:cs="Times New Roman"/>
                <w:bCs/>
                <w:sz w:val="24"/>
                <w:szCs w:val="24"/>
              </w:rPr>
              <w:fldChar w:fldCharType="separate"/>
            </w:r>
            <w:r w:rsidR="00244295">
              <w:rPr>
                <w:rFonts w:ascii="Times New Roman" w:hAnsi="Times New Roman" w:cs="Times New Roman"/>
                <w:bCs/>
                <w:noProof/>
                <w:sz w:val="24"/>
                <w:szCs w:val="24"/>
              </w:rPr>
              <w:t>4</w:t>
            </w:r>
            <w:r w:rsidRPr="00664340">
              <w:rPr>
                <w:rFonts w:ascii="Times New Roman" w:hAnsi="Times New Roman" w:cs="Times New Roman"/>
                <w:bCs/>
                <w:sz w:val="24"/>
                <w:szCs w:val="24"/>
              </w:rPr>
              <w:fldChar w:fldCharType="end"/>
            </w:r>
            <w:r w:rsidRPr="00664340">
              <w:rPr>
                <w:rFonts w:ascii="Times New Roman" w:hAnsi="Times New Roman" w:cs="Times New Roman"/>
                <w:sz w:val="24"/>
                <w:szCs w:val="24"/>
              </w:rPr>
              <w:t xml:space="preserve"> of </w:t>
            </w:r>
            <w:r w:rsidRPr="00664340">
              <w:rPr>
                <w:rFonts w:ascii="Times New Roman" w:hAnsi="Times New Roman" w:cs="Times New Roman"/>
                <w:bCs/>
                <w:sz w:val="24"/>
                <w:szCs w:val="24"/>
              </w:rPr>
              <w:fldChar w:fldCharType="begin"/>
            </w:r>
            <w:r w:rsidRPr="00664340">
              <w:rPr>
                <w:rFonts w:ascii="Times New Roman" w:hAnsi="Times New Roman" w:cs="Times New Roman"/>
                <w:bCs/>
                <w:sz w:val="24"/>
                <w:szCs w:val="24"/>
              </w:rPr>
              <w:instrText xml:space="preserve"> NUMPAGES  </w:instrText>
            </w:r>
            <w:r w:rsidRPr="00664340">
              <w:rPr>
                <w:rFonts w:ascii="Times New Roman" w:hAnsi="Times New Roman" w:cs="Times New Roman"/>
                <w:bCs/>
                <w:sz w:val="24"/>
                <w:szCs w:val="24"/>
              </w:rPr>
              <w:fldChar w:fldCharType="separate"/>
            </w:r>
            <w:r w:rsidR="00244295">
              <w:rPr>
                <w:rFonts w:ascii="Times New Roman" w:hAnsi="Times New Roman" w:cs="Times New Roman"/>
                <w:bCs/>
                <w:noProof/>
                <w:sz w:val="24"/>
                <w:szCs w:val="24"/>
              </w:rPr>
              <w:t>4</w:t>
            </w:r>
            <w:r w:rsidRPr="00664340">
              <w:rPr>
                <w:rFonts w:ascii="Times New Roman" w:hAnsi="Times New Roman" w:cs="Times New Roman"/>
                <w:bCs/>
                <w:sz w:val="24"/>
                <w:szCs w:val="24"/>
              </w:rPr>
              <w:fldChar w:fldCharType="end"/>
            </w:r>
          </w:p>
        </w:sdtContent>
      </w:sdt>
    </w:sdtContent>
  </w:sdt>
  <w:p w:rsidR="00664340" w:rsidRDefault="00664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90F" w:rsidRDefault="00DB590F" w:rsidP="00345638">
      <w:pPr>
        <w:spacing w:after="0" w:line="240" w:lineRule="auto"/>
      </w:pPr>
      <w:r>
        <w:separator/>
      </w:r>
    </w:p>
  </w:footnote>
  <w:footnote w:type="continuationSeparator" w:id="0">
    <w:p w:rsidR="00DB590F" w:rsidRDefault="00DB590F" w:rsidP="00345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E5255"/>
    <w:multiLevelType w:val="hybridMultilevel"/>
    <w:tmpl w:val="8B12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81A60"/>
    <w:multiLevelType w:val="hybridMultilevel"/>
    <w:tmpl w:val="220C702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45A33D32"/>
    <w:multiLevelType w:val="hybridMultilevel"/>
    <w:tmpl w:val="DA8E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A7"/>
    <w:rsid w:val="00000AF1"/>
    <w:rsid w:val="00013477"/>
    <w:rsid w:val="000137F7"/>
    <w:rsid w:val="00023705"/>
    <w:rsid w:val="00023A59"/>
    <w:rsid w:val="0002486E"/>
    <w:rsid w:val="00025D66"/>
    <w:rsid w:val="0002771F"/>
    <w:rsid w:val="00030800"/>
    <w:rsid w:val="00030F74"/>
    <w:rsid w:val="000320C2"/>
    <w:rsid w:val="00035FCE"/>
    <w:rsid w:val="00036315"/>
    <w:rsid w:val="0003672A"/>
    <w:rsid w:val="00041CE7"/>
    <w:rsid w:val="000455AE"/>
    <w:rsid w:val="00047585"/>
    <w:rsid w:val="000475FD"/>
    <w:rsid w:val="00050F1D"/>
    <w:rsid w:val="000511B5"/>
    <w:rsid w:val="0005170E"/>
    <w:rsid w:val="00054BE2"/>
    <w:rsid w:val="00055ACC"/>
    <w:rsid w:val="00055DCD"/>
    <w:rsid w:val="000572F8"/>
    <w:rsid w:val="00060C20"/>
    <w:rsid w:val="000649F4"/>
    <w:rsid w:val="00066453"/>
    <w:rsid w:val="0007296D"/>
    <w:rsid w:val="000743CD"/>
    <w:rsid w:val="00076071"/>
    <w:rsid w:val="000768FF"/>
    <w:rsid w:val="00077C62"/>
    <w:rsid w:val="000801B3"/>
    <w:rsid w:val="0008170A"/>
    <w:rsid w:val="000844A2"/>
    <w:rsid w:val="00084C48"/>
    <w:rsid w:val="00084E81"/>
    <w:rsid w:val="000850FD"/>
    <w:rsid w:val="00087D0F"/>
    <w:rsid w:val="00090BEC"/>
    <w:rsid w:val="000938C8"/>
    <w:rsid w:val="00094D82"/>
    <w:rsid w:val="00096BFF"/>
    <w:rsid w:val="00096FA6"/>
    <w:rsid w:val="000A03B3"/>
    <w:rsid w:val="000A5351"/>
    <w:rsid w:val="000A7667"/>
    <w:rsid w:val="000A7D08"/>
    <w:rsid w:val="000B0929"/>
    <w:rsid w:val="000B1043"/>
    <w:rsid w:val="000B106F"/>
    <w:rsid w:val="000B2127"/>
    <w:rsid w:val="000B4011"/>
    <w:rsid w:val="000C0997"/>
    <w:rsid w:val="000C1194"/>
    <w:rsid w:val="000C3368"/>
    <w:rsid w:val="000C59CB"/>
    <w:rsid w:val="000D1197"/>
    <w:rsid w:val="000D1C68"/>
    <w:rsid w:val="000D5096"/>
    <w:rsid w:val="000D520E"/>
    <w:rsid w:val="000D596E"/>
    <w:rsid w:val="000D60A3"/>
    <w:rsid w:val="000D698B"/>
    <w:rsid w:val="000D6A72"/>
    <w:rsid w:val="000D6D5A"/>
    <w:rsid w:val="000D7CA0"/>
    <w:rsid w:val="000D7F65"/>
    <w:rsid w:val="000E030A"/>
    <w:rsid w:val="000E24E3"/>
    <w:rsid w:val="000E368E"/>
    <w:rsid w:val="000E43CC"/>
    <w:rsid w:val="000F1197"/>
    <w:rsid w:val="000F54C9"/>
    <w:rsid w:val="000F6A5D"/>
    <w:rsid w:val="000F7F6D"/>
    <w:rsid w:val="00100F12"/>
    <w:rsid w:val="001039CD"/>
    <w:rsid w:val="00113495"/>
    <w:rsid w:val="001136ED"/>
    <w:rsid w:val="00116988"/>
    <w:rsid w:val="001216A7"/>
    <w:rsid w:val="0012245F"/>
    <w:rsid w:val="00123692"/>
    <w:rsid w:val="00124E83"/>
    <w:rsid w:val="00125081"/>
    <w:rsid w:val="001252BE"/>
    <w:rsid w:val="0012583A"/>
    <w:rsid w:val="00125A25"/>
    <w:rsid w:val="0012749D"/>
    <w:rsid w:val="001277BA"/>
    <w:rsid w:val="00127ABC"/>
    <w:rsid w:val="00127B56"/>
    <w:rsid w:val="00130077"/>
    <w:rsid w:val="00132520"/>
    <w:rsid w:val="00132E73"/>
    <w:rsid w:val="0013586F"/>
    <w:rsid w:val="00135D87"/>
    <w:rsid w:val="00135E40"/>
    <w:rsid w:val="00135FD3"/>
    <w:rsid w:val="0013621D"/>
    <w:rsid w:val="00136F0B"/>
    <w:rsid w:val="0014094B"/>
    <w:rsid w:val="00141104"/>
    <w:rsid w:val="00151F05"/>
    <w:rsid w:val="001550BD"/>
    <w:rsid w:val="001551E7"/>
    <w:rsid w:val="0016107D"/>
    <w:rsid w:val="001628A1"/>
    <w:rsid w:val="001628B3"/>
    <w:rsid w:val="00165E1C"/>
    <w:rsid w:val="00165F1F"/>
    <w:rsid w:val="00171534"/>
    <w:rsid w:val="001718FE"/>
    <w:rsid w:val="00171CE1"/>
    <w:rsid w:val="00172CA6"/>
    <w:rsid w:val="001733A0"/>
    <w:rsid w:val="00173D72"/>
    <w:rsid w:val="001804AD"/>
    <w:rsid w:val="00182DB1"/>
    <w:rsid w:val="001830F7"/>
    <w:rsid w:val="001858FC"/>
    <w:rsid w:val="00187A24"/>
    <w:rsid w:val="00192021"/>
    <w:rsid w:val="00196744"/>
    <w:rsid w:val="001A0411"/>
    <w:rsid w:val="001A17D4"/>
    <w:rsid w:val="001A2F9C"/>
    <w:rsid w:val="001A4200"/>
    <w:rsid w:val="001A4B8A"/>
    <w:rsid w:val="001A4E29"/>
    <w:rsid w:val="001A6882"/>
    <w:rsid w:val="001A7653"/>
    <w:rsid w:val="001A7DA2"/>
    <w:rsid w:val="001B0BCD"/>
    <w:rsid w:val="001B58A5"/>
    <w:rsid w:val="001B6601"/>
    <w:rsid w:val="001C1E02"/>
    <w:rsid w:val="001C40F1"/>
    <w:rsid w:val="001C521A"/>
    <w:rsid w:val="001C57FC"/>
    <w:rsid w:val="001D3CEF"/>
    <w:rsid w:val="001D44A5"/>
    <w:rsid w:val="001D45BA"/>
    <w:rsid w:val="001E0CA4"/>
    <w:rsid w:val="001E21EA"/>
    <w:rsid w:val="001E30C2"/>
    <w:rsid w:val="001E3A3F"/>
    <w:rsid w:val="001E56E2"/>
    <w:rsid w:val="001E7FF4"/>
    <w:rsid w:val="001F1182"/>
    <w:rsid w:val="001F1B81"/>
    <w:rsid w:val="001F45C9"/>
    <w:rsid w:val="001F4CEC"/>
    <w:rsid w:val="001F5C35"/>
    <w:rsid w:val="002033BD"/>
    <w:rsid w:val="00207480"/>
    <w:rsid w:val="00207D85"/>
    <w:rsid w:val="002107BC"/>
    <w:rsid w:val="00213079"/>
    <w:rsid w:val="00215286"/>
    <w:rsid w:val="00216B6E"/>
    <w:rsid w:val="002216CF"/>
    <w:rsid w:val="00222313"/>
    <w:rsid w:val="00222ADC"/>
    <w:rsid w:val="00223C62"/>
    <w:rsid w:val="00224598"/>
    <w:rsid w:val="00224DDC"/>
    <w:rsid w:val="0022795E"/>
    <w:rsid w:val="00231386"/>
    <w:rsid w:val="0023268A"/>
    <w:rsid w:val="00243BAD"/>
    <w:rsid w:val="00244295"/>
    <w:rsid w:val="0024444D"/>
    <w:rsid w:val="00244F08"/>
    <w:rsid w:val="00246948"/>
    <w:rsid w:val="002469F0"/>
    <w:rsid w:val="00246BCF"/>
    <w:rsid w:val="002541F5"/>
    <w:rsid w:val="002558DB"/>
    <w:rsid w:val="00255A91"/>
    <w:rsid w:val="00260778"/>
    <w:rsid w:val="00260E2E"/>
    <w:rsid w:val="00260F37"/>
    <w:rsid w:val="002621EE"/>
    <w:rsid w:val="002641CD"/>
    <w:rsid w:val="00266F0B"/>
    <w:rsid w:val="00273468"/>
    <w:rsid w:val="002742BE"/>
    <w:rsid w:val="0027725E"/>
    <w:rsid w:val="00282BB5"/>
    <w:rsid w:val="0028360D"/>
    <w:rsid w:val="00283B4E"/>
    <w:rsid w:val="00291D5C"/>
    <w:rsid w:val="00294291"/>
    <w:rsid w:val="002953DA"/>
    <w:rsid w:val="002A10BF"/>
    <w:rsid w:val="002A5F48"/>
    <w:rsid w:val="002A68F0"/>
    <w:rsid w:val="002A721D"/>
    <w:rsid w:val="002A724E"/>
    <w:rsid w:val="002B0827"/>
    <w:rsid w:val="002B3CE0"/>
    <w:rsid w:val="002C0B51"/>
    <w:rsid w:val="002C1258"/>
    <w:rsid w:val="002C1B9A"/>
    <w:rsid w:val="002C1C33"/>
    <w:rsid w:val="002C1D50"/>
    <w:rsid w:val="002C2059"/>
    <w:rsid w:val="002C2DB9"/>
    <w:rsid w:val="002C3F0C"/>
    <w:rsid w:val="002C5ECF"/>
    <w:rsid w:val="002C5F37"/>
    <w:rsid w:val="002C6051"/>
    <w:rsid w:val="002C66CD"/>
    <w:rsid w:val="002D03B7"/>
    <w:rsid w:val="002D1DFB"/>
    <w:rsid w:val="002D2246"/>
    <w:rsid w:val="002D30D7"/>
    <w:rsid w:val="002D385A"/>
    <w:rsid w:val="002D7F3B"/>
    <w:rsid w:val="002E1BA8"/>
    <w:rsid w:val="002E3263"/>
    <w:rsid w:val="002E3515"/>
    <w:rsid w:val="002E56AD"/>
    <w:rsid w:val="002F101F"/>
    <w:rsid w:val="002F273E"/>
    <w:rsid w:val="002F6FA8"/>
    <w:rsid w:val="002F70EB"/>
    <w:rsid w:val="002F7958"/>
    <w:rsid w:val="00300312"/>
    <w:rsid w:val="0030068A"/>
    <w:rsid w:val="00301181"/>
    <w:rsid w:val="00302154"/>
    <w:rsid w:val="0030381B"/>
    <w:rsid w:val="00303AAC"/>
    <w:rsid w:val="0030413F"/>
    <w:rsid w:val="003045BC"/>
    <w:rsid w:val="00304B32"/>
    <w:rsid w:val="0030513C"/>
    <w:rsid w:val="003067B8"/>
    <w:rsid w:val="00306F2B"/>
    <w:rsid w:val="003077DF"/>
    <w:rsid w:val="003134A7"/>
    <w:rsid w:val="00314305"/>
    <w:rsid w:val="00316D4F"/>
    <w:rsid w:val="00316E4C"/>
    <w:rsid w:val="003201E9"/>
    <w:rsid w:val="00321F7B"/>
    <w:rsid w:val="003227AE"/>
    <w:rsid w:val="00322DAC"/>
    <w:rsid w:val="00324686"/>
    <w:rsid w:val="00326673"/>
    <w:rsid w:val="00326B09"/>
    <w:rsid w:val="0033047A"/>
    <w:rsid w:val="00331970"/>
    <w:rsid w:val="00332AE6"/>
    <w:rsid w:val="00334ED6"/>
    <w:rsid w:val="00336D2A"/>
    <w:rsid w:val="003376C3"/>
    <w:rsid w:val="003411C9"/>
    <w:rsid w:val="003417FA"/>
    <w:rsid w:val="00343497"/>
    <w:rsid w:val="00345638"/>
    <w:rsid w:val="00346FED"/>
    <w:rsid w:val="00347BAF"/>
    <w:rsid w:val="003504FD"/>
    <w:rsid w:val="0035252C"/>
    <w:rsid w:val="00354953"/>
    <w:rsid w:val="00354E81"/>
    <w:rsid w:val="00355B2A"/>
    <w:rsid w:val="00355E5D"/>
    <w:rsid w:val="00360F58"/>
    <w:rsid w:val="00361F49"/>
    <w:rsid w:val="003620AE"/>
    <w:rsid w:val="00362C3E"/>
    <w:rsid w:val="00363228"/>
    <w:rsid w:val="00364A2B"/>
    <w:rsid w:val="003658A1"/>
    <w:rsid w:val="00366885"/>
    <w:rsid w:val="00372D60"/>
    <w:rsid w:val="00372F2E"/>
    <w:rsid w:val="00373B87"/>
    <w:rsid w:val="00375DF4"/>
    <w:rsid w:val="003769EA"/>
    <w:rsid w:val="00377323"/>
    <w:rsid w:val="003774D2"/>
    <w:rsid w:val="00377B4B"/>
    <w:rsid w:val="00380D9B"/>
    <w:rsid w:val="00383E54"/>
    <w:rsid w:val="003850A7"/>
    <w:rsid w:val="0038602B"/>
    <w:rsid w:val="003863C4"/>
    <w:rsid w:val="00387BF4"/>
    <w:rsid w:val="00390329"/>
    <w:rsid w:val="00392E60"/>
    <w:rsid w:val="00394401"/>
    <w:rsid w:val="00394721"/>
    <w:rsid w:val="00394972"/>
    <w:rsid w:val="00395140"/>
    <w:rsid w:val="00396138"/>
    <w:rsid w:val="003962D0"/>
    <w:rsid w:val="00396F72"/>
    <w:rsid w:val="003A1072"/>
    <w:rsid w:val="003A2A0B"/>
    <w:rsid w:val="003A4E54"/>
    <w:rsid w:val="003A5D75"/>
    <w:rsid w:val="003A62E8"/>
    <w:rsid w:val="003A78B7"/>
    <w:rsid w:val="003B0F74"/>
    <w:rsid w:val="003B1480"/>
    <w:rsid w:val="003B29A3"/>
    <w:rsid w:val="003B41B7"/>
    <w:rsid w:val="003B7F33"/>
    <w:rsid w:val="003B7FAE"/>
    <w:rsid w:val="003C13FA"/>
    <w:rsid w:val="003C1986"/>
    <w:rsid w:val="003C24CA"/>
    <w:rsid w:val="003C3440"/>
    <w:rsid w:val="003C553F"/>
    <w:rsid w:val="003C65FB"/>
    <w:rsid w:val="003D07E7"/>
    <w:rsid w:val="003D2944"/>
    <w:rsid w:val="003D575B"/>
    <w:rsid w:val="003E171E"/>
    <w:rsid w:val="003E30A6"/>
    <w:rsid w:val="003E3807"/>
    <w:rsid w:val="003E39B5"/>
    <w:rsid w:val="003E745B"/>
    <w:rsid w:val="003F0036"/>
    <w:rsid w:val="003F56D7"/>
    <w:rsid w:val="003F7784"/>
    <w:rsid w:val="00400521"/>
    <w:rsid w:val="00403AF2"/>
    <w:rsid w:val="00404CEF"/>
    <w:rsid w:val="004056D6"/>
    <w:rsid w:val="00412198"/>
    <w:rsid w:val="00414389"/>
    <w:rsid w:val="00417401"/>
    <w:rsid w:val="004248B9"/>
    <w:rsid w:val="00425509"/>
    <w:rsid w:val="0042558B"/>
    <w:rsid w:val="004256D9"/>
    <w:rsid w:val="00426747"/>
    <w:rsid w:val="00426D34"/>
    <w:rsid w:val="0043112B"/>
    <w:rsid w:val="004314B9"/>
    <w:rsid w:val="00433F14"/>
    <w:rsid w:val="00434906"/>
    <w:rsid w:val="00443FD0"/>
    <w:rsid w:val="00444196"/>
    <w:rsid w:val="0044470F"/>
    <w:rsid w:val="00444A30"/>
    <w:rsid w:val="00444EC8"/>
    <w:rsid w:val="00447E41"/>
    <w:rsid w:val="00450C3A"/>
    <w:rsid w:val="00451AEB"/>
    <w:rsid w:val="0045319D"/>
    <w:rsid w:val="00453C05"/>
    <w:rsid w:val="00455634"/>
    <w:rsid w:val="0045701C"/>
    <w:rsid w:val="00457917"/>
    <w:rsid w:val="0046078F"/>
    <w:rsid w:val="004609E0"/>
    <w:rsid w:val="004625E4"/>
    <w:rsid w:val="00463F11"/>
    <w:rsid w:val="00464B56"/>
    <w:rsid w:val="00464D72"/>
    <w:rsid w:val="004701F6"/>
    <w:rsid w:val="00471B0A"/>
    <w:rsid w:val="0047388C"/>
    <w:rsid w:val="00475F90"/>
    <w:rsid w:val="004826A0"/>
    <w:rsid w:val="00482EB4"/>
    <w:rsid w:val="0048342A"/>
    <w:rsid w:val="00490BD6"/>
    <w:rsid w:val="0049364A"/>
    <w:rsid w:val="00494295"/>
    <w:rsid w:val="00494851"/>
    <w:rsid w:val="004972BA"/>
    <w:rsid w:val="004A0050"/>
    <w:rsid w:val="004A158E"/>
    <w:rsid w:val="004A169C"/>
    <w:rsid w:val="004A3E07"/>
    <w:rsid w:val="004A5971"/>
    <w:rsid w:val="004A69EA"/>
    <w:rsid w:val="004A6AA0"/>
    <w:rsid w:val="004A7D1C"/>
    <w:rsid w:val="004B0E3D"/>
    <w:rsid w:val="004B4E7C"/>
    <w:rsid w:val="004C4825"/>
    <w:rsid w:val="004C5BD8"/>
    <w:rsid w:val="004C6126"/>
    <w:rsid w:val="004C6936"/>
    <w:rsid w:val="004C6DA9"/>
    <w:rsid w:val="004D0C81"/>
    <w:rsid w:val="004D524F"/>
    <w:rsid w:val="004D56F4"/>
    <w:rsid w:val="004D7341"/>
    <w:rsid w:val="004D773D"/>
    <w:rsid w:val="004E146B"/>
    <w:rsid w:val="004E39F7"/>
    <w:rsid w:val="004E6241"/>
    <w:rsid w:val="004E65D2"/>
    <w:rsid w:val="004F1D51"/>
    <w:rsid w:val="004F3738"/>
    <w:rsid w:val="004F39BF"/>
    <w:rsid w:val="004F4266"/>
    <w:rsid w:val="004F4389"/>
    <w:rsid w:val="004F5A72"/>
    <w:rsid w:val="004F6243"/>
    <w:rsid w:val="00501233"/>
    <w:rsid w:val="005019BE"/>
    <w:rsid w:val="005033A2"/>
    <w:rsid w:val="00506EC5"/>
    <w:rsid w:val="00507C0D"/>
    <w:rsid w:val="00510101"/>
    <w:rsid w:val="00510A21"/>
    <w:rsid w:val="00511E4E"/>
    <w:rsid w:val="00513CF2"/>
    <w:rsid w:val="0051525C"/>
    <w:rsid w:val="005157C6"/>
    <w:rsid w:val="005212ED"/>
    <w:rsid w:val="00522130"/>
    <w:rsid w:val="005272CA"/>
    <w:rsid w:val="00530526"/>
    <w:rsid w:val="00536149"/>
    <w:rsid w:val="00540E4F"/>
    <w:rsid w:val="00541603"/>
    <w:rsid w:val="0054195C"/>
    <w:rsid w:val="00543129"/>
    <w:rsid w:val="00545952"/>
    <w:rsid w:val="005463AC"/>
    <w:rsid w:val="00547D74"/>
    <w:rsid w:val="005504DB"/>
    <w:rsid w:val="005529A6"/>
    <w:rsid w:val="00552A35"/>
    <w:rsid w:val="005550F1"/>
    <w:rsid w:val="0055610D"/>
    <w:rsid w:val="00556153"/>
    <w:rsid w:val="00557B39"/>
    <w:rsid w:val="00563113"/>
    <w:rsid w:val="00565268"/>
    <w:rsid w:val="005666BF"/>
    <w:rsid w:val="0056700E"/>
    <w:rsid w:val="00573642"/>
    <w:rsid w:val="00574E10"/>
    <w:rsid w:val="00576A69"/>
    <w:rsid w:val="00577E55"/>
    <w:rsid w:val="00580693"/>
    <w:rsid w:val="00581AC8"/>
    <w:rsid w:val="00582135"/>
    <w:rsid w:val="00583236"/>
    <w:rsid w:val="00584020"/>
    <w:rsid w:val="0058615E"/>
    <w:rsid w:val="0058658B"/>
    <w:rsid w:val="005876E9"/>
    <w:rsid w:val="0059005B"/>
    <w:rsid w:val="00590D29"/>
    <w:rsid w:val="00590F1D"/>
    <w:rsid w:val="005925B2"/>
    <w:rsid w:val="005930A1"/>
    <w:rsid w:val="00593D6F"/>
    <w:rsid w:val="00595200"/>
    <w:rsid w:val="0059648E"/>
    <w:rsid w:val="00596B16"/>
    <w:rsid w:val="0059708C"/>
    <w:rsid w:val="0059741E"/>
    <w:rsid w:val="005A07D4"/>
    <w:rsid w:val="005A0CF1"/>
    <w:rsid w:val="005A0E93"/>
    <w:rsid w:val="005A25DD"/>
    <w:rsid w:val="005A34EF"/>
    <w:rsid w:val="005A4260"/>
    <w:rsid w:val="005A4B4A"/>
    <w:rsid w:val="005B013F"/>
    <w:rsid w:val="005B04AE"/>
    <w:rsid w:val="005B1559"/>
    <w:rsid w:val="005B22A7"/>
    <w:rsid w:val="005B4F9A"/>
    <w:rsid w:val="005B581C"/>
    <w:rsid w:val="005B5F84"/>
    <w:rsid w:val="005B63E6"/>
    <w:rsid w:val="005B7001"/>
    <w:rsid w:val="005C5261"/>
    <w:rsid w:val="005C5796"/>
    <w:rsid w:val="005C5A07"/>
    <w:rsid w:val="005D225A"/>
    <w:rsid w:val="005D2C99"/>
    <w:rsid w:val="005D2CBA"/>
    <w:rsid w:val="005D4360"/>
    <w:rsid w:val="005D6066"/>
    <w:rsid w:val="005D746B"/>
    <w:rsid w:val="005D76EC"/>
    <w:rsid w:val="005E0B9D"/>
    <w:rsid w:val="005E0F9E"/>
    <w:rsid w:val="005E2139"/>
    <w:rsid w:val="005E2E4A"/>
    <w:rsid w:val="005E58B0"/>
    <w:rsid w:val="005E614B"/>
    <w:rsid w:val="005E6389"/>
    <w:rsid w:val="005E7237"/>
    <w:rsid w:val="005E73DF"/>
    <w:rsid w:val="005F0360"/>
    <w:rsid w:val="005F0BDF"/>
    <w:rsid w:val="005F20C1"/>
    <w:rsid w:val="005F2ACC"/>
    <w:rsid w:val="005F35DE"/>
    <w:rsid w:val="005F4CFB"/>
    <w:rsid w:val="005F6418"/>
    <w:rsid w:val="005F6DA6"/>
    <w:rsid w:val="005F78F7"/>
    <w:rsid w:val="00600D71"/>
    <w:rsid w:val="00600E1B"/>
    <w:rsid w:val="00600E6D"/>
    <w:rsid w:val="006014AE"/>
    <w:rsid w:val="006059B3"/>
    <w:rsid w:val="00606414"/>
    <w:rsid w:val="00610F6E"/>
    <w:rsid w:val="0061227C"/>
    <w:rsid w:val="0061442E"/>
    <w:rsid w:val="006163E1"/>
    <w:rsid w:val="00617101"/>
    <w:rsid w:val="00617E6E"/>
    <w:rsid w:val="00617ECF"/>
    <w:rsid w:val="00620A49"/>
    <w:rsid w:val="00622DE8"/>
    <w:rsid w:val="00622FB3"/>
    <w:rsid w:val="00630402"/>
    <w:rsid w:val="00630DC4"/>
    <w:rsid w:val="00630ECF"/>
    <w:rsid w:val="00631075"/>
    <w:rsid w:val="00631277"/>
    <w:rsid w:val="006321B2"/>
    <w:rsid w:val="00633101"/>
    <w:rsid w:val="00633E4F"/>
    <w:rsid w:val="00634D67"/>
    <w:rsid w:val="00637340"/>
    <w:rsid w:val="00637B36"/>
    <w:rsid w:val="00637CB1"/>
    <w:rsid w:val="006430E0"/>
    <w:rsid w:val="0064333B"/>
    <w:rsid w:val="00643500"/>
    <w:rsid w:val="00643965"/>
    <w:rsid w:val="0064478D"/>
    <w:rsid w:val="006472A7"/>
    <w:rsid w:val="006530F5"/>
    <w:rsid w:val="00653D9D"/>
    <w:rsid w:val="0065547E"/>
    <w:rsid w:val="00657877"/>
    <w:rsid w:val="00657CE6"/>
    <w:rsid w:val="00664340"/>
    <w:rsid w:val="006666A6"/>
    <w:rsid w:val="00667E23"/>
    <w:rsid w:val="00671072"/>
    <w:rsid w:val="006714F9"/>
    <w:rsid w:val="00672226"/>
    <w:rsid w:val="00676BDF"/>
    <w:rsid w:val="00677409"/>
    <w:rsid w:val="0068124B"/>
    <w:rsid w:val="00682373"/>
    <w:rsid w:val="006835D8"/>
    <w:rsid w:val="0068396F"/>
    <w:rsid w:val="00683E58"/>
    <w:rsid w:val="00693454"/>
    <w:rsid w:val="0069439F"/>
    <w:rsid w:val="00696487"/>
    <w:rsid w:val="006970CC"/>
    <w:rsid w:val="006A0D4E"/>
    <w:rsid w:val="006A1DBD"/>
    <w:rsid w:val="006A2AF8"/>
    <w:rsid w:val="006A324B"/>
    <w:rsid w:val="006A3789"/>
    <w:rsid w:val="006A4409"/>
    <w:rsid w:val="006A48AE"/>
    <w:rsid w:val="006A4D8D"/>
    <w:rsid w:val="006A6380"/>
    <w:rsid w:val="006A68DC"/>
    <w:rsid w:val="006A6981"/>
    <w:rsid w:val="006B2CC8"/>
    <w:rsid w:val="006B58A0"/>
    <w:rsid w:val="006B5E3D"/>
    <w:rsid w:val="006B6384"/>
    <w:rsid w:val="006B6E7A"/>
    <w:rsid w:val="006C35F1"/>
    <w:rsid w:val="006C4ABC"/>
    <w:rsid w:val="006C75AD"/>
    <w:rsid w:val="006C7C91"/>
    <w:rsid w:val="006C7F46"/>
    <w:rsid w:val="006D20B5"/>
    <w:rsid w:val="006E06D4"/>
    <w:rsid w:val="006E12C0"/>
    <w:rsid w:val="006E2AAF"/>
    <w:rsid w:val="006E50A1"/>
    <w:rsid w:val="006E6118"/>
    <w:rsid w:val="006E75CC"/>
    <w:rsid w:val="006E7E02"/>
    <w:rsid w:val="006F202B"/>
    <w:rsid w:val="006F30E5"/>
    <w:rsid w:val="006F3485"/>
    <w:rsid w:val="006F3924"/>
    <w:rsid w:val="006F3D23"/>
    <w:rsid w:val="006F6B1D"/>
    <w:rsid w:val="006F701E"/>
    <w:rsid w:val="006F7B05"/>
    <w:rsid w:val="00703AF6"/>
    <w:rsid w:val="00707EC4"/>
    <w:rsid w:val="007103E3"/>
    <w:rsid w:val="00721519"/>
    <w:rsid w:val="007229AF"/>
    <w:rsid w:val="00724CE2"/>
    <w:rsid w:val="00724D08"/>
    <w:rsid w:val="00725879"/>
    <w:rsid w:val="00725FAE"/>
    <w:rsid w:val="00727792"/>
    <w:rsid w:val="00727E33"/>
    <w:rsid w:val="00730468"/>
    <w:rsid w:val="00731CC6"/>
    <w:rsid w:val="00733136"/>
    <w:rsid w:val="0073380C"/>
    <w:rsid w:val="00733FED"/>
    <w:rsid w:val="0073427B"/>
    <w:rsid w:val="00740B80"/>
    <w:rsid w:val="00742FED"/>
    <w:rsid w:val="0074309D"/>
    <w:rsid w:val="0074656B"/>
    <w:rsid w:val="00746E45"/>
    <w:rsid w:val="0074704F"/>
    <w:rsid w:val="00750614"/>
    <w:rsid w:val="00750AD0"/>
    <w:rsid w:val="00750D38"/>
    <w:rsid w:val="00751828"/>
    <w:rsid w:val="007560A4"/>
    <w:rsid w:val="007568B5"/>
    <w:rsid w:val="007631F8"/>
    <w:rsid w:val="007632B7"/>
    <w:rsid w:val="00765B03"/>
    <w:rsid w:val="0076757F"/>
    <w:rsid w:val="00767F9F"/>
    <w:rsid w:val="00770F14"/>
    <w:rsid w:val="00773CD6"/>
    <w:rsid w:val="007750EE"/>
    <w:rsid w:val="00776F2D"/>
    <w:rsid w:val="00777925"/>
    <w:rsid w:val="00783481"/>
    <w:rsid w:val="007842A8"/>
    <w:rsid w:val="007849E0"/>
    <w:rsid w:val="00784A45"/>
    <w:rsid w:val="00786BAA"/>
    <w:rsid w:val="00791284"/>
    <w:rsid w:val="00792AB8"/>
    <w:rsid w:val="00795BB7"/>
    <w:rsid w:val="0079628A"/>
    <w:rsid w:val="007962C0"/>
    <w:rsid w:val="00796C40"/>
    <w:rsid w:val="007A01DF"/>
    <w:rsid w:val="007A1044"/>
    <w:rsid w:val="007A11E9"/>
    <w:rsid w:val="007A1BD5"/>
    <w:rsid w:val="007A2553"/>
    <w:rsid w:val="007A2B5A"/>
    <w:rsid w:val="007A413E"/>
    <w:rsid w:val="007A6606"/>
    <w:rsid w:val="007B0B66"/>
    <w:rsid w:val="007B1B39"/>
    <w:rsid w:val="007B67FA"/>
    <w:rsid w:val="007C0D30"/>
    <w:rsid w:val="007C125F"/>
    <w:rsid w:val="007C38B4"/>
    <w:rsid w:val="007C7EF2"/>
    <w:rsid w:val="007C7FA7"/>
    <w:rsid w:val="007D10AD"/>
    <w:rsid w:val="007D2ADF"/>
    <w:rsid w:val="007D30E9"/>
    <w:rsid w:val="007D49FA"/>
    <w:rsid w:val="007E1B5C"/>
    <w:rsid w:val="007E3E86"/>
    <w:rsid w:val="007E5A40"/>
    <w:rsid w:val="007F016D"/>
    <w:rsid w:val="007F0E96"/>
    <w:rsid w:val="007F1AF5"/>
    <w:rsid w:val="007F1E0B"/>
    <w:rsid w:val="007F2F2A"/>
    <w:rsid w:val="007F3988"/>
    <w:rsid w:val="007F62B3"/>
    <w:rsid w:val="007F764B"/>
    <w:rsid w:val="007F7689"/>
    <w:rsid w:val="007F7D71"/>
    <w:rsid w:val="007F7ED0"/>
    <w:rsid w:val="00800B8F"/>
    <w:rsid w:val="008012D8"/>
    <w:rsid w:val="00807798"/>
    <w:rsid w:val="0081108B"/>
    <w:rsid w:val="00811B18"/>
    <w:rsid w:val="0081651C"/>
    <w:rsid w:val="00817017"/>
    <w:rsid w:val="0081704F"/>
    <w:rsid w:val="00817F65"/>
    <w:rsid w:val="00822558"/>
    <w:rsid w:val="00823442"/>
    <w:rsid w:val="0082491B"/>
    <w:rsid w:val="00824A91"/>
    <w:rsid w:val="00825260"/>
    <w:rsid w:val="008252D5"/>
    <w:rsid w:val="00826020"/>
    <w:rsid w:val="00826984"/>
    <w:rsid w:val="00827F55"/>
    <w:rsid w:val="00830316"/>
    <w:rsid w:val="0083054A"/>
    <w:rsid w:val="008308B0"/>
    <w:rsid w:val="00831F01"/>
    <w:rsid w:val="0083341B"/>
    <w:rsid w:val="00833528"/>
    <w:rsid w:val="008342E8"/>
    <w:rsid w:val="00834D7E"/>
    <w:rsid w:val="008351E1"/>
    <w:rsid w:val="0084027A"/>
    <w:rsid w:val="0084039B"/>
    <w:rsid w:val="008405E5"/>
    <w:rsid w:val="00840F0E"/>
    <w:rsid w:val="00841348"/>
    <w:rsid w:val="00841BD0"/>
    <w:rsid w:val="00846760"/>
    <w:rsid w:val="00847A92"/>
    <w:rsid w:val="00851CEC"/>
    <w:rsid w:val="00852F4A"/>
    <w:rsid w:val="008535E6"/>
    <w:rsid w:val="00853993"/>
    <w:rsid w:val="00855FB1"/>
    <w:rsid w:val="00856DC8"/>
    <w:rsid w:val="00870834"/>
    <w:rsid w:val="00874C4C"/>
    <w:rsid w:val="00876941"/>
    <w:rsid w:val="00877BDF"/>
    <w:rsid w:val="0088112F"/>
    <w:rsid w:val="00881586"/>
    <w:rsid w:val="0088290D"/>
    <w:rsid w:val="00883953"/>
    <w:rsid w:val="00884B0C"/>
    <w:rsid w:val="008865A8"/>
    <w:rsid w:val="008908EE"/>
    <w:rsid w:val="008936EB"/>
    <w:rsid w:val="00894898"/>
    <w:rsid w:val="00894ADA"/>
    <w:rsid w:val="00894D3F"/>
    <w:rsid w:val="008A0465"/>
    <w:rsid w:val="008A1831"/>
    <w:rsid w:val="008A1836"/>
    <w:rsid w:val="008A2702"/>
    <w:rsid w:val="008A4854"/>
    <w:rsid w:val="008A4E81"/>
    <w:rsid w:val="008A531F"/>
    <w:rsid w:val="008B02D0"/>
    <w:rsid w:val="008B16E9"/>
    <w:rsid w:val="008B23ED"/>
    <w:rsid w:val="008B4674"/>
    <w:rsid w:val="008B5F9C"/>
    <w:rsid w:val="008C1E14"/>
    <w:rsid w:val="008C5ABE"/>
    <w:rsid w:val="008C6F3F"/>
    <w:rsid w:val="008D0C74"/>
    <w:rsid w:val="008D509F"/>
    <w:rsid w:val="008E2849"/>
    <w:rsid w:val="008E30BB"/>
    <w:rsid w:val="008E329E"/>
    <w:rsid w:val="008E618C"/>
    <w:rsid w:val="008E7F06"/>
    <w:rsid w:val="008F1587"/>
    <w:rsid w:val="008F1AED"/>
    <w:rsid w:val="008F2517"/>
    <w:rsid w:val="008F487C"/>
    <w:rsid w:val="008F52B0"/>
    <w:rsid w:val="008F52EC"/>
    <w:rsid w:val="008F5A58"/>
    <w:rsid w:val="008F620B"/>
    <w:rsid w:val="008F6D05"/>
    <w:rsid w:val="008F76D1"/>
    <w:rsid w:val="009002E4"/>
    <w:rsid w:val="0090170F"/>
    <w:rsid w:val="009017A9"/>
    <w:rsid w:val="0090300F"/>
    <w:rsid w:val="00903BDA"/>
    <w:rsid w:val="00904287"/>
    <w:rsid w:val="0090499C"/>
    <w:rsid w:val="00907992"/>
    <w:rsid w:val="0091253D"/>
    <w:rsid w:val="009141FB"/>
    <w:rsid w:val="00915635"/>
    <w:rsid w:val="009161F5"/>
    <w:rsid w:val="009172DF"/>
    <w:rsid w:val="009174D9"/>
    <w:rsid w:val="00917613"/>
    <w:rsid w:val="00917B19"/>
    <w:rsid w:val="00920937"/>
    <w:rsid w:val="00920DE5"/>
    <w:rsid w:val="009228FA"/>
    <w:rsid w:val="00931449"/>
    <w:rsid w:val="00932D89"/>
    <w:rsid w:val="00936BBF"/>
    <w:rsid w:val="00937357"/>
    <w:rsid w:val="00937E77"/>
    <w:rsid w:val="009457ED"/>
    <w:rsid w:val="00945948"/>
    <w:rsid w:val="00946344"/>
    <w:rsid w:val="0094647D"/>
    <w:rsid w:val="00947828"/>
    <w:rsid w:val="00950214"/>
    <w:rsid w:val="00954CE1"/>
    <w:rsid w:val="00955D73"/>
    <w:rsid w:val="009563AA"/>
    <w:rsid w:val="00957523"/>
    <w:rsid w:val="00963AF9"/>
    <w:rsid w:val="0096748E"/>
    <w:rsid w:val="0096778B"/>
    <w:rsid w:val="009725DF"/>
    <w:rsid w:val="009727FB"/>
    <w:rsid w:val="00973DC8"/>
    <w:rsid w:val="00974839"/>
    <w:rsid w:val="00975842"/>
    <w:rsid w:val="0097722A"/>
    <w:rsid w:val="00980A3C"/>
    <w:rsid w:val="00981A2D"/>
    <w:rsid w:val="00981F4C"/>
    <w:rsid w:val="0098335E"/>
    <w:rsid w:val="00984A4A"/>
    <w:rsid w:val="0098563E"/>
    <w:rsid w:val="009864CF"/>
    <w:rsid w:val="009864FE"/>
    <w:rsid w:val="009867C3"/>
    <w:rsid w:val="00986BF4"/>
    <w:rsid w:val="00990C69"/>
    <w:rsid w:val="00991819"/>
    <w:rsid w:val="0099373C"/>
    <w:rsid w:val="0099395A"/>
    <w:rsid w:val="009950F3"/>
    <w:rsid w:val="00995B6E"/>
    <w:rsid w:val="00995BBB"/>
    <w:rsid w:val="00995DBE"/>
    <w:rsid w:val="00996558"/>
    <w:rsid w:val="009A0A77"/>
    <w:rsid w:val="009A1613"/>
    <w:rsid w:val="009A1BFC"/>
    <w:rsid w:val="009A4574"/>
    <w:rsid w:val="009A69C7"/>
    <w:rsid w:val="009A720B"/>
    <w:rsid w:val="009B1A27"/>
    <w:rsid w:val="009B2242"/>
    <w:rsid w:val="009B2A8F"/>
    <w:rsid w:val="009B2DC4"/>
    <w:rsid w:val="009B3172"/>
    <w:rsid w:val="009B3DC3"/>
    <w:rsid w:val="009B5DD9"/>
    <w:rsid w:val="009B67A5"/>
    <w:rsid w:val="009B7160"/>
    <w:rsid w:val="009B7C6B"/>
    <w:rsid w:val="009C022E"/>
    <w:rsid w:val="009C47AA"/>
    <w:rsid w:val="009C4818"/>
    <w:rsid w:val="009C7BA5"/>
    <w:rsid w:val="009D07CC"/>
    <w:rsid w:val="009D0B6F"/>
    <w:rsid w:val="009D187B"/>
    <w:rsid w:val="009D1DDA"/>
    <w:rsid w:val="009D2FEF"/>
    <w:rsid w:val="009D325A"/>
    <w:rsid w:val="009D4AA2"/>
    <w:rsid w:val="009D4DEC"/>
    <w:rsid w:val="009D71F1"/>
    <w:rsid w:val="009E03F2"/>
    <w:rsid w:val="009E127B"/>
    <w:rsid w:val="009E188C"/>
    <w:rsid w:val="009E40C3"/>
    <w:rsid w:val="009E4C45"/>
    <w:rsid w:val="009E51F0"/>
    <w:rsid w:val="009E623C"/>
    <w:rsid w:val="009F18FC"/>
    <w:rsid w:val="009F5754"/>
    <w:rsid w:val="009F6607"/>
    <w:rsid w:val="009F7806"/>
    <w:rsid w:val="00A00791"/>
    <w:rsid w:val="00A010B5"/>
    <w:rsid w:val="00A02942"/>
    <w:rsid w:val="00A0294C"/>
    <w:rsid w:val="00A02C45"/>
    <w:rsid w:val="00A15509"/>
    <w:rsid w:val="00A15F39"/>
    <w:rsid w:val="00A1612F"/>
    <w:rsid w:val="00A1733A"/>
    <w:rsid w:val="00A173B4"/>
    <w:rsid w:val="00A229AC"/>
    <w:rsid w:val="00A25313"/>
    <w:rsid w:val="00A262E8"/>
    <w:rsid w:val="00A27087"/>
    <w:rsid w:val="00A27CB5"/>
    <w:rsid w:val="00A30C2F"/>
    <w:rsid w:val="00A33F50"/>
    <w:rsid w:val="00A35CE4"/>
    <w:rsid w:val="00A3643F"/>
    <w:rsid w:val="00A36830"/>
    <w:rsid w:val="00A40EE3"/>
    <w:rsid w:val="00A424DB"/>
    <w:rsid w:val="00A42726"/>
    <w:rsid w:val="00A43E95"/>
    <w:rsid w:val="00A46475"/>
    <w:rsid w:val="00A46B2F"/>
    <w:rsid w:val="00A47492"/>
    <w:rsid w:val="00A52BDA"/>
    <w:rsid w:val="00A52E23"/>
    <w:rsid w:val="00A5602D"/>
    <w:rsid w:val="00A600FE"/>
    <w:rsid w:val="00A60886"/>
    <w:rsid w:val="00A60F09"/>
    <w:rsid w:val="00A61DDA"/>
    <w:rsid w:val="00A63DB6"/>
    <w:rsid w:val="00A64061"/>
    <w:rsid w:val="00A6469E"/>
    <w:rsid w:val="00A646BA"/>
    <w:rsid w:val="00A66627"/>
    <w:rsid w:val="00A673BB"/>
    <w:rsid w:val="00A706B5"/>
    <w:rsid w:val="00A70F18"/>
    <w:rsid w:val="00A712A4"/>
    <w:rsid w:val="00A7412D"/>
    <w:rsid w:val="00A74AB9"/>
    <w:rsid w:val="00A7543A"/>
    <w:rsid w:val="00A7647B"/>
    <w:rsid w:val="00A76D5B"/>
    <w:rsid w:val="00A77A09"/>
    <w:rsid w:val="00A80CC4"/>
    <w:rsid w:val="00A81132"/>
    <w:rsid w:val="00A835A6"/>
    <w:rsid w:val="00A8788E"/>
    <w:rsid w:val="00A908E1"/>
    <w:rsid w:val="00A90FF6"/>
    <w:rsid w:val="00A9116B"/>
    <w:rsid w:val="00A93FA4"/>
    <w:rsid w:val="00A945AC"/>
    <w:rsid w:val="00A9578D"/>
    <w:rsid w:val="00A96580"/>
    <w:rsid w:val="00A97E44"/>
    <w:rsid w:val="00AA1029"/>
    <w:rsid w:val="00AA11A8"/>
    <w:rsid w:val="00AA1892"/>
    <w:rsid w:val="00AA46F6"/>
    <w:rsid w:val="00AA696E"/>
    <w:rsid w:val="00AB135C"/>
    <w:rsid w:val="00AB235C"/>
    <w:rsid w:val="00AB3147"/>
    <w:rsid w:val="00AB4547"/>
    <w:rsid w:val="00AC008E"/>
    <w:rsid w:val="00AC4171"/>
    <w:rsid w:val="00AC5F16"/>
    <w:rsid w:val="00AD10E4"/>
    <w:rsid w:val="00AD2AF5"/>
    <w:rsid w:val="00AD2FA3"/>
    <w:rsid w:val="00AD40FE"/>
    <w:rsid w:val="00AE15BF"/>
    <w:rsid w:val="00AE44DA"/>
    <w:rsid w:val="00AE49C8"/>
    <w:rsid w:val="00AE64D5"/>
    <w:rsid w:val="00AF0AD7"/>
    <w:rsid w:val="00AF14C4"/>
    <w:rsid w:val="00AF51A3"/>
    <w:rsid w:val="00B0285B"/>
    <w:rsid w:val="00B05943"/>
    <w:rsid w:val="00B12E8D"/>
    <w:rsid w:val="00B1529E"/>
    <w:rsid w:val="00B1632E"/>
    <w:rsid w:val="00B16C5F"/>
    <w:rsid w:val="00B17477"/>
    <w:rsid w:val="00B20629"/>
    <w:rsid w:val="00B21BE4"/>
    <w:rsid w:val="00B2240D"/>
    <w:rsid w:val="00B23B66"/>
    <w:rsid w:val="00B24A0F"/>
    <w:rsid w:val="00B24E82"/>
    <w:rsid w:val="00B253CD"/>
    <w:rsid w:val="00B2578E"/>
    <w:rsid w:val="00B25A43"/>
    <w:rsid w:val="00B278CA"/>
    <w:rsid w:val="00B27C6A"/>
    <w:rsid w:val="00B33F27"/>
    <w:rsid w:val="00B34771"/>
    <w:rsid w:val="00B36ED9"/>
    <w:rsid w:val="00B37707"/>
    <w:rsid w:val="00B40209"/>
    <w:rsid w:val="00B41C13"/>
    <w:rsid w:val="00B45498"/>
    <w:rsid w:val="00B4689F"/>
    <w:rsid w:val="00B46F3F"/>
    <w:rsid w:val="00B47056"/>
    <w:rsid w:val="00B504DC"/>
    <w:rsid w:val="00B5215B"/>
    <w:rsid w:val="00B52B03"/>
    <w:rsid w:val="00B52D80"/>
    <w:rsid w:val="00B530B3"/>
    <w:rsid w:val="00B53BF8"/>
    <w:rsid w:val="00B54060"/>
    <w:rsid w:val="00B55CCE"/>
    <w:rsid w:val="00B56201"/>
    <w:rsid w:val="00B56675"/>
    <w:rsid w:val="00B57301"/>
    <w:rsid w:val="00B57521"/>
    <w:rsid w:val="00B57AE5"/>
    <w:rsid w:val="00B608C3"/>
    <w:rsid w:val="00B63440"/>
    <w:rsid w:val="00B63A7F"/>
    <w:rsid w:val="00B63CA2"/>
    <w:rsid w:val="00B6440E"/>
    <w:rsid w:val="00B6538E"/>
    <w:rsid w:val="00B65F1E"/>
    <w:rsid w:val="00B66329"/>
    <w:rsid w:val="00B66742"/>
    <w:rsid w:val="00B66BD6"/>
    <w:rsid w:val="00B676C5"/>
    <w:rsid w:val="00B676DB"/>
    <w:rsid w:val="00B67ED1"/>
    <w:rsid w:val="00B70079"/>
    <w:rsid w:val="00B70102"/>
    <w:rsid w:val="00B72AB0"/>
    <w:rsid w:val="00B74DC7"/>
    <w:rsid w:val="00B80C2E"/>
    <w:rsid w:val="00B80E52"/>
    <w:rsid w:val="00B81EFF"/>
    <w:rsid w:val="00B85607"/>
    <w:rsid w:val="00B8778E"/>
    <w:rsid w:val="00B87C80"/>
    <w:rsid w:val="00B926A8"/>
    <w:rsid w:val="00B92F83"/>
    <w:rsid w:val="00B92F9F"/>
    <w:rsid w:val="00B93234"/>
    <w:rsid w:val="00B9563D"/>
    <w:rsid w:val="00B95655"/>
    <w:rsid w:val="00B956C7"/>
    <w:rsid w:val="00B96D81"/>
    <w:rsid w:val="00B9720E"/>
    <w:rsid w:val="00BA3C9B"/>
    <w:rsid w:val="00BA78FE"/>
    <w:rsid w:val="00BB05C0"/>
    <w:rsid w:val="00BB10A4"/>
    <w:rsid w:val="00BB3472"/>
    <w:rsid w:val="00BB36F8"/>
    <w:rsid w:val="00BB4ADF"/>
    <w:rsid w:val="00BB5215"/>
    <w:rsid w:val="00BB79B4"/>
    <w:rsid w:val="00BC2289"/>
    <w:rsid w:val="00BC2B02"/>
    <w:rsid w:val="00BC558C"/>
    <w:rsid w:val="00BC5D22"/>
    <w:rsid w:val="00BC5D89"/>
    <w:rsid w:val="00BC7F68"/>
    <w:rsid w:val="00BD0BEB"/>
    <w:rsid w:val="00BD3594"/>
    <w:rsid w:val="00BD4410"/>
    <w:rsid w:val="00BD526A"/>
    <w:rsid w:val="00BD5ECC"/>
    <w:rsid w:val="00BE200F"/>
    <w:rsid w:val="00BE3C96"/>
    <w:rsid w:val="00BF0ED9"/>
    <w:rsid w:val="00BF1A49"/>
    <w:rsid w:val="00BF1A8B"/>
    <w:rsid w:val="00BF34EF"/>
    <w:rsid w:val="00BF3AF0"/>
    <w:rsid w:val="00BF5765"/>
    <w:rsid w:val="00BF743F"/>
    <w:rsid w:val="00BF7F22"/>
    <w:rsid w:val="00C00723"/>
    <w:rsid w:val="00C03F82"/>
    <w:rsid w:val="00C06E33"/>
    <w:rsid w:val="00C0729A"/>
    <w:rsid w:val="00C07ED9"/>
    <w:rsid w:val="00C12F7E"/>
    <w:rsid w:val="00C14668"/>
    <w:rsid w:val="00C165A4"/>
    <w:rsid w:val="00C17AE8"/>
    <w:rsid w:val="00C20A12"/>
    <w:rsid w:val="00C230FA"/>
    <w:rsid w:val="00C238E9"/>
    <w:rsid w:val="00C23B7F"/>
    <w:rsid w:val="00C24B53"/>
    <w:rsid w:val="00C24D5E"/>
    <w:rsid w:val="00C25E0A"/>
    <w:rsid w:val="00C30FF7"/>
    <w:rsid w:val="00C310C2"/>
    <w:rsid w:val="00C3202C"/>
    <w:rsid w:val="00C3325C"/>
    <w:rsid w:val="00C3332B"/>
    <w:rsid w:val="00C3621B"/>
    <w:rsid w:val="00C37664"/>
    <w:rsid w:val="00C4596D"/>
    <w:rsid w:val="00C45BD3"/>
    <w:rsid w:val="00C45BE5"/>
    <w:rsid w:val="00C45D11"/>
    <w:rsid w:val="00C47118"/>
    <w:rsid w:val="00C523CD"/>
    <w:rsid w:val="00C573BC"/>
    <w:rsid w:val="00C60504"/>
    <w:rsid w:val="00C60A57"/>
    <w:rsid w:val="00C60C33"/>
    <w:rsid w:val="00C60CF1"/>
    <w:rsid w:val="00C61BD9"/>
    <w:rsid w:val="00C63DF4"/>
    <w:rsid w:val="00C649AD"/>
    <w:rsid w:val="00C66E9F"/>
    <w:rsid w:val="00C707E4"/>
    <w:rsid w:val="00C71AE7"/>
    <w:rsid w:val="00C724AC"/>
    <w:rsid w:val="00C725A3"/>
    <w:rsid w:val="00C738DD"/>
    <w:rsid w:val="00C74EDC"/>
    <w:rsid w:val="00C755AA"/>
    <w:rsid w:val="00C75960"/>
    <w:rsid w:val="00C81C8D"/>
    <w:rsid w:val="00C822F0"/>
    <w:rsid w:val="00C847EA"/>
    <w:rsid w:val="00C84B80"/>
    <w:rsid w:val="00C85239"/>
    <w:rsid w:val="00C877E9"/>
    <w:rsid w:val="00C87D0F"/>
    <w:rsid w:val="00C91966"/>
    <w:rsid w:val="00C9261A"/>
    <w:rsid w:val="00C92BA0"/>
    <w:rsid w:val="00C95714"/>
    <w:rsid w:val="00C97DBC"/>
    <w:rsid w:val="00CA1C61"/>
    <w:rsid w:val="00CA4F5E"/>
    <w:rsid w:val="00CA707B"/>
    <w:rsid w:val="00CA71A4"/>
    <w:rsid w:val="00CA71B0"/>
    <w:rsid w:val="00CA7384"/>
    <w:rsid w:val="00CB150A"/>
    <w:rsid w:val="00CB1583"/>
    <w:rsid w:val="00CB281B"/>
    <w:rsid w:val="00CB3641"/>
    <w:rsid w:val="00CB58BC"/>
    <w:rsid w:val="00CB7D3A"/>
    <w:rsid w:val="00CC0341"/>
    <w:rsid w:val="00CC3155"/>
    <w:rsid w:val="00CC6ABE"/>
    <w:rsid w:val="00CC7B5E"/>
    <w:rsid w:val="00CD17E2"/>
    <w:rsid w:val="00CD2093"/>
    <w:rsid w:val="00CD2462"/>
    <w:rsid w:val="00CD62F9"/>
    <w:rsid w:val="00CE0578"/>
    <w:rsid w:val="00CE2860"/>
    <w:rsid w:val="00CE39B9"/>
    <w:rsid w:val="00CE6C60"/>
    <w:rsid w:val="00CF09EE"/>
    <w:rsid w:val="00CF2605"/>
    <w:rsid w:val="00CF2CAD"/>
    <w:rsid w:val="00CF5E67"/>
    <w:rsid w:val="00D00CDA"/>
    <w:rsid w:val="00D01441"/>
    <w:rsid w:val="00D01BF8"/>
    <w:rsid w:val="00D05CCC"/>
    <w:rsid w:val="00D12712"/>
    <w:rsid w:val="00D13553"/>
    <w:rsid w:val="00D1464F"/>
    <w:rsid w:val="00D1674D"/>
    <w:rsid w:val="00D169E4"/>
    <w:rsid w:val="00D20C0D"/>
    <w:rsid w:val="00D224A5"/>
    <w:rsid w:val="00D227D8"/>
    <w:rsid w:val="00D22CE1"/>
    <w:rsid w:val="00D267AA"/>
    <w:rsid w:val="00D30D9F"/>
    <w:rsid w:val="00D33E41"/>
    <w:rsid w:val="00D348A1"/>
    <w:rsid w:val="00D34BF7"/>
    <w:rsid w:val="00D35D2D"/>
    <w:rsid w:val="00D37A3F"/>
    <w:rsid w:val="00D40F23"/>
    <w:rsid w:val="00D43B64"/>
    <w:rsid w:val="00D44609"/>
    <w:rsid w:val="00D44EBA"/>
    <w:rsid w:val="00D457A3"/>
    <w:rsid w:val="00D457FB"/>
    <w:rsid w:val="00D45AA2"/>
    <w:rsid w:val="00D45D8C"/>
    <w:rsid w:val="00D46184"/>
    <w:rsid w:val="00D46D49"/>
    <w:rsid w:val="00D50824"/>
    <w:rsid w:val="00D52449"/>
    <w:rsid w:val="00D528D3"/>
    <w:rsid w:val="00D567AA"/>
    <w:rsid w:val="00D56BE1"/>
    <w:rsid w:val="00D5750F"/>
    <w:rsid w:val="00D57D05"/>
    <w:rsid w:val="00D61CA7"/>
    <w:rsid w:val="00D62D88"/>
    <w:rsid w:val="00D6306F"/>
    <w:rsid w:val="00D67B01"/>
    <w:rsid w:val="00D75025"/>
    <w:rsid w:val="00D77D0C"/>
    <w:rsid w:val="00D80405"/>
    <w:rsid w:val="00D833F9"/>
    <w:rsid w:val="00D837C7"/>
    <w:rsid w:val="00D85185"/>
    <w:rsid w:val="00D85BF5"/>
    <w:rsid w:val="00D904E8"/>
    <w:rsid w:val="00D90BF5"/>
    <w:rsid w:val="00D90FED"/>
    <w:rsid w:val="00D92AFD"/>
    <w:rsid w:val="00D93F07"/>
    <w:rsid w:val="00D946AB"/>
    <w:rsid w:val="00D95348"/>
    <w:rsid w:val="00D95BEA"/>
    <w:rsid w:val="00D96893"/>
    <w:rsid w:val="00D96956"/>
    <w:rsid w:val="00DA23DE"/>
    <w:rsid w:val="00DA3C85"/>
    <w:rsid w:val="00DA3FCA"/>
    <w:rsid w:val="00DA6563"/>
    <w:rsid w:val="00DA7853"/>
    <w:rsid w:val="00DA7A89"/>
    <w:rsid w:val="00DA7F44"/>
    <w:rsid w:val="00DB01A9"/>
    <w:rsid w:val="00DB470D"/>
    <w:rsid w:val="00DB590F"/>
    <w:rsid w:val="00DB64F9"/>
    <w:rsid w:val="00DB66C6"/>
    <w:rsid w:val="00DC35B5"/>
    <w:rsid w:val="00DC6752"/>
    <w:rsid w:val="00DD1049"/>
    <w:rsid w:val="00DD1EEB"/>
    <w:rsid w:val="00DD491A"/>
    <w:rsid w:val="00DE0DDF"/>
    <w:rsid w:val="00DE287E"/>
    <w:rsid w:val="00DE2DFE"/>
    <w:rsid w:val="00DE2FFE"/>
    <w:rsid w:val="00DF171D"/>
    <w:rsid w:val="00DF2122"/>
    <w:rsid w:val="00DF6D88"/>
    <w:rsid w:val="00E00B24"/>
    <w:rsid w:val="00E00BB1"/>
    <w:rsid w:val="00E02B2C"/>
    <w:rsid w:val="00E04417"/>
    <w:rsid w:val="00E04906"/>
    <w:rsid w:val="00E04C5E"/>
    <w:rsid w:val="00E06177"/>
    <w:rsid w:val="00E06A0B"/>
    <w:rsid w:val="00E070F7"/>
    <w:rsid w:val="00E07273"/>
    <w:rsid w:val="00E100CA"/>
    <w:rsid w:val="00E105EA"/>
    <w:rsid w:val="00E1213E"/>
    <w:rsid w:val="00E12809"/>
    <w:rsid w:val="00E147DD"/>
    <w:rsid w:val="00E15301"/>
    <w:rsid w:val="00E17FE2"/>
    <w:rsid w:val="00E20A2F"/>
    <w:rsid w:val="00E23341"/>
    <w:rsid w:val="00E2568C"/>
    <w:rsid w:val="00E3002D"/>
    <w:rsid w:val="00E3016E"/>
    <w:rsid w:val="00E34225"/>
    <w:rsid w:val="00E361B5"/>
    <w:rsid w:val="00E40C65"/>
    <w:rsid w:val="00E42D8E"/>
    <w:rsid w:val="00E45DE6"/>
    <w:rsid w:val="00E47FB7"/>
    <w:rsid w:val="00E519DA"/>
    <w:rsid w:val="00E51F25"/>
    <w:rsid w:val="00E52B43"/>
    <w:rsid w:val="00E532F8"/>
    <w:rsid w:val="00E56CF6"/>
    <w:rsid w:val="00E62504"/>
    <w:rsid w:val="00E639C0"/>
    <w:rsid w:val="00E64021"/>
    <w:rsid w:val="00E656CD"/>
    <w:rsid w:val="00E66C67"/>
    <w:rsid w:val="00E7108C"/>
    <w:rsid w:val="00E71DAE"/>
    <w:rsid w:val="00E7226E"/>
    <w:rsid w:val="00E73584"/>
    <w:rsid w:val="00E73A86"/>
    <w:rsid w:val="00E746CB"/>
    <w:rsid w:val="00E74C75"/>
    <w:rsid w:val="00E74FED"/>
    <w:rsid w:val="00E75851"/>
    <w:rsid w:val="00E760BD"/>
    <w:rsid w:val="00E769C5"/>
    <w:rsid w:val="00E774F3"/>
    <w:rsid w:val="00E779A4"/>
    <w:rsid w:val="00E80368"/>
    <w:rsid w:val="00E80523"/>
    <w:rsid w:val="00E8183E"/>
    <w:rsid w:val="00E8260A"/>
    <w:rsid w:val="00E93018"/>
    <w:rsid w:val="00E95E5D"/>
    <w:rsid w:val="00EA09D4"/>
    <w:rsid w:val="00EA211D"/>
    <w:rsid w:val="00EA49FC"/>
    <w:rsid w:val="00EA4AC4"/>
    <w:rsid w:val="00EA4F6D"/>
    <w:rsid w:val="00EA6290"/>
    <w:rsid w:val="00EB25AE"/>
    <w:rsid w:val="00EB45B6"/>
    <w:rsid w:val="00EB5AC5"/>
    <w:rsid w:val="00EB6E33"/>
    <w:rsid w:val="00EC05FC"/>
    <w:rsid w:val="00EC0744"/>
    <w:rsid w:val="00EC2151"/>
    <w:rsid w:val="00EC2C7D"/>
    <w:rsid w:val="00EC37E2"/>
    <w:rsid w:val="00EC4A41"/>
    <w:rsid w:val="00EC4ECD"/>
    <w:rsid w:val="00EC7FB1"/>
    <w:rsid w:val="00ED0D5C"/>
    <w:rsid w:val="00ED1622"/>
    <w:rsid w:val="00ED16A9"/>
    <w:rsid w:val="00ED1F5B"/>
    <w:rsid w:val="00ED2A60"/>
    <w:rsid w:val="00ED4088"/>
    <w:rsid w:val="00ED7AD6"/>
    <w:rsid w:val="00ED7DCB"/>
    <w:rsid w:val="00ED7F46"/>
    <w:rsid w:val="00EE132C"/>
    <w:rsid w:val="00EE3E9E"/>
    <w:rsid w:val="00EF0B93"/>
    <w:rsid w:val="00EF6635"/>
    <w:rsid w:val="00EF7C26"/>
    <w:rsid w:val="00EF7E00"/>
    <w:rsid w:val="00F02E5F"/>
    <w:rsid w:val="00F03F11"/>
    <w:rsid w:val="00F05BB4"/>
    <w:rsid w:val="00F069FC"/>
    <w:rsid w:val="00F07371"/>
    <w:rsid w:val="00F07C49"/>
    <w:rsid w:val="00F07FDA"/>
    <w:rsid w:val="00F10CDC"/>
    <w:rsid w:val="00F13713"/>
    <w:rsid w:val="00F1458D"/>
    <w:rsid w:val="00F157DE"/>
    <w:rsid w:val="00F2416C"/>
    <w:rsid w:val="00F25669"/>
    <w:rsid w:val="00F30E45"/>
    <w:rsid w:val="00F33217"/>
    <w:rsid w:val="00F34F3C"/>
    <w:rsid w:val="00F36178"/>
    <w:rsid w:val="00F36433"/>
    <w:rsid w:val="00F36C2A"/>
    <w:rsid w:val="00F37811"/>
    <w:rsid w:val="00F415D5"/>
    <w:rsid w:val="00F42EB2"/>
    <w:rsid w:val="00F437F6"/>
    <w:rsid w:val="00F469C5"/>
    <w:rsid w:val="00F47E44"/>
    <w:rsid w:val="00F50415"/>
    <w:rsid w:val="00F5091D"/>
    <w:rsid w:val="00F5176A"/>
    <w:rsid w:val="00F526DA"/>
    <w:rsid w:val="00F52B4C"/>
    <w:rsid w:val="00F6148F"/>
    <w:rsid w:val="00F61BE4"/>
    <w:rsid w:val="00F62754"/>
    <w:rsid w:val="00F62B62"/>
    <w:rsid w:val="00F64CF5"/>
    <w:rsid w:val="00F65BA1"/>
    <w:rsid w:val="00F65D0A"/>
    <w:rsid w:val="00F70750"/>
    <w:rsid w:val="00F737A6"/>
    <w:rsid w:val="00F74ED0"/>
    <w:rsid w:val="00F81048"/>
    <w:rsid w:val="00F81146"/>
    <w:rsid w:val="00F84D0D"/>
    <w:rsid w:val="00F9312D"/>
    <w:rsid w:val="00F93563"/>
    <w:rsid w:val="00F93F42"/>
    <w:rsid w:val="00F95262"/>
    <w:rsid w:val="00F956A6"/>
    <w:rsid w:val="00F961DF"/>
    <w:rsid w:val="00F964DA"/>
    <w:rsid w:val="00F96922"/>
    <w:rsid w:val="00F9738F"/>
    <w:rsid w:val="00FA0CD1"/>
    <w:rsid w:val="00FA0E37"/>
    <w:rsid w:val="00FA464A"/>
    <w:rsid w:val="00FA6C24"/>
    <w:rsid w:val="00FA6E3D"/>
    <w:rsid w:val="00FA7449"/>
    <w:rsid w:val="00FB0858"/>
    <w:rsid w:val="00FB34A0"/>
    <w:rsid w:val="00FB593A"/>
    <w:rsid w:val="00FB7508"/>
    <w:rsid w:val="00FB791A"/>
    <w:rsid w:val="00FC24FA"/>
    <w:rsid w:val="00FC2F71"/>
    <w:rsid w:val="00FC32BF"/>
    <w:rsid w:val="00FC35B2"/>
    <w:rsid w:val="00FC770A"/>
    <w:rsid w:val="00FD0697"/>
    <w:rsid w:val="00FD12B4"/>
    <w:rsid w:val="00FD2B38"/>
    <w:rsid w:val="00FE0896"/>
    <w:rsid w:val="00FE3B89"/>
    <w:rsid w:val="00FE6C78"/>
    <w:rsid w:val="00FE7C8A"/>
    <w:rsid w:val="00FF07D5"/>
    <w:rsid w:val="00FF508A"/>
    <w:rsid w:val="00FF51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B4E0D9-66DF-41E2-9BE8-9B782B6E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Paragraph">
    <w:name w:val="ECC Paragraph"/>
    <w:basedOn w:val="DefaultParagraphFont"/>
    <w:uiPriority w:val="1"/>
    <w:qFormat/>
    <w:rsid w:val="009E188C"/>
    <w:rPr>
      <w:rFonts w:ascii="Arial" w:hAnsi="Arial" w:cs="Arial" w:hint="default"/>
      <w:noProof w:val="0"/>
      <w:sz w:val="20"/>
      <w:bdr w:val="none" w:sz="0" w:space="0" w:color="auto" w:frame="1"/>
      <w:lang w:val="en-GB"/>
    </w:rPr>
  </w:style>
  <w:style w:type="character" w:styleId="Hyperlink">
    <w:name w:val="Hyperlink"/>
    <w:basedOn w:val="DefaultParagraphFont"/>
    <w:uiPriority w:val="99"/>
    <w:unhideWhenUsed/>
    <w:rsid w:val="00770F14"/>
    <w:rPr>
      <w:color w:val="0000FF"/>
      <w:u w:val="single"/>
    </w:rPr>
  </w:style>
  <w:style w:type="paragraph" w:styleId="NormalWeb">
    <w:name w:val="Normal (Web)"/>
    <w:basedOn w:val="Normal"/>
    <w:uiPriority w:val="99"/>
    <w:unhideWhenUsed/>
    <w:rsid w:val="00576A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5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638"/>
  </w:style>
  <w:style w:type="paragraph" w:styleId="Footer">
    <w:name w:val="footer"/>
    <w:basedOn w:val="Normal"/>
    <w:link w:val="FooterChar"/>
    <w:uiPriority w:val="99"/>
    <w:unhideWhenUsed/>
    <w:rsid w:val="00345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638"/>
  </w:style>
  <w:style w:type="paragraph" w:customStyle="1" w:styleId="Note">
    <w:name w:val="Note"/>
    <w:basedOn w:val="Normal"/>
    <w:rsid w:val="00345638"/>
    <w:pPr>
      <w:tabs>
        <w:tab w:val="left" w:pos="284"/>
        <w:tab w:val="left" w:pos="1134"/>
        <w:tab w:val="left" w:pos="1871"/>
        <w:tab w:val="left" w:pos="2268"/>
      </w:tabs>
      <w:spacing w:before="160" w:after="0" w:line="240" w:lineRule="auto"/>
      <w:jc w:val="both"/>
    </w:pPr>
    <w:rPr>
      <w:rFonts w:ascii="Times New Roman" w:eastAsia="BatangChe" w:hAnsi="Times New Roman" w:cs="Times New Roman"/>
      <w:noProof/>
      <w:sz w:val="20"/>
      <w:szCs w:val="20"/>
      <w:lang w:eastAsia="ko-KR"/>
    </w:rPr>
  </w:style>
  <w:style w:type="paragraph" w:styleId="ListParagraph">
    <w:name w:val="List Paragraph"/>
    <w:basedOn w:val="Normal"/>
    <w:uiPriority w:val="34"/>
    <w:qFormat/>
    <w:rsid w:val="00721519"/>
    <w:pPr>
      <w:ind w:left="720"/>
      <w:contextualSpacing/>
    </w:pPr>
  </w:style>
  <w:style w:type="character" w:customStyle="1" w:styleId="Artdef">
    <w:name w:val="Art_def"/>
    <w:basedOn w:val="DefaultParagraphFont"/>
    <w:rsid w:val="008F52EC"/>
    <w:rPr>
      <w:rFonts w:ascii="Times New Roman" w:hAnsi="Times New Roman"/>
      <w:b/>
    </w:rPr>
  </w:style>
  <w:style w:type="character" w:styleId="CommentReference">
    <w:name w:val="annotation reference"/>
    <w:basedOn w:val="DefaultParagraphFont"/>
    <w:uiPriority w:val="99"/>
    <w:semiHidden/>
    <w:unhideWhenUsed/>
    <w:rsid w:val="00776F2D"/>
    <w:rPr>
      <w:sz w:val="16"/>
      <w:szCs w:val="16"/>
    </w:rPr>
  </w:style>
  <w:style w:type="paragraph" w:styleId="CommentText">
    <w:name w:val="annotation text"/>
    <w:basedOn w:val="Normal"/>
    <w:link w:val="CommentTextChar"/>
    <w:uiPriority w:val="99"/>
    <w:semiHidden/>
    <w:unhideWhenUsed/>
    <w:rsid w:val="00776F2D"/>
    <w:pPr>
      <w:spacing w:line="240" w:lineRule="auto"/>
    </w:pPr>
    <w:rPr>
      <w:sz w:val="20"/>
      <w:szCs w:val="20"/>
    </w:rPr>
  </w:style>
  <w:style w:type="character" w:customStyle="1" w:styleId="CommentTextChar">
    <w:name w:val="Comment Text Char"/>
    <w:basedOn w:val="DefaultParagraphFont"/>
    <w:link w:val="CommentText"/>
    <w:uiPriority w:val="99"/>
    <w:semiHidden/>
    <w:rsid w:val="00776F2D"/>
    <w:rPr>
      <w:sz w:val="20"/>
      <w:szCs w:val="20"/>
    </w:rPr>
  </w:style>
  <w:style w:type="paragraph" w:styleId="CommentSubject">
    <w:name w:val="annotation subject"/>
    <w:basedOn w:val="CommentText"/>
    <w:next w:val="CommentText"/>
    <w:link w:val="CommentSubjectChar"/>
    <w:uiPriority w:val="99"/>
    <w:semiHidden/>
    <w:unhideWhenUsed/>
    <w:rsid w:val="00776F2D"/>
    <w:rPr>
      <w:b/>
      <w:bCs/>
    </w:rPr>
  </w:style>
  <w:style w:type="character" w:customStyle="1" w:styleId="CommentSubjectChar">
    <w:name w:val="Comment Subject Char"/>
    <w:basedOn w:val="CommentTextChar"/>
    <w:link w:val="CommentSubject"/>
    <w:uiPriority w:val="99"/>
    <w:semiHidden/>
    <w:rsid w:val="00776F2D"/>
    <w:rPr>
      <w:b/>
      <w:bCs/>
      <w:sz w:val="20"/>
      <w:szCs w:val="20"/>
    </w:rPr>
  </w:style>
  <w:style w:type="paragraph" w:styleId="Revision">
    <w:name w:val="Revision"/>
    <w:hidden/>
    <w:uiPriority w:val="99"/>
    <w:semiHidden/>
    <w:rsid w:val="00776F2D"/>
    <w:pPr>
      <w:spacing w:after="0" w:line="240" w:lineRule="auto"/>
    </w:pPr>
  </w:style>
  <w:style w:type="paragraph" w:styleId="BalloonText">
    <w:name w:val="Balloon Text"/>
    <w:basedOn w:val="Normal"/>
    <w:link w:val="BalloonTextChar"/>
    <w:uiPriority w:val="99"/>
    <w:semiHidden/>
    <w:unhideWhenUsed/>
    <w:rsid w:val="00776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t.int/2017-APG19-2-DOCS-INP" TargetMode="External"/><Relationship Id="rId13" Type="http://schemas.openxmlformats.org/officeDocument/2006/relationships/hyperlink" Target="http://www.apt.int/sites/default/files/2017/07/APG19-2-INP-56_J_WP2.doc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pt.int/sites/default/files/2017/07/APG19-2-INP-40_INS_WP2.docx" TargetMode="External"/><Relationship Id="rId17" Type="http://schemas.openxmlformats.org/officeDocument/2006/relationships/hyperlink" Target="http://www.apt.int/sites/default/files/2017/07/APG19-2-INF-14_CEPT_Preparation_for_WRC-19.pdf" TargetMode="External"/><Relationship Id="rId2" Type="http://schemas.openxmlformats.org/officeDocument/2006/relationships/styles" Target="styles.xml"/><Relationship Id="rId16" Type="http://schemas.openxmlformats.org/officeDocument/2006/relationships/hyperlink" Target="http://www.apt.int/sites/default/files/2017/07/APG19-2-INF-05_RCC.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t.int/sites/default/files/2017/07/APG19-2-INP-29_AUS_WP2_0.docx" TargetMode="External"/><Relationship Id="rId5" Type="http://schemas.openxmlformats.org/officeDocument/2006/relationships/footnotes" Target="footnotes.xml"/><Relationship Id="rId15" Type="http://schemas.openxmlformats.org/officeDocument/2006/relationships/hyperlink" Target="http://www.apt.int/sites/default/files/2017/07/APG19-2-INF-04_CITEL_Preparation.pdf" TargetMode="External"/><Relationship Id="rId10" Type="http://schemas.openxmlformats.org/officeDocument/2006/relationships/hyperlink" Target="http://www.apt.int/sites/default/files/2017/07/APG19-2-INP-21_NZL_WP2.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t.int/sites/default/files/2017/07/APG19-2-INP-09_KOR-WP2.docx" TargetMode="External"/><Relationship Id="rId14" Type="http://schemas.openxmlformats.org/officeDocument/2006/relationships/hyperlink" Target="http://www.apt.int/2017-APG19-2-DOCS-I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1651</Words>
  <Characters>9413</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dc:creator>
  <cp:lastModifiedBy>Forhadul Parvez</cp:lastModifiedBy>
  <cp:revision>6</cp:revision>
  <dcterms:created xsi:type="dcterms:W3CDTF">2017-07-21T05:14:00Z</dcterms:created>
  <dcterms:modified xsi:type="dcterms:W3CDTF">2017-08-23T01:46:00Z</dcterms:modified>
</cp:coreProperties>
</file>