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14:paraId="73E4C0C3" w14:textId="77777777" w:rsidTr="007D7378">
        <w:trPr>
          <w:cantSplit/>
        </w:trPr>
        <w:tc>
          <w:tcPr>
            <w:tcW w:w="1399" w:type="dxa"/>
            <w:vMerge w:val="restart"/>
          </w:tcPr>
          <w:p w14:paraId="41AAFC28" w14:textId="77777777" w:rsidR="00CF3963" w:rsidRPr="00891D0B"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891D0B" w:rsidRDefault="00CF3963" w:rsidP="007D7378">
            <w:r w:rsidRPr="00096326">
              <w:t>ASIA-PACIFIC TELECOMMUNITY</w:t>
            </w:r>
          </w:p>
        </w:tc>
        <w:tc>
          <w:tcPr>
            <w:tcW w:w="2700" w:type="dxa"/>
          </w:tcPr>
          <w:p w14:paraId="0D82F459" w14:textId="77777777" w:rsidR="00CF3963" w:rsidRPr="00096326" w:rsidRDefault="00CF3963" w:rsidP="007D7378">
            <w:pPr>
              <w:rPr>
                <w:b/>
                <w:bCs/>
                <w:lang w:val="fr-FR"/>
              </w:rPr>
            </w:pPr>
            <w:r w:rsidRPr="00C15799">
              <w:rPr>
                <w:b/>
                <w:lang w:val="fr-FR"/>
              </w:rPr>
              <w:t>Document</w:t>
            </w:r>
            <w:r>
              <w:rPr>
                <w:b/>
                <w:lang w:val="fr-FR"/>
              </w:rPr>
              <w:t xml:space="preserve">: </w:t>
            </w:r>
          </w:p>
        </w:tc>
      </w:tr>
      <w:tr w:rsidR="00CF3963" w:rsidRPr="00C15799" w14:paraId="448FBFF1" w14:textId="77777777" w:rsidTr="007D7378">
        <w:trPr>
          <w:cantSplit/>
        </w:trPr>
        <w:tc>
          <w:tcPr>
            <w:tcW w:w="1399" w:type="dxa"/>
            <w:vMerge/>
          </w:tcPr>
          <w:p w14:paraId="29C3EF27" w14:textId="77777777" w:rsidR="00CF3963" w:rsidRPr="00891D0B" w:rsidRDefault="00CF3963" w:rsidP="007D7378"/>
        </w:tc>
        <w:tc>
          <w:tcPr>
            <w:tcW w:w="5720" w:type="dxa"/>
          </w:tcPr>
          <w:p w14:paraId="5CBA7DD0" w14:textId="3EE31F7A" w:rsidR="00CF3963" w:rsidRPr="00891D0B" w:rsidRDefault="00201B98" w:rsidP="007D7378">
            <w:pPr>
              <w:spacing w:line="0" w:lineRule="atLeast"/>
            </w:pPr>
            <w:r>
              <w:rPr>
                <w:b/>
              </w:rPr>
              <w:t>The 3rd</w:t>
            </w:r>
            <w:r w:rsidR="00CF3963">
              <w:rPr>
                <w:b/>
              </w:rPr>
              <w:t xml:space="preserve"> Meeting of the APT Conference Prepar</w:t>
            </w:r>
            <w:r>
              <w:rPr>
                <w:b/>
              </w:rPr>
              <w:t>atory  Group for WRC-19 (APG19-3</w:t>
            </w:r>
            <w:r w:rsidR="00CF3963">
              <w:rPr>
                <w:b/>
              </w:rPr>
              <w:t>)</w:t>
            </w:r>
          </w:p>
        </w:tc>
        <w:tc>
          <w:tcPr>
            <w:tcW w:w="2700" w:type="dxa"/>
          </w:tcPr>
          <w:p w14:paraId="79797BCF" w14:textId="39C600F1" w:rsidR="00CF3963" w:rsidRPr="00553A74" w:rsidRDefault="00201B98" w:rsidP="00201B98">
            <w:pPr>
              <w:rPr>
                <w:rFonts w:eastAsia="MS Mincho"/>
                <w:b/>
                <w:bCs/>
                <w:lang w:val="fr-FR" w:eastAsia="ja-JP"/>
              </w:rPr>
            </w:pPr>
            <w:r>
              <w:rPr>
                <w:b/>
                <w:bCs/>
                <w:lang w:val="fr-FR"/>
              </w:rPr>
              <w:t>APG19-3</w:t>
            </w:r>
            <w:r w:rsidR="00CF3963">
              <w:rPr>
                <w:b/>
                <w:bCs/>
                <w:lang w:val="fr-FR"/>
              </w:rPr>
              <w:t>/</w:t>
            </w:r>
            <w:r w:rsidR="00553A74">
              <w:rPr>
                <w:b/>
                <w:bCs/>
                <w:lang w:val="fr-FR"/>
              </w:rPr>
              <w:t>OUT-</w:t>
            </w:r>
            <w:r w:rsidR="00553A74">
              <w:rPr>
                <w:rFonts w:eastAsia="MS Mincho" w:hint="eastAsia"/>
                <w:b/>
                <w:bCs/>
                <w:lang w:val="fr-FR" w:eastAsia="ja-JP"/>
              </w:rPr>
              <w:t>16</w:t>
            </w:r>
          </w:p>
        </w:tc>
      </w:tr>
      <w:tr w:rsidR="00CF3963" w:rsidRPr="00891D0B" w14:paraId="53A9E6D1" w14:textId="77777777" w:rsidTr="007D7378">
        <w:trPr>
          <w:cantSplit/>
          <w:trHeight w:val="219"/>
        </w:trPr>
        <w:tc>
          <w:tcPr>
            <w:tcW w:w="1399" w:type="dxa"/>
            <w:vMerge/>
          </w:tcPr>
          <w:p w14:paraId="59C3513F" w14:textId="77777777" w:rsidR="00CF3963" w:rsidRPr="00C15799" w:rsidRDefault="00CF3963" w:rsidP="007D7378">
            <w:pPr>
              <w:rPr>
                <w:lang w:val="fr-FR"/>
              </w:rPr>
            </w:pPr>
          </w:p>
        </w:tc>
        <w:tc>
          <w:tcPr>
            <w:tcW w:w="5720" w:type="dxa"/>
          </w:tcPr>
          <w:p w14:paraId="3510CFC7" w14:textId="1AE1822F" w:rsidR="00CF3963" w:rsidRPr="00891D0B" w:rsidRDefault="00201B98" w:rsidP="00201B98">
            <w:r>
              <w:t>12 - 16 March 2018</w:t>
            </w:r>
            <w:r w:rsidR="00CF3963" w:rsidRPr="00891D0B">
              <w:t xml:space="preserve">, </w:t>
            </w:r>
            <w:r>
              <w:t>Perth</w:t>
            </w:r>
            <w:r w:rsidR="00CF3963">
              <w:t xml:space="preserve">, </w:t>
            </w:r>
            <w:r>
              <w:t>Australia</w:t>
            </w:r>
          </w:p>
        </w:tc>
        <w:tc>
          <w:tcPr>
            <w:tcW w:w="2700" w:type="dxa"/>
          </w:tcPr>
          <w:p w14:paraId="60FFE2BA" w14:textId="32155257" w:rsidR="00CF3963" w:rsidRPr="00712451" w:rsidRDefault="004F4F4E" w:rsidP="007D7378">
            <w:pPr>
              <w:rPr>
                <w:b/>
              </w:rPr>
            </w:pPr>
            <w:r>
              <w:rPr>
                <w:b/>
              </w:rPr>
              <w:t>15</w:t>
            </w:r>
            <w:r w:rsidR="00201B98">
              <w:rPr>
                <w:b/>
              </w:rPr>
              <w:t xml:space="preserve"> March 2018</w:t>
            </w:r>
          </w:p>
        </w:tc>
      </w:tr>
    </w:tbl>
    <w:p w14:paraId="2E0E673C" w14:textId="77777777" w:rsidR="00D13D9D" w:rsidRPr="007673CA" w:rsidRDefault="00D13D9D" w:rsidP="00DA7595">
      <w:pPr>
        <w:rPr>
          <w:lang w:val="en-NZ" w:eastAsia="ko-KR"/>
        </w:rPr>
      </w:pPr>
    </w:p>
    <w:p w14:paraId="4B5BF43D" w14:textId="77777777" w:rsidR="00BB67B0" w:rsidRDefault="00BB67B0" w:rsidP="00B64A60">
      <w:pPr>
        <w:jc w:val="center"/>
        <w:rPr>
          <w:b/>
          <w:lang w:val="en-NZ" w:eastAsia="ko-KR"/>
        </w:rPr>
      </w:pPr>
    </w:p>
    <w:p w14:paraId="5051E840" w14:textId="7BCE034E" w:rsidR="00495A35" w:rsidRPr="002A0111" w:rsidRDefault="001057E4" w:rsidP="00495A35">
      <w:pPr>
        <w:jc w:val="center"/>
        <w:rPr>
          <w:lang w:val="en-NZ" w:eastAsia="ko-KR"/>
        </w:rPr>
      </w:pPr>
      <w:r>
        <w:rPr>
          <w:lang w:val="en-NZ" w:eastAsia="ko-KR"/>
        </w:rPr>
        <w:t>Working Party 3</w:t>
      </w:r>
    </w:p>
    <w:p w14:paraId="2E0E6744" w14:textId="68FA14A1" w:rsidR="00B64A60" w:rsidRPr="00495A35" w:rsidRDefault="00B64A60" w:rsidP="009E42F8">
      <w:pPr>
        <w:spacing w:after="120"/>
        <w:jc w:val="center"/>
        <w:rPr>
          <w:lang w:val="en-NZ" w:eastAsia="ko-KR"/>
        </w:rPr>
      </w:pPr>
    </w:p>
    <w:p w14:paraId="286D574E" w14:textId="3B63278C" w:rsidR="00553A74" w:rsidRPr="00441526" w:rsidRDefault="001E2311" w:rsidP="00553A74">
      <w:pPr>
        <w:jc w:val="center"/>
        <w:rPr>
          <w:b/>
          <w:bCs/>
          <w:caps/>
          <w:lang w:val="en-NZ"/>
        </w:rPr>
      </w:pPr>
      <w:r>
        <w:rPr>
          <w:b/>
          <w:bCs/>
          <w:caps/>
          <w:lang w:val="en-NZ"/>
        </w:rPr>
        <w:t>P</w:t>
      </w:r>
      <w:r w:rsidR="00553A74" w:rsidRPr="00441526">
        <w:rPr>
          <w:b/>
          <w:bCs/>
          <w:caps/>
          <w:lang w:val="en-NZ"/>
        </w:rPr>
        <w:t xml:space="preserve">RELIMINARY </w:t>
      </w:r>
      <w:r w:rsidR="00553A74">
        <w:rPr>
          <w:b/>
          <w:bCs/>
          <w:caps/>
          <w:lang w:val="en-NZ"/>
        </w:rPr>
        <w:t>VIEWs on WRC-19 agenda item 9.1 Issue 9.1.3</w:t>
      </w:r>
    </w:p>
    <w:p w14:paraId="05BB0722" w14:textId="77777777" w:rsidR="00553A74" w:rsidRPr="00441526" w:rsidRDefault="00553A74" w:rsidP="00553A74">
      <w:pPr>
        <w:spacing w:after="120"/>
        <w:rPr>
          <w:lang w:val="en-NZ"/>
        </w:rPr>
      </w:pPr>
    </w:p>
    <w:p w14:paraId="730D54E0" w14:textId="77777777" w:rsidR="00553A74" w:rsidRDefault="00553A74" w:rsidP="00553A74">
      <w:pPr>
        <w:spacing w:afterLines="50" w:after="120"/>
      </w:pPr>
      <w:r>
        <w:rPr>
          <w:b/>
        </w:rPr>
        <w:t xml:space="preserve">Agenda item 9.1 - Issue 9.1.3: </w:t>
      </w:r>
    </w:p>
    <w:p w14:paraId="617E180C" w14:textId="77777777" w:rsidR="00553A74" w:rsidRPr="004F67AF" w:rsidRDefault="00553A74" w:rsidP="00553A74">
      <w:pPr>
        <w:spacing w:after="100" w:afterAutospacing="1"/>
        <w:rPr>
          <w:rFonts w:eastAsia="Times New Roman"/>
          <w:b/>
          <w:i/>
          <w:lang w:val="en-GB" w:bidi="en-US"/>
        </w:rPr>
      </w:pPr>
      <w:proofErr w:type="gramStart"/>
      <w:r>
        <w:rPr>
          <w:rFonts w:eastAsia="Times New Roman"/>
          <w:i/>
          <w:lang w:val="en-GB" w:bidi="en-US"/>
        </w:rPr>
        <w:t>to</w:t>
      </w:r>
      <w:proofErr w:type="gramEnd"/>
      <w:r>
        <w:rPr>
          <w:rFonts w:eastAsia="Times New Roman"/>
          <w:i/>
          <w:lang w:val="en-GB" w:bidi="en-US"/>
        </w:rPr>
        <w:t xml:space="preserve"> study  technical and operational issues and regulatory provisions for new </w:t>
      </w:r>
      <w:bookmarkStart w:id="0" w:name="OLE_LINK31"/>
      <w:bookmarkStart w:id="1" w:name="OLE_LINK30"/>
      <w:r>
        <w:rPr>
          <w:rFonts w:eastAsia="Times New Roman"/>
          <w:i/>
          <w:lang w:val="en-GB" w:bidi="en-US"/>
        </w:rPr>
        <w:t>non-geostationary-satellite orbit systems</w:t>
      </w:r>
      <w:bookmarkEnd w:id="0"/>
      <w:bookmarkEnd w:id="1"/>
      <w:r>
        <w:rPr>
          <w:rFonts w:eastAsia="Times New Roman"/>
          <w:i/>
          <w:lang w:val="en-GB" w:bidi="en-US"/>
        </w:rPr>
        <w:t xml:space="preserve"> in the 3 700-4 200 MHz, 4 500-4 800 MHz, 5 925-6 425 MHz and 6 725-7 025 MHz frequency bands allocated to the fixed-satellite service,</w:t>
      </w:r>
      <w:r>
        <w:rPr>
          <w:i/>
          <w:lang w:val="en-GB" w:eastAsia="ko-KR"/>
        </w:rPr>
        <w:t xml:space="preserve"> </w:t>
      </w:r>
      <w:r>
        <w:rPr>
          <w:i/>
        </w:rPr>
        <w:t xml:space="preserve">in accordance with Resolution </w:t>
      </w:r>
      <w:r>
        <w:rPr>
          <w:b/>
          <w:i/>
        </w:rPr>
        <w:t>15</w:t>
      </w:r>
      <w:r>
        <w:rPr>
          <w:b/>
          <w:i/>
          <w:lang w:eastAsia="ko-KR"/>
        </w:rPr>
        <w:t>7</w:t>
      </w:r>
      <w:r>
        <w:rPr>
          <w:b/>
          <w:i/>
        </w:rPr>
        <w:t xml:space="preserve"> (WRC-15)</w:t>
      </w:r>
      <w:r>
        <w:rPr>
          <w:rFonts w:eastAsia="Times New Roman"/>
          <w:i/>
          <w:lang w:val="en-GB" w:bidi="en-US"/>
        </w:rPr>
        <w:t>.</w:t>
      </w:r>
    </w:p>
    <w:p w14:paraId="3D6D7C2C" w14:textId="77777777" w:rsidR="00553A74" w:rsidRPr="00321418" w:rsidRDefault="00553A74" w:rsidP="00553A74">
      <w:pPr>
        <w:spacing w:after="120"/>
        <w:jc w:val="both"/>
        <w:rPr>
          <w:b/>
          <w:lang w:val="en-NZ" w:eastAsia="ko-KR"/>
        </w:rPr>
      </w:pPr>
      <w:r w:rsidRPr="00441526">
        <w:rPr>
          <w:b/>
          <w:lang w:val="en-NZ" w:eastAsia="ko-KR"/>
        </w:rPr>
        <w:t xml:space="preserve">1. </w:t>
      </w:r>
      <w:r w:rsidRPr="00441526">
        <w:rPr>
          <w:b/>
          <w:lang w:val="en-NZ" w:eastAsia="ko-KR"/>
        </w:rPr>
        <w:tab/>
        <w:t>Background</w:t>
      </w:r>
    </w:p>
    <w:p w14:paraId="2C416878" w14:textId="77777777" w:rsidR="00553A74" w:rsidRDefault="00553A74" w:rsidP="00553A74">
      <w:r w:rsidRPr="001D33F8">
        <w:t xml:space="preserve">WRC-19 agenda item 9.1, </w:t>
      </w:r>
      <w:r>
        <w:t>i</w:t>
      </w:r>
      <w:r w:rsidRPr="001D33F8">
        <w:t xml:space="preserve">ssue 9.1.3, in accordance with Resolution </w:t>
      </w:r>
      <w:r w:rsidRPr="001D33F8">
        <w:rPr>
          <w:b/>
        </w:rPr>
        <w:t>157 (WRC-15)</w:t>
      </w:r>
      <w:r w:rsidRPr="00373F53">
        <w:rPr>
          <w:bCs/>
        </w:rPr>
        <w:t>,</w:t>
      </w:r>
      <w:r w:rsidRPr="001D33F8">
        <w:t xml:space="preserve"> invites </w:t>
      </w:r>
      <w:r>
        <w:t>ITU-R</w:t>
      </w:r>
      <w:r w:rsidRPr="001D33F8">
        <w:t xml:space="preserve"> to study technical and operational issues and regulatory provisions </w:t>
      </w:r>
      <w:r>
        <w:t xml:space="preserve">for </w:t>
      </w:r>
      <w:r w:rsidRPr="001D33F8">
        <w:t xml:space="preserve">new circular-orbit </w:t>
      </w:r>
      <w:r w:rsidRPr="005B395A">
        <w:t>non-geostationary-satellite orbit</w:t>
      </w:r>
      <w:r>
        <w:t xml:space="preserve"> (</w:t>
      </w:r>
      <w:r w:rsidRPr="001D33F8">
        <w:t>non-GSO</w:t>
      </w:r>
      <w:r>
        <w:t>)</w:t>
      </w:r>
      <w:r w:rsidRPr="005B395A">
        <w:t xml:space="preserve"> systems </w:t>
      </w:r>
      <w:r w:rsidRPr="001D33F8">
        <w:t>in the 3 700-4 200 MHz, 4 500-4 800 MHz, 5 925-6 425 MHz, and 6 725-7 025 MHz</w:t>
      </w:r>
      <w:r>
        <w:t xml:space="preserve"> </w:t>
      </w:r>
      <w:r w:rsidRPr="001D33F8">
        <w:t xml:space="preserve">frequency bands allocated to the fixed-satellite service (FSS), while ensuring protection of </w:t>
      </w:r>
      <w:r>
        <w:t>existing services</w:t>
      </w:r>
      <w:r w:rsidRPr="001D33F8">
        <w:t>.</w:t>
      </w:r>
    </w:p>
    <w:p w14:paraId="64519E2E" w14:textId="77777777" w:rsidR="00553A74" w:rsidRDefault="00553A74" w:rsidP="00553A74"/>
    <w:p w14:paraId="2A2E3BB4" w14:textId="77777777" w:rsidR="00553A74" w:rsidRPr="00363E12" w:rsidRDefault="00553A74" w:rsidP="00553A74">
      <w:pPr>
        <w:rPr>
          <w:rFonts w:asciiTheme="majorBidi" w:hAnsiTheme="majorBidi" w:cstheme="majorBidi"/>
        </w:rPr>
      </w:pPr>
      <w:r w:rsidRPr="00363E12">
        <w:t xml:space="preserve">Article </w:t>
      </w:r>
      <w:r w:rsidRPr="00363E12">
        <w:rPr>
          <w:b/>
        </w:rPr>
        <w:t>21</w:t>
      </w:r>
      <w:r w:rsidRPr="00363E12">
        <w:t xml:space="preserve"> of the Radio Regulations contains provisions to ensure compatibility of non-GSO FSS operations with the fixed and mobile services. These provisions are in the form of </w:t>
      </w:r>
      <w:proofErr w:type="spellStart"/>
      <w:r w:rsidRPr="00363E12">
        <w:t>pfd</w:t>
      </w:r>
      <w:proofErr w:type="spellEnd"/>
      <w:r w:rsidRPr="00363E12">
        <w:t xml:space="preserve"> limits for non-GSO FSS systems. Similar to the sharing situations that led to the RR Article </w:t>
      </w:r>
      <w:r w:rsidRPr="00363E12">
        <w:rPr>
          <w:b/>
        </w:rPr>
        <w:t>22</w:t>
      </w:r>
      <w:r w:rsidRPr="00363E12">
        <w:t xml:space="preserve"> </w:t>
      </w:r>
      <w:proofErr w:type="spellStart"/>
      <w:r w:rsidRPr="00363E12">
        <w:t>epfd</w:t>
      </w:r>
      <w:proofErr w:type="spellEnd"/>
      <w:r w:rsidRPr="00363E12">
        <w:t xml:space="preserve"> limits to protect GSO systems, the existing RR Article </w:t>
      </w:r>
      <w:r w:rsidRPr="00363E12">
        <w:rPr>
          <w:b/>
        </w:rPr>
        <w:t>21</w:t>
      </w:r>
      <w:r w:rsidRPr="00363E12">
        <w:t xml:space="preserve"> </w:t>
      </w:r>
      <w:proofErr w:type="spellStart"/>
      <w:r w:rsidRPr="00363E12">
        <w:t>pfd</w:t>
      </w:r>
      <w:proofErr w:type="spellEnd"/>
      <w:r w:rsidRPr="00363E12">
        <w:t xml:space="preserve"> limits for 3 700-4 200 MHz</w:t>
      </w:r>
      <w:r>
        <w:t xml:space="preserve"> frequency band</w:t>
      </w:r>
      <w:r w:rsidRPr="00363E12">
        <w:rPr>
          <w:color w:val="0D0D0D"/>
        </w:rPr>
        <w:t xml:space="preserve"> </w:t>
      </w:r>
      <w:r w:rsidRPr="00363E12">
        <w:t xml:space="preserve">were established based solely on sharing studies between HEO non-GSO </w:t>
      </w:r>
      <w:r w:rsidRPr="00363E12">
        <w:rPr>
          <w:rFonts w:asciiTheme="majorBidi" w:hAnsiTheme="majorBidi" w:cstheme="majorBidi"/>
        </w:rPr>
        <w:t xml:space="preserve">systems and the fixed and mobile services. </w:t>
      </w:r>
      <w:r w:rsidRPr="00363E12">
        <w:rPr>
          <w:rStyle w:val="ECCParagraph"/>
          <w:rFonts w:asciiTheme="majorBidi" w:hAnsiTheme="majorBidi" w:cstheme="majorBidi"/>
        </w:rPr>
        <w:t>New non-GSO systems that seek to operate in these frequency bands may utilize different types of orbits.</w:t>
      </w:r>
      <w:r w:rsidRPr="00363E12">
        <w:rPr>
          <w:rFonts w:asciiTheme="majorBidi" w:hAnsiTheme="majorBidi" w:cstheme="majorBidi"/>
          <w:highlight w:val="yellow"/>
        </w:rPr>
        <w:t xml:space="preserve"> </w:t>
      </w:r>
    </w:p>
    <w:p w14:paraId="4AB53EEF" w14:textId="77777777" w:rsidR="00553A74" w:rsidRPr="00363E12" w:rsidRDefault="00553A74" w:rsidP="00553A74">
      <w:pPr>
        <w:rPr>
          <w:rStyle w:val="ECCParagraph"/>
          <w:rFonts w:asciiTheme="majorBidi" w:hAnsiTheme="majorBidi" w:cstheme="majorBidi"/>
        </w:rPr>
      </w:pPr>
    </w:p>
    <w:p w14:paraId="263C28CC" w14:textId="77777777" w:rsidR="00553A74" w:rsidRPr="00363E12" w:rsidRDefault="00553A74" w:rsidP="00553A74">
      <w:r w:rsidRPr="00363E12">
        <w:t>Article</w:t>
      </w:r>
      <w:r w:rsidRPr="00363E12">
        <w:rPr>
          <w:lang w:eastAsia="zh-CN"/>
        </w:rPr>
        <w:t xml:space="preserve"> </w:t>
      </w:r>
      <w:r w:rsidRPr="00363E12">
        <w:rPr>
          <w:b/>
          <w:lang w:eastAsia="zh-CN"/>
        </w:rPr>
        <w:t>22</w:t>
      </w:r>
      <w:r w:rsidRPr="00363E12">
        <w:rPr>
          <w:lang w:eastAsia="zh-CN"/>
        </w:rPr>
        <w:t xml:space="preserve"> of the Radio Regulations contains provisions to ensure </w:t>
      </w:r>
      <w:r w:rsidRPr="00363E12">
        <w:rPr>
          <w:rFonts w:eastAsia="MS Mincho"/>
          <w:lang w:eastAsia="ja-JP"/>
        </w:rPr>
        <w:t>compatibility of non-GSO</w:t>
      </w:r>
      <w:r w:rsidRPr="00363E12">
        <w:t xml:space="preserve">FSS </w:t>
      </w:r>
      <w:r w:rsidRPr="00363E12">
        <w:rPr>
          <w:rFonts w:eastAsia="MS Mincho"/>
          <w:lang w:eastAsia="ja-JP"/>
        </w:rPr>
        <w:t xml:space="preserve">operations </w:t>
      </w:r>
      <w:r w:rsidRPr="00363E12">
        <w:rPr>
          <w:lang w:eastAsia="ko-KR"/>
        </w:rPr>
        <w:t>with GSO networks</w:t>
      </w:r>
      <w:r w:rsidRPr="00363E12">
        <w:t xml:space="preserve">. Among these provisions are uplink and downlink equivalent </w:t>
      </w:r>
      <w:proofErr w:type="gramStart"/>
      <w:r w:rsidRPr="00363E12">
        <w:t>power</w:t>
      </w:r>
      <w:proofErr w:type="gramEnd"/>
      <w:r w:rsidRPr="00363E12">
        <w:t xml:space="preserve"> flux density (</w:t>
      </w:r>
      <w:proofErr w:type="spellStart"/>
      <w:r w:rsidRPr="00363E12">
        <w:t>epfd</w:t>
      </w:r>
      <w:proofErr w:type="spellEnd"/>
      <w:r w:rsidRPr="00363E12">
        <w:t xml:space="preserve">↑ and </w:t>
      </w:r>
      <w:proofErr w:type="spellStart"/>
      <w:r w:rsidRPr="00363E12">
        <w:t>epfd</w:t>
      </w:r>
      <w:proofErr w:type="spellEnd"/>
      <w:r w:rsidRPr="00363E12">
        <w:rPr>
          <w:lang w:eastAsia="zh-CN"/>
        </w:rPr>
        <w:t>↓</w:t>
      </w:r>
      <w:r w:rsidRPr="00363E12">
        <w:t xml:space="preserve">) limits to protect GSO networks from unacceptable interference. Regulatory provisions in RR Article </w:t>
      </w:r>
      <w:r w:rsidRPr="00363E12">
        <w:rPr>
          <w:b/>
        </w:rPr>
        <w:t xml:space="preserve">22 </w:t>
      </w:r>
      <w:r w:rsidRPr="00363E12">
        <w:t xml:space="preserve">for sharing between non-GSO FSS systems and GSO FSS networks operating in the 6/4 GHz frequency bands were based on a particular type of non-GSO system using highly-elliptical orbits (HEO). The </w:t>
      </w:r>
      <w:proofErr w:type="spellStart"/>
      <w:r w:rsidRPr="00363E12">
        <w:t>epfd</w:t>
      </w:r>
      <w:proofErr w:type="spellEnd"/>
      <w:r w:rsidRPr="00363E12">
        <w:rPr>
          <w:lang w:eastAsia="zh-CN"/>
        </w:rPr>
        <w:t>↓</w:t>
      </w:r>
      <w:r w:rsidRPr="00363E12">
        <w:t xml:space="preserve"> limits in the 3 700-4 200 MHz (space-to-Earth) and </w:t>
      </w:r>
      <w:proofErr w:type="spellStart"/>
      <w:r w:rsidRPr="00363E12">
        <w:t>epfd</w:t>
      </w:r>
      <w:proofErr w:type="spellEnd"/>
      <w:r w:rsidRPr="00363E12">
        <w:t>↑ limits in the 5 925-6 725 MHz (Earth-to-space) frequency bands did not take into account circular-orbit non-GSO and therefore are more stringent than in other FSS bands that did consider circular orbit non-GSO systems.</w:t>
      </w:r>
    </w:p>
    <w:p w14:paraId="6CF5E902" w14:textId="77777777" w:rsidR="00553A74" w:rsidRPr="00363E12" w:rsidRDefault="00553A74" w:rsidP="00553A74">
      <w:pPr>
        <w:rPr>
          <w:rStyle w:val="ECCParagraph"/>
        </w:rPr>
      </w:pPr>
    </w:p>
    <w:p w14:paraId="30F8D5D5" w14:textId="77777777" w:rsidR="00553A74" w:rsidRDefault="00553A74" w:rsidP="00553A74">
      <w:pPr>
        <w:rPr>
          <w:rStyle w:val="ECCParagraph"/>
          <w:rFonts w:asciiTheme="majorBidi" w:hAnsiTheme="majorBidi" w:cstheme="majorBidi"/>
        </w:rPr>
      </w:pPr>
      <w:r w:rsidRPr="00363E12">
        <w:rPr>
          <w:rStyle w:val="ECCParagraph"/>
          <w:rFonts w:asciiTheme="majorBidi" w:hAnsiTheme="majorBidi" w:cstheme="majorBidi"/>
        </w:rPr>
        <w:t xml:space="preserve">RR Article </w:t>
      </w:r>
      <w:r w:rsidRPr="00363E12">
        <w:rPr>
          <w:rStyle w:val="ECCHLbold"/>
          <w:rFonts w:asciiTheme="majorBidi" w:hAnsiTheme="majorBidi" w:cstheme="majorBidi"/>
        </w:rPr>
        <w:t>22</w:t>
      </w:r>
      <w:r w:rsidRPr="00363E12">
        <w:rPr>
          <w:rStyle w:val="ECCParagraph"/>
          <w:rFonts w:asciiTheme="majorBidi" w:hAnsiTheme="majorBidi" w:cstheme="majorBidi"/>
        </w:rPr>
        <w:t xml:space="preserve"> does not contain </w:t>
      </w:r>
      <w:proofErr w:type="spellStart"/>
      <w:r w:rsidRPr="00363E12">
        <w:rPr>
          <w:rStyle w:val="ECCParagraph"/>
          <w:rFonts w:asciiTheme="majorBidi" w:hAnsiTheme="majorBidi" w:cstheme="majorBidi"/>
        </w:rPr>
        <w:t>epfd</w:t>
      </w:r>
      <w:proofErr w:type="spellEnd"/>
      <w:r w:rsidRPr="00363E12">
        <w:rPr>
          <w:rStyle w:val="ECCParagraph"/>
          <w:rFonts w:asciiTheme="majorBidi" w:hAnsiTheme="majorBidi" w:cstheme="majorBidi"/>
        </w:rPr>
        <w:t xml:space="preserve">↓ and </w:t>
      </w:r>
      <w:proofErr w:type="spellStart"/>
      <w:r w:rsidRPr="00363E12">
        <w:rPr>
          <w:rStyle w:val="ECCParagraph"/>
          <w:rFonts w:asciiTheme="majorBidi" w:hAnsiTheme="majorBidi" w:cstheme="majorBidi"/>
        </w:rPr>
        <w:t>epfd</w:t>
      </w:r>
      <w:proofErr w:type="spellEnd"/>
      <w:r w:rsidRPr="00363E12">
        <w:rPr>
          <w:rStyle w:val="ECCParagraph"/>
          <w:rFonts w:asciiTheme="majorBidi" w:hAnsiTheme="majorBidi" w:cstheme="majorBidi"/>
        </w:rPr>
        <w:t xml:space="preserve">↑ limits for non-GSO systems in the frequency bands 4 500-4 800 MHz (space-to-Earth) and 6 725-7 025 MHz (Earth-to-space) allocated to the FSS, the use of which is subject to the provisions of RR Appendix </w:t>
      </w:r>
      <w:r w:rsidRPr="00363E12">
        <w:rPr>
          <w:rStyle w:val="ECCHLbold"/>
          <w:rFonts w:asciiTheme="majorBidi" w:hAnsiTheme="majorBidi" w:cstheme="majorBidi"/>
        </w:rPr>
        <w:t>30B</w:t>
      </w:r>
      <w:r w:rsidRPr="00363E12">
        <w:rPr>
          <w:rStyle w:val="ECCParagraph"/>
          <w:rFonts w:asciiTheme="majorBidi" w:hAnsiTheme="majorBidi" w:cstheme="majorBidi"/>
        </w:rPr>
        <w:t>.</w:t>
      </w:r>
    </w:p>
    <w:p w14:paraId="553019A1" w14:textId="77777777" w:rsidR="00553A74" w:rsidRDefault="00553A74" w:rsidP="00553A74">
      <w:pPr>
        <w:rPr>
          <w:rStyle w:val="ECCParagraph"/>
          <w:rFonts w:asciiTheme="majorBidi" w:hAnsiTheme="majorBidi" w:cstheme="majorBidi"/>
        </w:rPr>
      </w:pPr>
    </w:p>
    <w:p w14:paraId="315419BE" w14:textId="77777777" w:rsidR="00553A74" w:rsidRPr="005B395A" w:rsidRDefault="00553A74" w:rsidP="00553A74">
      <w:pPr>
        <w:rPr>
          <w:lang w:val="en-NZ"/>
        </w:rPr>
      </w:pPr>
      <w:r w:rsidRPr="00CC4D71">
        <w:rPr>
          <w:lang w:val="en-NZ"/>
        </w:rPr>
        <w:t>Working Party 4A (WP</w:t>
      </w:r>
      <w:r>
        <w:rPr>
          <w:lang w:val="en-NZ"/>
        </w:rPr>
        <w:t xml:space="preserve"> </w:t>
      </w:r>
      <w:r w:rsidRPr="00CC4D71">
        <w:rPr>
          <w:lang w:val="en-NZ"/>
        </w:rPr>
        <w:t>4A) has been identified as the responsible ITU-R group for the studies on WRC-15 Agenda item 9.1, issue 9.1.3.</w:t>
      </w:r>
      <w:bookmarkStart w:id="2" w:name="OLE_LINK75"/>
      <w:bookmarkStart w:id="3" w:name="OLE_LINK76"/>
      <w:r w:rsidRPr="00CC4D71">
        <w:rPr>
          <w:lang w:val="en-NZ"/>
        </w:rPr>
        <w:t xml:space="preserve"> </w:t>
      </w:r>
      <w:r>
        <w:rPr>
          <w:lang w:val="en-NZ"/>
        </w:rPr>
        <w:t>Until</w:t>
      </w:r>
      <w:r w:rsidRPr="00CC4D71">
        <w:rPr>
          <w:lang w:val="en-NZ"/>
        </w:rPr>
        <w:t xml:space="preserve"> its l</w:t>
      </w:r>
      <w:r>
        <w:rPr>
          <w:lang w:val="en-NZ"/>
        </w:rPr>
        <w:t>atest WP4A meeting in February/March 2018</w:t>
      </w:r>
      <w:r w:rsidRPr="005B395A">
        <w:rPr>
          <w:lang w:val="en-NZ"/>
        </w:rPr>
        <w:t xml:space="preserve">, following documents </w:t>
      </w:r>
      <w:r>
        <w:rPr>
          <w:lang w:val="en-NZ"/>
        </w:rPr>
        <w:t>were</w:t>
      </w:r>
      <w:r w:rsidRPr="005B395A">
        <w:rPr>
          <w:lang w:val="en-NZ"/>
        </w:rPr>
        <w:t xml:space="preserve"> </w:t>
      </w:r>
      <w:r>
        <w:rPr>
          <w:lang w:val="en-NZ"/>
        </w:rPr>
        <w:t>developed</w:t>
      </w:r>
      <w:r w:rsidRPr="005B395A">
        <w:rPr>
          <w:lang w:val="en-NZ"/>
        </w:rPr>
        <w:t>:</w:t>
      </w:r>
    </w:p>
    <w:p w14:paraId="026C6937" w14:textId="77777777" w:rsidR="00553A74" w:rsidRPr="005B395A" w:rsidRDefault="00553A74" w:rsidP="00553A74">
      <w:pPr>
        <w:numPr>
          <w:ilvl w:val="0"/>
          <w:numId w:val="18"/>
        </w:numPr>
        <w:ind w:leftChars="145" w:left="708"/>
        <w:rPr>
          <w:lang w:val="en-NZ"/>
        </w:rPr>
      </w:pPr>
      <w:r>
        <w:rPr>
          <w:lang w:val="en-NZ"/>
        </w:rPr>
        <w:lastRenderedPageBreak/>
        <w:t>Working d</w:t>
      </w:r>
      <w:r w:rsidRPr="005B395A">
        <w:rPr>
          <w:lang w:val="en-NZ"/>
        </w:rPr>
        <w:t>ocument towards a preliminary draft new Report ITU-R S.[NGSO_6/4-</w:t>
      </w:r>
      <w:r>
        <w:rPr>
          <w:lang w:val="en-NZ"/>
        </w:rPr>
        <w:t xml:space="preserve">GHz] </w:t>
      </w:r>
      <w:r w:rsidRPr="00823912">
        <w:rPr>
          <w:rFonts w:hint="eastAsia"/>
          <w:lang w:val="en-NZ"/>
        </w:rPr>
        <w:t>(</w:t>
      </w:r>
      <w:r>
        <w:rPr>
          <w:rFonts w:hint="eastAsia"/>
          <w:lang w:val="en-NZ"/>
        </w:rPr>
        <w:t xml:space="preserve">Annex 20 to </w:t>
      </w:r>
      <w:r>
        <w:rPr>
          <w:rFonts w:eastAsia="SimSun"/>
          <w:lang w:eastAsia="zh-CN"/>
        </w:rPr>
        <w:t>document</w:t>
      </w:r>
      <w:r>
        <w:rPr>
          <w:rFonts w:eastAsia="SimSun" w:hint="eastAsia"/>
          <w:lang w:eastAsia="zh-CN"/>
        </w:rPr>
        <w:t xml:space="preserve"> 4A/675)</w:t>
      </w:r>
      <w:r>
        <w:rPr>
          <w:rFonts w:eastAsia="SimSun"/>
          <w:lang w:eastAsia="zh-CN"/>
        </w:rPr>
        <w:t xml:space="preserve"> </w:t>
      </w:r>
      <w:r>
        <w:rPr>
          <w:lang w:val="en-NZ"/>
        </w:rPr>
        <w:t>which address t</w:t>
      </w:r>
      <w:r w:rsidRPr="005B395A">
        <w:rPr>
          <w:lang w:val="en-NZ"/>
        </w:rPr>
        <w:t>echnical and regulatory studies for 6/4 GHz non-GSO FSS sharing</w:t>
      </w:r>
      <w:r>
        <w:rPr>
          <w:lang w:val="en-NZ"/>
        </w:rPr>
        <w:t>;</w:t>
      </w:r>
    </w:p>
    <w:p w14:paraId="140D18A2" w14:textId="77777777" w:rsidR="00553A74" w:rsidRDefault="00553A74" w:rsidP="00553A74">
      <w:pPr>
        <w:numPr>
          <w:ilvl w:val="0"/>
          <w:numId w:val="18"/>
        </w:numPr>
        <w:ind w:leftChars="145" w:left="708"/>
        <w:rPr>
          <w:lang w:val="en-NZ"/>
        </w:rPr>
      </w:pPr>
      <w:r w:rsidRPr="005B395A">
        <w:rPr>
          <w:lang w:val="en-NZ"/>
        </w:rPr>
        <w:t>Working document towards a preliminary draft new Report ITU-R</w:t>
      </w:r>
      <w:r>
        <w:rPr>
          <w:lang w:val="en-NZ"/>
        </w:rPr>
        <w:t xml:space="preserve"> S.[NGSO FSS 6/4 GHz SHARING] </w:t>
      </w:r>
      <w:r>
        <w:rPr>
          <w:rFonts w:eastAsia="SimSun" w:hint="eastAsia"/>
          <w:lang w:eastAsia="zh-CN"/>
        </w:rPr>
        <w:t>(</w:t>
      </w:r>
      <w:r w:rsidRPr="00F9333A">
        <w:rPr>
          <w:rFonts w:hint="eastAsia"/>
          <w:lang w:val="en-NZ"/>
        </w:rPr>
        <w:t>Annex 16 to doc</w:t>
      </w:r>
      <w:proofErr w:type="spellStart"/>
      <w:r>
        <w:rPr>
          <w:rFonts w:eastAsia="SimSun" w:hint="eastAsia"/>
          <w:lang w:eastAsia="zh-CN"/>
        </w:rPr>
        <w:t>ument</w:t>
      </w:r>
      <w:proofErr w:type="spellEnd"/>
      <w:r>
        <w:rPr>
          <w:rFonts w:eastAsia="SimSun" w:hint="eastAsia"/>
          <w:lang w:eastAsia="zh-CN"/>
        </w:rPr>
        <w:t xml:space="preserve"> 4A/364)</w:t>
      </w:r>
      <w:r>
        <w:rPr>
          <w:lang w:val="en-NZ"/>
        </w:rPr>
        <w:t xml:space="preserve"> which address s</w:t>
      </w:r>
      <w:r w:rsidRPr="005B395A">
        <w:rPr>
          <w:lang w:val="en-NZ"/>
        </w:rPr>
        <w:t>haring between non-</w:t>
      </w:r>
      <w:r>
        <w:rPr>
          <w:lang w:val="en-NZ"/>
        </w:rPr>
        <w:t xml:space="preserve">GSO </w:t>
      </w:r>
      <w:r w:rsidRPr="005B395A">
        <w:rPr>
          <w:lang w:val="en-NZ"/>
        </w:rPr>
        <w:t xml:space="preserve">systems in the </w:t>
      </w:r>
      <w:r>
        <w:rPr>
          <w:lang w:val="en-NZ"/>
        </w:rPr>
        <w:t>FSS</w:t>
      </w:r>
      <w:r w:rsidRPr="005B395A">
        <w:rPr>
          <w:lang w:val="en-NZ"/>
        </w:rPr>
        <w:t xml:space="preserve"> and existing and planned systems in the terrestrial and space services allocated on a primary basis in the frequency bands 3 700-4 200 MHz, 4 500-4 800 MHz, 5 925-6 425 MHz and 6 725-7 025 MHz</w:t>
      </w:r>
      <w:r>
        <w:rPr>
          <w:lang w:val="en-NZ"/>
        </w:rPr>
        <w:t>;</w:t>
      </w:r>
    </w:p>
    <w:p w14:paraId="5576B46D" w14:textId="77777777" w:rsidR="00553A74" w:rsidRPr="00CC4D71" w:rsidRDefault="00553A74" w:rsidP="00553A74">
      <w:pPr>
        <w:numPr>
          <w:ilvl w:val="0"/>
          <w:numId w:val="18"/>
        </w:numPr>
        <w:ind w:leftChars="145" w:left="708"/>
        <w:rPr>
          <w:lang w:val="en-NZ"/>
        </w:rPr>
      </w:pPr>
      <w:r>
        <w:rPr>
          <w:lang w:val="en-NZ"/>
        </w:rPr>
        <w:t>W</w:t>
      </w:r>
      <w:r w:rsidRPr="005B395A">
        <w:rPr>
          <w:lang w:val="en-NZ"/>
        </w:rPr>
        <w:t>orking docume</w:t>
      </w:r>
      <w:r>
        <w:rPr>
          <w:lang w:val="en-NZ"/>
        </w:rPr>
        <w:t>nt towards draft CPM</w:t>
      </w:r>
      <w:r w:rsidRPr="005B395A">
        <w:rPr>
          <w:lang w:val="en-NZ"/>
        </w:rPr>
        <w:t xml:space="preserve"> text</w:t>
      </w:r>
      <w:r w:rsidRPr="005B395A">
        <w:rPr>
          <w:rFonts w:eastAsiaTheme="minorEastAsia" w:hint="eastAsia"/>
          <w:lang w:val="en-NZ" w:eastAsia="zh-CN"/>
        </w:rPr>
        <w:t xml:space="preserve"> </w:t>
      </w:r>
      <w:r>
        <w:rPr>
          <w:lang w:val="en-NZ"/>
        </w:rPr>
        <w:t>for WRC</w:t>
      </w:r>
      <w:r w:rsidRPr="005B395A">
        <w:rPr>
          <w:lang w:val="en-NZ"/>
        </w:rPr>
        <w:t>-19 agenda item 9.1, issue 9.1.3</w:t>
      </w:r>
      <w:r>
        <w:rPr>
          <w:lang w:val="en-NZ"/>
        </w:rPr>
        <w:t xml:space="preserve"> </w:t>
      </w:r>
      <w:r>
        <w:rPr>
          <w:rFonts w:eastAsia="SimSun" w:hint="eastAsia"/>
          <w:lang w:eastAsia="zh-CN"/>
        </w:rPr>
        <w:t>(Annex 50 to document 4A/675)</w:t>
      </w:r>
      <w:r>
        <w:rPr>
          <w:i/>
          <w:lang w:val="en-NZ"/>
        </w:rPr>
        <w:t>.</w:t>
      </w:r>
      <w:bookmarkEnd w:id="2"/>
      <w:bookmarkEnd w:id="3"/>
    </w:p>
    <w:p w14:paraId="45F4A592" w14:textId="77777777" w:rsidR="00553A74" w:rsidRDefault="00553A74" w:rsidP="00553A74">
      <w:pPr>
        <w:jc w:val="both"/>
        <w:rPr>
          <w:lang w:val="en-NZ"/>
        </w:rPr>
      </w:pPr>
    </w:p>
    <w:p w14:paraId="5580A210" w14:textId="77777777" w:rsidR="00553A74" w:rsidRDefault="00553A74" w:rsidP="00553A74">
      <w:pPr>
        <w:jc w:val="both"/>
        <w:rPr>
          <w:lang w:val="en-NZ"/>
        </w:rPr>
      </w:pPr>
      <w:r>
        <w:rPr>
          <w:rFonts w:eastAsia="SimSun"/>
          <w:bCs/>
          <w:lang w:val="en-NZ" w:eastAsia="zh-CN"/>
        </w:rPr>
        <w:t>To address this issue,</w:t>
      </w:r>
      <w:r>
        <w:rPr>
          <w:rFonts w:eastAsia="SimSun"/>
          <w:bCs/>
          <w:lang w:eastAsia="zh-CN"/>
        </w:rPr>
        <w:t xml:space="preserve"> </w:t>
      </w:r>
      <w:r w:rsidRPr="002F62BA">
        <w:rPr>
          <w:rFonts w:eastAsia="SimSun"/>
          <w:bCs/>
          <w:lang w:eastAsia="zh-CN"/>
        </w:rPr>
        <w:t>three studies</w:t>
      </w:r>
      <w:r>
        <w:rPr>
          <w:rFonts w:eastAsia="SimSun"/>
          <w:bCs/>
          <w:lang w:eastAsia="zh-CN"/>
        </w:rPr>
        <w:t xml:space="preserve"> were indicated as conclusion in</w:t>
      </w:r>
      <w:r w:rsidRPr="002F62BA">
        <w:rPr>
          <w:rFonts w:eastAsia="SimSun"/>
          <w:bCs/>
          <w:lang w:eastAsia="zh-CN"/>
        </w:rPr>
        <w:t xml:space="preserve"> working document towards draft CPM text </w:t>
      </w:r>
      <w:r>
        <w:rPr>
          <w:rFonts w:eastAsia="SimSun"/>
          <w:bCs/>
          <w:lang w:eastAsia="zh-CN"/>
        </w:rPr>
        <w:t xml:space="preserve">for </w:t>
      </w:r>
      <w:r w:rsidRPr="002F62BA">
        <w:rPr>
          <w:rFonts w:eastAsia="SimSun"/>
          <w:bCs/>
          <w:lang w:eastAsia="zh-CN"/>
        </w:rPr>
        <w:t>WRC-19 agenda item 9.1 issue 9.1.3</w:t>
      </w:r>
      <w:r>
        <w:rPr>
          <w:rFonts w:eastAsia="SimSun"/>
          <w:bCs/>
          <w:lang w:eastAsia="zh-CN"/>
        </w:rPr>
        <w:t xml:space="preserve">. </w:t>
      </w:r>
      <w:r w:rsidRPr="002F62BA">
        <w:rPr>
          <w:rFonts w:eastAsia="SimSun"/>
          <w:bCs/>
          <w:lang w:eastAsia="zh-CN"/>
        </w:rPr>
        <w:t xml:space="preserve">One study </w:t>
      </w:r>
      <w:r>
        <w:rPr>
          <w:rFonts w:eastAsia="SimSun"/>
          <w:bCs/>
          <w:lang w:eastAsia="zh-CN"/>
        </w:rPr>
        <w:t>indicated</w:t>
      </w:r>
      <w:r w:rsidRPr="002F62BA">
        <w:rPr>
          <w:rFonts w:eastAsia="SimSun"/>
          <w:bCs/>
          <w:lang w:eastAsia="zh-CN"/>
        </w:rPr>
        <w:t xml:space="preserve"> that there is no need to review  the values of the existing limits presented in Article </w:t>
      </w:r>
      <w:r w:rsidRPr="00926098">
        <w:rPr>
          <w:rFonts w:eastAsia="SimSun"/>
          <w:b/>
          <w:bCs/>
          <w:lang w:eastAsia="zh-CN"/>
        </w:rPr>
        <w:t>22</w:t>
      </w:r>
      <w:r w:rsidRPr="002F62BA">
        <w:rPr>
          <w:rFonts w:eastAsia="SimSun"/>
          <w:bCs/>
          <w:lang w:eastAsia="zh-CN"/>
        </w:rPr>
        <w:t xml:space="preserve"> </w:t>
      </w:r>
      <w:proofErr w:type="spellStart"/>
      <w:r w:rsidRPr="002F62BA">
        <w:rPr>
          <w:rFonts w:eastAsia="SimSun"/>
          <w:bCs/>
          <w:lang w:eastAsia="zh-CN"/>
        </w:rPr>
        <w:t>epfd</w:t>
      </w:r>
      <w:proofErr w:type="spellEnd"/>
      <w:r w:rsidRPr="002F62BA">
        <w:rPr>
          <w:rFonts w:eastAsia="SimSun"/>
          <w:bCs/>
          <w:lang w:eastAsia="zh-CN"/>
        </w:rPr>
        <w:t xml:space="preserve"> and Article </w:t>
      </w:r>
      <w:r w:rsidRPr="00926098">
        <w:rPr>
          <w:rFonts w:eastAsia="SimSun"/>
          <w:b/>
          <w:bCs/>
          <w:lang w:eastAsia="zh-CN"/>
        </w:rPr>
        <w:t>21</w:t>
      </w:r>
      <w:r w:rsidRPr="002F62BA">
        <w:rPr>
          <w:rFonts w:eastAsia="SimSun"/>
          <w:bCs/>
          <w:lang w:eastAsia="zh-CN"/>
        </w:rPr>
        <w:t xml:space="preserve"> </w:t>
      </w:r>
      <w:proofErr w:type="spellStart"/>
      <w:r w:rsidRPr="002F62BA">
        <w:rPr>
          <w:rFonts w:eastAsia="SimSun"/>
          <w:bCs/>
          <w:lang w:eastAsia="zh-CN"/>
        </w:rPr>
        <w:t>pfd</w:t>
      </w:r>
      <w:proofErr w:type="spellEnd"/>
      <w:r w:rsidRPr="002F62BA">
        <w:rPr>
          <w:rFonts w:eastAsia="SimSun"/>
          <w:bCs/>
          <w:lang w:eastAsia="zh-CN"/>
        </w:rPr>
        <w:t xml:space="preserve"> of the Radio Regulations for the 3 700 4 200 MHz, 4 500-4 800 MHz, 5 925-6 425 MHz, and 6 725-7 025 MHz frequency bands. Another study suggested </w:t>
      </w:r>
      <w:bookmarkStart w:id="4" w:name="OLE_LINK56"/>
      <w:bookmarkStart w:id="5" w:name="OLE_LINK57"/>
      <w:bookmarkStart w:id="6" w:name="OLE_LINK58"/>
      <w:r w:rsidRPr="002F62BA">
        <w:rPr>
          <w:rFonts w:eastAsia="SimSun"/>
          <w:bCs/>
          <w:lang w:eastAsia="zh-CN"/>
        </w:rPr>
        <w:t xml:space="preserve">to envisage the </w:t>
      </w:r>
      <w:bookmarkStart w:id="7" w:name="OLE_LINK55"/>
      <w:r w:rsidRPr="002F62BA">
        <w:rPr>
          <w:rFonts w:eastAsia="SimSun"/>
          <w:bCs/>
          <w:lang w:eastAsia="zh-CN"/>
        </w:rPr>
        <w:t xml:space="preserve">establishment of aggregate </w:t>
      </w:r>
      <w:proofErr w:type="spellStart"/>
      <w:r w:rsidRPr="002F62BA">
        <w:rPr>
          <w:rFonts w:eastAsia="SimSun"/>
          <w:bCs/>
          <w:lang w:eastAsia="zh-CN"/>
        </w:rPr>
        <w:t>epfd</w:t>
      </w:r>
      <w:proofErr w:type="spellEnd"/>
      <w:r w:rsidRPr="002F62BA">
        <w:rPr>
          <w:rFonts w:eastAsia="SimSun"/>
          <w:bCs/>
          <w:lang w:eastAsia="zh-CN"/>
        </w:rPr>
        <w:t xml:space="preserve"> limits that would be verified through multilateral meeting</w:t>
      </w:r>
      <w:bookmarkEnd w:id="7"/>
      <w:r w:rsidRPr="002F62BA">
        <w:rPr>
          <w:rFonts w:eastAsia="SimSun"/>
          <w:bCs/>
          <w:lang w:eastAsia="zh-CN"/>
        </w:rPr>
        <w:t>s</w:t>
      </w:r>
      <w:bookmarkEnd w:id="4"/>
      <w:bookmarkEnd w:id="5"/>
      <w:bookmarkEnd w:id="6"/>
      <w:r w:rsidRPr="002F62BA">
        <w:rPr>
          <w:rFonts w:eastAsia="SimSun"/>
          <w:bCs/>
          <w:lang w:eastAsia="zh-CN"/>
        </w:rPr>
        <w:t xml:space="preserve">. One more study suggested </w:t>
      </w:r>
      <w:bookmarkStart w:id="8" w:name="OLE_LINK59"/>
      <w:bookmarkStart w:id="9" w:name="OLE_LINK60"/>
      <w:bookmarkStart w:id="10" w:name="OLE_LINK61"/>
      <w:r w:rsidRPr="002F62BA">
        <w:rPr>
          <w:rFonts w:eastAsia="SimSun"/>
          <w:bCs/>
          <w:lang w:eastAsia="zh-CN"/>
        </w:rPr>
        <w:t xml:space="preserve">to establish coordination procedure in the frequency bands 3 700−4 200 MHz and 5 925−6 425 MHz between non-GSO FSS systems under RR No. </w:t>
      </w:r>
      <w:r w:rsidRPr="00926098">
        <w:rPr>
          <w:rFonts w:eastAsia="SimSun"/>
          <w:b/>
          <w:bCs/>
          <w:lang w:eastAsia="zh-CN"/>
        </w:rPr>
        <w:t>9.12</w:t>
      </w:r>
      <w:bookmarkEnd w:id="8"/>
      <w:bookmarkEnd w:id="9"/>
      <w:bookmarkEnd w:id="10"/>
      <w:r w:rsidRPr="002F62BA">
        <w:rPr>
          <w:rFonts w:eastAsia="SimSun"/>
          <w:bCs/>
          <w:lang w:eastAsia="zh-CN"/>
        </w:rPr>
        <w:t xml:space="preserve">, while keeping the values of the existing limits presented in Article </w:t>
      </w:r>
      <w:r w:rsidRPr="00926098">
        <w:rPr>
          <w:rFonts w:eastAsia="SimSun"/>
          <w:b/>
          <w:bCs/>
          <w:lang w:eastAsia="zh-CN"/>
        </w:rPr>
        <w:t>22</w:t>
      </w:r>
      <w:r w:rsidRPr="002F62BA">
        <w:rPr>
          <w:rFonts w:eastAsia="SimSun"/>
          <w:bCs/>
          <w:lang w:eastAsia="zh-CN"/>
        </w:rPr>
        <w:t xml:space="preserve"> </w:t>
      </w:r>
      <w:proofErr w:type="spellStart"/>
      <w:r w:rsidRPr="002F62BA">
        <w:rPr>
          <w:rFonts w:eastAsia="SimSun"/>
          <w:bCs/>
          <w:lang w:eastAsia="zh-CN"/>
        </w:rPr>
        <w:t>epfd</w:t>
      </w:r>
      <w:proofErr w:type="spellEnd"/>
      <w:r w:rsidRPr="002F62BA">
        <w:rPr>
          <w:rFonts w:eastAsia="SimSun"/>
          <w:bCs/>
          <w:lang w:eastAsia="zh-CN"/>
        </w:rPr>
        <w:t xml:space="preserve"> and Article </w:t>
      </w:r>
      <w:r w:rsidRPr="00926098">
        <w:rPr>
          <w:rFonts w:eastAsia="SimSun"/>
          <w:b/>
          <w:bCs/>
          <w:lang w:eastAsia="zh-CN"/>
        </w:rPr>
        <w:t>21</w:t>
      </w:r>
      <w:r w:rsidRPr="002F62BA">
        <w:rPr>
          <w:rFonts w:eastAsia="SimSun"/>
          <w:bCs/>
          <w:lang w:eastAsia="zh-CN"/>
        </w:rPr>
        <w:t xml:space="preserve"> </w:t>
      </w:r>
      <w:proofErr w:type="spellStart"/>
      <w:r w:rsidRPr="002F62BA">
        <w:rPr>
          <w:rFonts w:eastAsia="SimSun"/>
          <w:bCs/>
          <w:lang w:eastAsia="zh-CN"/>
        </w:rPr>
        <w:t>pfd</w:t>
      </w:r>
      <w:proofErr w:type="spellEnd"/>
      <w:r w:rsidRPr="002F62BA">
        <w:rPr>
          <w:rFonts w:eastAsia="SimSun"/>
          <w:bCs/>
          <w:lang w:eastAsia="zh-CN"/>
        </w:rPr>
        <w:t xml:space="preserve"> of the Radio Regulations no change.</w:t>
      </w:r>
    </w:p>
    <w:p w14:paraId="42D6195A" w14:textId="77777777" w:rsidR="00553A74" w:rsidRPr="00441526" w:rsidRDefault="00553A74" w:rsidP="00553A74">
      <w:pPr>
        <w:jc w:val="both"/>
        <w:rPr>
          <w:lang w:val="en-NZ"/>
        </w:rPr>
      </w:pPr>
    </w:p>
    <w:p w14:paraId="2A976DDC" w14:textId="77777777" w:rsidR="00553A74" w:rsidRPr="00441526" w:rsidRDefault="00553A74" w:rsidP="00553A74">
      <w:pPr>
        <w:spacing w:after="120"/>
        <w:jc w:val="both"/>
        <w:rPr>
          <w:b/>
          <w:lang w:val="en-NZ" w:eastAsia="ko-KR"/>
        </w:rPr>
      </w:pPr>
      <w:r w:rsidRPr="00441526">
        <w:rPr>
          <w:b/>
          <w:lang w:val="en-NZ" w:eastAsia="ko-KR"/>
        </w:rPr>
        <w:t xml:space="preserve">2. </w:t>
      </w:r>
      <w:r w:rsidRPr="00441526">
        <w:rPr>
          <w:b/>
          <w:lang w:val="en-NZ" w:eastAsia="ko-KR"/>
        </w:rPr>
        <w:tab/>
        <w:t>Documents</w:t>
      </w:r>
    </w:p>
    <w:p w14:paraId="0E5E5470" w14:textId="77777777" w:rsidR="00553A74" w:rsidRPr="0082735D" w:rsidRDefault="00553A74" w:rsidP="00553A74">
      <w:pPr>
        <w:numPr>
          <w:ilvl w:val="0"/>
          <w:numId w:val="18"/>
        </w:numPr>
        <w:ind w:leftChars="145" w:left="708"/>
        <w:rPr>
          <w:lang w:val="en-NZ"/>
        </w:rPr>
      </w:pPr>
      <w:r w:rsidRPr="0082735D">
        <w:rPr>
          <w:lang w:val="en-NZ"/>
        </w:rPr>
        <w:t>Input Documents: APG19-3/INP-19 (INS), APG19-3/INP-23</w:t>
      </w:r>
      <w:r>
        <w:rPr>
          <w:lang w:val="en-NZ"/>
        </w:rPr>
        <w:t xml:space="preserve"> Rev.1</w:t>
      </w:r>
      <w:r w:rsidRPr="0082735D">
        <w:rPr>
          <w:lang w:val="en-NZ"/>
        </w:rPr>
        <w:t xml:space="preserve"> (KOR), APG19-3/INP-43 (AUS), APG19-3/INP-51 (J), APG19-3/INP-61 </w:t>
      </w:r>
      <w:r>
        <w:rPr>
          <w:lang w:val="en-NZ"/>
        </w:rPr>
        <w:t>Rev.1</w:t>
      </w:r>
      <w:r w:rsidRPr="0082735D">
        <w:rPr>
          <w:lang w:val="en-NZ"/>
        </w:rPr>
        <w:t xml:space="preserve"> (THA)</w:t>
      </w:r>
      <w:r>
        <w:rPr>
          <w:lang w:val="en-NZ"/>
        </w:rPr>
        <w:t xml:space="preserve"> </w:t>
      </w:r>
      <w:r w:rsidRPr="0082735D">
        <w:rPr>
          <w:lang w:val="en-NZ"/>
        </w:rPr>
        <w:t xml:space="preserve">, APG19-3/INP-84 </w:t>
      </w:r>
      <w:r>
        <w:rPr>
          <w:lang w:val="en-NZ"/>
        </w:rPr>
        <w:t xml:space="preserve">Rev.1 </w:t>
      </w:r>
      <w:r w:rsidRPr="0082735D">
        <w:rPr>
          <w:lang w:val="en-NZ"/>
        </w:rPr>
        <w:t>(VTN), APG19-3/INP-88 (CHN)</w:t>
      </w:r>
    </w:p>
    <w:p w14:paraId="53D9F30D" w14:textId="77777777" w:rsidR="00553A74" w:rsidRPr="0082735D" w:rsidRDefault="00553A74" w:rsidP="00553A74">
      <w:pPr>
        <w:numPr>
          <w:ilvl w:val="0"/>
          <w:numId w:val="18"/>
        </w:numPr>
        <w:spacing w:afterLines="50" w:after="120"/>
        <w:ind w:leftChars="145" w:left="705" w:hanging="357"/>
        <w:rPr>
          <w:lang w:val="en-NZ"/>
        </w:rPr>
      </w:pPr>
      <w:r w:rsidRPr="0082735D">
        <w:rPr>
          <w:lang w:val="en-NZ"/>
        </w:rPr>
        <w:t xml:space="preserve">Information Documents: APG19-3/INF-06 (CEPT), APG19-3/INF-08 </w:t>
      </w:r>
      <w:r>
        <w:rPr>
          <w:lang w:val="en-NZ"/>
        </w:rPr>
        <w:t>Rev.1</w:t>
      </w:r>
      <w:r w:rsidRPr="0082735D">
        <w:rPr>
          <w:lang w:val="en-NZ"/>
        </w:rPr>
        <w:t xml:space="preserve"> (CITEL)</w:t>
      </w:r>
    </w:p>
    <w:p w14:paraId="6B4E138F" w14:textId="77777777" w:rsidR="00553A74" w:rsidRPr="00441526" w:rsidRDefault="00553A74" w:rsidP="00553A74">
      <w:pPr>
        <w:spacing w:after="120"/>
        <w:jc w:val="both"/>
        <w:rPr>
          <w:b/>
          <w:lang w:val="en-NZ" w:eastAsia="ko-KR"/>
        </w:rPr>
      </w:pPr>
      <w:r w:rsidRPr="00441526">
        <w:rPr>
          <w:b/>
          <w:lang w:val="en-NZ" w:eastAsia="ko-KR"/>
        </w:rPr>
        <w:t xml:space="preserve">3. </w:t>
      </w:r>
      <w:r w:rsidRPr="00441526">
        <w:rPr>
          <w:b/>
          <w:lang w:val="en-NZ" w:eastAsia="ko-KR"/>
        </w:rPr>
        <w:tab/>
        <w:t>Summary of discussions</w:t>
      </w:r>
    </w:p>
    <w:p w14:paraId="2D514CFC" w14:textId="77777777" w:rsidR="00553A74" w:rsidRPr="00321418" w:rsidRDefault="00553A74" w:rsidP="00553A74">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3033917" w14:textId="77777777" w:rsidR="00553A74" w:rsidRPr="00441526" w:rsidRDefault="00553A74" w:rsidP="00553A74">
      <w:pPr>
        <w:spacing w:after="120"/>
        <w:jc w:val="both"/>
        <w:rPr>
          <w:b/>
          <w:lang w:val="en-NZ" w:eastAsia="ko-KR"/>
        </w:rPr>
      </w:pPr>
      <w:r w:rsidRPr="00441526">
        <w:rPr>
          <w:b/>
          <w:lang w:val="en-NZ" w:eastAsia="ko-KR"/>
        </w:rPr>
        <w:t xml:space="preserve">3.1.1 </w:t>
      </w:r>
      <w:r w:rsidRPr="00441526">
        <w:rPr>
          <w:b/>
          <w:lang w:val="en-NZ" w:eastAsia="ko-KR"/>
        </w:rPr>
        <w:tab/>
      </w:r>
      <w:r>
        <w:rPr>
          <w:b/>
          <w:lang w:val="en-NZ" w:eastAsia="ko-KR"/>
        </w:rPr>
        <w:t>Indonesia (Republic o</w:t>
      </w:r>
      <w:r w:rsidRPr="00926098">
        <w:rPr>
          <w:b/>
          <w:lang w:val="en-NZ" w:eastAsia="ko-KR"/>
        </w:rPr>
        <w:t>f)</w:t>
      </w:r>
      <w:r w:rsidRPr="00441526">
        <w:rPr>
          <w:b/>
          <w:lang w:val="en-NZ" w:eastAsia="ko-KR"/>
        </w:rPr>
        <w:t xml:space="preserve"> </w:t>
      </w:r>
      <w:r w:rsidRPr="00441526">
        <w:t xml:space="preserve">- </w:t>
      </w:r>
      <w:r>
        <w:rPr>
          <w:b/>
          <w:lang w:val="en-NZ" w:eastAsia="ko-KR"/>
        </w:rPr>
        <w:t>Document APG19-3/INP-19</w:t>
      </w:r>
    </w:p>
    <w:p w14:paraId="4DB1DD27" w14:textId="77777777" w:rsidR="00553A74" w:rsidRDefault="00553A74" w:rsidP="00553A74">
      <w:r>
        <w:t xml:space="preserve">Based on ITU study </w:t>
      </w:r>
      <w:r>
        <w:rPr>
          <w:lang w:eastAsia="zh-CN"/>
        </w:rPr>
        <w:t xml:space="preserve">that indicates that circular-orbit non-GSO FSS operations in the 6/4 GHz band could result in large exceedances of the GSO protection criteria, </w:t>
      </w:r>
      <w:r>
        <w:t xml:space="preserve">Indonesia is of the view that </w:t>
      </w:r>
      <w:r>
        <w:rPr>
          <w:lang w:eastAsia="zh-CN"/>
        </w:rPr>
        <w:t xml:space="preserve">there is no need to review the values of the existing limits presented in Article </w:t>
      </w:r>
      <w:r>
        <w:rPr>
          <w:b/>
          <w:bCs/>
          <w:lang w:eastAsia="zh-CN"/>
        </w:rPr>
        <w:t>22</w:t>
      </w:r>
      <w:r>
        <w:rPr>
          <w:lang w:eastAsia="zh-CN"/>
        </w:rPr>
        <w:t xml:space="preserve"> </w:t>
      </w:r>
      <w:proofErr w:type="spellStart"/>
      <w:r>
        <w:rPr>
          <w:lang w:eastAsia="zh-CN"/>
        </w:rPr>
        <w:t>epfd</w:t>
      </w:r>
      <w:proofErr w:type="spellEnd"/>
      <w:r>
        <w:rPr>
          <w:lang w:eastAsia="zh-CN"/>
        </w:rPr>
        <w:t xml:space="preserve"> and Article </w:t>
      </w:r>
      <w:r>
        <w:rPr>
          <w:b/>
          <w:bCs/>
          <w:lang w:eastAsia="zh-CN"/>
        </w:rPr>
        <w:t>21</w:t>
      </w:r>
      <w:r>
        <w:rPr>
          <w:lang w:eastAsia="zh-CN"/>
        </w:rPr>
        <w:t xml:space="preserve"> </w:t>
      </w:r>
      <w:proofErr w:type="spellStart"/>
      <w:r>
        <w:rPr>
          <w:lang w:eastAsia="zh-CN"/>
        </w:rPr>
        <w:t>pfd</w:t>
      </w:r>
      <w:proofErr w:type="spellEnd"/>
      <w:r>
        <w:rPr>
          <w:lang w:eastAsia="zh-CN"/>
        </w:rPr>
        <w:t xml:space="preserve"> of the Radio Regulations for the 3 700</w:t>
      </w:r>
      <w:r>
        <w:rPr>
          <w:lang w:eastAsia="zh-CN"/>
        </w:rPr>
        <w:noBreakHyphen/>
        <w:t>4 200 MHz, 4 500-4 800 MHz, 5 925-6 425 MHz, and 6 725-7 025 MHz frequency bands</w:t>
      </w:r>
      <w:r>
        <w:t>.</w:t>
      </w:r>
    </w:p>
    <w:p w14:paraId="3B7E0B0B" w14:textId="77777777" w:rsidR="00553A74" w:rsidRPr="00441526" w:rsidRDefault="00553A74" w:rsidP="00553A74">
      <w:pPr>
        <w:rPr>
          <w:lang w:val="en-NZ"/>
        </w:rPr>
      </w:pPr>
    </w:p>
    <w:p w14:paraId="6D7A71B8" w14:textId="77777777" w:rsidR="00553A74" w:rsidRDefault="00553A74" w:rsidP="00553A74">
      <w:pPr>
        <w:spacing w:afterLines="50" w:after="120"/>
        <w:jc w:val="both"/>
        <w:rPr>
          <w:b/>
          <w:lang w:val="en-NZ" w:eastAsia="ko-KR"/>
        </w:rPr>
      </w:pPr>
      <w:r>
        <w:rPr>
          <w:b/>
          <w:lang w:val="en-NZ" w:eastAsia="ko-KR"/>
        </w:rPr>
        <w:t xml:space="preserve">3.1.2 </w:t>
      </w:r>
      <w:r>
        <w:rPr>
          <w:b/>
          <w:lang w:val="en-NZ" w:eastAsia="ko-KR"/>
        </w:rPr>
        <w:tab/>
      </w:r>
      <w:bookmarkStart w:id="11" w:name="OLE_LINK1"/>
      <w:bookmarkStart w:id="12" w:name="OLE_LINK2"/>
      <w:r w:rsidRPr="00926098">
        <w:rPr>
          <w:b/>
          <w:lang w:val="en-NZ" w:eastAsia="ko-KR"/>
        </w:rPr>
        <w:t>Korea (Rep. of)</w:t>
      </w:r>
      <w:r w:rsidRPr="00441526">
        <w:rPr>
          <w:b/>
          <w:lang w:val="en-NZ" w:eastAsia="ko-KR"/>
        </w:rPr>
        <w:t xml:space="preserve"> </w:t>
      </w:r>
      <w:bookmarkEnd w:id="11"/>
      <w:bookmarkEnd w:id="12"/>
      <w:r w:rsidRPr="00441526">
        <w:t xml:space="preserve">- </w:t>
      </w:r>
      <w:r>
        <w:rPr>
          <w:b/>
          <w:lang w:val="en-NZ" w:eastAsia="ko-KR"/>
        </w:rPr>
        <w:t>Document APG19-3/INP-23 Rev.1</w:t>
      </w:r>
    </w:p>
    <w:p w14:paraId="0D69A00D" w14:textId="77777777" w:rsidR="00553A74" w:rsidRPr="00085ABE" w:rsidRDefault="00553A74" w:rsidP="00553A74">
      <w:pPr>
        <w:jc w:val="both"/>
        <w:rPr>
          <w:lang w:eastAsia="ko-KR"/>
        </w:rPr>
      </w:pPr>
      <w:r>
        <w:rPr>
          <w:lang w:val="en-NZ"/>
        </w:rPr>
        <w:t xml:space="preserve">The Administration of </w:t>
      </w:r>
      <w:r w:rsidRPr="00F11BCC">
        <w:rPr>
          <w:lang w:val="en-NZ"/>
        </w:rPr>
        <w:t>Korea</w:t>
      </w:r>
      <w:r>
        <w:rPr>
          <w:lang w:val="en-NZ"/>
        </w:rPr>
        <w:t xml:space="preserve"> supports no change </w:t>
      </w:r>
      <w:r>
        <w:rPr>
          <w:lang w:eastAsia="ko-KR"/>
        </w:rPr>
        <w:t>of</w:t>
      </w:r>
      <w:r w:rsidRPr="00AD48BE">
        <w:rPr>
          <w:lang w:eastAsia="ko-KR"/>
        </w:rPr>
        <w:t xml:space="preserve">  the values of the existing limits presented in Article </w:t>
      </w:r>
      <w:r w:rsidRPr="00C45E7B">
        <w:rPr>
          <w:b/>
          <w:lang w:eastAsia="ko-KR"/>
        </w:rPr>
        <w:t>22</w:t>
      </w:r>
      <w:r w:rsidRPr="00AD48BE">
        <w:rPr>
          <w:lang w:eastAsia="ko-KR"/>
        </w:rPr>
        <w:t xml:space="preserve"> </w:t>
      </w:r>
      <w:proofErr w:type="spellStart"/>
      <w:r w:rsidRPr="00AD48BE">
        <w:rPr>
          <w:lang w:eastAsia="ko-KR"/>
        </w:rPr>
        <w:t>epfd</w:t>
      </w:r>
      <w:proofErr w:type="spellEnd"/>
      <w:r w:rsidRPr="00AD48BE">
        <w:rPr>
          <w:lang w:eastAsia="ko-KR"/>
        </w:rPr>
        <w:t xml:space="preserve"> and Article </w:t>
      </w:r>
      <w:r w:rsidRPr="00C45E7B">
        <w:rPr>
          <w:b/>
          <w:lang w:eastAsia="ko-KR"/>
        </w:rPr>
        <w:t>21</w:t>
      </w:r>
      <w:r w:rsidRPr="00AD48BE">
        <w:rPr>
          <w:lang w:eastAsia="ko-KR"/>
        </w:rPr>
        <w:t xml:space="preserve"> </w:t>
      </w:r>
      <w:proofErr w:type="spellStart"/>
      <w:r w:rsidRPr="00AD48BE">
        <w:rPr>
          <w:lang w:eastAsia="ko-KR"/>
        </w:rPr>
        <w:t>pfd</w:t>
      </w:r>
      <w:proofErr w:type="spellEnd"/>
      <w:r w:rsidRPr="00AD48BE">
        <w:rPr>
          <w:lang w:eastAsia="ko-KR"/>
        </w:rPr>
        <w:t xml:space="preserve"> of the Radio</w:t>
      </w:r>
      <w:r>
        <w:rPr>
          <w:lang w:eastAsia="ko-KR"/>
        </w:rPr>
        <w:t xml:space="preserve"> Regulations in</w:t>
      </w:r>
      <w:r w:rsidRPr="00AD48BE">
        <w:rPr>
          <w:lang w:eastAsia="ko-KR"/>
        </w:rPr>
        <w:t xml:space="preserve"> the 3 700 4 200 MHz, 4 500-4 800 MHz, 5 925-6 425 MHz, and 6 725-7 025 MHz frequency bands</w:t>
      </w:r>
      <w:r>
        <w:rPr>
          <w:lang w:eastAsia="ko-KR"/>
        </w:rPr>
        <w:t>, t</w:t>
      </w:r>
      <w:r w:rsidRPr="00F91FC3">
        <w:rPr>
          <w:lang w:eastAsia="ko-KR"/>
        </w:rPr>
        <w:t>aking into account the latest ITU-R studies</w:t>
      </w:r>
      <w:r>
        <w:rPr>
          <w:lang w:eastAsia="ko-KR"/>
        </w:rPr>
        <w:t xml:space="preserve"> that </w:t>
      </w:r>
      <w:r w:rsidRPr="003466B0">
        <w:rPr>
          <w:lang w:eastAsia="ko-KR"/>
        </w:rPr>
        <w:t>it would be very difficult to operate a non-GSO circular-orbit system for the purposes of a global broadband network in the 6/4 GHz frequency bands</w:t>
      </w:r>
      <w:r>
        <w:rPr>
          <w:lang w:eastAsia="ko-KR"/>
        </w:rPr>
        <w:t xml:space="preserve"> while protecting </w:t>
      </w:r>
      <w:r>
        <w:rPr>
          <w:lang w:eastAsia="zh-CN"/>
        </w:rPr>
        <w:t>the existing GSO systems</w:t>
      </w:r>
      <w:r w:rsidRPr="00AD48BE">
        <w:rPr>
          <w:lang w:eastAsia="ko-KR"/>
        </w:rPr>
        <w:t>.</w:t>
      </w:r>
    </w:p>
    <w:p w14:paraId="282DBE1C" w14:textId="77777777" w:rsidR="00553A74" w:rsidRDefault="00553A74" w:rsidP="00553A74"/>
    <w:p w14:paraId="7DE2F22A" w14:textId="77777777" w:rsidR="00553A74" w:rsidRPr="00441526" w:rsidRDefault="00553A74" w:rsidP="00553A74">
      <w:pPr>
        <w:spacing w:after="120"/>
        <w:jc w:val="both"/>
        <w:rPr>
          <w:b/>
          <w:lang w:val="en-NZ" w:eastAsia="ko-KR"/>
        </w:rPr>
      </w:pPr>
      <w:bookmarkStart w:id="13" w:name="OLE_LINK23"/>
      <w:r>
        <w:rPr>
          <w:b/>
          <w:lang w:val="en-NZ" w:eastAsia="ko-KR"/>
        </w:rPr>
        <w:t>3.1.3</w:t>
      </w:r>
      <w:r w:rsidRPr="00441526">
        <w:rPr>
          <w:b/>
          <w:lang w:val="en-NZ" w:eastAsia="ko-KR"/>
        </w:rPr>
        <w:tab/>
      </w:r>
      <w:r w:rsidRPr="00926098">
        <w:rPr>
          <w:b/>
          <w:lang w:val="en-NZ" w:eastAsia="ko-KR"/>
        </w:rPr>
        <w:t>Australia</w:t>
      </w:r>
      <w:r w:rsidRPr="00441526">
        <w:t xml:space="preserve">- </w:t>
      </w:r>
      <w:r>
        <w:rPr>
          <w:b/>
          <w:lang w:val="en-NZ" w:eastAsia="ko-KR"/>
        </w:rPr>
        <w:t>Document APG19-3/INP-43</w:t>
      </w:r>
    </w:p>
    <w:bookmarkEnd w:id="13"/>
    <w:p w14:paraId="067125BB" w14:textId="77777777" w:rsidR="00553A74" w:rsidRDefault="00553A74" w:rsidP="00553A74">
      <w:pPr>
        <w:tabs>
          <w:tab w:val="left" w:pos="3390"/>
        </w:tabs>
        <w:spacing w:after="100" w:afterAutospacing="1"/>
        <w:rPr>
          <w:rFonts w:eastAsia="Times New Roman"/>
          <w:color w:val="000000"/>
          <w:lang w:bidi="en-US"/>
        </w:rPr>
      </w:pPr>
      <w:r w:rsidRPr="009475EF">
        <w:rPr>
          <w:rFonts w:eastAsia="Times New Roman"/>
          <w:color w:val="000000"/>
          <w:lang w:bidi="en-US"/>
        </w:rPr>
        <w:t>Australia notes that ITU-R studies of technical and operational issues and regulatory provisions for possible new non-geostationary-satellite orbit systems in the frequency bands 3</w:t>
      </w:r>
      <w:r>
        <w:rPr>
          <w:rFonts w:eastAsia="Times New Roman"/>
          <w:color w:val="000000"/>
          <w:lang w:bidi="en-US"/>
        </w:rPr>
        <w:t> </w:t>
      </w:r>
      <w:r w:rsidRPr="009475EF">
        <w:rPr>
          <w:rFonts w:eastAsia="Times New Roman"/>
          <w:color w:val="000000"/>
          <w:lang w:bidi="en-US"/>
        </w:rPr>
        <w:t xml:space="preserve">700-4 200 </w:t>
      </w:r>
      <w:r w:rsidRPr="009475EF">
        <w:rPr>
          <w:rFonts w:eastAsia="Times New Roman"/>
          <w:color w:val="000000"/>
          <w:lang w:bidi="en-US"/>
        </w:rPr>
        <w:lastRenderedPageBreak/>
        <w:t xml:space="preserve">MHz, 4 500-4 800 MHz, 5 925-6 425 MHz and 6 725-7 025 MHz are indicating a conclusion supporting No Change to the Radio Regulations. </w:t>
      </w:r>
    </w:p>
    <w:p w14:paraId="3DC11CC6" w14:textId="77777777" w:rsidR="00553A74" w:rsidRPr="009475EF" w:rsidRDefault="00553A74" w:rsidP="00553A74">
      <w:pPr>
        <w:tabs>
          <w:tab w:val="left" w:pos="3390"/>
        </w:tabs>
        <w:spacing w:after="100" w:afterAutospacing="1"/>
        <w:rPr>
          <w:rFonts w:eastAsia="Times New Roman"/>
          <w:color w:val="000000"/>
          <w:lang w:val="en-GB" w:bidi="en-US"/>
        </w:rPr>
      </w:pPr>
      <w:r w:rsidRPr="009475EF">
        <w:rPr>
          <w:rFonts w:eastAsia="Times New Roman"/>
          <w:color w:val="000000"/>
          <w:lang w:val="en-GB" w:bidi="en-US"/>
        </w:rPr>
        <w:t>The draft CPM Report text Conclusion states (Document 4A/519 Annex 47):</w:t>
      </w:r>
    </w:p>
    <w:p w14:paraId="3479A75B" w14:textId="77777777" w:rsidR="00553A74" w:rsidRPr="009475EF" w:rsidRDefault="00553A74" w:rsidP="00553A74">
      <w:pPr>
        <w:tabs>
          <w:tab w:val="left" w:pos="567"/>
          <w:tab w:val="left" w:pos="3390"/>
        </w:tabs>
        <w:spacing w:after="100" w:afterAutospacing="1"/>
        <w:ind w:left="567"/>
        <w:rPr>
          <w:rFonts w:eastAsia="Times New Roman"/>
          <w:color w:val="000000"/>
          <w:lang w:val="en-GB" w:bidi="en-US"/>
        </w:rPr>
      </w:pPr>
      <w:r w:rsidRPr="009475EF">
        <w:rPr>
          <w:rFonts w:eastAsia="Times New Roman"/>
          <w:color w:val="000000"/>
          <w:lang w:val="en-GB" w:bidi="en-US"/>
        </w:rPr>
        <w:t xml:space="preserve">One study indicates that circular-orbit non-GSO FSS operations in the 6/4 GHz band could result in large exceedances of the GSO protection criteria and conclude that it would be very difficult to operate a non-GSO circular-orbit system for the purposes of a global broadband network in the 6/4 GHz frequency bands. Therefore, there is no need to review the values of the existing limits presented in Article </w:t>
      </w:r>
      <w:r w:rsidRPr="009475EF">
        <w:rPr>
          <w:rFonts w:eastAsia="Times New Roman"/>
          <w:b/>
          <w:bCs/>
          <w:color w:val="000000"/>
          <w:lang w:val="en-GB" w:bidi="en-US"/>
        </w:rPr>
        <w:t>22</w:t>
      </w:r>
      <w:r w:rsidRPr="009475EF">
        <w:rPr>
          <w:rFonts w:eastAsia="Times New Roman"/>
          <w:color w:val="000000"/>
          <w:lang w:val="en-GB" w:bidi="en-US"/>
        </w:rPr>
        <w:t xml:space="preserve"> </w:t>
      </w:r>
      <w:proofErr w:type="spellStart"/>
      <w:r w:rsidRPr="009475EF">
        <w:rPr>
          <w:rFonts w:eastAsia="Times New Roman"/>
          <w:color w:val="000000"/>
          <w:lang w:val="en-GB" w:bidi="en-US"/>
        </w:rPr>
        <w:t>epfd</w:t>
      </w:r>
      <w:proofErr w:type="spellEnd"/>
      <w:r w:rsidRPr="009475EF">
        <w:rPr>
          <w:rFonts w:eastAsia="Times New Roman"/>
          <w:color w:val="000000"/>
          <w:lang w:val="en-GB" w:bidi="en-US"/>
        </w:rPr>
        <w:t xml:space="preserve"> and Article </w:t>
      </w:r>
      <w:r w:rsidRPr="009475EF">
        <w:rPr>
          <w:rFonts w:eastAsia="Times New Roman"/>
          <w:b/>
          <w:bCs/>
          <w:color w:val="000000"/>
          <w:lang w:val="en-GB" w:bidi="en-US"/>
        </w:rPr>
        <w:t>21</w:t>
      </w:r>
      <w:r w:rsidRPr="009475EF">
        <w:rPr>
          <w:rFonts w:eastAsia="Times New Roman"/>
          <w:color w:val="000000"/>
          <w:lang w:val="en-GB" w:bidi="en-US"/>
        </w:rPr>
        <w:t xml:space="preserve"> </w:t>
      </w:r>
      <w:proofErr w:type="spellStart"/>
      <w:r w:rsidRPr="009475EF">
        <w:rPr>
          <w:rFonts w:eastAsia="Times New Roman"/>
          <w:color w:val="000000"/>
          <w:lang w:val="en-GB" w:bidi="en-US"/>
        </w:rPr>
        <w:t>pfd</w:t>
      </w:r>
      <w:proofErr w:type="spellEnd"/>
      <w:r w:rsidRPr="009475EF">
        <w:rPr>
          <w:rFonts w:eastAsia="Times New Roman"/>
          <w:color w:val="000000"/>
          <w:lang w:val="en-GB" w:bidi="en-US"/>
        </w:rPr>
        <w:t xml:space="preserve"> of the Radio Regulations for the 3 700</w:t>
      </w:r>
      <w:r w:rsidRPr="009475EF">
        <w:rPr>
          <w:rFonts w:eastAsia="Times New Roman"/>
          <w:color w:val="000000"/>
          <w:lang w:val="en-GB" w:bidi="en-US"/>
        </w:rPr>
        <w:noBreakHyphen/>
        <w:t>4 200 MHz, 4 500-4 800 MHz, 5 925-6 425 MHz, and 6 725-7 025 MHz frequency bands.*</w:t>
      </w:r>
    </w:p>
    <w:p w14:paraId="3A161637" w14:textId="77777777" w:rsidR="00553A74" w:rsidRPr="009475EF" w:rsidRDefault="00553A74" w:rsidP="00553A74">
      <w:pPr>
        <w:tabs>
          <w:tab w:val="left" w:pos="567"/>
          <w:tab w:val="left" w:pos="3390"/>
        </w:tabs>
        <w:spacing w:after="100" w:afterAutospacing="1"/>
        <w:rPr>
          <w:rFonts w:eastAsia="Times New Roman"/>
          <w:color w:val="000000"/>
          <w:lang w:bidi="en-US"/>
        </w:rPr>
      </w:pPr>
      <w:r w:rsidRPr="009475EF">
        <w:rPr>
          <w:rFonts w:eastAsia="Times New Roman"/>
          <w:color w:val="000000"/>
          <w:lang w:val="en-GB" w:bidi="en-US"/>
        </w:rPr>
        <w:t xml:space="preserve">* Studies as described in Resolution </w:t>
      </w:r>
      <w:r w:rsidRPr="009475EF">
        <w:rPr>
          <w:rFonts w:eastAsia="Times New Roman"/>
          <w:b/>
          <w:color w:val="000000"/>
          <w:lang w:val="en-GB" w:bidi="en-US"/>
        </w:rPr>
        <w:t>157 (WRC-15)</w:t>
      </w:r>
      <w:r w:rsidRPr="008C4BC4">
        <w:rPr>
          <w:rFonts w:eastAsia="Times New Roman"/>
          <w:color w:val="000000"/>
          <w:lang w:val="en-GB" w:bidi="en-US"/>
        </w:rPr>
        <w:t>.</w:t>
      </w:r>
      <w:r w:rsidRPr="009475EF">
        <w:rPr>
          <w:rFonts w:eastAsia="Times New Roman"/>
          <w:color w:val="000000"/>
          <w:lang w:val="en-GB" w:bidi="en-US"/>
        </w:rPr>
        <w:t xml:space="preserve"> </w:t>
      </w:r>
    </w:p>
    <w:p w14:paraId="7C5F12BE" w14:textId="77777777" w:rsidR="00553A74" w:rsidRDefault="00553A74" w:rsidP="00553A74">
      <w:pPr>
        <w:tabs>
          <w:tab w:val="left" w:pos="3390"/>
        </w:tabs>
        <w:spacing w:after="100" w:afterAutospacing="1"/>
        <w:rPr>
          <w:rFonts w:eastAsiaTheme="minorEastAsia"/>
          <w:color w:val="0000FF"/>
          <w:lang w:bidi="en-US"/>
        </w:rPr>
      </w:pPr>
      <w:r w:rsidRPr="009475EF">
        <w:rPr>
          <w:rFonts w:eastAsia="Times New Roman"/>
          <w:color w:val="000000"/>
          <w:lang w:bidi="en-US"/>
        </w:rPr>
        <w:t xml:space="preserve">Taking the above into consideration, and subject to outcomes of any new studies, Australia is of the view that No Change to the Radio Regulations appears an appropriate conclusion to be recommended to the Director of the ITU Radiocommunication Bureau for inclusion in his report to WRC-19 on this Issue. </w:t>
      </w:r>
    </w:p>
    <w:p w14:paraId="665F1043" w14:textId="77777777" w:rsidR="00553A74" w:rsidRPr="00441526" w:rsidRDefault="00553A74" w:rsidP="00553A74">
      <w:pPr>
        <w:spacing w:after="120"/>
        <w:jc w:val="both"/>
        <w:rPr>
          <w:b/>
          <w:lang w:val="en-NZ" w:eastAsia="ko-KR"/>
        </w:rPr>
      </w:pPr>
      <w:bookmarkStart w:id="14" w:name="OLE_LINK28"/>
      <w:r>
        <w:rPr>
          <w:b/>
          <w:lang w:val="en-NZ" w:eastAsia="ko-KR"/>
        </w:rPr>
        <w:t>3.1.4</w:t>
      </w:r>
      <w:r w:rsidRPr="00441526">
        <w:rPr>
          <w:b/>
          <w:lang w:val="en-NZ" w:eastAsia="ko-KR"/>
        </w:rPr>
        <w:tab/>
      </w:r>
      <w:r>
        <w:rPr>
          <w:b/>
          <w:lang w:val="en-NZ" w:eastAsia="ko-KR"/>
        </w:rPr>
        <w:t>Japan</w:t>
      </w:r>
      <w:r w:rsidRPr="00441526">
        <w:t xml:space="preserve">- </w:t>
      </w:r>
      <w:r>
        <w:rPr>
          <w:b/>
          <w:lang w:val="en-NZ" w:eastAsia="ko-KR"/>
        </w:rPr>
        <w:t>Document APG19-3/INP-51</w:t>
      </w:r>
    </w:p>
    <w:bookmarkEnd w:id="14"/>
    <w:p w14:paraId="67FFC350" w14:textId="77777777" w:rsidR="00553A74" w:rsidRDefault="00553A74" w:rsidP="00553A74">
      <w:pPr>
        <w:rPr>
          <w:rFonts w:eastAsiaTheme="minorEastAsia"/>
          <w:lang w:eastAsia="ja-JP"/>
        </w:rPr>
      </w:pPr>
      <w:r>
        <w:rPr>
          <w:rFonts w:eastAsiaTheme="minorEastAsia"/>
          <w:lang w:eastAsia="ja-JP"/>
        </w:rPr>
        <w:t xml:space="preserve">Japan is of the view that it is necessary for ITU-R to conduct adequate studies so that the existing services </w:t>
      </w:r>
      <w:r>
        <w:rPr>
          <w:rFonts w:eastAsiaTheme="minorEastAsia"/>
          <w:lang w:val="en-GB" w:eastAsia="ja-JP"/>
        </w:rPr>
        <w:t>in the frequency bands 3 700-4 200 MHz, 4 500-4 800 MHz, 5 925-6 425 MHz and 6 725-7 025 MHz are not affected</w:t>
      </w:r>
      <w:r>
        <w:rPr>
          <w:rFonts w:eastAsiaTheme="minorEastAsia"/>
          <w:lang w:eastAsia="ja-JP"/>
        </w:rPr>
        <w:t>.</w:t>
      </w:r>
    </w:p>
    <w:p w14:paraId="59F4C042" w14:textId="77777777" w:rsidR="00553A74" w:rsidRDefault="00553A74" w:rsidP="00553A74">
      <w:pPr>
        <w:rPr>
          <w:rFonts w:eastAsia="MS Mincho"/>
          <w:lang w:eastAsia="ja-JP"/>
        </w:rPr>
      </w:pPr>
    </w:p>
    <w:p w14:paraId="1D8088E8" w14:textId="77777777" w:rsidR="00553A74" w:rsidRPr="00441526" w:rsidRDefault="00553A74" w:rsidP="00553A74">
      <w:pPr>
        <w:spacing w:after="120"/>
        <w:jc w:val="both"/>
        <w:rPr>
          <w:b/>
          <w:lang w:val="en-NZ" w:eastAsia="ko-KR"/>
        </w:rPr>
      </w:pPr>
      <w:r>
        <w:rPr>
          <w:b/>
          <w:lang w:val="en-NZ" w:eastAsia="ko-KR"/>
        </w:rPr>
        <w:t>3.1.5</w:t>
      </w:r>
      <w:r w:rsidRPr="00441526">
        <w:rPr>
          <w:b/>
          <w:lang w:val="en-NZ" w:eastAsia="ko-KR"/>
        </w:rPr>
        <w:tab/>
      </w:r>
      <w:r w:rsidRPr="00926098">
        <w:rPr>
          <w:b/>
          <w:lang w:val="en-NZ" w:eastAsia="ko-KR"/>
        </w:rPr>
        <w:t>Thailand</w:t>
      </w:r>
      <w:r w:rsidRPr="00441526">
        <w:t xml:space="preserve">- </w:t>
      </w:r>
      <w:r>
        <w:rPr>
          <w:b/>
          <w:lang w:val="en-NZ" w:eastAsia="ko-KR"/>
        </w:rPr>
        <w:t>Document APG19-3/INP-61 Rev.1</w:t>
      </w:r>
    </w:p>
    <w:p w14:paraId="6710F975" w14:textId="77777777" w:rsidR="00553A74" w:rsidRDefault="00553A74" w:rsidP="00553A74">
      <w:pPr>
        <w:shd w:val="clear" w:color="auto" w:fill="FFFFFF"/>
        <w:jc w:val="both"/>
        <w:rPr>
          <w:bCs/>
          <w:color w:val="000000"/>
        </w:rPr>
      </w:pPr>
      <w:r w:rsidRPr="003F5D35">
        <w:rPr>
          <w:bCs/>
          <w:color w:val="000000"/>
        </w:rPr>
        <w:t xml:space="preserve">Thailand supports ITU-R studies </w:t>
      </w:r>
      <w:r>
        <w:rPr>
          <w:bCs/>
          <w:color w:val="000000"/>
        </w:rPr>
        <w:t xml:space="preserve">of technical and operational issues and regulatory provisions for the </w:t>
      </w:r>
      <w:r w:rsidRPr="00AD21ED">
        <w:rPr>
          <w:bCs/>
          <w:color w:val="000000"/>
        </w:rPr>
        <w:t>new non-geostationary-satellite orbit systems in the 3 700-4 200 MHz, 4 500-4 800 MHz, 5 925-6 425 MHz and 6 725 7 025 MHz frequency bands allocated to the fixed-satellite service</w:t>
      </w:r>
      <w:r>
        <w:rPr>
          <w:bCs/>
          <w:color w:val="000000"/>
        </w:rPr>
        <w:t xml:space="preserve">. Also, the new non-geostationary-satellite systems shall not cause any harmful interference to nor claim protection from geostationary satellite networks in fixed satellite services. </w:t>
      </w:r>
    </w:p>
    <w:p w14:paraId="113EDACB" w14:textId="77777777" w:rsidR="00553A74" w:rsidRPr="00926098" w:rsidRDefault="00553A74" w:rsidP="00553A74">
      <w:pPr>
        <w:rPr>
          <w:rFonts w:eastAsia="MS Mincho"/>
          <w:lang w:eastAsia="ja-JP"/>
        </w:rPr>
      </w:pPr>
    </w:p>
    <w:p w14:paraId="335C56B1" w14:textId="77777777" w:rsidR="00553A74" w:rsidRPr="00441526" w:rsidRDefault="00553A74" w:rsidP="00553A74">
      <w:pPr>
        <w:spacing w:after="120"/>
        <w:jc w:val="both"/>
        <w:rPr>
          <w:b/>
          <w:lang w:val="en-NZ" w:eastAsia="ko-KR"/>
        </w:rPr>
      </w:pPr>
      <w:bookmarkStart w:id="15" w:name="OLE_LINK36"/>
      <w:bookmarkStart w:id="16" w:name="OLE_LINK37"/>
      <w:r>
        <w:rPr>
          <w:b/>
          <w:lang w:val="en-NZ" w:eastAsia="ko-KR"/>
        </w:rPr>
        <w:t>3.1.6</w:t>
      </w:r>
      <w:r w:rsidRPr="00441526">
        <w:rPr>
          <w:b/>
          <w:lang w:val="en-NZ" w:eastAsia="ko-KR"/>
        </w:rPr>
        <w:tab/>
      </w:r>
      <w:r w:rsidRPr="00926098">
        <w:rPr>
          <w:b/>
          <w:lang w:val="en-NZ" w:eastAsia="ko-KR"/>
        </w:rPr>
        <w:t xml:space="preserve">Socialist Republic of Viet Nam </w:t>
      </w:r>
      <w:r w:rsidRPr="00441526">
        <w:t xml:space="preserve">- </w:t>
      </w:r>
      <w:r>
        <w:rPr>
          <w:b/>
          <w:lang w:val="en-NZ" w:eastAsia="ko-KR"/>
        </w:rPr>
        <w:t>Document APG19-3/INP-84 Rev.1</w:t>
      </w:r>
    </w:p>
    <w:bookmarkEnd w:id="15"/>
    <w:bookmarkEnd w:id="16"/>
    <w:p w14:paraId="78769FEF" w14:textId="77777777" w:rsidR="00553A74" w:rsidRDefault="00553A74" w:rsidP="00553A74">
      <w:pPr>
        <w:jc w:val="both"/>
      </w:pPr>
      <w:r>
        <w:t>Viet Nam is of the view that:</w:t>
      </w:r>
    </w:p>
    <w:p w14:paraId="79E299A5" w14:textId="77777777" w:rsidR="00553A74" w:rsidRPr="00CE4AD0" w:rsidRDefault="00553A74" w:rsidP="00553A74">
      <w:pPr>
        <w:pStyle w:val="ListParagraph"/>
        <w:numPr>
          <w:ilvl w:val="0"/>
          <w:numId w:val="33"/>
        </w:numPr>
        <w:spacing w:after="160" w:line="259" w:lineRule="auto"/>
        <w:contextualSpacing/>
        <w:jc w:val="both"/>
        <w:rPr>
          <w:rFonts w:asciiTheme="minorHAnsi" w:eastAsiaTheme="minorHAnsi" w:hAnsiTheme="minorHAnsi" w:cstheme="minorBidi"/>
          <w:sz w:val="22"/>
          <w:szCs w:val="22"/>
        </w:rPr>
      </w:pPr>
      <w:r w:rsidRPr="00CE4AD0">
        <w:rPr>
          <w:rFonts w:eastAsiaTheme="minorHAnsi"/>
        </w:rPr>
        <w:t xml:space="preserve">Supports ITU-R studies of technical and operational issues and regulatory provisions for the new non-geostationary-satellite orbit systems in the 3 700-4 200 MHz, 4 500-4 800 MHz, 5 925-6 425 MHz and 6 725 7 025 MHz frequency bands allocated to the fixed-satellite service. </w:t>
      </w:r>
    </w:p>
    <w:p w14:paraId="052D38AB" w14:textId="77777777" w:rsidR="00553A74" w:rsidRPr="00CE4AD0" w:rsidRDefault="00553A74" w:rsidP="00553A74">
      <w:pPr>
        <w:pStyle w:val="ListParagraph"/>
        <w:numPr>
          <w:ilvl w:val="0"/>
          <w:numId w:val="33"/>
        </w:numPr>
        <w:ind w:left="595" w:hanging="357"/>
        <w:contextualSpacing/>
        <w:jc w:val="both"/>
        <w:rPr>
          <w:rFonts w:asciiTheme="minorHAnsi" w:eastAsiaTheme="minorHAnsi" w:hAnsiTheme="minorHAnsi" w:cstheme="minorBidi"/>
          <w:sz w:val="22"/>
          <w:szCs w:val="22"/>
        </w:rPr>
      </w:pPr>
      <w:r w:rsidRPr="00CE4AD0">
        <w:rPr>
          <w:rFonts w:eastAsiaTheme="minorHAnsi"/>
        </w:rPr>
        <w:t xml:space="preserve">The new non-geostationary-satellite systems shall not cause any harmful interference to nor claim protection from geostationary satellite networks in fixed satellite services.  </w:t>
      </w:r>
    </w:p>
    <w:p w14:paraId="32E3B6FD" w14:textId="77777777" w:rsidR="00553A74" w:rsidRPr="00926098" w:rsidRDefault="00553A74" w:rsidP="00553A74">
      <w:pPr>
        <w:rPr>
          <w:rFonts w:eastAsia="MS Mincho"/>
          <w:lang w:val="en-NZ" w:eastAsia="ja-JP"/>
        </w:rPr>
      </w:pPr>
    </w:p>
    <w:p w14:paraId="64EFCA98" w14:textId="77777777" w:rsidR="00553A74" w:rsidRPr="00441526" w:rsidRDefault="00553A74" w:rsidP="00553A74">
      <w:pPr>
        <w:spacing w:after="120"/>
        <w:jc w:val="both"/>
        <w:rPr>
          <w:b/>
          <w:lang w:val="en-NZ" w:eastAsia="ko-KR"/>
        </w:rPr>
      </w:pPr>
      <w:r>
        <w:rPr>
          <w:b/>
          <w:lang w:val="en-NZ" w:eastAsia="ko-KR"/>
        </w:rPr>
        <w:t>3.1.7</w:t>
      </w:r>
      <w:r w:rsidRPr="00441526">
        <w:rPr>
          <w:b/>
          <w:lang w:val="en-NZ" w:eastAsia="ko-KR"/>
        </w:rPr>
        <w:tab/>
      </w:r>
      <w:r w:rsidRPr="00926098">
        <w:rPr>
          <w:b/>
          <w:lang w:val="en-NZ" w:eastAsia="ko-KR"/>
        </w:rPr>
        <w:t xml:space="preserve">China (People’s Republic of) </w:t>
      </w:r>
      <w:r w:rsidRPr="00441526">
        <w:t xml:space="preserve">- </w:t>
      </w:r>
      <w:r>
        <w:rPr>
          <w:b/>
          <w:lang w:val="en-NZ" w:eastAsia="ko-KR"/>
        </w:rPr>
        <w:t>Document APG19-3/INP-88</w:t>
      </w:r>
    </w:p>
    <w:p w14:paraId="5E3C1C62" w14:textId="77777777" w:rsidR="00553A74" w:rsidRPr="002F62BA" w:rsidRDefault="00553A74" w:rsidP="00553A74">
      <w:pPr>
        <w:jc w:val="both"/>
        <w:rPr>
          <w:rFonts w:eastAsia="SimSun"/>
          <w:bCs/>
          <w:lang w:val="en-GB" w:eastAsia="zh-CN"/>
        </w:rPr>
      </w:pPr>
      <w:r w:rsidRPr="002F62BA">
        <w:rPr>
          <w:rFonts w:eastAsia="SimSun"/>
          <w:bCs/>
          <w:lang w:val="en-GB" w:eastAsia="zh-CN"/>
        </w:rPr>
        <w:t xml:space="preserve">China supports the study of technical and operational issues and regulatory provisions for new non-GSO systems in the 3 700-4 200 MHz, 4 500-4 800 MHz, 5 925-6 425 MHz and 6 725-7 025 MHz frequency bands under the terms of Resolution </w:t>
      </w:r>
      <w:r w:rsidRPr="00926098">
        <w:rPr>
          <w:rFonts w:eastAsia="SimSun"/>
          <w:b/>
          <w:bCs/>
          <w:lang w:val="en-GB" w:eastAsia="zh-CN"/>
        </w:rPr>
        <w:t>157</w:t>
      </w:r>
      <w:r w:rsidRPr="002F62BA">
        <w:rPr>
          <w:rFonts w:eastAsia="SimSun"/>
          <w:bCs/>
          <w:lang w:val="en-GB" w:eastAsia="zh-CN"/>
        </w:rPr>
        <w:t xml:space="preserve"> (WRC-15).</w:t>
      </w:r>
    </w:p>
    <w:p w14:paraId="4319BC69" w14:textId="77777777" w:rsidR="00553A74" w:rsidRDefault="00553A74" w:rsidP="00553A74">
      <w:pPr>
        <w:rPr>
          <w:rFonts w:eastAsia="SimSun"/>
          <w:bCs/>
          <w:lang w:val="en-GB" w:eastAsia="zh-CN"/>
        </w:rPr>
      </w:pPr>
    </w:p>
    <w:p w14:paraId="4D5DD5B2" w14:textId="77777777" w:rsidR="00553A74" w:rsidRPr="00926098" w:rsidRDefault="00553A74" w:rsidP="00553A74">
      <w:pPr>
        <w:rPr>
          <w:rFonts w:eastAsia="MS Mincho"/>
          <w:lang w:val="en-NZ" w:eastAsia="ja-JP"/>
        </w:rPr>
      </w:pPr>
      <w:r w:rsidRPr="002F62BA">
        <w:rPr>
          <w:rFonts w:eastAsia="SimSun"/>
          <w:bCs/>
          <w:lang w:val="en-GB" w:eastAsia="zh-CN"/>
        </w:rPr>
        <w:t>Based on current results of ITU-R studies, China is the preliminary view that there is no need to modify the values of the existing limits presented in Article</w:t>
      </w:r>
      <w:r w:rsidRPr="00926098">
        <w:rPr>
          <w:rFonts w:eastAsia="SimSun"/>
          <w:b/>
          <w:bCs/>
          <w:lang w:val="en-GB" w:eastAsia="zh-CN"/>
        </w:rPr>
        <w:t xml:space="preserve"> 22</w:t>
      </w:r>
      <w:r w:rsidRPr="002F62BA">
        <w:rPr>
          <w:rFonts w:eastAsia="SimSun"/>
          <w:bCs/>
          <w:lang w:val="en-GB" w:eastAsia="zh-CN"/>
        </w:rPr>
        <w:t xml:space="preserve"> </w:t>
      </w:r>
      <w:proofErr w:type="spellStart"/>
      <w:r w:rsidRPr="002F62BA">
        <w:rPr>
          <w:rFonts w:eastAsia="SimSun"/>
          <w:bCs/>
          <w:lang w:val="en-GB" w:eastAsia="zh-CN"/>
        </w:rPr>
        <w:t>epfd</w:t>
      </w:r>
      <w:proofErr w:type="spellEnd"/>
      <w:r w:rsidRPr="002F62BA">
        <w:rPr>
          <w:rFonts w:eastAsia="SimSun"/>
          <w:bCs/>
          <w:lang w:val="en-GB" w:eastAsia="zh-CN"/>
        </w:rPr>
        <w:t xml:space="preserve"> and Article </w:t>
      </w:r>
      <w:r w:rsidRPr="00926098">
        <w:rPr>
          <w:rFonts w:eastAsia="SimSun"/>
          <w:b/>
          <w:bCs/>
          <w:lang w:val="en-GB" w:eastAsia="zh-CN"/>
        </w:rPr>
        <w:t>21</w:t>
      </w:r>
      <w:r w:rsidRPr="002F62BA">
        <w:rPr>
          <w:rFonts w:eastAsia="SimSun"/>
          <w:bCs/>
          <w:lang w:val="en-GB" w:eastAsia="zh-CN"/>
        </w:rPr>
        <w:t xml:space="preserve"> </w:t>
      </w:r>
      <w:proofErr w:type="spellStart"/>
      <w:r w:rsidRPr="002F62BA">
        <w:rPr>
          <w:rFonts w:eastAsia="SimSun"/>
          <w:bCs/>
          <w:lang w:val="en-GB" w:eastAsia="zh-CN"/>
        </w:rPr>
        <w:t>pfd</w:t>
      </w:r>
      <w:proofErr w:type="spellEnd"/>
      <w:r w:rsidRPr="002F62BA">
        <w:rPr>
          <w:rFonts w:eastAsia="SimSun"/>
          <w:bCs/>
          <w:lang w:val="en-GB" w:eastAsia="zh-CN"/>
        </w:rPr>
        <w:t xml:space="preserve"> of the Radio Regulations for the 3 700 4 200 MHz, 4 500-4 800 MHz, 5 925-6 425 MHz, and 6 725-7 025 MHz frequency bands to ensure the protection of incumbent service.</w:t>
      </w:r>
    </w:p>
    <w:p w14:paraId="464A31AA" w14:textId="77777777" w:rsidR="00553A74" w:rsidRPr="00441526" w:rsidRDefault="00553A74" w:rsidP="00553A74">
      <w:pPr>
        <w:spacing w:after="120"/>
        <w:jc w:val="both"/>
        <w:rPr>
          <w:b/>
          <w:lang w:val="en-NZ"/>
        </w:rPr>
      </w:pPr>
      <w:r w:rsidRPr="00441526">
        <w:rPr>
          <w:b/>
          <w:lang w:val="en-NZ"/>
        </w:rPr>
        <w:lastRenderedPageBreak/>
        <w:t xml:space="preserve">3.2 </w:t>
      </w:r>
      <w:r w:rsidRPr="00441526">
        <w:rPr>
          <w:b/>
          <w:lang w:val="en-NZ"/>
        </w:rPr>
        <w:tab/>
        <w:t>S</w:t>
      </w:r>
      <w:r w:rsidRPr="00441526">
        <w:rPr>
          <w:b/>
          <w:lang w:val="en-NZ" w:eastAsia="ko-KR"/>
        </w:rPr>
        <w:t>ummary of issues raised du</w:t>
      </w:r>
      <w:r w:rsidRPr="00441526">
        <w:rPr>
          <w:b/>
          <w:lang w:val="en-NZ"/>
        </w:rPr>
        <w:t>ring the meeting</w:t>
      </w:r>
    </w:p>
    <w:p w14:paraId="27602445" w14:textId="77777777" w:rsidR="00553A74" w:rsidRPr="00321418" w:rsidRDefault="00553A74" w:rsidP="00553A74">
      <w:pPr>
        <w:jc w:val="both"/>
        <w:rPr>
          <w:rFonts w:eastAsia="SimSun"/>
          <w:bCs/>
          <w:lang w:val="en-GB" w:eastAsia="zh-CN"/>
        </w:rPr>
      </w:pPr>
      <w:r>
        <w:rPr>
          <w:rFonts w:eastAsia="SimSun"/>
          <w:bCs/>
          <w:lang w:val="en-GB" w:eastAsia="zh-CN"/>
        </w:rPr>
        <w:t>Three</w:t>
      </w:r>
      <w:r w:rsidRPr="00321418">
        <w:rPr>
          <w:rFonts w:eastAsia="SimSun"/>
          <w:bCs/>
          <w:lang w:val="en-GB" w:eastAsia="zh-CN"/>
        </w:rPr>
        <w:t xml:space="preserve"> issues </w:t>
      </w:r>
      <w:r>
        <w:rPr>
          <w:rFonts w:eastAsia="SimSun"/>
          <w:bCs/>
          <w:lang w:val="en-GB" w:eastAsia="zh-CN"/>
        </w:rPr>
        <w:t xml:space="preserve">were </w:t>
      </w:r>
      <w:r w:rsidRPr="00321418">
        <w:rPr>
          <w:rFonts w:eastAsia="SimSun"/>
          <w:bCs/>
          <w:lang w:val="en-GB" w:eastAsia="zh-CN"/>
        </w:rPr>
        <w:t xml:space="preserve">raised in </w:t>
      </w:r>
      <w:r>
        <w:rPr>
          <w:rFonts w:eastAsia="SimSun"/>
          <w:bCs/>
          <w:lang w:val="en-GB" w:eastAsia="zh-CN"/>
        </w:rPr>
        <w:t>this meeting as follows</w:t>
      </w:r>
      <w:r w:rsidRPr="00321418">
        <w:rPr>
          <w:rFonts w:eastAsia="SimSun"/>
          <w:bCs/>
          <w:lang w:val="en-GB" w:eastAsia="zh-CN"/>
        </w:rPr>
        <w:t>:</w:t>
      </w:r>
    </w:p>
    <w:p w14:paraId="2E5C38EB" w14:textId="77777777" w:rsidR="00553A74" w:rsidRPr="00321418" w:rsidRDefault="00553A74" w:rsidP="00553A74">
      <w:pPr>
        <w:numPr>
          <w:ilvl w:val="0"/>
          <w:numId w:val="18"/>
        </w:numPr>
        <w:ind w:leftChars="145" w:left="708"/>
        <w:jc w:val="both"/>
        <w:rPr>
          <w:lang w:val="en-NZ"/>
        </w:rPr>
      </w:pPr>
      <w:r>
        <w:rPr>
          <w:lang w:val="en-NZ"/>
        </w:rPr>
        <w:t>The necessity</w:t>
      </w:r>
      <w:r w:rsidRPr="00321418">
        <w:rPr>
          <w:rFonts w:hint="eastAsia"/>
          <w:lang w:val="en-NZ"/>
        </w:rPr>
        <w:t xml:space="preserve"> to review current values of the existing limits presented in Article 22 </w:t>
      </w:r>
      <w:proofErr w:type="spellStart"/>
      <w:r w:rsidRPr="00321418">
        <w:rPr>
          <w:rFonts w:hint="eastAsia"/>
          <w:lang w:val="en-NZ"/>
        </w:rPr>
        <w:t>epfd</w:t>
      </w:r>
      <w:proofErr w:type="spellEnd"/>
      <w:r w:rsidRPr="00321418">
        <w:rPr>
          <w:rFonts w:hint="eastAsia"/>
          <w:lang w:val="en-NZ"/>
        </w:rPr>
        <w:t xml:space="preserve"> and Article 21 </w:t>
      </w:r>
      <w:proofErr w:type="spellStart"/>
      <w:r w:rsidRPr="00321418">
        <w:rPr>
          <w:rFonts w:hint="eastAsia"/>
          <w:lang w:val="en-NZ"/>
        </w:rPr>
        <w:t>pfd</w:t>
      </w:r>
      <w:proofErr w:type="spellEnd"/>
      <w:r>
        <w:rPr>
          <w:lang w:val="en-NZ"/>
        </w:rPr>
        <w:t xml:space="preserve"> </w:t>
      </w:r>
      <w:r w:rsidRPr="002F62BA">
        <w:rPr>
          <w:rFonts w:eastAsia="SimSun"/>
          <w:bCs/>
          <w:lang w:val="en-GB"/>
        </w:rPr>
        <w:t>of the Radio Regulations</w:t>
      </w:r>
      <w:r>
        <w:rPr>
          <w:rFonts w:hint="eastAsia"/>
          <w:lang w:val="en-NZ"/>
        </w:rPr>
        <w:t>.</w:t>
      </w:r>
    </w:p>
    <w:p w14:paraId="23005EA6" w14:textId="77777777" w:rsidR="00553A74" w:rsidRPr="00321418" w:rsidRDefault="00553A74" w:rsidP="00553A74">
      <w:pPr>
        <w:numPr>
          <w:ilvl w:val="0"/>
          <w:numId w:val="18"/>
        </w:numPr>
        <w:ind w:leftChars="145" w:left="708"/>
        <w:jc w:val="both"/>
        <w:rPr>
          <w:lang w:val="en-NZ"/>
        </w:rPr>
      </w:pPr>
      <w:r>
        <w:rPr>
          <w:lang w:val="en-NZ"/>
        </w:rPr>
        <w:t>The necessity to</w:t>
      </w:r>
      <w:r w:rsidRPr="00321418">
        <w:rPr>
          <w:rFonts w:hint="eastAsia"/>
          <w:lang w:val="en-NZ"/>
        </w:rPr>
        <w:t xml:space="preserve"> establish aggregate </w:t>
      </w:r>
      <w:proofErr w:type="spellStart"/>
      <w:r w:rsidRPr="00321418">
        <w:rPr>
          <w:rFonts w:hint="eastAsia"/>
          <w:lang w:val="en-NZ"/>
        </w:rPr>
        <w:t>epfd</w:t>
      </w:r>
      <w:proofErr w:type="spellEnd"/>
      <w:r w:rsidRPr="00321418">
        <w:rPr>
          <w:rFonts w:hint="eastAsia"/>
          <w:lang w:val="en-NZ"/>
        </w:rPr>
        <w:t xml:space="preserve"> limits that would be verifie</w:t>
      </w:r>
      <w:r>
        <w:rPr>
          <w:rFonts w:hint="eastAsia"/>
          <w:lang w:val="en-NZ"/>
        </w:rPr>
        <w:t>d through multilateral meetings.</w:t>
      </w:r>
    </w:p>
    <w:p w14:paraId="603BC086" w14:textId="77777777" w:rsidR="00553A74" w:rsidRPr="00321418" w:rsidRDefault="00553A74" w:rsidP="00553A74">
      <w:pPr>
        <w:numPr>
          <w:ilvl w:val="0"/>
          <w:numId w:val="18"/>
        </w:numPr>
        <w:ind w:leftChars="145" w:left="708"/>
        <w:jc w:val="both"/>
        <w:rPr>
          <w:lang w:val="en-NZ"/>
        </w:rPr>
      </w:pPr>
      <w:r>
        <w:rPr>
          <w:lang w:val="en-NZ"/>
        </w:rPr>
        <w:t>The necessity</w:t>
      </w:r>
      <w:r w:rsidRPr="00321418">
        <w:rPr>
          <w:rFonts w:hint="eastAsia"/>
          <w:lang w:val="en-NZ"/>
        </w:rPr>
        <w:t xml:space="preserve"> to establish coordination procedu</w:t>
      </w:r>
      <w:r>
        <w:rPr>
          <w:rFonts w:hint="eastAsia"/>
          <w:lang w:val="en-NZ"/>
        </w:rPr>
        <w:t>re in the frequency bands 3 700-4 200 MHz and 5 925-</w:t>
      </w:r>
      <w:r w:rsidRPr="00321418">
        <w:rPr>
          <w:rFonts w:hint="eastAsia"/>
          <w:lang w:val="en-NZ"/>
        </w:rPr>
        <w:t>6 425 MHz between non-GS</w:t>
      </w:r>
      <w:r>
        <w:rPr>
          <w:rFonts w:hint="eastAsia"/>
          <w:lang w:val="en-NZ"/>
        </w:rPr>
        <w:t xml:space="preserve">O FSS systems under RR No. </w:t>
      </w:r>
      <w:r w:rsidRPr="00F11BCC">
        <w:rPr>
          <w:rFonts w:hint="eastAsia"/>
          <w:b/>
          <w:lang w:val="en-NZ"/>
        </w:rPr>
        <w:t>9.12</w:t>
      </w:r>
      <w:r w:rsidRPr="00321418">
        <w:rPr>
          <w:lang w:val="en-NZ"/>
        </w:rPr>
        <w:t>.</w:t>
      </w:r>
    </w:p>
    <w:p w14:paraId="6F55B3B0" w14:textId="77777777" w:rsidR="00553A74" w:rsidRDefault="00553A74" w:rsidP="00553A74">
      <w:pPr>
        <w:rPr>
          <w:color w:val="FF0000"/>
          <w:lang w:val="en-NZ"/>
        </w:rPr>
      </w:pPr>
    </w:p>
    <w:p w14:paraId="45DB4D11" w14:textId="77777777" w:rsidR="00553A74" w:rsidRPr="00321418" w:rsidRDefault="00553A74" w:rsidP="00553A74">
      <w:pPr>
        <w:rPr>
          <w:lang w:val="en-NZ"/>
        </w:rPr>
      </w:pPr>
      <w:r w:rsidRPr="00321418">
        <w:rPr>
          <w:lang w:val="en-NZ"/>
        </w:rPr>
        <w:t xml:space="preserve">After </w:t>
      </w:r>
      <w:r>
        <w:rPr>
          <w:lang w:val="en-NZ"/>
        </w:rPr>
        <w:t xml:space="preserve">discussion, it was agreed that no change (NOC) </w:t>
      </w:r>
      <w:r w:rsidRPr="00062E73">
        <w:rPr>
          <w:lang w:val="en-NZ"/>
        </w:rPr>
        <w:t>to the Radio Regulations</w:t>
      </w:r>
      <w:r>
        <w:rPr>
          <w:lang w:val="en-NZ"/>
        </w:rPr>
        <w:t xml:space="preserve"> is the most appropriate option to address agenda item 9.1, issue 9.1.3.</w:t>
      </w:r>
    </w:p>
    <w:p w14:paraId="09284ED5" w14:textId="77777777" w:rsidR="00553A74" w:rsidRPr="0006587E" w:rsidRDefault="00553A74" w:rsidP="00553A74">
      <w:pPr>
        <w:jc w:val="both"/>
        <w:rPr>
          <w:lang w:val="en-NZ"/>
        </w:rPr>
      </w:pPr>
    </w:p>
    <w:p w14:paraId="6A650A0F" w14:textId="77777777" w:rsidR="00553A74" w:rsidRPr="00062E73" w:rsidRDefault="00553A74" w:rsidP="00553A74">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413FC2A2" w14:textId="77777777" w:rsidR="00553A74" w:rsidRPr="00ED5380" w:rsidRDefault="00553A74" w:rsidP="00553A74">
      <w:pPr>
        <w:rPr>
          <w:rFonts w:eastAsiaTheme="minorEastAsia"/>
          <w:lang w:val="id-ID" w:eastAsia="zh-CN"/>
        </w:rPr>
      </w:pPr>
      <w:r>
        <w:rPr>
          <w:rFonts w:eastAsiaTheme="minorEastAsia"/>
          <w:lang w:val="en-NZ" w:eastAsia="zh-CN"/>
        </w:rPr>
        <w:t xml:space="preserve">APT Members support </w:t>
      </w:r>
      <w:r>
        <w:rPr>
          <w:lang w:val="en-NZ"/>
        </w:rPr>
        <w:t xml:space="preserve">no change (NOC) </w:t>
      </w:r>
      <w:r w:rsidRPr="00062E73">
        <w:rPr>
          <w:lang w:val="en-NZ"/>
        </w:rPr>
        <w:t>to the Radio Regulations</w:t>
      </w:r>
      <w:r>
        <w:rPr>
          <w:lang w:val="en-NZ"/>
        </w:rPr>
        <w:t xml:space="preserve"> to </w:t>
      </w:r>
      <w:r>
        <w:rPr>
          <w:rFonts w:eastAsiaTheme="minorEastAsia"/>
          <w:lang w:val="en-NZ" w:eastAsia="zh-CN"/>
        </w:rPr>
        <w:t xml:space="preserve">satisfy </w:t>
      </w:r>
      <w:r>
        <w:rPr>
          <w:lang w:val="en-NZ"/>
        </w:rPr>
        <w:t xml:space="preserve">agenda item 9.1, issue 9.1.3 based on </w:t>
      </w:r>
      <w:r>
        <w:rPr>
          <w:rFonts w:eastAsiaTheme="minorEastAsia"/>
          <w:lang w:val="en-NZ" w:eastAsia="zh-CN"/>
        </w:rPr>
        <w:t xml:space="preserve">study progress of </w:t>
      </w:r>
      <w:r>
        <w:rPr>
          <w:lang w:val="id-ID"/>
        </w:rPr>
        <w:t>ITU-R</w:t>
      </w:r>
      <w:r w:rsidRPr="00FF1969">
        <w:rPr>
          <w:lang w:val="id-ID"/>
        </w:rPr>
        <w:t xml:space="preserve"> for new non-GSO systems in the 3 700-4 200 MHz, 4 500-4 800 MHz, 5 925-6 425 MHz and 6 725-7 025 MHz frequency bands under the terms of Resolution </w:t>
      </w:r>
      <w:r w:rsidRPr="00FF1969">
        <w:rPr>
          <w:b/>
          <w:bCs/>
          <w:lang w:val="id-ID"/>
        </w:rPr>
        <w:t>157 (WRC-15)</w:t>
      </w:r>
      <w:r w:rsidRPr="000D6477">
        <w:rPr>
          <w:bCs/>
          <w:lang w:val="id-ID"/>
        </w:rPr>
        <w:t>.</w:t>
      </w:r>
    </w:p>
    <w:p w14:paraId="461A8AE1" w14:textId="77777777" w:rsidR="00553A74" w:rsidRPr="00441526" w:rsidRDefault="00553A74" w:rsidP="00553A74">
      <w:pPr>
        <w:rPr>
          <w:lang w:val="en-NZ"/>
        </w:rPr>
      </w:pPr>
    </w:p>
    <w:p w14:paraId="034EC544" w14:textId="77777777" w:rsidR="00553A74" w:rsidRPr="003918C1" w:rsidRDefault="00553A74" w:rsidP="00553A74">
      <w:pPr>
        <w:spacing w:after="120"/>
        <w:jc w:val="both"/>
        <w:rPr>
          <w:b/>
          <w:lang w:val="en-NZ" w:eastAsia="ko-KR"/>
        </w:rPr>
      </w:pPr>
      <w:r w:rsidRPr="00441526">
        <w:rPr>
          <w:b/>
          <w:lang w:val="en-NZ" w:eastAsia="ko-KR"/>
        </w:rPr>
        <w:t xml:space="preserve">5. </w:t>
      </w:r>
      <w:r w:rsidRPr="00441526">
        <w:rPr>
          <w:b/>
          <w:lang w:val="en-NZ" w:eastAsia="ko-KR"/>
        </w:rPr>
        <w:tab/>
        <w:t>Other View(s)</w:t>
      </w:r>
    </w:p>
    <w:p w14:paraId="7FF267EA" w14:textId="77777777" w:rsidR="00553A74" w:rsidRDefault="00553A74" w:rsidP="00553A74">
      <w:pPr>
        <w:rPr>
          <w:rFonts w:eastAsiaTheme="minorEastAsia"/>
          <w:lang w:val="en-NZ" w:eastAsia="zh-CN"/>
        </w:rPr>
      </w:pPr>
      <w:r>
        <w:rPr>
          <w:rFonts w:eastAsiaTheme="minorEastAsia" w:hint="eastAsia"/>
          <w:lang w:val="en-NZ" w:eastAsia="zh-CN"/>
        </w:rPr>
        <w:t>None.</w:t>
      </w:r>
    </w:p>
    <w:p w14:paraId="11896E47" w14:textId="77777777" w:rsidR="00553A74" w:rsidRPr="003918C1" w:rsidRDefault="00553A74" w:rsidP="00553A74">
      <w:pPr>
        <w:rPr>
          <w:rFonts w:eastAsiaTheme="minorEastAsia"/>
          <w:lang w:val="en-NZ" w:eastAsia="zh-CN"/>
        </w:rPr>
      </w:pPr>
    </w:p>
    <w:p w14:paraId="60586458" w14:textId="77777777" w:rsidR="00553A74" w:rsidRPr="00D7386D" w:rsidRDefault="00553A74" w:rsidP="00553A74">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3A0E79E8" w14:textId="77777777" w:rsidR="00553A74" w:rsidRDefault="00553A74" w:rsidP="00553A74">
      <w:pPr>
        <w:jc w:val="both"/>
        <w:rPr>
          <w:snapToGrid w:val="0"/>
          <w:lang w:val="en-AU"/>
        </w:rPr>
      </w:pPr>
      <w:r>
        <w:t>APT Members are invited to follow the progress of ITU-R studies</w:t>
      </w:r>
      <w:r w:rsidRPr="003918C1">
        <w:rPr>
          <w:snapToGrid w:val="0"/>
          <w:lang w:val="en-AU"/>
        </w:rPr>
        <w:t xml:space="preserve">, </w:t>
      </w:r>
      <w:r>
        <w:rPr>
          <w:snapToGrid w:val="0"/>
          <w:lang w:val="en-AU"/>
        </w:rPr>
        <w:t xml:space="preserve">particularly the planned WP4A meeting on 3-14 July 2018, </w:t>
      </w:r>
      <w:r w:rsidRPr="003918C1">
        <w:rPr>
          <w:snapToGrid w:val="0"/>
          <w:lang w:val="en-AU"/>
        </w:rPr>
        <w:t>and are encouraged to submit their contributions in the next APG meeting</w:t>
      </w:r>
      <w:r>
        <w:rPr>
          <w:snapToGrid w:val="0"/>
          <w:lang w:val="en-AU"/>
        </w:rPr>
        <w:t>, if necessary</w:t>
      </w:r>
      <w:r w:rsidRPr="003918C1">
        <w:rPr>
          <w:snapToGrid w:val="0"/>
          <w:lang w:val="en-AU"/>
        </w:rPr>
        <w:t>.</w:t>
      </w:r>
    </w:p>
    <w:p w14:paraId="58678F5F" w14:textId="77777777" w:rsidR="00553A74" w:rsidRPr="000D6477" w:rsidRDefault="00553A74" w:rsidP="00553A74">
      <w:pPr>
        <w:rPr>
          <w:lang w:val="en-AU"/>
        </w:rPr>
      </w:pPr>
    </w:p>
    <w:p w14:paraId="17F42467" w14:textId="77777777" w:rsidR="00553A74" w:rsidRPr="00441526" w:rsidRDefault="00553A74" w:rsidP="00553A74">
      <w:pPr>
        <w:spacing w:afterLines="50" w:after="120"/>
        <w:jc w:val="both"/>
        <w:rPr>
          <w:lang w:val="en-NZ"/>
        </w:rPr>
      </w:pPr>
      <w:r>
        <w:rPr>
          <w:b/>
          <w:lang w:val="en-NZ"/>
        </w:rPr>
        <w:t>7</w:t>
      </w:r>
      <w:r w:rsidRPr="00441526">
        <w:rPr>
          <w:b/>
          <w:lang w:val="en-NZ"/>
        </w:rPr>
        <w:t xml:space="preserve">. </w:t>
      </w:r>
      <w:r w:rsidRPr="00441526">
        <w:rPr>
          <w:b/>
          <w:lang w:val="en-NZ"/>
        </w:rPr>
        <w:tab/>
        <w:t>Views from Other Organisations</w:t>
      </w:r>
    </w:p>
    <w:p w14:paraId="0C2544AF" w14:textId="77777777" w:rsidR="00553A74" w:rsidRPr="00441526" w:rsidRDefault="00553A74" w:rsidP="00553A74">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CC8A912" w14:textId="77777777" w:rsidR="00553A74" w:rsidRPr="00441526" w:rsidRDefault="00553A74" w:rsidP="00553A74">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Pr>
          <w:b/>
          <w:lang w:val="en-NZ" w:eastAsia="ko-KR"/>
        </w:rPr>
        <w:t>Document APG19-2/INF-01</w:t>
      </w:r>
    </w:p>
    <w:p w14:paraId="090AD38F" w14:textId="77777777" w:rsidR="00553A74" w:rsidRPr="003F70E0" w:rsidRDefault="00553A74" w:rsidP="00553A74">
      <w:pPr>
        <w:rPr>
          <w:rFonts w:eastAsiaTheme="minorEastAsia"/>
          <w:lang w:val="en-NZ" w:eastAsia="zh-CN"/>
        </w:rPr>
      </w:pPr>
      <w:r>
        <w:rPr>
          <w:rFonts w:eastAsiaTheme="minorEastAsia" w:hint="eastAsia"/>
          <w:lang w:val="en-NZ" w:eastAsia="zh-CN"/>
        </w:rPr>
        <w:t>A</w:t>
      </w:r>
      <w:r>
        <w:rPr>
          <w:rFonts w:eastAsiaTheme="minorEastAsia"/>
          <w:lang w:val="en-NZ" w:eastAsia="zh-CN"/>
        </w:rPr>
        <w:t>SMG position:</w:t>
      </w:r>
    </w:p>
    <w:p w14:paraId="7F62DB61" w14:textId="77777777" w:rsidR="00553A74" w:rsidRPr="00BA7893" w:rsidRDefault="00553A74" w:rsidP="00553A74">
      <w:pPr>
        <w:numPr>
          <w:ilvl w:val="0"/>
          <w:numId w:val="18"/>
        </w:numPr>
        <w:ind w:leftChars="145" w:left="708"/>
        <w:rPr>
          <w:lang w:val="en-NZ"/>
        </w:rPr>
      </w:pPr>
      <w:r w:rsidRPr="00BA7893">
        <w:rPr>
          <w:rFonts w:hint="eastAsia"/>
          <w:lang w:val="en-NZ"/>
        </w:rPr>
        <w:t xml:space="preserve">Protection of assignments and allotments of Appendix 30B and not to impose any restrictions for further </w:t>
      </w:r>
      <w:r w:rsidRPr="00BA7893">
        <w:rPr>
          <w:lang w:val="en-NZ"/>
        </w:rPr>
        <w:t>deployment</w:t>
      </w:r>
      <w:r w:rsidRPr="00BA7893">
        <w:rPr>
          <w:rFonts w:hint="eastAsia"/>
          <w:lang w:val="en-NZ"/>
        </w:rPr>
        <w:t xml:space="preserve"> </w:t>
      </w:r>
      <w:r w:rsidRPr="00BA7893">
        <w:rPr>
          <w:lang w:val="en-NZ"/>
        </w:rPr>
        <w:t>or current recordings.</w:t>
      </w:r>
    </w:p>
    <w:p w14:paraId="0E870E8E" w14:textId="77777777" w:rsidR="00553A74" w:rsidRPr="00BA7893" w:rsidRDefault="00553A74" w:rsidP="00553A74">
      <w:pPr>
        <w:numPr>
          <w:ilvl w:val="0"/>
          <w:numId w:val="18"/>
        </w:numPr>
        <w:ind w:leftChars="145" w:left="708"/>
        <w:rPr>
          <w:lang w:val="en-NZ"/>
        </w:rPr>
      </w:pPr>
      <w:r w:rsidRPr="00BA7893">
        <w:rPr>
          <w:lang w:val="en-NZ"/>
        </w:rPr>
        <w:t xml:space="preserve">Not supporting the modification of the </w:t>
      </w:r>
      <w:proofErr w:type="spellStart"/>
      <w:r w:rsidRPr="00BA7893">
        <w:rPr>
          <w:lang w:val="en-NZ"/>
        </w:rPr>
        <w:t>epfd</w:t>
      </w:r>
      <w:proofErr w:type="spellEnd"/>
      <w:r w:rsidRPr="00BA7893">
        <w:rPr>
          <w:lang w:val="en-NZ"/>
        </w:rPr>
        <w:t xml:space="preserve"> spectrum density previously assigned to protect fixed satellite service systems in these bands.</w:t>
      </w:r>
    </w:p>
    <w:p w14:paraId="6E4609DE" w14:textId="77777777" w:rsidR="00553A74" w:rsidRPr="00BA7893" w:rsidRDefault="00553A74" w:rsidP="00553A74">
      <w:pPr>
        <w:numPr>
          <w:ilvl w:val="0"/>
          <w:numId w:val="18"/>
        </w:numPr>
        <w:ind w:leftChars="145" w:left="708"/>
        <w:rPr>
          <w:lang w:val="en-NZ"/>
        </w:rPr>
      </w:pPr>
      <w:r w:rsidRPr="00BA7893">
        <w:rPr>
          <w:lang w:val="en-NZ"/>
        </w:rPr>
        <w:t xml:space="preserve">Not to support the designation of different </w:t>
      </w:r>
      <w:proofErr w:type="spellStart"/>
      <w:r w:rsidRPr="00BA7893">
        <w:rPr>
          <w:lang w:val="en-NZ"/>
        </w:rPr>
        <w:t>epfd</w:t>
      </w:r>
      <w:proofErr w:type="spellEnd"/>
      <w:r w:rsidRPr="00BA7893">
        <w:rPr>
          <w:lang w:val="en-NZ"/>
        </w:rPr>
        <w:t xml:space="preserve"> values in radio regulations, to be considered to the extent of ITU recommendations regarding coordination procedures between GSO and NGSO.</w:t>
      </w:r>
    </w:p>
    <w:p w14:paraId="0FF570E7" w14:textId="77777777" w:rsidR="00553A74" w:rsidRPr="00BA7893" w:rsidRDefault="00553A74" w:rsidP="00553A74">
      <w:pPr>
        <w:numPr>
          <w:ilvl w:val="0"/>
          <w:numId w:val="18"/>
        </w:numPr>
        <w:ind w:leftChars="145" w:left="708"/>
        <w:rPr>
          <w:lang w:val="en-NZ"/>
        </w:rPr>
      </w:pPr>
      <w:r w:rsidRPr="00BA7893">
        <w:rPr>
          <w:lang w:val="en-NZ"/>
        </w:rPr>
        <w:t>Follow up existing studies related to this issue.</w:t>
      </w:r>
    </w:p>
    <w:p w14:paraId="55F90D15" w14:textId="77777777" w:rsidR="00553A74" w:rsidRDefault="00553A74" w:rsidP="00553A74">
      <w:pPr>
        <w:numPr>
          <w:ilvl w:val="0"/>
          <w:numId w:val="18"/>
        </w:numPr>
        <w:ind w:leftChars="145" w:left="708"/>
        <w:rPr>
          <w:lang w:val="en-NZ"/>
        </w:rPr>
      </w:pPr>
      <w:r w:rsidRPr="00BA7893">
        <w:rPr>
          <w:lang w:val="en-NZ"/>
        </w:rPr>
        <w:t>Invite concerned working groups in ASMG to follow-up this issue in order to ensure the protection of fixed services, especially in adjacent bands.</w:t>
      </w:r>
    </w:p>
    <w:p w14:paraId="4E77BD30" w14:textId="77777777" w:rsidR="00553A74" w:rsidRPr="00441526" w:rsidRDefault="00553A74" w:rsidP="00553A74">
      <w:pPr>
        <w:rPr>
          <w:lang w:val="en-NZ"/>
        </w:rPr>
      </w:pPr>
    </w:p>
    <w:p w14:paraId="62A1BD1E" w14:textId="77777777" w:rsidR="00553A74" w:rsidRPr="00441526" w:rsidRDefault="00553A74" w:rsidP="00553A74">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Pr>
          <w:b/>
          <w:lang w:val="en-NZ" w:eastAsia="ko-KR"/>
        </w:rPr>
        <w:t>Document APG19-2/INF-07</w:t>
      </w:r>
    </w:p>
    <w:p w14:paraId="71E10A34" w14:textId="77777777" w:rsidR="00553A74" w:rsidRDefault="00553A74" w:rsidP="00553A74">
      <w:pPr>
        <w:rPr>
          <w:b/>
          <w:lang w:val="en-NZ"/>
        </w:rPr>
      </w:pPr>
      <w:r>
        <w:t>No</w:t>
      </w:r>
      <w:r w:rsidRPr="00BF10B7">
        <w:t xml:space="preserve"> preliminary position on this agenda item</w:t>
      </w:r>
      <w:r>
        <w:t xml:space="preserve"> yet</w:t>
      </w:r>
      <w:r w:rsidRPr="00BF10B7">
        <w:t>.</w:t>
      </w:r>
    </w:p>
    <w:p w14:paraId="615152B7" w14:textId="77777777" w:rsidR="00553A74" w:rsidRDefault="00553A74" w:rsidP="00553A74">
      <w:pPr>
        <w:rPr>
          <w:b/>
          <w:lang w:val="en-NZ"/>
        </w:rPr>
      </w:pPr>
    </w:p>
    <w:p w14:paraId="07DF30FE" w14:textId="77777777" w:rsidR="00553A74" w:rsidRPr="00441526" w:rsidRDefault="00553A74" w:rsidP="00553A74">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Pr>
          <w:b/>
          <w:lang w:val="en-NZ" w:eastAsia="ko-KR"/>
        </w:rPr>
        <w:t>Document APG19-3/INF-06</w:t>
      </w:r>
    </w:p>
    <w:p w14:paraId="18673314" w14:textId="77777777" w:rsidR="00553A74" w:rsidRPr="00D7386D" w:rsidRDefault="00553A74" w:rsidP="00553A74">
      <w:pPr>
        <w:rPr>
          <w:lang w:val="en-NZ"/>
        </w:rPr>
      </w:pPr>
      <w:r w:rsidRPr="00D7386D">
        <w:rPr>
          <w:lang w:val="en-NZ"/>
        </w:rPr>
        <w:lastRenderedPageBreak/>
        <w:t>Preliminary CEPT position:</w:t>
      </w:r>
    </w:p>
    <w:p w14:paraId="4A1F3F96" w14:textId="77777777" w:rsidR="00553A74" w:rsidRPr="00D7386D" w:rsidRDefault="00553A74" w:rsidP="00553A74">
      <w:pPr>
        <w:numPr>
          <w:ilvl w:val="0"/>
          <w:numId w:val="18"/>
        </w:numPr>
        <w:ind w:leftChars="145" w:left="708"/>
        <w:rPr>
          <w:lang w:val="en-NZ"/>
        </w:rPr>
      </w:pPr>
      <w:r w:rsidRPr="00D7386D">
        <w:rPr>
          <w:lang w:val="en-NZ"/>
        </w:rPr>
        <w:t>CEPT supports the study of technical and operational issues and regulatory provisions for new non-geostationary-satellite orbit systems in the 3 700-4 200 MHz, 4 500-4 800 MHz, 5 925</w:t>
      </w:r>
      <w:r>
        <w:rPr>
          <w:lang w:val="en-NZ"/>
        </w:rPr>
        <w:t xml:space="preserve">-6 425 MHz and </w:t>
      </w:r>
      <w:r w:rsidRPr="00D7386D">
        <w:rPr>
          <w:lang w:val="en-NZ"/>
        </w:rPr>
        <w:t xml:space="preserve">6 725-7 025 MHz frequency bands under the terms of Resolution </w:t>
      </w:r>
      <w:r w:rsidRPr="006649CD">
        <w:rPr>
          <w:b/>
          <w:lang w:val="en-NZ"/>
        </w:rPr>
        <w:t>157 (WRC-15)</w:t>
      </w:r>
      <w:r w:rsidRPr="00D7386D">
        <w:rPr>
          <w:lang w:val="en-NZ"/>
        </w:rPr>
        <w:t>.</w:t>
      </w:r>
    </w:p>
    <w:p w14:paraId="2BD7359C" w14:textId="77777777" w:rsidR="00553A74" w:rsidRPr="00D7386D" w:rsidRDefault="00553A74" w:rsidP="00553A74">
      <w:pPr>
        <w:numPr>
          <w:ilvl w:val="0"/>
          <w:numId w:val="18"/>
        </w:numPr>
        <w:ind w:leftChars="145" w:left="708"/>
        <w:rPr>
          <w:lang w:val="en-NZ"/>
        </w:rPr>
      </w:pPr>
      <w:r w:rsidRPr="00D7386D">
        <w:rPr>
          <w:lang w:val="en-NZ"/>
        </w:rPr>
        <w:t xml:space="preserve">CEPT supports the protection of GSO/non-GSO FSS, mobile and fixed services under these studies. No additional constrains should be applied to existing and future GSO and non-GSO FSS networks in the frequency bands 3 700-4 200 MHz (space-to-Earth) and 5 925-6 725 MHz (Earth-to-space). Furthermore, no additional constraint should apply to terrestrial services. </w:t>
      </w:r>
    </w:p>
    <w:p w14:paraId="7A306C86" w14:textId="77777777" w:rsidR="00553A74" w:rsidRDefault="00553A74" w:rsidP="00553A74">
      <w:pPr>
        <w:numPr>
          <w:ilvl w:val="0"/>
          <w:numId w:val="18"/>
        </w:numPr>
        <w:ind w:leftChars="145" w:left="708"/>
        <w:rPr>
          <w:lang w:val="en-NZ"/>
        </w:rPr>
      </w:pPr>
      <w:r w:rsidRPr="00D7386D">
        <w:rPr>
          <w:rFonts w:hint="eastAsia"/>
          <w:lang w:val="en-NZ"/>
        </w:rPr>
        <w:t xml:space="preserve">CEPT is of the view that when considering the Article </w:t>
      </w:r>
      <w:r w:rsidRPr="006649CD">
        <w:rPr>
          <w:rFonts w:hint="eastAsia"/>
          <w:b/>
          <w:lang w:val="en-NZ"/>
        </w:rPr>
        <w:t>22</w:t>
      </w:r>
      <w:r w:rsidRPr="00D7386D">
        <w:rPr>
          <w:rFonts w:hint="eastAsia"/>
          <w:lang w:val="en-NZ"/>
        </w:rPr>
        <w:t xml:space="preserve"> </w:t>
      </w:r>
      <w:proofErr w:type="spellStart"/>
      <w:r w:rsidRPr="00D7386D">
        <w:rPr>
          <w:rFonts w:hint="eastAsia"/>
          <w:lang w:val="en-NZ"/>
        </w:rPr>
        <w:t>epfd</w:t>
      </w:r>
      <w:proofErr w:type="spellEnd"/>
      <w:r w:rsidRPr="00D7386D">
        <w:rPr>
          <w:rFonts w:hint="eastAsia"/>
          <w:lang w:val="en-NZ"/>
        </w:rPr>
        <w:t>↓</w:t>
      </w:r>
      <w:r w:rsidRPr="00D7386D">
        <w:rPr>
          <w:rFonts w:hint="eastAsia"/>
          <w:lang w:val="en-NZ"/>
        </w:rPr>
        <w:t xml:space="preserve"> limits and </w:t>
      </w:r>
      <w:proofErr w:type="spellStart"/>
      <w:r w:rsidRPr="00D7386D">
        <w:rPr>
          <w:rFonts w:hint="eastAsia"/>
          <w:lang w:val="en-NZ"/>
        </w:rPr>
        <w:t>epfd</w:t>
      </w:r>
      <w:proofErr w:type="spellEnd"/>
      <w:r w:rsidRPr="00D7386D">
        <w:rPr>
          <w:rFonts w:hint="eastAsia"/>
          <w:lang w:val="en-NZ"/>
        </w:rPr>
        <w:t>↑</w:t>
      </w:r>
      <w:r w:rsidRPr="00D7386D">
        <w:rPr>
          <w:rFonts w:hint="eastAsia"/>
          <w:lang w:val="en-NZ"/>
        </w:rPr>
        <w:t xml:space="preserve"> limits applicable to non-GSO systems in the frequency bands 3 700-4 200 MHz (space-to-Earth), 5 925-6 425 MHz (Earth-to-space), 4 500-4 800 MHz (space-to-Earth) and 6 725-7 025</w:t>
      </w:r>
      <w:r>
        <w:rPr>
          <w:lang w:val="en-NZ"/>
        </w:rPr>
        <w:t xml:space="preserve"> MHz (Earth-to-space) it is </w:t>
      </w:r>
      <w:r w:rsidRPr="00D7386D">
        <w:rPr>
          <w:lang w:val="en-NZ"/>
        </w:rPr>
        <w:t xml:space="preserve">necessary to ensure the protection of GSO FSS networks </w:t>
      </w:r>
      <w:r>
        <w:rPr>
          <w:lang w:val="en-NZ"/>
        </w:rPr>
        <w:t xml:space="preserve">from unacceptable interference </w:t>
      </w:r>
      <w:r w:rsidRPr="00D7386D">
        <w:rPr>
          <w:lang w:val="en-NZ"/>
        </w:rPr>
        <w:t xml:space="preserve">pursuant to No </w:t>
      </w:r>
      <w:r w:rsidRPr="006649CD">
        <w:rPr>
          <w:b/>
          <w:lang w:val="en-NZ"/>
        </w:rPr>
        <w:t>22.2</w:t>
      </w:r>
      <w:r w:rsidRPr="00D7386D">
        <w:rPr>
          <w:lang w:val="en-NZ"/>
        </w:rPr>
        <w:t xml:space="preserve"> as applicable, including the allotmen</w:t>
      </w:r>
      <w:r>
        <w:rPr>
          <w:lang w:val="en-NZ"/>
        </w:rPr>
        <w:t xml:space="preserve">ts of the Plan and assignments </w:t>
      </w:r>
      <w:r w:rsidRPr="00D7386D">
        <w:rPr>
          <w:lang w:val="en-NZ"/>
        </w:rPr>
        <w:t xml:space="preserve">in the Appendix </w:t>
      </w:r>
      <w:r w:rsidRPr="006649CD">
        <w:rPr>
          <w:b/>
          <w:lang w:val="en-NZ"/>
        </w:rPr>
        <w:t>30B</w:t>
      </w:r>
      <w:r w:rsidRPr="00D7386D">
        <w:rPr>
          <w:lang w:val="en-NZ"/>
        </w:rPr>
        <w:t xml:space="preserve"> List.</w:t>
      </w:r>
    </w:p>
    <w:p w14:paraId="2EC03C21" w14:textId="77777777" w:rsidR="00553A74" w:rsidRPr="006649CD" w:rsidRDefault="00553A74" w:rsidP="00553A74">
      <w:pPr>
        <w:numPr>
          <w:ilvl w:val="0"/>
          <w:numId w:val="18"/>
        </w:numPr>
        <w:ind w:leftChars="145" w:left="708"/>
        <w:rPr>
          <w:lang w:val="en-NZ"/>
        </w:rPr>
      </w:pPr>
      <w:r w:rsidRPr="006649CD">
        <w:rPr>
          <w:lang w:val="en-NZ"/>
        </w:rPr>
        <w:t>CEPT is of the view that studies should take into account that the protection of mobile service is ensured regardless of allocation status of the mobile service.</w:t>
      </w:r>
    </w:p>
    <w:p w14:paraId="1FCF83C0" w14:textId="77777777" w:rsidR="00553A74" w:rsidRDefault="00553A74" w:rsidP="00553A74">
      <w:pPr>
        <w:numPr>
          <w:ilvl w:val="0"/>
          <w:numId w:val="18"/>
        </w:numPr>
        <w:ind w:leftChars="145" w:left="708"/>
        <w:rPr>
          <w:lang w:val="en-NZ"/>
        </w:rPr>
      </w:pPr>
      <w:r w:rsidRPr="006649CD">
        <w:rPr>
          <w:lang w:val="en-NZ"/>
        </w:rPr>
        <w:t xml:space="preserve">In the radio frequency band 3 700-4 200 MHz (space-to-Earth) CEPT does not object to a possible revision of Table </w:t>
      </w:r>
      <w:r w:rsidRPr="006649CD">
        <w:rPr>
          <w:b/>
          <w:lang w:val="en-NZ"/>
        </w:rPr>
        <w:t>21-4</w:t>
      </w:r>
      <w:r w:rsidRPr="006649CD">
        <w:rPr>
          <w:lang w:val="en-NZ"/>
        </w:rPr>
        <w:t xml:space="preserve"> of Article </w:t>
      </w:r>
      <w:r w:rsidRPr="006649CD">
        <w:rPr>
          <w:b/>
          <w:lang w:val="en-NZ"/>
        </w:rPr>
        <w:t>21</w:t>
      </w:r>
      <w:r w:rsidRPr="006649CD">
        <w:rPr>
          <w:lang w:val="en-NZ"/>
        </w:rPr>
        <w:t xml:space="preserve"> for non-GSO FSS satellites, while ensuring the protection of the mobile service and fixed service, and maintaining the existing Article </w:t>
      </w:r>
      <w:r w:rsidRPr="006649CD">
        <w:rPr>
          <w:b/>
          <w:lang w:val="en-NZ"/>
        </w:rPr>
        <w:t>21</w:t>
      </w:r>
      <w:r w:rsidRPr="006649CD">
        <w:rPr>
          <w:lang w:val="en-NZ"/>
        </w:rPr>
        <w:t xml:space="preserve"> </w:t>
      </w:r>
      <w:proofErr w:type="spellStart"/>
      <w:r w:rsidRPr="006649CD">
        <w:rPr>
          <w:lang w:val="en-NZ"/>
        </w:rPr>
        <w:t>pfd</w:t>
      </w:r>
      <w:proofErr w:type="spellEnd"/>
      <w:r w:rsidRPr="006649CD">
        <w:rPr>
          <w:lang w:val="en-NZ"/>
        </w:rPr>
        <w:t xml:space="preserve"> limits for GSO networks.</w:t>
      </w:r>
    </w:p>
    <w:p w14:paraId="76FE1458" w14:textId="77777777" w:rsidR="00553A74" w:rsidRPr="006649CD" w:rsidRDefault="00553A74" w:rsidP="00553A74">
      <w:pPr>
        <w:numPr>
          <w:ilvl w:val="0"/>
          <w:numId w:val="18"/>
        </w:numPr>
        <w:ind w:leftChars="145" w:left="708"/>
        <w:rPr>
          <w:lang w:val="en-NZ"/>
        </w:rPr>
      </w:pPr>
      <w:r w:rsidRPr="006649CD">
        <w:rPr>
          <w:lang w:val="en-NZ"/>
        </w:rPr>
        <w:t>When developing technical and operational conditions and regulatory provisions for new systems of non-GSO FSS, there is a need to ensure protection of existing terrestrial services in the frequency bands 4 500-4 800 MHz (space-to-Earth), 5 925-6 425 MHz (Earth-to-space) and 6 725-7 075 MHz (Earth-to-space).</w:t>
      </w:r>
    </w:p>
    <w:p w14:paraId="0C5F6BA2" w14:textId="77777777" w:rsidR="00553A74" w:rsidRPr="00441526" w:rsidRDefault="00553A74" w:rsidP="00553A74">
      <w:pPr>
        <w:rPr>
          <w:lang w:val="en-NZ"/>
        </w:rPr>
      </w:pPr>
    </w:p>
    <w:p w14:paraId="43B0DC79" w14:textId="77777777" w:rsidR="00553A74" w:rsidRPr="00852343" w:rsidRDefault="00553A74" w:rsidP="00553A74">
      <w:pPr>
        <w:pStyle w:val="ListParagraph"/>
        <w:numPr>
          <w:ilvl w:val="2"/>
          <w:numId w:val="34"/>
        </w:numPr>
        <w:spacing w:after="120"/>
        <w:jc w:val="both"/>
        <w:rPr>
          <w:b/>
          <w:lang w:val="en-NZ" w:eastAsia="ko-KR"/>
        </w:rPr>
      </w:pPr>
      <w:r w:rsidRPr="00852343">
        <w:rPr>
          <w:b/>
          <w:lang w:val="en-NZ" w:eastAsia="ko-KR"/>
        </w:rPr>
        <w:t xml:space="preserve">CITEL </w:t>
      </w:r>
      <w:r w:rsidRPr="00441526">
        <w:t xml:space="preserve">- </w:t>
      </w:r>
      <w:r w:rsidRPr="00852343">
        <w:rPr>
          <w:b/>
          <w:lang w:val="en-NZ" w:eastAsia="ko-KR"/>
        </w:rPr>
        <w:t>Document APG19-3/INF-08 Rev.1</w:t>
      </w:r>
    </w:p>
    <w:p w14:paraId="7306F7C1" w14:textId="77777777" w:rsidR="00553A74" w:rsidRDefault="00553A74" w:rsidP="00553A74">
      <w:r>
        <w:t>Inter</w:t>
      </w:r>
      <w:r w:rsidRPr="00852343">
        <w:rPr>
          <w:rFonts w:ascii="Microsoft YaHei" w:eastAsia="Microsoft YaHei" w:hAnsi="Microsoft YaHei" w:cs="Microsoft YaHei" w:hint="eastAsia"/>
        </w:rPr>
        <w:t>‐</w:t>
      </w:r>
      <w:r w:rsidRPr="00852343">
        <w:t>A</w:t>
      </w:r>
      <w:r>
        <w:t>merica</w:t>
      </w:r>
      <w:r w:rsidRPr="00852343">
        <w:t xml:space="preserve"> P</w:t>
      </w:r>
      <w:r>
        <w:t>roposal</w:t>
      </w:r>
      <w:r w:rsidRPr="00852343">
        <w:t xml:space="preserve"> (IAP)</w:t>
      </w:r>
      <w:r>
        <w:t>:</w:t>
      </w:r>
    </w:p>
    <w:p w14:paraId="6D5B933B" w14:textId="77777777" w:rsidR="00553A74" w:rsidRPr="00E617DF" w:rsidRDefault="00553A74" w:rsidP="00553A74">
      <w:pPr>
        <w:numPr>
          <w:ilvl w:val="0"/>
          <w:numId w:val="18"/>
        </w:numPr>
        <w:ind w:leftChars="145" w:left="708"/>
        <w:rPr>
          <w:lang w:val="en-NZ"/>
        </w:rPr>
      </w:pPr>
      <w:r w:rsidRPr="00B14564">
        <w:rPr>
          <w:lang w:val="en-NZ"/>
        </w:rPr>
        <w:t>No Change to the regulations, studies do not support taking action.</w:t>
      </w:r>
    </w:p>
    <w:p w14:paraId="6D2C42D4" w14:textId="77777777" w:rsidR="00553A74" w:rsidRPr="00B14564" w:rsidRDefault="00553A74" w:rsidP="00553A74">
      <w:pPr>
        <w:rPr>
          <w:lang w:val="en-NZ"/>
        </w:rPr>
      </w:pPr>
    </w:p>
    <w:p w14:paraId="560CBDB8" w14:textId="77777777" w:rsidR="00553A74" w:rsidRPr="00441526" w:rsidRDefault="00553A74" w:rsidP="00553A74">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Pr>
          <w:b/>
          <w:lang w:val="en-NZ" w:eastAsia="ko-KR"/>
        </w:rPr>
        <w:t>Document APG19-2/INF-05</w:t>
      </w:r>
    </w:p>
    <w:p w14:paraId="41D71BAD" w14:textId="77777777" w:rsidR="00553A74" w:rsidRDefault="00553A74" w:rsidP="00553A74">
      <w:pPr>
        <w:spacing w:beforeLines="50" w:before="120"/>
      </w:pPr>
      <w:r>
        <w:t xml:space="preserve">The RCC Administrations do not oppose </w:t>
      </w:r>
      <w:r>
        <w:rPr>
          <w:color w:val="000000"/>
        </w:rPr>
        <w:t xml:space="preserve">possible revision of Article </w:t>
      </w:r>
      <w:r>
        <w:rPr>
          <w:b/>
          <w:color w:val="000000"/>
        </w:rPr>
        <w:t>21</w:t>
      </w:r>
      <w:r>
        <w:rPr>
          <w:color w:val="000000"/>
        </w:rPr>
        <w:t xml:space="preserve">, Table </w:t>
      </w:r>
      <w:r>
        <w:rPr>
          <w:b/>
          <w:color w:val="000000"/>
        </w:rPr>
        <w:t>21-4</w:t>
      </w:r>
      <w:r>
        <w:rPr>
          <w:color w:val="000000"/>
        </w:rPr>
        <w:t xml:space="preserve"> for non-GSO FSS satellites, with a view to enabling new non-GSO systems to operate in these FSS frequency bands, while ensuring that existing primary services, i.e. the mobile service and fixed service, are protected, and maintaining the existing Article </w:t>
      </w:r>
      <w:r>
        <w:rPr>
          <w:b/>
          <w:color w:val="000000"/>
        </w:rPr>
        <w:t>21</w:t>
      </w:r>
      <w:r>
        <w:rPr>
          <w:color w:val="000000"/>
        </w:rPr>
        <w:t xml:space="preserve"> </w:t>
      </w:r>
      <w:proofErr w:type="spellStart"/>
      <w:r>
        <w:rPr>
          <w:color w:val="000000"/>
        </w:rPr>
        <w:t>pfd</w:t>
      </w:r>
      <w:proofErr w:type="spellEnd"/>
      <w:r>
        <w:rPr>
          <w:color w:val="000000"/>
        </w:rPr>
        <w:t xml:space="preserve"> limits for GSO networks </w:t>
      </w:r>
      <w:r>
        <w:t>in the frequency band 3700−4200 MHz (space-to-Earth).</w:t>
      </w:r>
    </w:p>
    <w:p w14:paraId="744DA1E6" w14:textId="77777777" w:rsidR="00553A74" w:rsidRDefault="00553A74" w:rsidP="00553A74">
      <w:pPr>
        <w:spacing w:beforeLines="50" w:before="120" w:afterLines="50" w:after="120"/>
      </w:pPr>
      <w:r>
        <w:t xml:space="preserve">The RCC Administrations consider that when reviewing RR Article </w:t>
      </w:r>
      <w:r>
        <w:rPr>
          <w:b/>
        </w:rPr>
        <w:t xml:space="preserve">22 </w:t>
      </w:r>
      <w:proofErr w:type="spellStart"/>
      <w:r>
        <w:t>epfd</w:t>
      </w:r>
      <w:proofErr w:type="spellEnd"/>
      <w:r>
        <w:t xml:space="preserve">↓ and </w:t>
      </w:r>
      <w:proofErr w:type="spellStart"/>
      <w:r>
        <w:rPr>
          <w:lang w:eastAsia="ru-RU"/>
        </w:rPr>
        <w:t>e</w:t>
      </w:r>
      <w:r>
        <w:t>pf</w:t>
      </w:r>
      <w:r>
        <w:rPr>
          <w:lang w:eastAsia="ru-RU"/>
        </w:rPr>
        <w:t>d</w:t>
      </w:r>
      <w:proofErr w:type="spellEnd"/>
      <w:r>
        <w:t xml:space="preserve">↑ limits for new non-GSO systems in the frequency bands 3700−4200 MHz (space-to-Earth), 5925−6425 MHz (Earth-to-space), 4500−4800 MHz (space-to-Earth) and 6725−7025 MHz (Earth-to-space), it is necessary to ensure protection of GSO FSS networks, including allotments in the Plan and assignments in the Appendix </w:t>
      </w:r>
      <w:r>
        <w:rPr>
          <w:b/>
        </w:rPr>
        <w:t>30В</w:t>
      </w:r>
      <w:r>
        <w:t xml:space="preserve"> List, without modification of their protection criteria.</w:t>
      </w:r>
    </w:p>
    <w:p w14:paraId="6148DD87" w14:textId="77777777" w:rsidR="00553A74" w:rsidRDefault="00553A74" w:rsidP="00553A74">
      <w:r>
        <w:t>The RCC Administrations consider that when determining operation conditions for new non-GSO FSS systems in the frequency bands 3700−4200 MHz (space-to-Earth), 5925−6425 MHz (Earth-to-space), it is necessary to protect existing non-GSO FSS systems in highly elliptical orbits.</w:t>
      </w:r>
    </w:p>
    <w:p w14:paraId="43677051" w14:textId="77777777" w:rsidR="00553A74" w:rsidRDefault="00553A74" w:rsidP="00553A74">
      <w:pPr>
        <w:rPr>
          <w:b/>
          <w:lang w:val="en-NZ"/>
        </w:rPr>
      </w:pPr>
    </w:p>
    <w:p w14:paraId="724C98F5" w14:textId="77777777" w:rsidR="00553A74" w:rsidRPr="00B97869" w:rsidRDefault="00553A74" w:rsidP="00553A74">
      <w:pPr>
        <w:spacing w:after="120"/>
        <w:jc w:val="both"/>
        <w:rPr>
          <w:lang w:val="en-NZ" w:eastAsia="ko-KR"/>
        </w:rPr>
      </w:pPr>
      <w:r w:rsidRPr="00B97869">
        <w:rPr>
          <w:lang w:val="en-NZ" w:eastAsia="ko-KR"/>
        </w:rPr>
        <w:t>In the radio frequency band 3700-4200 MHz (space-to-Earth) CEPT does not object to a</w:t>
      </w:r>
      <w:r>
        <w:rPr>
          <w:rFonts w:eastAsiaTheme="minorEastAsia" w:hint="eastAsia"/>
          <w:lang w:val="en-NZ" w:eastAsia="zh-CN"/>
        </w:rPr>
        <w:t xml:space="preserve"> </w:t>
      </w:r>
      <w:r w:rsidRPr="00B97869">
        <w:rPr>
          <w:lang w:val="en-NZ" w:eastAsia="ko-KR"/>
        </w:rPr>
        <w:t xml:space="preserve">possible revision of Table </w:t>
      </w:r>
      <w:r w:rsidRPr="00B97869">
        <w:rPr>
          <w:b/>
          <w:lang w:val="en-NZ" w:eastAsia="ko-KR"/>
        </w:rPr>
        <w:t>21-4</w:t>
      </w:r>
      <w:r w:rsidRPr="00B97869">
        <w:rPr>
          <w:lang w:val="en-NZ" w:eastAsia="ko-KR"/>
        </w:rPr>
        <w:t xml:space="preserve"> of Article </w:t>
      </w:r>
      <w:r w:rsidRPr="00B97869">
        <w:rPr>
          <w:b/>
          <w:lang w:val="en-NZ" w:eastAsia="ko-KR"/>
        </w:rPr>
        <w:t>21</w:t>
      </w:r>
      <w:r w:rsidRPr="00B97869">
        <w:rPr>
          <w:lang w:val="en-NZ" w:eastAsia="ko-KR"/>
        </w:rPr>
        <w:t xml:space="preserve"> for non-GSO FSS satellites, while ensuring</w:t>
      </w:r>
      <w:r>
        <w:rPr>
          <w:rFonts w:eastAsiaTheme="minorEastAsia" w:hint="eastAsia"/>
          <w:lang w:val="en-NZ" w:eastAsia="zh-CN"/>
        </w:rPr>
        <w:t xml:space="preserve"> </w:t>
      </w:r>
      <w:r w:rsidRPr="00B97869">
        <w:rPr>
          <w:lang w:val="en-NZ" w:eastAsia="ko-KR"/>
        </w:rPr>
        <w:t>that existing primary services, i.e. the mobile service and fixed service, are protected and</w:t>
      </w:r>
      <w:r>
        <w:rPr>
          <w:rFonts w:eastAsiaTheme="minorEastAsia" w:hint="eastAsia"/>
          <w:lang w:val="en-NZ" w:eastAsia="zh-CN"/>
        </w:rPr>
        <w:t xml:space="preserve"> </w:t>
      </w:r>
      <w:r w:rsidRPr="00B97869">
        <w:rPr>
          <w:lang w:val="en-NZ" w:eastAsia="ko-KR"/>
        </w:rPr>
        <w:t xml:space="preserve">maintaining the existing Article </w:t>
      </w:r>
      <w:r w:rsidRPr="0098026D">
        <w:rPr>
          <w:b/>
          <w:lang w:val="en-NZ" w:eastAsia="ko-KR"/>
        </w:rPr>
        <w:t xml:space="preserve">21 </w:t>
      </w:r>
      <w:proofErr w:type="spellStart"/>
      <w:r w:rsidRPr="00B97869">
        <w:rPr>
          <w:lang w:val="en-NZ" w:eastAsia="ko-KR"/>
        </w:rPr>
        <w:t>pfd</w:t>
      </w:r>
      <w:proofErr w:type="spellEnd"/>
      <w:r w:rsidRPr="00B97869">
        <w:rPr>
          <w:lang w:val="en-NZ" w:eastAsia="ko-KR"/>
        </w:rPr>
        <w:t xml:space="preserve"> limits for GSO networks.</w:t>
      </w:r>
    </w:p>
    <w:p w14:paraId="7F94DE6B" w14:textId="77777777" w:rsidR="00553A74" w:rsidRPr="004328B0" w:rsidRDefault="00553A74" w:rsidP="00553A74">
      <w:pPr>
        <w:rPr>
          <w:lang w:val="en-NZ"/>
        </w:rPr>
      </w:pPr>
      <w:r w:rsidRPr="00B97869">
        <w:rPr>
          <w:lang w:val="en-NZ" w:eastAsia="ko-KR"/>
        </w:rPr>
        <w:t>When developing technical and operational condi</w:t>
      </w:r>
      <w:r>
        <w:rPr>
          <w:lang w:val="en-NZ" w:eastAsia="ko-KR"/>
        </w:rPr>
        <w:t>tions and regulatory provisions</w:t>
      </w:r>
      <w:r>
        <w:rPr>
          <w:rFonts w:eastAsiaTheme="minorEastAsia" w:hint="eastAsia"/>
          <w:lang w:val="en-NZ" w:eastAsia="zh-CN"/>
        </w:rPr>
        <w:t xml:space="preserve"> </w:t>
      </w:r>
      <w:r w:rsidRPr="00B97869">
        <w:rPr>
          <w:lang w:val="en-NZ" w:eastAsia="ko-KR"/>
        </w:rPr>
        <w:t>for new systems of non-GSO FSS, there is a need to ensure protection of</w:t>
      </w:r>
      <w:r>
        <w:rPr>
          <w:rFonts w:eastAsiaTheme="minorEastAsia" w:hint="eastAsia"/>
          <w:lang w:val="en-NZ" w:eastAsia="zh-CN"/>
        </w:rPr>
        <w:t xml:space="preserve"> </w:t>
      </w:r>
      <w:r w:rsidRPr="00B97869">
        <w:rPr>
          <w:lang w:val="en-NZ" w:eastAsia="ko-KR"/>
        </w:rPr>
        <w:t>existing terrestrial services in the frequency bands 4500-4800 MHz (space-to-Earth),</w:t>
      </w:r>
      <w:r>
        <w:rPr>
          <w:rFonts w:eastAsiaTheme="minorEastAsia" w:hint="eastAsia"/>
          <w:lang w:val="en-NZ" w:eastAsia="zh-CN"/>
        </w:rPr>
        <w:t xml:space="preserve"> </w:t>
      </w:r>
      <w:r w:rsidRPr="00B97869">
        <w:rPr>
          <w:lang w:val="en-NZ" w:eastAsia="ko-KR"/>
        </w:rPr>
        <w:t>5925-6425 MHz (Earth-to-space) and</w:t>
      </w:r>
      <w:r>
        <w:rPr>
          <w:lang w:val="en-NZ" w:eastAsia="ko-KR"/>
        </w:rPr>
        <w:t xml:space="preserve"> 6725-7075 MHz (Earth-to-space)</w:t>
      </w:r>
      <w:r w:rsidRPr="00441526">
        <w:rPr>
          <w:lang w:val="en-NZ"/>
        </w:rPr>
        <w:t>.</w:t>
      </w:r>
    </w:p>
    <w:p w14:paraId="0D25B2F9" w14:textId="77777777" w:rsidR="00553A74" w:rsidRPr="00441526" w:rsidRDefault="00553A74" w:rsidP="00553A74">
      <w:pPr>
        <w:rPr>
          <w:lang w:val="en-NZ"/>
        </w:rPr>
      </w:pPr>
    </w:p>
    <w:p w14:paraId="7A4FB6EC" w14:textId="77777777" w:rsidR="00553A74" w:rsidRPr="00441526" w:rsidRDefault="00553A74" w:rsidP="00553A74">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5F296BFA" w14:textId="77777777" w:rsidR="00553A74" w:rsidRPr="00441526" w:rsidRDefault="00553A74" w:rsidP="00553A74">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 xml:space="preserve">IARU </w:t>
      </w:r>
      <w:r w:rsidRPr="00441526">
        <w:t xml:space="preserve">- </w:t>
      </w:r>
      <w:r>
        <w:rPr>
          <w:b/>
          <w:lang w:val="en-NZ" w:eastAsia="ko-KR"/>
        </w:rPr>
        <w:t>Document APG19-2/INF-06</w:t>
      </w:r>
    </w:p>
    <w:p w14:paraId="5320338E" w14:textId="77777777" w:rsidR="00553A74" w:rsidRPr="00441526" w:rsidRDefault="00553A74" w:rsidP="00553A74">
      <w:pPr>
        <w:rPr>
          <w:lang w:val="en-NZ"/>
        </w:rPr>
      </w:pPr>
      <w:r>
        <w:rPr>
          <w:lang w:val="en-NZ"/>
        </w:rPr>
        <w:t>None.</w:t>
      </w:r>
    </w:p>
    <w:p w14:paraId="1566B158" w14:textId="77777777" w:rsidR="00553A74" w:rsidRPr="004328B0" w:rsidRDefault="00553A74" w:rsidP="00553A74">
      <w:pPr>
        <w:rPr>
          <w:lang w:val="en-NZ"/>
        </w:rPr>
      </w:pPr>
    </w:p>
    <w:p w14:paraId="1FAE3FE2" w14:textId="77777777" w:rsidR="00553A74" w:rsidRPr="00441526" w:rsidRDefault="00553A74" w:rsidP="00553A74">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 xml:space="preserve">ICAO </w:t>
      </w:r>
      <w:r w:rsidRPr="00441526">
        <w:t xml:space="preserve">- </w:t>
      </w:r>
      <w:r>
        <w:rPr>
          <w:b/>
          <w:lang w:val="en-NZ" w:eastAsia="ko-KR"/>
        </w:rPr>
        <w:t>Document APG19-2</w:t>
      </w:r>
      <w:r w:rsidRPr="00441526">
        <w:rPr>
          <w:b/>
          <w:lang w:val="en-NZ" w:eastAsia="ko-KR"/>
        </w:rPr>
        <w:t>/IN</w:t>
      </w:r>
      <w:r>
        <w:rPr>
          <w:b/>
          <w:lang w:val="en-NZ" w:eastAsia="ko-KR"/>
        </w:rPr>
        <w:t>F-02</w:t>
      </w:r>
    </w:p>
    <w:p w14:paraId="7AD57C71" w14:textId="77777777" w:rsidR="00553A74" w:rsidRDefault="00553A74" w:rsidP="00553A74">
      <w:pPr>
        <w:spacing w:afterLines="50" w:after="120"/>
        <w:rPr>
          <w:lang w:eastAsia="ja-JP"/>
        </w:rPr>
      </w:pPr>
      <w:r>
        <w:rPr>
          <w:lang w:eastAsia="ja-JP"/>
        </w:rPr>
        <w:t xml:space="preserve">To oppose any new or changes to existing regulatory provisions in Article </w:t>
      </w:r>
      <w:r w:rsidRPr="00B97869">
        <w:rPr>
          <w:b/>
          <w:lang w:eastAsia="ja-JP"/>
        </w:rPr>
        <w:t>21</w:t>
      </w:r>
      <w:r>
        <w:rPr>
          <w:lang w:eastAsia="ja-JP"/>
        </w:rPr>
        <w:t xml:space="preserve"> of the ITU Radio Regulations for the frequency bands 3 700 - 4 200 MHz and 5 925 - 6 425 MHz unless it has been demonstrated through agreed ITU-R studies that there will be no impact from the potential introduction of new non-geostationary-satellites on aviation use in those bands.</w:t>
      </w:r>
    </w:p>
    <w:p w14:paraId="6B13F5DB" w14:textId="77777777" w:rsidR="00553A74" w:rsidRPr="00441526" w:rsidRDefault="00553A74" w:rsidP="00553A74">
      <w:pPr>
        <w:rPr>
          <w:lang w:val="en-NZ"/>
        </w:rPr>
      </w:pPr>
      <w:r>
        <w:rPr>
          <w:lang w:eastAsia="ja-JP"/>
        </w:rPr>
        <w:t>To oppose introduction of new non-geostationary-satellites in frequency bands near to the frequency band 4 200 - 4 400 MHz unless aviation use of that band is ensured through agreed ITU-R studies.</w:t>
      </w:r>
    </w:p>
    <w:p w14:paraId="77CBC7AB" w14:textId="77777777" w:rsidR="00553A74" w:rsidRPr="00441526" w:rsidRDefault="00553A74" w:rsidP="00553A74">
      <w:pPr>
        <w:rPr>
          <w:lang w:val="en-NZ"/>
        </w:rPr>
      </w:pPr>
    </w:p>
    <w:p w14:paraId="5FB7E7BA" w14:textId="77777777" w:rsidR="00553A74" w:rsidRPr="00441526" w:rsidRDefault="00553A74" w:rsidP="00553A74">
      <w:pPr>
        <w:rPr>
          <w:b/>
          <w:lang w:val="en-NZ"/>
        </w:rPr>
      </w:pPr>
    </w:p>
    <w:p w14:paraId="2E0E6747" w14:textId="6142363A" w:rsidR="00B64A60" w:rsidRPr="00553A74" w:rsidRDefault="00B64A60" w:rsidP="00B64A60">
      <w:pPr>
        <w:rPr>
          <w:lang w:val="en-NZ"/>
        </w:rPr>
      </w:pPr>
    </w:p>
    <w:p w14:paraId="44274B00" w14:textId="77777777" w:rsidR="00652970" w:rsidRDefault="00652970" w:rsidP="00B64A60">
      <w:pPr>
        <w:rPr>
          <w:lang w:val="en-NZ"/>
        </w:rPr>
      </w:pPr>
    </w:p>
    <w:p w14:paraId="60834401" w14:textId="7EDAB7AF" w:rsidR="00CD4C1F" w:rsidRDefault="00CD4C1F" w:rsidP="00CD4C1F">
      <w:pPr>
        <w:rPr>
          <w:rFonts w:eastAsia="MS Mincho"/>
          <w:lang w:eastAsia="ja-JP"/>
        </w:rPr>
      </w:pPr>
    </w:p>
    <w:p w14:paraId="27C5B5C1" w14:textId="77777777" w:rsidR="00424ACC" w:rsidRDefault="00424ACC" w:rsidP="00CD4C1F">
      <w:pPr>
        <w:rPr>
          <w:rFonts w:eastAsia="MS Mincho"/>
          <w:lang w:eastAsia="ja-JP"/>
        </w:rPr>
      </w:pPr>
    </w:p>
    <w:p w14:paraId="2E0E6770" w14:textId="63BE2BC8" w:rsidR="00B64A60" w:rsidRDefault="00B64A60" w:rsidP="00CD4C1F">
      <w:pPr>
        <w:jc w:val="center"/>
        <w:rPr>
          <w:lang w:val="en-NZ"/>
        </w:rPr>
      </w:pPr>
      <w:r w:rsidRPr="00710333">
        <w:rPr>
          <w:lang w:val="en-NZ"/>
        </w:rPr>
        <w:t>____________</w:t>
      </w:r>
      <w:r w:rsidR="00424ACC" w:rsidRPr="00424ACC">
        <w:rPr>
          <w:u w:val="single"/>
          <w:lang w:val="en-NZ"/>
        </w:rPr>
        <w:tab/>
      </w:r>
    </w:p>
    <w:sectPr w:rsidR="00B64A60" w:rsidSect="00DB0A68">
      <w:headerReference w:type="even" r:id="rId9"/>
      <w:headerReference w:type="default" r:id="rId10"/>
      <w:footerReference w:type="even" r:id="rId11"/>
      <w:footerReference w:type="default" r:id="rId12"/>
      <w:headerReference w:type="first" r:id="rId13"/>
      <w:footerReference w:type="first" r:id="rId1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93165" w14:textId="77777777" w:rsidR="00450946" w:rsidRDefault="00450946">
      <w:r>
        <w:separator/>
      </w:r>
    </w:p>
  </w:endnote>
  <w:endnote w:type="continuationSeparator" w:id="0">
    <w:p w14:paraId="51FBC42A" w14:textId="77777777" w:rsidR="00450946" w:rsidRDefault="0045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24B48A5C" w:rsidR="0097693B" w:rsidRDefault="009E42F8" w:rsidP="009E42F8">
    <w:pPr>
      <w:pStyle w:val="Footer"/>
      <w:tabs>
        <w:tab w:val="left" w:pos="540"/>
        <w:tab w:val="right" w:pos="8957"/>
      </w:tabs>
      <w:ind w:right="360"/>
    </w:pPr>
    <w:r>
      <w:rPr>
        <w:rFonts w:hint="eastAsia"/>
        <w:lang w:eastAsia="ko-KR"/>
      </w:rPr>
      <w:t>A</w:t>
    </w:r>
    <w:r w:rsidR="004F4F4E">
      <w:rPr>
        <w:lang w:eastAsia="ko-KR"/>
      </w:rPr>
      <w:t>PG19-3</w:t>
    </w:r>
    <w:r w:rsidR="00553A74">
      <w:rPr>
        <w:lang w:eastAsia="ko-KR"/>
      </w:rPr>
      <w:t>/OUT-16</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B124C5">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B124C5">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233"/>
      <w:gridCol w:w="4073"/>
    </w:tblGrid>
    <w:tr w:rsidR="006A1DB5" w14:paraId="733676D9" w14:textId="77777777" w:rsidTr="00E46845">
      <w:trPr>
        <w:cantSplit/>
        <w:trHeight w:val="204"/>
        <w:jc w:val="center"/>
      </w:trPr>
      <w:tc>
        <w:tcPr>
          <w:tcW w:w="1617" w:type="dxa"/>
          <w:tcBorders>
            <w:top w:val="single" w:sz="12" w:space="0" w:color="auto"/>
          </w:tcBorders>
        </w:tcPr>
        <w:p w14:paraId="788B8788" w14:textId="77777777" w:rsidR="006A1DB5" w:rsidRDefault="006A1DB5" w:rsidP="006A1DB5">
          <w:pPr>
            <w:rPr>
              <w:b/>
              <w:bCs/>
            </w:rPr>
          </w:pPr>
          <w:bookmarkStart w:id="17" w:name="_GoBack"/>
          <w:r>
            <w:rPr>
              <w:b/>
              <w:bCs/>
            </w:rPr>
            <w:t xml:space="preserve">Contact: </w:t>
          </w:r>
        </w:p>
      </w:tc>
      <w:tc>
        <w:tcPr>
          <w:tcW w:w="4233" w:type="dxa"/>
          <w:tcBorders>
            <w:top w:val="single" w:sz="12" w:space="0" w:color="auto"/>
          </w:tcBorders>
        </w:tcPr>
        <w:p w14:paraId="1BDB5229" w14:textId="77777777" w:rsidR="006A1DB5" w:rsidRDefault="006A1DB5" w:rsidP="006A1DB5">
          <w:pPr>
            <w:rPr>
              <w:rFonts w:eastAsia="Batang"/>
            </w:rPr>
          </w:pPr>
          <w:r>
            <w:rPr>
              <w:rFonts w:eastAsia="Batang"/>
            </w:rPr>
            <w:t>MR. MUNEO ABE</w:t>
          </w:r>
        </w:p>
        <w:p w14:paraId="47EBBC25" w14:textId="18BA60E7" w:rsidR="006A1DB5" w:rsidRDefault="00B124C5" w:rsidP="006A1DB5">
          <w:pPr>
            <w:rPr>
              <w:rFonts w:eastAsia="Batang"/>
            </w:rPr>
          </w:pPr>
          <w:r>
            <w:rPr>
              <w:rFonts w:eastAsia="Batang"/>
            </w:rPr>
            <w:t>Chairman, WP3</w:t>
          </w:r>
        </w:p>
      </w:tc>
      <w:tc>
        <w:tcPr>
          <w:tcW w:w="4073" w:type="dxa"/>
          <w:tcBorders>
            <w:top w:val="single" w:sz="12" w:space="0" w:color="auto"/>
          </w:tcBorders>
        </w:tcPr>
        <w:p w14:paraId="399DBBB2" w14:textId="77777777" w:rsidR="006A1DB5" w:rsidRDefault="006A1DB5" w:rsidP="006A1DB5">
          <w:pPr>
            <w:rPr>
              <w:lang w:eastAsia="ja-JP"/>
            </w:rPr>
          </w:pPr>
          <w:r>
            <w:rPr>
              <w:lang w:eastAsia="ja-JP"/>
            </w:rPr>
            <w:t xml:space="preserve">Email: </w:t>
          </w:r>
          <w:hyperlink r:id="rId1" w:history="1">
            <w:r w:rsidRPr="001C68DD">
              <w:rPr>
                <w:rStyle w:val="Hyperlink"/>
                <w:lang w:eastAsia="ja-JP"/>
              </w:rPr>
              <w:t>Abe.Muneo@cj.MitsubishiElectric.co.jp</w:t>
            </w:r>
          </w:hyperlink>
          <w:r>
            <w:rPr>
              <w:lang w:eastAsia="ja-JP"/>
            </w:rPr>
            <w:t xml:space="preserve"> </w:t>
          </w:r>
        </w:p>
      </w:tc>
    </w:tr>
    <w:bookmarkEnd w:id="17"/>
  </w:tbl>
  <w:p w14:paraId="2E0E6781"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903A7" w14:textId="77777777" w:rsidR="00450946" w:rsidRDefault="00450946">
      <w:r>
        <w:separator/>
      </w:r>
    </w:p>
  </w:footnote>
  <w:footnote w:type="continuationSeparator" w:id="0">
    <w:p w14:paraId="4809291E" w14:textId="77777777" w:rsidR="00450946" w:rsidRDefault="00450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1CCDC" w14:textId="77777777" w:rsidR="00B124C5" w:rsidRDefault="00B12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DBD5BDB" w:rsidR="0097693B" w:rsidRDefault="0097693B" w:rsidP="00C15633">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A7647" w14:textId="77777777" w:rsidR="00B124C5" w:rsidRDefault="00B12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EAC1C2C"/>
    <w:multiLevelType w:val="multilevel"/>
    <w:tmpl w:val="F018687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1F96786B"/>
    <w:multiLevelType w:val="multilevel"/>
    <w:tmpl w:val="CADAB6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ED7C99"/>
    <w:multiLevelType w:val="multilevel"/>
    <w:tmpl w:val="AECE85F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5056106"/>
    <w:multiLevelType w:val="hybridMultilevel"/>
    <w:tmpl w:val="FCC0F9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491534B"/>
    <w:multiLevelType w:val="hybridMultilevel"/>
    <w:tmpl w:val="28F21802"/>
    <w:lvl w:ilvl="0" w:tplc="103AF6D0">
      <w:start w:val="2"/>
      <w:numFmt w:val="bullet"/>
      <w:lvlText w:val="-"/>
      <w:lvlJc w:val="left"/>
      <w:pPr>
        <w:ind w:left="600" w:hanging="360"/>
      </w:pPr>
      <w:rPr>
        <w:rFonts w:ascii="Times New Roman" w:eastAsia="BatangChe"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BBE1A4D"/>
    <w:multiLevelType w:val="hybridMultilevel"/>
    <w:tmpl w:val="8DB00EA8"/>
    <w:lvl w:ilvl="0" w:tplc="A114EBFA">
      <w:start w:val="1"/>
      <w:numFmt w:val="bullet"/>
      <w:lvlText w:val="-"/>
      <w:lvlJc w:val="left"/>
      <w:pPr>
        <w:ind w:left="3338"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40B46B16"/>
    <w:multiLevelType w:val="hybridMultilevel"/>
    <w:tmpl w:val="FC76D0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CE035C"/>
    <w:multiLevelType w:val="hybridMultilevel"/>
    <w:tmpl w:val="23FAB1BC"/>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1A6D56"/>
    <w:multiLevelType w:val="hybridMultilevel"/>
    <w:tmpl w:val="8BCC9862"/>
    <w:lvl w:ilvl="0" w:tplc="8A0A331C">
      <w:start w:val="1"/>
      <w:numFmt w:val="bullet"/>
      <w:lvlText w:val="-"/>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D2A0917"/>
    <w:multiLevelType w:val="multilevel"/>
    <w:tmpl w:val="EF309FB4"/>
    <w:lvl w:ilvl="0">
      <w:numFmt w:val="bullet"/>
      <w:lvlText w:val="-"/>
      <w:lvlJc w:val="left"/>
      <w:pPr>
        <w:ind w:left="720" w:hanging="360"/>
      </w:pPr>
      <w:rPr>
        <w:rFonts w:ascii="Times New Roman" w:eastAsia="GulimChe"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0477784"/>
    <w:multiLevelType w:val="hybridMultilevel"/>
    <w:tmpl w:val="3710E4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E5BBB"/>
    <w:multiLevelType w:val="multilevel"/>
    <w:tmpl w:val="D6563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2E74C4"/>
    <w:multiLevelType w:val="hybridMultilevel"/>
    <w:tmpl w:val="844E0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7462D4"/>
    <w:multiLevelType w:val="hybridMultilevel"/>
    <w:tmpl w:val="3A705D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5755024"/>
    <w:multiLevelType w:val="hybridMultilevel"/>
    <w:tmpl w:val="E51AD7FC"/>
    <w:lvl w:ilvl="0" w:tplc="637ABA4E">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2"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4"/>
  </w:num>
  <w:num w:numId="2">
    <w:abstractNumId w:val="8"/>
  </w:num>
  <w:num w:numId="3">
    <w:abstractNumId w:val="7"/>
  </w:num>
  <w:num w:numId="4">
    <w:abstractNumId w:val="28"/>
  </w:num>
  <w:num w:numId="5">
    <w:abstractNumId w:val="12"/>
  </w:num>
  <w:num w:numId="6">
    <w:abstractNumId w:val="15"/>
  </w:num>
  <w:num w:numId="7">
    <w:abstractNumId w:val="3"/>
  </w:num>
  <w:num w:numId="8">
    <w:abstractNumId w:val="1"/>
  </w:num>
  <w:num w:numId="9">
    <w:abstractNumId w:val="31"/>
  </w:num>
  <w:num w:numId="10">
    <w:abstractNumId w:val="24"/>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2"/>
  </w:num>
  <w:num w:numId="17">
    <w:abstractNumId w:val="23"/>
  </w:num>
  <w:num w:numId="18">
    <w:abstractNumId w:val="16"/>
  </w:num>
  <w:num w:numId="19">
    <w:abstractNumId w:val="29"/>
  </w:num>
  <w:num w:numId="20">
    <w:abstractNumId w:val="11"/>
  </w:num>
  <w:num w:numId="21">
    <w:abstractNumId w:val="18"/>
  </w:num>
  <w:num w:numId="22">
    <w:abstractNumId w:val="20"/>
  </w:num>
  <w:num w:numId="23">
    <w:abstractNumId w:val="17"/>
  </w:num>
  <w:num w:numId="24">
    <w:abstractNumId w:val="25"/>
  </w:num>
  <w:num w:numId="25">
    <w:abstractNumId w:val="5"/>
  </w:num>
  <w:num w:numId="26">
    <w:abstractNumId w:val="21"/>
  </w:num>
  <w:num w:numId="27">
    <w:abstractNumId w:val="6"/>
  </w:num>
  <w:num w:numId="28">
    <w:abstractNumId w:val="30"/>
  </w:num>
  <w:num w:numId="29">
    <w:abstractNumId w:val="19"/>
  </w:num>
  <w:num w:numId="30">
    <w:abstractNumId w:val="9"/>
  </w:num>
  <w:num w:numId="31">
    <w:abstractNumId w:val="27"/>
  </w:num>
  <w:num w:numId="32">
    <w:abstractNumId w:val="26"/>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611F"/>
    <w:rsid w:val="00007FC0"/>
    <w:rsid w:val="000103ED"/>
    <w:rsid w:val="00010C8E"/>
    <w:rsid w:val="000172F2"/>
    <w:rsid w:val="00020E68"/>
    <w:rsid w:val="0003595B"/>
    <w:rsid w:val="00036517"/>
    <w:rsid w:val="00036CC9"/>
    <w:rsid w:val="00050D08"/>
    <w:rsid w:val="00070642"/>
    <w:rsid w:val="000713CF"/>
    <w:rsid w:val="000734FA"/>
    <w:rsid w:val="00075C14"/>
    <w:rsid w:val="000822B5"/>
    <w:rsid w:val="00094B87"/>
    <w:rsid w:val="00097D94"/>
    <w:rsid w:val="000A012B"/>
    <w:rsid w:val="000A5418"/>
    <w:rsid w:val="000B3623"/>
    <w:rsid w:val="000C6DD4"/>
    <w:rsid w:val="000D4155"/>
    <w:rsid w:val="000F074E"/>
    <w:rsid w:val="000F345F"/>
    <w:rsid w:val="000F517C"/>
    <w:rsid w:val="000F5540"/>
    <w:rsid w:val="00101B58"/>
    <w:rsid w:val="001057E4"/>
    <w:rsid w:val="00105F1A"/>
    <w:rsid w:val="00111146"/>
    <w:rsid w:val="00120C56"/>
    <w:rsid w:val="001409B2"/>
    <w:rsid w:val="00141399"/>
    <w:rsid w:val="00152636"/>
    <w:rsid w:val="001539DD"/>
    <w:rsid w:val="00155761"/>
    <w:rsid w:val="00156782"/>
    <w:rsid w:val="0016326A"/>
    <w:rsid w:val="001731F4"/>
    <w:rsid w:val="00180A4E"/>
    <w:rsid w:val="001911F4"/>
    <w:rsid w:val="00196568"/>
    <w:rsid w:val="00197806"/>
    <w:rsid w:val="00197878"/>
    <w:rsid w:val="00197C18"/>
    <w:rsid w:val="001A2F16"/>
    <w:rsid w:val="001A764B"/>
    <w:rsid w:val="001B1804"/>
    <w:rsid w:val="001B18C2"/>
    <w:rsid w:val="001B5016"/>
    <w:rsid w:val="001C1C58"/>
    <w:rsid w:val="001C4FF8"/>
    <w:rsid w:val="001C61A5"/>
    <w:rsid w:val="001C6707"/>
    <w:rsid w:val="001C7CEE"/>
    <w:rsid w:val="001D5D7E"/>
    <w:rsid w:val="001E067B"/>
    <w:rsid w:val="001E2311"/>
    <w:rsid w:val="001F00A1"/>
    <w:rsid w:val="001F5947"/>
    <w:rsid w:val="001F71A2"/>
    <w:rsid w:val="00201B98"/>
    <w:rsid w:val="00202410"/>
    <w:rsid w:val="00204433"/>
    <w:rsid w:val="0020463A"/>
    <w:rsid w:val="00204D05"/>
    <w:rsid w:val="002103F7"/>
    <w:rsid w:val="00210ED7"/>
    <w:rsid w:val="002111B1"/>
    <w:rsid w:val="0021498B"/>
    <w:rsid w:val="00214A0C"/>
    <w:rsid w:val="0021588B"/>
    <w:rsid w:val="002216AC"/>
    <w:rsid w:val="00227127"/>
    <w:rsid w:val="00230BBA"/>
    <w:rsid w:val="00232D82"/>
    <w:rsid w:val="002444AD"/>
    <w:rsid w:val="00245F0F"/>
    <w:rsid w:val="002506D2"/>
    <w:rsid w:val="00250DE2"/>
    <w:rsid w:val="00254A1B"/>
    <w:rsid w:val="0026064A"/>
    <w:rsid w:val="00265A7A"/>
    <w:rsid w:val="0028454D"/>
    <w:rsid w:val="00287988"/>
    <w:rsid w:val="00291C9E"/>
    <w:rsid w:val="002926D4"/>
    <w:rsid w:val="002A62A6"/>
    <w:rsid w:val="002B06A3"/>
    <w:rsid w:val="002B435C"/>
    <w:rsid w:val="002B447F"/>
    <w:rsid w:val="002C07DA"/>
    <w:rsid w:val="002C295F"/>
    <w:rsid w:val="002C45D2"/>
    <w:rsid w:val="002C7EA9"/>
    <w:rsid w:val="002E1735"/>
    <w:rsid w:val="002F2A53"/>
    <w:rsid w:val="002F575D"/>
    <w:rsid w:val="002F68F0"/>
    <w:rsid w:val="00300DC1"/>
    <w:rsid w:val="003066AB"/>
    <w:rsid w:val="0030715F"/>
    <w:rsid w:val="003113D7"/>
    <w:rsid w:val="00311E8A"/>
    <w:rsid w:val="00312FEA"/>
    <w:rsid w:val="00342F20"/>
    <w:rsid w:val="00346242"/>
    <w:rsid w:val="003479C0"/>
    <w:rsid w:val="003561D7"/>
    <w:rsid w:val="00360377"/>
    <w:rsid w:val="00362B4D"/>
    <w:rsid w:val="00366548"/>
    <w:rsid w:val="003772CC"/>
    <w:rsid w:val="003809C7"/>
    <w:rsid w:val="0038236C"/>
    <w:rsid w:val="00395B40"/>
    <w:rsid w:val="003A1ABB"/>
    <w:rsid w:val="003A22D6"/>
    <w:rsid w:val="003A6568"/>
    <w:rsid w:val="003B6263"/>
    <w:rsid w:val="003C29E6"/>
    <w:rsid w:val="003C64A7"/>
    <w:rsid w:val="003D1671"/>
    <w:rsid w:val="003D3FDA"/>
    <w:rsid w:val="003D6D00"/>
    <w:rsid w:val="003E166F"/>
    <w:rsid w:val="003F6C79"/>
    <w:rsid w:val="004001E5"/>
    <w:rsid w:val="00411797"/>
    <w:rsid w:val="00414C58"/>
    <w:rsid w:val="00420822"/>
    <w:rsid w:val="00420C74"/>
    <w:rsid w:val="00424ACC"/>
    <w:rsid w:val="00433A59"/>
    <w:rsid w:val="004465AA"/>
    <w:rsid w:val="00450946"/>
    <w:rsid w:val="0045458F"/>
    <w:rsid w:val="00462166"/>
    <w:rsid w:val="004633B4"/>
    <w:rsid w:val="00495A35"/>
    <w:rsid w:val="004A2F96"/>
    <w:rsid w:val="004B0E2F"/>
    <w:rsid w:val="004B3553"/>
    <w:rsid w:val="004B3F4B"/>
    <w:rsid w:val="004C15A4"/>
    <w:rsid w:val="004C2B2A"/>
    <w:rsid w:val="004C4E7F"/>
    <w:rsid w:val="004C5410"/>
    <w:rsid w:val="004D586B"/>
    <w:rsid w:val="004F4F4E"/>
    <w:rsid w:val="00500DBB"/>
    <w:rsid w:val="00503189"/>
    <w:rsid w:val="005033E8"/>
    <w:rsid w:val="00511577"/>
    <w:rsid w:val="00512976"/>
    <w:rsid w:val="00515508"/>
    <w:rsid w:val="005163DE"/>
    <w:rsid w:val="00526D01"/>
    <w:rsid w:val="0053050A"/>
    <w:rsid w:val="00530E8C"/>
    <w:rsid w:val="00545933"/>
    <w:rsid w:val="00547745"/>
    <w:rsid w:val="0055013E"/>
    <w:rsid w:val="00552105"/>
    <w:rsid w:val="00552364"/>
    <w:rsid w:val="00553A74"/>
    <w:rsid w:val="005562F2"/>
    <w:rsid w:val="00557544"/>
    <w:rsid w:val="00564A74"/>
    <w:rsid w:val="00565BBB"/>
    <w:rsid w:val="005676E1"/>
    <w:rsid w:val="00585F3C"/>
    <w:rsid w:val="00586CA0"/>
    <w:rsid w:val="00587445"/>
    <w:rsid w:val="00587875"/>
    <w:rsid w:val="00592AE9"/>
    <w:rsid w:val="00593133"/>
    <w:rsid w:val="005A18F2"/>
    <w:rsid w:val="005A63EB"/>
    <w:rsid w:val="005B0861"/>
    <w:rsid w:val="005C1EDE"/>
    <w:rsid w:val="005C33B6"/>
    <w:rsid w:val="005C5499"/>
    <w:rsid w:val="005D6097"/>
    <w:rsid w:val="005D6202"/>
    <w:rsid w:val="005D6E98"/>
    <w:rsid w:val="005E701A"/>
    <w:rsid w:val="005E717A"/>
    <w:rsid w:val="00607E2B"/>
    <w:rsid w:val="006139D6"/>
    <w:rsid w:val="00616D1B"/>
    <w:rsid w:val="00621C19"/>
    <w:rsid w:val="00623CE1"/>
    <w:rsid w:val="0063062B"/>
    <w:rsid w:val="00637351"/>
    <w:rsid w:val="00640D42"/>
    <w:rsid w:val="00641D40"/>
    <w:rsid w:val="00643A33"/>
    <w:rsid w:val="00646166"/>
    <w:rsid w:val="00652970"/>
    <w:rsid w:val="00654896"/>
    <w:rsid w:val="006621F0"/>
    <w:rsid w:val="006647BA"/>
    <w:rsid w:val="00667229"/>
    <w:rsid w:val="006707A1"/>
    <w:rsid w:val="00671D5A"/>
    <w:rsid w:val="00674E92"/>
    <w:rsid w:val="00682BE5"/>
    <w:rsid w:val="00690382"/>
    <w:rsid w:val="00690FED"/>
    <w:rsid w:val="006939A5"/>
    <w:rsid w:val="00697582"/>
    <w:rsid w:val="00697B5C"/>
    <w:rsid w:val="006A1DB5"/>
    <w:rsid w:val="006A2E69"/>
    <w:rsid w:val="006C2744"/>
    <w:rsid w:val="006D5223"/>
    <w:rsid w:val="006E12FC"/>
    <w:rsid w:val="006E61B6"/>
    <w:rsid w:val="006E7427"/>
    <w:rsid w:val="006F2B2E"/>
    <w:rsid w:val="006F4471"/>
    <w:rsid w:val="00705962"/>
    <w:rsid w:val="00707C21"/>
    <w:rsid w:val="00712451"/>
    <w:rsid w:val="00717DE9"/>
    <w:rsid w:val="0072518B"/>
    <w:rsid w:val="00726117"/>
    <w:rsid w:val="00726D27"/>
    <w:rsid w:val="00731041"/>
    <w:rsid w:val="007329E4"/>
    <w:rsid w:val="00732A2C"/>
    <w:rsid w:val="00732F08"/>
    <w:rsid w:val="007342F0"/>
    <w:rsid w:val="00736E38"/>
    <w:rsid w:val="00737DF5"/>
    <w:rsid w:val="0074190C"/>
    <w:rsid w:val="00751A10"/>
    <w:rsid w:val="00752C06"/>
    <w:rsid w:val="00753090"/>
    <w:rsid w:val="00753260"/>
    <w:rsid w:val="00755BF3"/>
    <w:rsid w:val="00762576"/>
    <w:rsid w:val="007673CA"/>
    <w:rsid w:val="00770750"/>
    <w:rsid w:val="007765E4"/>
    <w:rsid w:val="00777339"/>
    <w:rsid w:val="007800CB"/>
    <w:rsid w:val="00780BD3"/>
    <w:rsid w:val="00791060"/>
    <w:rsid w:val="00795D7D"/>
    <w:rsid w:val="007A2B2D"/>
    <w:rsid w:val="007A5390"/>
    <w:rsid w:val="007B5626"/>
    <w:rsid w:val="007B6124"/>
    <w:rsid w:val="007B6735"/>
    <w:rsid w:val="007C0F4A"/>
    <w:rsid w:val="007C5525"/>
    <w:rsid w:val="007D3C53"/>
    <w:rsid w:val="007D5B15"/>
    <w:rsid w:val="007F2628"/>
    <w:rsid w:val="007F2FBA"/>
    <w:rsid w:val="007F3573"/>
    <w:rsid w:val="00800C3A"/>
    <w:rsid w:val="0080570B"/>
    <w:rsid w:val="00805D8F"/>
    <w:rsid w:val="00813A71"/>
    <w:rsid w:val="008148E1"/>
    <w:rsid w:val="008319BF"/>
    <w:rsid w:val="00842C61"/>
    <w:rsid w:val="008433C2"/>
    <w:rsid w:val="00844457"/>
    <w:rsid w:val="008454C8"/>
    <w:rsid w:val="00851D78"/>
    <w:rsid w:val="00852A1E"/>
    <w:rsid w:val="00853C40"/>
    <w:rsid w:val="008543B5"/>
    <w:rsid w:val="00872B9D"/>
    <w:rsid w:val="00875D6B"/>
    <w:rsid w:val="00881A2A"/>
    <w:rsid w:val="008A1A0D"/>
    <w:rsid w:val="008A5155"/>
    <w:rsid w:val="008A76ED"/>
    <w:rsid w:val="008B3C72"/>
    <w:rsid w:val="008C5BFA"/>
    <w:rsid w:val="008D0E09"/>
    <w:rsid w:val="008D31F9"/>
    <w:rsid w:val="008E7E97"/>
    <w:rsid w:val="00903007"/>
    <w:rsid w:val="00905DC7"/>
    <w:rsid w:val="00923816"/>
    <w:rsid w:val="0093074B"/>
    <w:rsid w:val="00930E64"/>
    <w:rsid w:val="009321B7"/>
    <w:rsid w:val="0094157C"/>
    <w:rsid w:val="00956F8C"/>
    <w:rsid w:val="0095753F"/>
    <w:rsid w:val="00961D57"/>
    <w:rsid w:val="00976716"/>
    <w:rsid w:val="0097693B"/>
    <w:rsid w:val="0097736E"/>
    <w:rsid w:val="0099049F"/>
    <w:rsid w:val="00991532"/>
    <w:rsid w:val="00991E83"/>
    <w:rsid w:val="00993355"/>
    <w:rsid w:val="00993ED9"/>
    <w:rsid w:val="009963F7"/>
    <w:rsid w:val="009A133E"/>
    <w:rsid w:val="009A4A6D"/>
    <w:rsid w:val="009A78BB"/>
    <w:rsid w:val="009B1081"/>
    <w:rsid w:val="009B5802"/>
    <w:rsid w:val="009B7E42"/>
    <w:rsid w:val="009D76AA"/>
    <w:rsid w:val="009E13DD"/>
    <w:rsid w:val="009E42F8"/>
    <w:rsid w:val="009E46E0"/>
    <w:rsid w:val="00A0503B"/>
    <w:rsid w:val="00A111D4"/>
    <w:rsid w:val="00A13265"/>
    <w:rsid w:val="00A1482F"/>
    <w:rsid w:val="00A14900"/>
    <w:rsid w:val="00A2159F"/>
    <w:rsid w:val="00A421A0"/>
    <w:rsid w:val="00A529BC"/>
    <w:rsid w:val="00A5346C"/>
    <w:rsid w:val="00A562F0"/>
    <w:rsid w:val="00A564B5"/>
    <w:rsid w:val="00A564FB"/>
    <w:rsid w:val="00A614C1"/>
    <w:rsid w:val="00A61EA6"/>
    <w:rsid w:val="00A71136"/>
    <w:rsid w:val="00A76002"/>
    <w:rsid w:val="00A83D7A"/>
    <w:rsid w:val="00A83ECB"/>
    <w:rsid w:val="00AA474C"/>
    <w:rsid w:val="00AC35EF"/>
    <w:rsid w:val="00AD2697"/>
    <w:rsid w:val="00AD7E5F"/>
    <w:rsid w:val="00AE1D9B"/>
    <w:rsid w:val="00AE3066"/>
    <w:rsid w:val="00AF68E4"/>
    <w:rsid w:val="00B0082E"/>
    <w:rsid w:val="00B01AA1"/>
    <w:rsid w:val="00B124C5"/>
    <w:rsid w:val="00B13455"/>
    <w:rsid w:val="00B14463"/>
    <w:rsid w:val="00B25E16"/>
    <w:rsid w:val="00B30C81"/>
    <w:rsid w:val="00B34241"/>
    <w:rsid w:val="00B447D0"/>
    <w:rsid w:val="00B4793B"/>
    <w:rsid w:val="00B64A60"/>
    <w:rsid w:val="00B70590"/>
    <w:rsid w:val="00B715B9"/>
    <w:rsid w:val="00B83EDF"/>
    <w:rsid w:val="00B86C70"/>
    <w:rsid w:val="00B9307A"/>
    <w:rsid w:val="00B937D7"/>
    <w:rsid w:val="00B96B67"/>
    <w:rsid w:val="00BB67B0"/>
    <w:rsid w:val="00BC57EF"/>
    <w:rsid w:val="00BD5540"/>
    <w:rsid w:val="00BD665F"/>
    <w:rsid w:val="00BF25F9"/>
    <w:rsid w:val="00C13FD5"/>
    <w:rsid w:val="00C15633"/>
    <w:rsid w:val="00C15799"/>
    <w:rsid w:val="00C226E5"/>
    <w:rsid w:val="00C23B83"/>
    <w:rsid w:val="00C32E84"/>
    <w:rsid w:val="00C32F8A"/>
    <w:rsid w:val="00C35415"/>
    <w:rsid w:val="00C357AD"/>
    <w:rsid w:val="00C46B6F"/>
    <w:rsid w:val="00C47734"/>
    <w:rsid w:val="00C554CC"/>
    <w:rsid w:val="00C6069C"/>
    <w:rsid w:val="00C74745"/>
    <w:rsid w:val="00C81C84"/>
    <w:rsid w:val="00C831BD"/>
    <w:rsid w:val="00C84A6B"/>
    <w:rsid w:val="00C85119"/>
    <w:rsid w:val="00CA488B"/>
    <w:rsid w:val="00CA63B9"/>
    <w:rsid w:val="00CC574F"/>
    <w:rsid w:val="00CC6D57"/>
    <w:rsid w:val="00CD320B"/>
    <w:rsid w:val="00CD3F37"/>
    <w:rsid w:val="00CD4C1F"/>
    <w:rsid w:val="00CD5431"/>
    <w:rsid w:val="00CD5D71"/>
    <w:rsid w:val="00CE02B0"/>
    <w:rsid w:val="00CE4B93"/>
    <w:rsid w:val="00CF2491"/>
    <w:rsid w:val="00CF3963"/>
    <w:rsid w:val="00CF4D8B"/>
    <w:rsid w:val="00D07C04"/>
    <w:rsid w:val="00D1252E"/>
    <w:rsid w:val="00D13D9D"/>
    <w:rsid w:val="00D3283A"/>
    <w:rsid w:val="00D373CF"/>
    <w:rsid w:val="00D459A2"/>
    <w:rsid w:val="00D530FF"/>
    <w:rsid w:val="00D53688"/>
    <w:rsid w:val="00D5407A"/>
    <w:rsid w:val="00D55656"/>
    <w:rsid w:val="00D57772"/>
    <w:rsid w:val="00D62128"/>
    <w:rsid w:val="00D70472"/>
    <w:rsid w:val="00D72AE3"/>
    <w:rsid w:val="00D75A4D"/>
    <w:rsid w:val="00D8478B"/>
    <w:rsid w:val="00D86151"/>
    <w:rsid w:val="00D9172D"/>
    <w:rsid w:val="00DA7595"/>
    <w:rsid w:val="00DB0A68"/>
    <w:rsid w:val="00DB3715"/>
    <w:rsid w:val="00DC24F3"/>
    <w:rsid w:val="00DC43A3"/>
    <w:rsid w:val="00DC4CF3"/>
    <w:rsid w:val="00DC5C01"/>
    <w:rsid w:val="00DD383E"/>
    <w:rsid w:val="00DD66E3"/>
    <w:rsid w:val="00DD7C09"/>
    <w:rsid w:val="00DE790D"/>
    <w:rsid w:val="00DF6DE8"/>
    <w:rsid w:val="00E0124F"/>
    <w:rsid w:val="00E03542"/>
    <w:rsid w:val="00E131D0"/>
    <w:rsid w:val="00E15F4E"/>
    <w:rsid w:val="00E25084"/>
    <w:rsid w:val="00E25E60"/>
    <w:rsid w:val="00E47E8D"/>
    <w:rsid w:val="00E561A3"/>
    <w:rsid w:val="00E6417B"/>
    <w:rsid w:val="00E674D3"/>
    <w:rsid w:val="00E70FD0"/>
    <w:rsid w:val="00E727DD"/>
    <w:rsid w:val="00E77C4B"/>
    <w:rsid w:val="00E84028"/>
    <w:rsid w:val="00E871AA"/>
    <w:rsid w:val="00E87D7E"/>
    <w:rsid w:val="00E9301F"/>
    <w:rsid w:val="00E9690A"/>
    <w:rsid w:val="00E97DC7"/>
    <w:rsid w:val="00EA0C18"/>
    <w:rsid w:val="00EA1B75"/>
    <w:rsid w:val="00EA26A3"/>
    <w:rsid w:val="00EB72B4"/>
    <w:rsid w:val="00EF0A25"/>
    <w:rsid w:val="00EF1D71"/>
    <w:rsid w:val="00F000EF"/>
    <w:rsid w:val="00F2504E"/>
    <w:rsid w:val="00F2585B"/>
    <w:rsid w:val="00F4053F"/>
    <w:rsid w:val="00F4162C"/>
    <w:rsid w:val="00F507A4"/>
    <w:rsid w:val="00F516E7"/>
    <w:rsid w:val="00F5673C"/>
    <w:rsid w:val="00F57BF7"/>
    <w:rsid w:val="00F6263E"/>
    <w:rsid w:val="00F627C2"/>
    <w:rsid w:val="00F63759"/>
    <w:rsid w:val="00F84067"/>
    <w:rsid w:val="00F9328C"/>
    <w:rsid w:val="00FA0834"/>
    <w:rsid w:val="00FA4E70"/>
    <w:rsid w:val="00FA50B4"/>
    <w:rsid w:val="00FB680B"/>
    <w:rsid w:val="00FC1253"/>
    <w:rsid w:val="00FC156A"/>
    <w:rsid w:val="00FD3CD4"/>
    <w:rsid w:val="00FD6235"/>
    <w:rsid w:val="00FE3DE5"/>
    <w:rsid w:val="00FE4812"/>
    <w:rsid w:val="00FF48C6"/>
    <w:rsid w:val="00FF7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styleId="Date">
    <w:name w:val="Date"/>
    <w:basedOn w:val="Normal"/>
    <w:next w:val="Normal"/>
    <w:link w:val="DateChar"/>
    <w:rsid w:val="00007FC0"/>
  </w:style>
  <w:style w:type="character" w:customStyle="1" w:styleId="DateChar">
    <w:name w:val="Date Char"/>
    <w:basedOn w:val="DefaultParagraphFont"/>
    <w:link w:val="Date"/>
    <w:rsid w:val="00007FC0"/>
    <w:rPr>
      <w:rFonts w:eastAsia="BatangChe"/>
      <w:sz w:val="24"/>
      <w:szCs w:val="24"/>
    </w:rPr>
  </w:style>
  <w:style w:type="paragraph" w:styleId="PlainText">
    <w:name w:val="Plain Text"/>
    <w:basedOn w:val="Normal"/>
    <w:link w:val="PlainTextChar"/>
    <w:uiPriority w:val="99"/>
    <w:unhideWhenUsed/>
    <w:rsid w:val="00726D27"/>
    <w:rPr>
      <w:rFonts w:ascii="Calibri" w:eastAsiaTheme="minorEastAsia" w:hAnsi="Calibri"/>
      <w:sz w:val="22"/>
      <w:szCs w:val="22"/>
    </w:rPr>
  </w:style>
  <w:style w:type="character" w:customStyle="1" w:styleId="PlainTextChar">
    <w:name w:val="Plain Text Char"/>
    <w:basedOn w:val="DefaultParagraphFont"/>
    <w:link w:val="PlainText"/>
    <w:uiPriority w:val="99"/>
    <w:rsid w:val="00726D27"/>
    <w:rPr>
      <w:rFonts w:ascii="Calibri" w:eastAsiaTheme="minorEastAsia" w:hAnsi="Calibri"/>
      <w:sz w:val="22"/>
      <w:szCs w:val="22"/>
    </w:rPr>
  </w:style>
  <w:style w:type="paragraph" w:customStyle="1" w:styleId="Default">
    <w:name w:val="Default"/>
    <w:rsid w:val="00FF74C4"/>
    <w:pPr>
      <w:widowControl w:val="0"/>
      <w:autoSpaceDE w:val="0"/>
      <w:autoSpaceDN w:val="0"/>
      <w:adjustRightInd w:val="0"/>
    </w:pPr>
    <w:rPr>
      <w:rFonts w:ascii="Arial" w:hAnsi="Arial" w:cs="Arial"/>
      <w:color w:val="000000"/>
      <w:sz w:val="24"/>
      <w:szCs w:val="24"/>
    </w:rPr>
  </w:style>
  <w:style w:type="character" w:customStyle="1" w:styleId="ECCHLbold">
    <w:name w:val="ECC HL bold"/>
    <w:basedOn w:val="DefaultParagraphFont"/>
    <w:uiPriority w:val="1"/>
    <w:qFormat/>
    <w:rsid w:val="00553A74"/>
    <w:rPr>
      <w:b/>
      <w:bCs/>
    </w:rPr>
  </w:style>
  <w:style w:type="character" w:customStyle="1" w:styleId="ECCParagraph">
    <w:name w:val="ECC Paragraph"/>
    <w:basedOn w:val="DefaultParagraphFont"/>
    <w:uiPriority w:val="1"/>
    <w:qFormat/>
    <w:rsid w:val="00553A74"/>
    <w:rPr>
      <w:rFonts w:ascii="Arial" w:hAnsi="Arial" w:cs="Arial" w:hint="default"/>
      <w:noProof w:val="0"/>
      <w:sz w:val="20"/>
      <w:bdr w:val="none" w:sz="0" w:space="0" w:color="auto" w:frame="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30073">
      <w:bodyDiv w:val="1"/>
      <w:marLeft w:val="0"/>
      <w:marRight w:val="0"/>
      <w:marTop w:val="0"/>
      <w:marBottom w:val="0"/>
      <w:divBdr>
        <w:top w:val="none" w:sz="0" w:space="0" w:color="auto"/>
        <w:left w:val="none" w:sz="0" w:space="0" w:color="auto"/>
        <w:bottom w:val="none" w:sz="0" w:space="0" w:color="auto"/>
        <w:right w:val="none" w:sz="0" w:space="0" w:color="auto"/>
      </w:divBdr>
    </w:div>
    <w:div w:id="867839454">
      <w:bodyDiv w:val="1"/>
      <w:marLeft w:val="0"/>
      <w:marRight w:val="0"/>
      <w:marTop w:val="0"/>
      <w:marBottom w:val="0"/>
      <w:divBdr>
        <w:top w:val="none" w:sz="0" w:space="0" w:color="auto"/>
        <w:left w:val="none" w:sz="0" w:space="0" w:color="auto"/>
        <w:bottom w:val="none" w:sz="0" w:space="0" w:color="auto"/>
        <w:right w:val="none" w:sz="0" w:space="0" w:color="auto"/>
      </w:divBdr>
    </w:div>
    <w:div w:id="930577601">
      <w:bodyDiv w:val="1"/>
      <w:marLeft w:val="0"/>
      <w:marRight w:val="0"/>
      <w:marTop w:val="0"/>
      <w:marBottom w:val="0"/>
      <w:divBdr>
        <w:top w:val="none" w:sz="0" w:space="0" w:color="auto"/>
        <w:left w:val="none" w:sz="0" w:space="0" w:color="auto"/>
        <w:bottom w:val="none" w:sz="0" w:space="0" w:color="auto"/>
        <w:right w:val="none" w:sz="0" w:space="0" w:color="auto"/>
      </w:divBdr>
    </w:div>
    <w:div w:id="1234781865">
      <w:bodyDiv w:val="1"/>
      <w:marLeft w:val="0"/>
      <w:marRight w:val="0"/>
      <w:marTop w:val="0"/>
      <w:marBottom w:val="0"/>
      <w:divBdr>
        <w:top w:val="none" w:sz="0" w:space="0" w:color="auto"/>
        <w:left w:val="none" w:sz="0" w:space="0" w:color="auto"/>
        <w:bottom w:val="none" w:sz="0" w:space="0" w:color="auto"/>
        <w:right w:val="none" w:sz="0" w:space="0" w:color="auto"/>
      </w:divBdr>
    </w:div>
    <w:div w:id="1326393741">
      <w:bodyDiv w:val="1"/>
      <w:marLeft w:val="0"/>
      <w:marRight w:val="0"/>
      <w:marTop w:val="0"/>
      <w:marBottom w:val="0"/>
      <w:divBdr>
        <w:top w:val="none" w:sz="0" w:space="0" w:color="auto"/>
        <w:left w:val="none" w:sz="0" w:space="0" w:color="auto"/>
        <w:bottom w:val="none" w:sz="0" w:space="0" w:color="auto"/>
        <w:right w:val="none" w:sz="0" w:space="0" w:color="auto"/>
      </w:divBdr>
    </w:div>
    <w:div w:id="148539304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00331965">
      <w:bodyDiv w:val="1"/>
      <w:marLeft w:val="0"/>
      <w:marRight w:val="0"/>
      <w:marTop w:val="0"/>
      <w:marBottom w:val="0"/>
      <w:divBdr>
        <w:top w:val="none" w:sz="0" w:space="0" w:color="auto"/>
        <w:left w:val="none" w:sz="0" w:space="0" w:color="auto"/>
        <w:bottom w:val="none" w:sz="0" w:space="0" w:color="auto"/>
        <w:right w:val="none" w:sz="0" w:space="0" w:color="auto"/>
      </w:divBdr>
    </w:div>
    <w:div w:id="1699042635">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990">
      <w:bodyDiv w:val="1"/>
      <w:marLeft w:val="0"/>
      <w:marRight w:val="0"/>
      <w:marTop w:val="0"/>
      <w:marBottom w:val="0"/>
      <w:divBdr>
        <w:top w:val="none" w:sz="0" w:space="0" w:color="auto"/>
        <w:left w:val="none" w:sz="0" w:space="0" w:color="auto"/>
        <w:bottom w:val="none" w:sz="0" w:space="0" w:color="auto"/>
        <w:right w:val="none" w:sz="0" w:space="0" w:color="auto"/>
      </w:divBdr>
    </w:div>
    <w:div w:id="20293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Abe.Muneo@cj.MitsubishiElectric.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44B1-12B2-4B38-8327-495078A5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2368</Words>
  <Characters>13502</Characters>
  <Application>Microsoft Office Word</Application>
  <DocSecurity>0</DocSecurity>
  <Lines>112</Lines>
  <Paragraphs>31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6</cp:revision>
  <cp:lastPrinted>2015-02-02T07:28:00Z</cp:lastPrinted>
  <dcterms:created xsi:type="dcterms:W3CDTF">2018-03-16T03:35:00Z</dcterms:created>
  <dcterms:modified xsi:type="dcterms:W3CDTF">2018-03-20T03:17:00Z</dcterms:modified>
</cp:coreProperties>
</file>