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14:paraId="73E4C0C3" w14:textId="77777777" w:rsidTr="007D7378">
        <w:trPr>
          <w:cantSplit/>
        </w:trPr>
        <w:tc>
          <w:tcPr>
            <w:tcW w:w="1399" w:type="dxa"/>
            <w:vMerge w:val="restart"/>
          </w:tcPr>
          <w:p w14:paraId="41AAFC28" w14:textId="77777777" w:rsidR="00CF3963" w:rsidRPr="00891D0B" w:rsidRDefault="00CF3963" w:rsidP="007D7378">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891D0B" w:rsidRDefault="00CF3963" w:rsidP="007D7378">
            <w:r w:rsidRPr="00096326">
              <w:t>ASIA-PACIFIC TELECOMMUNITY</w:t>
            </w:r>
          </w:p>
        </w:tc>
        <w:tc>
          <w:tcPr>
            <w:tcW w:w="2700" w:type="dxa"/>
          </w:tcPr>
          <w:p w14:paraId="0D82F459" w14:textId="564CE05E" w:rsidR="00CF3963" w:rsidRPr="00096326" w:rsidRDefault="00CF3963" w:rsidP="007D7378">
            <w:pPr>
              <w:rPr>
                <w:b/>
                <w:bCs/>
                <w:lang w:val="fr-FR"/>
              </w:rPr>
            </w:pPr>
            <w:r w:rsidRPr="00C15799">
              <w:rPr>
                <w:b/>
                <w:lang w:val="fr-FR"/>
              </w:rPr>
              <w:t>Document</w:t>
            </w:r>
            <w:r w:rsidR="00F564D9">
              <w:rPr>
                <w:b/>
                <w:lang w:val="fr-FR"/>
              </w:rPr>
              <w:t xml:space="preserve"> No</w:t>
            </w:r>
            <w:r>
              <w:rPr>
                <w:b/>
                <w:lang w:val="fr-FR"/>
              </w:rPr>
              <w:t xml:space="preserve">: </w:t>
            </w:r>
          </w:p>
        </w:tc>
      </w:tr>
      <w:tr w:rsidR="00CF3963" w:rsidRPr="00C15799" w14:paraId="448FBFF1" w14:textId="77777777" w:rsidTr="007D7378">
        <w:trPr>
          <w:cantSplit/>
        </w:trPr>
        <w:tc>
          <w:tcPr>
            <w:tcW w:w="1399" w:type="dxa"/>
            <w:vMerge/>
          </w:tcPr>
          <w:p w14:paraId="29C3EF27" w14:textId="77777777" w:rsidR="00CF3963" w:rsidRPr="00891D0B" w:rsidRDefault="00CF3963" w:rsidP="007D7378"/>
        </w:tc>
        <w:tc>
          <w:tcPr>
            <w:tcW w:w="5720" w:type="dxa"/>
          </w:tcPr>
          <w:p w14:paraId="5CBA7DD0" w14:textId="3EE31F7A" w:rsidR="00CF3963" w:rsidRPr="00891D0B" w:rsidRDefault="00201B98" w:rsidP="007D7378">
            <w:pPr>
              <w:spacing w:line="0" w:lineRule="atLeast"/>
            </w:pPr>
            <w:r>
              <w:rPr>
                <w:b/>
              </w:rPr>
              <w:t>The 3rd</w:t>
            </w:r>
            <w:r w:rsidR="00CF3963">
              <w:rPr>
                <w:b/>
              </w:rPr>
              <w:t xml:space="preserve"> Meeting of the APT Conference Prepar</w:t>
            </w:r>
            <w:r>
              <w:rPr>
                <w:b/>
              </w:rPr>
              <w:t>atory  Group for WRC-19 (APG19-3</w:t>
            </w:r>
            <w:r w:rsidR="00CF3963">
              <w:rPr>
                <w:b/>
              </w:rPr>
              <w:t>)</w:t>
            </w:r>
          </w:p>
        </w:tc>
        <w:tc>
          <w:tcPr>
            <w:tcW w:w="2700" w:type="dxa"/>
          </w:tcPr>
          <w:p w14:paraId="79797BCF" w14:textId="1C637F1A" w:rsidR="00CF3963" w:rsidRPr="00C15799" w:rsidRDefault="00201B98" w:rsidP="00201B98">
            <w:pPr>
              <w:rPr>
                <w:b/>
                <w:bCs/>
                <w:lang w:val="fr-FR"/>
              </w:rPr>
            </w:pPr>
            <w:r>
              <w:rPr>
                <w:b/>
                <w:bCs/>
                <w:lang w:val="fr-FR"/>
              </w:rPr>
              <w:t>APG19-3</w:t>
            </w:r>
            <w:r w:rsidR="00CF3963">
              <w:rPr>
                <w:b/>
                <w:bCs/>
                <w:lang w:val="fr-FR"/>
              </w:rPr>
              <w:t>/</w:t>
            </w:r>
            <w:r w:rsidR="00341349">
              <w:rPr>
                <w:b/>
                <w:bCs/>
                <w:lang w:val="fr-FR"/>
              </w:rPr>
              <w:t>OUT-17</w:t>
            </w:r>
          </w:p>
        </w:tc>
      </w:tr>
      <w:tr w:rsidR="00CF3963" w:rsidRPr="00891D0B" w14:paraId="53A9E6D1" w14:textId="77777777" w:rsidTr="007D7378">
        <w:trPr>
          <w:cantSplit/>
          <w:trHeight w:val="219"/>
        </w:trPr>
        <w:tc>
          <w:tcPr>
            <w:tcW w:w="1399" w:type="dxa"/>
            <w:vMerge/>
          </w:tcPr>
          <w:p w14:paraId="59C3513F" w14:textId="77777777" w:rsidR="00CF3963" w:rsidRPr="00C15799" w:rsidRDefault="00CF3963" w:rsidP="007D7378">
            <w:pPr>
              <w:rPr>
                <w:lang w:val="fr-FR"/>
              </w:rPr>
            </w:pPr>
          </w:p>
        </w:tc>
        <w:tc>
          <w:tcPr>
            <w:tcW w:w="5720" w:type="dxa"/>
          </w:tcPr>
          <w:p w14:paraId="3510CFC7" w14:textId="1AE1822F" w:rsidR="00CF3963" w:rsidRPr="00891D0B" w:rsidRDefault="00201B98" w:rsidP="00201B98">
            <w:r>
              <w:t>12 - 16 March 2018</w:t>
            </w:r>
            <w:r w:rsidR="00CF3963" w:rsidRPr="00891D0B">
              <w:t xml:space="preserve">, </w:t>
            </w:r>
            <w:r>
              <w:t>Perth</w:t>
            </w:r>
            <w:r w:rsidR="00CF3963">
              <w:t xml:space="preserve">, </w:t>
            </w:r>
            <w:r>
              <w:t>Australia</w:t>
            </w:r>
          </w:p>
        </w:tc>
        <w:tc>
          <w:tcPr>
            <w:tcW w:w="2700" w:type="dxa"/>
          </w:tcPr>
          <w:p w14:paraId="60FFE2BA" w14:textId="32155257" w:rsidR="00CF3963" w:rsidRPr="00712451" w:rsidRDefault="004F4F4E" w:rsidP="007D7378">
            <w:pPr>
              <w:rPr>
                <w:b/>
              </w:rPr>
            </w:pPr>
            <w:r>
              <w:rPr>
                <w:b/>
              </w:rPr>
              <w:t>15</w:t>
            </w:r>
            <w:r w:rsidR="00201B98">
              <w:rPr>
                <w:b/>
              </w:rPr>
              <w:t xml:space="preserve"> March 2018</w:t>
            </w:r>
          </w:p>
        </w:tc>
      </w:tr>
    </w:tbl>
    <w:p w14:paraId="2E0E673C" w14:textId="77777777" w:rsidR="00D13D9D" w:rsidRPr="007673CA" w:rsidRDefault="00D13D9D" w:rsidP="00DA7595">
      <w:pPr>
        <w:rPr>
          <w:lang w:val="en-NZ" w:eastAsia="ko-KR"/>
        </w:rPr>
      </w:pPr>
    </w:p>
    <w:p w14:paraId="4B5BF43D" w14:textId="77777777" w:rsidR="00BB67B0" w:rsidRDefault="00BB67B0" w:rsidP="00B64A60">
      <w:pPr>
        <w:jc w:val="center"/>
        <w:rPr>
          <w:b/>
          <w:lang w:val="en-NZ" w:eastAsia="ko-KR"/>
        </w:rPr>
      </w:pPr>
    </w:p>
    <w:p w14:paraId="5051E840" w14:textId="7BCE034E" w:rsidR="00495A35" w:rsidRPr="002A0111" w:rsidRDefault="001057E4" w:rsidP="00495A35">
      <w:pPr>
        <w:jc w:val="center"/>
        <w:rPr>
          <w:lang w:val="en-NZ" w:eastAsia="ko-KR"/>
        </w:rPr>
      </w:pPr>
      <w:r>
        <w:rPr>
          <w:lang w:val="en-NZ" w:eastAsia="ko-KR"/>
        </w:rPr>
        <w:t>Working Party 3</w:t>
      </w:r>
    </w:p>
    <w:p w14:paraId="2E0E6744" w14:textId="68FA14A1" w:rsidR="00B64A60" w:rsidRPr="00495A35" w:rsidRDefault="00B64A60" w:rsidP="009E42F8">
      <w:pPr>
        <w:spacing w:after="120"/>
        <w:jc w:val="center"/>
        <w:rPr>
          <w:lang w:val="en-NZ" w:eastAsia="ko-KR"/>
        </w:rPr>
      </w:pPr>
    </w:p>
    <w:p w14:paraId="4BBFA9A4" w14:textId="52362990" w:rsidR="00341349" w:rsidRPr="00441526" w:rsidRDefault="00341349" w:rsidP="00341349">
      <w:pPr>
        <w:jc w:val="center"/>
        <w:rPr>
          <w:b/>
          <w:bCs/>
          <w:caps/>
          <w:lang w:val="en-NZ"/>
        </w:rPr>
      </w:pPr>
      <w:r w:rsidRPr="00441526">
        <w:rPr>
          <w:b/>
          <w:bCs/>
          <w:caps/>
          <w:lang w:val="en-NZ"/>
        </w:rPr>
        <w:t xml:space="preserve">PRELIMINARY </w:t>
      </w:r>
      <w:r>
        <w:rPr>
          <w:b/>
          <w:bCs/>
          <w:caps/>
          <w:lang w:val="en-NZ"/>
        </w:rPr>
        <w:t>VIEWs on WRC-19 agenda item 9.1 Issue 9.1.9</w:t>
      </w:r>
    </w:p>
    <w:p w14:paraId="12DBDD0F" w14:textId="77777777" w:rsidR="00341349" w:rsidRPr="00441526" w:rsidRDefault="00341349" w:rsidP="00341349">
      <w:pPr>
        <w:spacing w:after="120"/>
        <w:rPr>
          <w:lang w:val="en-NZ"/>
        </w:rPr>
      </w:pPr>
    </w:p>
    <w:p w14:paraId="17BC522E" w14:textId="77777777" w:rsidR="00341349" w:rsidRDefault="00341349" w:rsidP="00341349">
      <w:pPr>
        <w:spacing w:afterLines="50" w:after="120"/>
      </w:pPr>
      <w:r>
        <w:rPr>
          <w:b/>
        </w:rPr>
        <w:t xml:space="preserve">Agenda item 9.1 - Issue 9.1.9: </w:t>
      </w:r>
    </w:p>
    <w:p w14:paraId="2EA97E5C" w14:textId="77777777" w:rsidR="00341349" w:rsidRDefault="00341349" w:rsidP="00341349">
      <w:pPr>
        <w:spacing w:after="100" w:afterAutospacing="1"/>
        <w:rPr>
          <w:rFonts w:eastAsia="Times New Roman"/>
          <w:b/>
          <w:i/>
          <w:lang w:val="en-GB" w:bidi="en-US"/>
        </w:rPr>
      </w:pPr>
      <w:r>
        <w:rPr>
          <w:i/>
        </w:rPr>
        <w:t>Studies relating to spectrum needs and possible allocation of the frequency band 51.4-52.4 GHz to the fixed-satellite service (Earth-to-space)</w:t>
      </w:r>
      <w:r>
        <w:rPr>
          <w:rFonts w:eastAsia="Times New Roman"/>
          <w:i/>
          <w:lang w:val="en-GB" w:bidi="en-US"/>
        </w:rPr>
        <w:t>,</w:t>
      </w:r>
      <w:r>
        <w:rPr>
          <w:i/>
          <w:lang w:val="en-GB" w:eastAsia="ko-KR"/>
        </w:rPr>
        <w:t xml:space="preserve"> </w:t>
      </w:r>
      <w:r>
        <w:rPr>
          <w:i/>
        </w:rPr>
        <w:t xml:space="preserve">in accordance with Resolution </w:t>
      </w:r>
      <w:r>
        <w:rPr>
          <w:b/>
          <w:i/>
        </w:rPr>
        <w:t>162 (WRC-15)</w:t>
      </w:r>
      <w:r>
        <w:rPr>
          <w:rFonts w:eastAsia="Times New Roman"/>
          <w:i/>
          <w:lang w:val="en-GB" w:bidi="en-US"/>
        </w:rPr>
        <w:t>.</w:t>
      </w:r>
    </w:p>
    <w:p w14:paraId="37616C7C" w14:textId="77777777" w:rsidR="00341349" w:rsidRPr="000D2C55" w:rsidRDefault="00341349" w:rsidP="00341349">
      <w:pPr>
        <w:spacing w:after="120"/>
        <w:jc w:val="both"/>
        <w:rPr>
          <w:b/>
          <w:lang w:val="en-NZ" w:eastAsia="ko-KR"/>
        </w:rPr>
      </w:pPr>
      <w:r w:rsidRPr="00441526">
        <w:rPr>
          <w:b/>
          <w:lang w:val="en-NZ" w:eastAsia="ko-KR"/>
        </w:rPr>
        <w:t xml:space="preserve">1. </w:t>
      </w:r>
      <w:r w:rsidRPr="00441526">
        <w:rPr>
          <w:b/>
          <w:lang w:val="en-NZ" w:eastAsia="ko-KR"/>
        </w:rPr>
        <w:tab/>
        <w:t>Background</w:t>
      </w:r>
    </w:p>
    <w:p w14:paraId="2F8B9B74" w14:textId="77777777" w:rsidR="00341349" w:rsidRDefault="00341349" w:rsidP="00341349">
      <w:r>
        <w:t xml:space="preserve">WRC-19 agenda item 9.1, issue 9.1.9, in accordance with Resolution </w:t>
      </w:r>
      <w:r w:rsidRPr="00CE0BAC">
        <w:rPr>
          <w:b/>
        </w:rPr>
        <w:t>162 (WRC-15)</w:t>
      </w:r>
      <w:r w:rsidRPr="00CE0BAC">
        <w:rPr>
          <w:bCs/>
        </w:rPr>
        <w:t>,</w:t>
      </w:r>
      <w:r>
        <w:t xml:space="preserve"> invites ITU-R to conduct studies relating to spectrum needs and possible allocation of the frequency band 51.4-52.4 GHz to the fixed-satellite service (Earth-to-space) limited to feeder links for geostationary satellite orbit use.</w:t>
      </w:r>
    </w:p>
    <w:p w14:paraId="19D772C8" w14:textId="77777777" w:rsidR="00341349" w:rsidRDefault="00341349" w:rsidP="00341349"/>
    <w:p w14:paraId="795B1AA0" w14:textId="77777777" w:rsidR="00341349" w:rsidRPr="005B395A" w:rsidRDefault="00341349" w:rsidP="00341349">
      <w:pPr>
        <w:rPr>
          <w:lang w:val="en-NZ"/>
        </w:rPr>
      </w:pPr>
      <w:r w:rsidRPr="00CE0BAC">
        <w:rPr>
          <w:lang w:val="en-NZ"/>
        </w:rPr>
        <w:t xml:space="preserve">Working Party 4A (WP 4A) has been identified as the responsible ITU-R group for the studies on WRC-15 Agenda item 9.1, issue 9.1.9. </w:t>
      </w:r>
      <w:r>
        <w:rPr>
          <w:lang w:val="en-NZ"/>
        </w:rPr>
        <w:t>Until</w:t>
      </w:r>
      <w:r w:rsidRPr="00CC4D71">
        <w:rPr>
          <w:lang w:val="en-NZ"/>
        </w:rPr>
        <w:t xml:space="preserve"> its l</w:t>
      </w:r>
      <w:r>
        <w:rPr>
          <w:lang w:val="en-NZ"/>
        </w:rPr>
        <w:t>atest WP4A meeting in February/March 2018</w:t>
      </w:r>
      <w:r w:rsidRPr="005B395A">
        <w:rPr>
          <w:lang w:val="en-NZ"/>
        </w:rPr>
        <w:t xml:space="preserve">, following documents </w:t>
      </w:r>
      <w:r>
        <w:rPr>
          <w:lang w:val="en-NZ"/>
        </w:rPr>
        <w:t>were</w:t>
      </w:r>
      <w:r w:rsidRPr="005B395A">
        <w:rPr>
          <w:lang w:val="en-NZ"/>
        </w:rPr>
        <w:t xml:space="preserve"> </w:t>
      </w:r>
      <w:r>
        <w:rPr>
          <w:lang w:val="en-NZ"/>
        </w:rPr>
        <w:t>developed</w:t>
      </w:r>
      <w:r w:rsidRPr="005B395A">
        <w:rPr>
          <w:lang w:val="en-NZ"/>
        </w:rPr>
        <w:t>:</w:t>
      </w:r>
    </w:p>
    <w:p w14:paraId="37196044" w14:textId="77777777" w:rsidR="00341349" w:rsidRPr="005B395A" w:rsidRDefault="00341349" w:rsidP="00341349">
      <w:pPr>
        <w:numPr>
          <w:ilvl w:val="0"/>
          <w:numId w:val="18"/>
        </w:numPr>
        <w:ind w:leftChars="145" w:left="708"/>
        <w:rPr>
          <w:lang w:val="en-NZ"/>
        </w:rPr>
      </w:pPr>
      <w:r>
        <w:rPr>
          <w:lang w:val="en-NZ"/>
        </w:rPr>
        <w:t>D</w:t>
      </w:r>
      <w:r w:rsidRPr="005B395A">
        <w:rPr>
          <w:lang w:val="en-NZ"/>
        </w:rPr>
        <w:t>raft new Report ITU-R S.</w:t>
      </w:r>
      <w:r>
        <w:rPr>
          <w:rFonts w:eastAsia="SimSun"/>
          <w:lang w:eastAsia="zh-CN"/>
        </w:rPr>
        <w:t xml:space="preserve"> [</w:t>
      </w:r>
      <w:proofErr w:type="spellStart"/>
      <w:r>
        <w:rPr>
          <w:rFonts w:eastAsia="SimSun"/>
          <w:lang w:eastAsia="zh-CN"/>
        </w:rPr>
        <w:t>Specrum_needs</w:t>
      </w:r>
      <w:proofErr w:type="spellEnd"/>
      <w:r>
        <w:rPr>
          <w:rFonts w:eastAsia="SimSun"/>
          <w:lang w:eastAsia="zh-CN"/>
        </w:rPr>
        <w:t>]</w:t>
      </w:r>
      <w:r>
        <w:rPr>
          <w:rFonts w:eastAsia="SimSun" w:hint="eastAsia"/>
          <w:lang w:eastAsia="zh-CN"/>
        </w:rPr>
        <w:t xml:space="preserve"> (</w:t>
      </w:r>
      <w:r>
        <w:rPr>
          <w:rFonts w:eastAsia="SimSun"/>
          <w:lang w:eastAsia="zh-CN"/>
        </w:rPr>
        <w:t>Attachment in</w:t>
      </w:r>
      <w:r>
        <w:rPr>
          <w:rFonts w:eastAsia="SimSun" w:hint="eastAsia"/>
          <w:lang w:eastAsia="zh-CN"/>
        </w:rPr>
        <w:t xml:space="preserve"> document 4A/675)</w:t>
      </w:r>
      <w:r>
        <w:rPr>
          <w:rFonts w:eastAsia="SimSun"/>
          <w:lang w:eastAsia="zh-CN"/>
        </w:rPr>
        <w:t>,</w:t>
      </w:r>
      <w:r>
        <w:rPr>
          <w:rFonts w:eastAsiaTheme="minorEastAsia" w:hint="eastAsia"/>
          <w:lang w:val="en-NZ" w:eastAsia="zh-CN"/>
        </w:rPr>
        <w:t xml:space="preserve"> </w:t>
      </w:r>
      <w:bookmarkStart w:id="0" w:name="OLE_LINK74"/>
      <w:bookmarkStart w:id="1" w:name="OLE_LINK73"/>
      <w:bookmarkStart w:id="2" w:name="OLE_LINK72"/>
      <w:bookmarkStart w:id="3" w:name="OLE_LINK69"/>
      <w:r>
        <w:rPr>
          <w:rFonts w:eastAsia="SimSun"/>
          <w:lang w:eastAsia="zh-CN"/>
        </w:rPr>
        <w:t xml:space="preserve">which </w:t>
      </w:r>
      <w:r>
        <w:rPr>
          <w:rFonts w:eastAsia="Calibri"/>
        </w:rPr>
        <w:t>conclude that the additional allocation to FSS being considered is beneficial to make broadband connections more accessible to communities regardless of their geographical location and with more affordable costs as achieved by HTS (High throughput Satellite) systems</w:t>
      </w:r>
      <w:bookmarkEnd w:id="0"/>
      <w:bookmarkEnd w:id="1"/>
      <w:bookmarkEnd w:id="2"/>
      <w:bookmarkEnd w:id="3"/>
      <w:r>
        <w:rPr>
          <w:lang w:val="en-NZ"/>
        </w:rPr>
        <w:t>;</w:t>
      </w:r>
    </w:p>
    <w:p w14:paraId="638ED928" w14:textId="77777777" w:rsidR="00341349" w:rsidRDefault="00341349" w:rsidP="00341349">
      <w:pPr>
        <w:numPr>
          <w:ilvl w:val="0"/>
          <w:numId w:val="18"/>
        </w:numPr>
        <w:ind w:leftChars="145" w:left="708"/>
        <w:rPr>
          <w:lang w:val="en-NZ"/>
        </w:rPr>
      </w:pPr>
      <w:r>
        <w:rPr>
          <w:lang w:val="en-NZ"/>
        </w:rPr>
        <w:t>P</w:t>
      </w:r>
      <w:r w:rsidRPr="005B395A">
        <w:rPr>
          <w:lang w:val="en-NZ"/>
        </w:rPr>
        <w:t xml:space="preserve">reliminary draft new Report </w:t>
      </w:r>
      <w:r>
        <w:rPr>
          <w:lang w:eastAsia="zh-CN"/>
        </w:rPr>
        <w:t>ITU-R S.[</w:t>
      </w:r>
      <w:proofErr w:type="spellStart"/>
      <w:r>
        <w:rPr>
          <w:lang w:eastAsia="zh-CN"/>
        </w:rPr>
        <w:t>Spectrum_Sharing</w:t>
      </w:r>
      <w:proofErr w:type="spellEnd"/>
      <w:r>
        <w:rPr>
          <w:lang w:eastAsia="zh-CN"/>
        </w:rPr>
        <w:t>]</w:t>
      </w:r>
      <w:r>
        <w:rPr>
          <w:lang w:val="en-NZ"/>
        </w:rPr>
        <w:t xml:space="preserve"> </w:t>
      </w:r>
      <w:r>
        <w:rPr>
          <w:rFonts w:eastAsia="SimSun" w:hint="eastAsia"/>
          <w:lang w:eastAsia="zh-CN"/>
        </w:rPr>
        <w:t>(</w:t>
      </w:r>
      <w:r w:rsidRPr="0009029E">
        <w:rPr>
          <w:rFonts w:eastAsia="SimSun" w:hint="eastAsia"/>
          <w:lang w:eastAsia="zh-CN"/>
        </w:rPr>
        <w:t>Annex 3</w:t>
      </w:r>
      <w:r>
        <w:rPr>
          <w:rFonts w:eastAsia="SimSun" w:hint="eastAsia"/>
          <w:lang w:eastAsia="zh-CN"/>
        </w:rPr>
        <w:t xml:space="preserve"> to document 4A/675)</w:t>
      </w:r>
      <w:r>
        <w:rPr>
          <w:rFonts w:eastAsia="SimSun"/>
          <w:lang w:eastAsia="zh-CN"/>
        </w:rPr>
        <w:t>,</w:t>
      </w:r>
      <w:r>
        <w:rPr>
          <w:lang w:val="en-NZ"/>
        </w:rPr>
        <w:t xml:space="preserve"> which address </w:t>
      </w:r>
      <w:r>
        <w:rPr>
          <w:rFonts w:eastAsia="SimSun"/>
          <w:lang w:eastAsia="zh-CN"/>
        </w:rPr>
        <w:t>the compatibility between FSS and existing services currently allocated as FS, MS</w:t>
      </w:r>
      <w:r>
        <w:rPr>
          <w:rFonts w:eastAsia="SimSun" w:hint="eastAsia"/>
          <w:lang w:eastAsia="zh-CN"/>
        </w:rPr>
        <w:t>,</w:t>
      </w:r>
      <w:r>
        <w:rPr>
          <w:rFonts w:eastAsia="SimSun"/>
          <w:lang w:eastAsia="zh-CN"/>
        </w:rPr>
        <w:t xml:space="preserve"> RAS in the same bands and as EESS (passive), SRS (passive)</w:t>
      </w:r>
      <w:r>
        <w:rPr>
          <w:rFonts w:eastAsia="SimSun" w:hint="eastAsia"/>
          <w:lang w:eastAsia="zh-CN"/>
        </w:rPr>
        <w:t>，</w:t>
      </w:r>
      <w:r>
        <w:rPr>
          <w:rFonts w:eastAsia="SimSun"/>
          <w:lang w:eastAsia="zh-CN"/>
        </w:rPr>
        <w:t>RAS in the adjacent bands. Preliminary conclusion has been drawn that with appropriate separation distance, FSS and FS, MS (IMT-2020 application) and RAS could share the same frequency band. However, compatibility studies between FSS and EESS (passive) in adjacent band is still on-going</w:t>
      </w:r>
      <w:r>
        <w:rPr>
          <w:lang w:val="en-NZ"/>
        </w:rPr>
        <w:t>;</w:t>
      </w:r>
    </w:p>
    <w:p w14:paraId="7A2DC62B" w14:textId="77777777" w:rsidR="00341349" w:rsidRPr="00CE0BAC" w:rsidRDefault="00341349" w:rsidP="00341349">
      <w:pPr>
        <w:numPr>
          <w:ilvl w:val="0"/>
          <w:numId w:val="18"/>
        </w:numPr>
        <w:ind w:leftChars="145" w:left="708"/>
        <w:rPr>
          <w:lang w:val="en-NZ"/>
        </w:rPr>
      </w:pPr>
      <w:r w:rsidRPr="00CE0BAC">
        <w:rPr>
          <w:lang w:val="en-NZ"/>
        </w:rPr>
        <w:t>Working document towards draft CPM text</w:t>
      </w:r>
      <w:r w:rsidRPr="00CE0BAC">
        <w:rPr>
          <w:rFonts w:eastAsiaTheme="minorEastAsia" w:hint="eastAsia"/>
          <w:lang w:val="en-NZ" w:eastAsia="zh-CN"/>
        </w:rPr>
        <w:t xml:space="preserve"> </w:t>
      </w:r>
      <w:r w:rsidRPr="00CE0BAC">
        <w:rPr>
          <w:lang w:val="en-NZ"/>
        </w:rPr>
        <w:t>for WRC</w:t>
      </w:r>
      <w:r>
        <w:rPr>
          <w:lang w:val="en-NZ"/>
        </w:rPr>
        <w:t>-19 agenda item 9.1, issue 9.1.9</w:t>
      </w:r>
      <w:r w:rsidRPr="00CE0BAC">
        <w:rPr>
          <w:lang w:val="en-NZ"/>
        </w:rPr>
        <w:t xml:space="preserve"> </w:t>
      </w:r>
      <w:r>
        <w:rPr>
          <w:rFonts w:eastAsia="SimSun" w:hint="eastAsia"/>
          <w:lang w:eastAsia="zh-CN"/>
        </w:rPr>
        <w:t>(Annex 52 to document 4A/675</w:t>
      </w:r>
      <w:r w:rsidRPr="00CE0BAC">
        <w:rPr>
          <w:rFonts w:eastAsia="SimSun" w:hint="eastAsia"/>
          <w:lang w:eastAsia="zh-CN"/>
        </w:rPr>
        <w:t>)</w:t>
      </w:r>
      <w:r>
        <w:rPr>
          <w:rFonts w:eastAsia="SimSun"/>
          <w:lang w:eastAsia="zh-CN"/>
        </w:rPr>
        <w:t xml:space="preserve">, which </w:t>
      </w:r>
      <w:r>
        <w:rPr>
          <w:lang w:eastAsia="zh-CN"/>
        </w:rPr>
        <w:t>include consideration</w:t>
      </w:r>
      <w:r w:rsidRPr="004E0601">
        <w:rPr>
          <w:lang w:eastAsia="zh-CN"/>
        </w:rPr>
        <w:t xml:space="preserve"> to make an </w:t>
      </w:r>
      <w:r w:rsidRPr="004E0601">
        <w:t xml:space="preserve">allocation </w:t>
      </w:r>
      <w:r w:rsidRPr="004E0601">
        <w:rPr>
          <w:lang w:eastAsia="zh-CN"/>
        </w:rPr>
        <w:t xml:space="preserve">of </w:t>
      </w:r>
      <w:r w:rsidRPr="004E0601">
        <w:t xml:space="preserve">the </w:t>
      </w:r>
      <w:r w:rsidRPr="004E0601">
        <w:rPr>
          <w:lang w:eastAsia="zh-CN"/>
        </w:rPr>
        <w:t xml:space="preserve">frequency </w:t>
      </w:r>
      <w:r w:rsidRPr="004E0601">
        <w:t>band</w:t>
      </w:r>
      <w:r w:rsidRPr="004E0601">
        <w:rPr>
          <w:lang w:eastAsia="zh-CN"/>
        </w:rPr>
        <w:t xml:space="preserve"> </w:t>
      </w:r>
      <w:r w:rsidRPr="004E0601">
        <w:t>51.4</w:t>
      </w:r>
      <w:r w:rsidRPr="004E0601">
        <w:rPr>
          <w:lang w:eastAsia="zh-CN"/>
        </w:rPr>
        <w:t>-</w:t>
      </w:r>
      <w:r w:rsidRPr="004E0601">
        <w:t>52.4 GHz to the fixed-satellite service (Earth</w:t>
      </w:r>
      <w:r w:rsidRPr="004E0601">
        <w:noBreakHyphen/>
        <w:t>to</w:t>
      </w:r>
      <w:r w:rsidRPr="004E0601">
        <w:noBreakHyphen/>
        <w:t>space)</w:t>
      </w:r>
      <w:r w:rsidRPr="004E0601">
        <w:rPr>
          <w:lang w:eastAsia="zh-CN"/>
        </w:rPr>
        <w:t xml:space="preserve"> under the condition of compatibility with existing services </w:t>
      </w:r>
      <w:r w:rsidRPr="004E0601">
        <w:rPr>
          <w:rFonts w:eastAsia="MS Mincho"/>
          <w:lang w:eastAsia="ja-JP"/>
        </w:rPr>
        <w:t>currently allocated</w:t>
      </w:r>
      <w:r w:rsidRPr="004E0601">
        <w:rPr>
          <w:lang w:eastAsia="zh-CN"/>
        </w:rPr>
        <w:t xml:space="preserve"> based </w:t>
      </w:r>
      <w:r>
        <w:rPr>
          <w:lang w:eastAsia="zh-CN"/>
        </w:rPr>
        <w:t xml:space="preserve">on the results of ITU-R studies, and </w:t>
      </w:r>
      <w:r w:rsidRPr="00274366">
        <w:t>relevant regulator</w:t>
      </w:r>
      <w:r>
        <w:t>y considerations are also included</w:t>
      </w:r>
      <w:r w:rsidRPr="00CE0BAC">
        <w:rPr>
          <w:i/>
          <w:lang w:val="en-NZ"/>
        </w:rPr>
        <w:t>.</w:t>
      </w:r>
    </w:p>
    <w:p w14:paraId="49185C60" w14:textId="77777777" w:rsidR="00341349" w:rsidRPr="002F2637" w:rsidRDefault="00341349" w:rsidP="00341349">
      <w:pPr>
        <w:jc w:val="both"/>
        <w:rPr>
          <w:lang w:val="en-NZ"/>
        </w:rPr>
      </w:pPr>
    </w:p>
    <w:p w14:paraId="469CB959" w14:textId="77777777" w:rsidR="00341349" w:rsidRPr="00441526" w:rsidRDefault="00341349" w:rsidP="00341349">
      <w:pPr>
        <w:spacing w:after="120"/>
        <w:jc w:val="both"/>
        <w:rPr>
          <w:b/>
          <w:lang w:val="en-NZ" w:eastAsia="ko-KR"/>
        </w:rPr>
      </w:pPr>
      <w:r w:rsidRPr="00441526">
        <w:rPr>
          <w:b/>
          <w:lang w:val="en-NZ" w:eastAsia="ko-KR"/>
        </w:rPr>
        <w:t xml:space="preserve">2. </w:t>
      </w:r>
      <w:r w:rsidRPr="00441526">
        <w:rPr>
          <w:b/>
          <w:lang w:val="en-NZ" w:eastAsia="ko-KR"/>
        </w:rPr>
        <w:tab/>
        <w:t>Documents</w:t>
      </w:r>
    </w:p>
    <w:p w14:paraId="057F6972" w14:textId="77777777" w:rsidR="00341349" w:rsidRPr="0082735D" w:rsidRDefault="00341349" w:rsidP="00341349">
      <w:pPr>
        <w:numPr>
          <w:ilvl w:val="0"/>
          <w:numId w:val="18"/>
        </w:numPr>
        <w:ind w:leftChars="145" w:left="708"/>
        <w:rPr>
          <w:lang w:val="en-NZ"/>
        </w:rPr>
      </w:pPr>
      <w:r w:rsidRPr="0082735D">
        <w:rPr>
          <w:lang w:val="en-NZ"/>
        </w:rPr>
        <w:t xml:space="preserve">Input Documents: </w:t>
      </w:r>
      <w:r>
        <w:rPr>
          <w:lang w:val="en-NZ"/>
        </w:rPr>
        <w:t>APG19-3/ INP-23 Rev.1 (KOR), APG19-3/INP-43 (AUS), APG19-3/INP-88 (CHN)</w:t>
      </w:r>
    </w:p>
    <w:p w14:paraId="03FCF34A" w14:textId="77777777" w:rsidR="00341349" w:rsidRDefault="00341349" w:rsidP="00341349">
      <w:pPr>
        <w:numPr>
          <w:ilvl w:val="0"/>
          <w:numId w:val="18"/>
        </w:numPr>
        <w:ind w:leftChars="145" w:left="708"/>
        <w:rPr>
          <w:lang w:val="en-NZ"/>
        </w:rPr>
      </w:pPr>
      <w:r w:rsidRPr="0082735D">
        <w:rPr>
          <w:lang w:val="en-NZ"/>
        </w:rPr>
        <w:t>Information Documents</w:t>
      </w:r>
      <w:bookmarkStart w:id="4" w:name="_GoBack"/>
      <w:bookmarkEnd w:id="4"/>
      <w:r w:rsidRPr="0082735D">
        <w:rPr>
          <w:lang w:val="en-NZ"/>
        </w:rPr>
        <w:t xml:space="preserve">: APG19-3/INF-06 (CEPT), APG19-3/INF-08 </w:t>
      </w:r>
      <w:r>
        <w:rPr>
          <w:lang w:val="en-NZ"/>
        </w:rPr>
        <w:t xml:space="preserve">Rev.1 </w:t>
      </w:r>
      <w:r w:rsidRPr="0082735D">
        <w:rPr>
          <w:lang w:val="en-NZ"/>
        </w:rPr>
        <w:t>(CITEL)</w:t>
      </w:r>
    </w:p>
    <w:p w14:paraId="1A0E0C31" w14:textId="77777777" w:rsidR="00341349" w:rsidRPr="0082735D" w:rsidRDefault="00341349" w:rsidP="00341349">
      <w:pPr>
        <w:ind w:left="708"/>
        <w:rPr>
          <w:lang w:val="en-NZ"/>
        </w:rPr>
      </w:pPr>
    </w:p>
    <w:p w14:paraId="27F67105" w14:textId="77777777" w:rsidR="00341349" w:rsidRPr="00441526" w:rsidRDefault="00341349" w:rsidP="00341349">
      <w:pPr>
        <w:spacing w:after="120"/>
        <w:jc w:val="both"/>
        <w:rPr>
          <w:b/>
          <w:lang w:val="en-NZ" w:eastAsia="ko-KR"/>
        </w:rPr>
      </w:pPr>
      <w:r w:rsidRPr="00441526">
        <w:rPr>
          <w:b/>
          <w:lang w:val="en-NZ" w:eastAsia="ko-KR"/>
        </w:rPr>
        <w:lastRenderedPageBreak/>
        <w:t xml:space="preserve">3. </w:t>
      </w:r>
      <w:r w:rsidRPr="00441526">
        <w:rPr>
          <w:b/>
          <w:lang w:val="en-NZ" w:eastAsia="ko-KR"/>
        </w:rPr>
        <w:tab/>
        <w:t>Summary of discussions</w:t>
      </w:r>
    </w:p>
    <w:p w14:paraId="345A8FA7" w14:textId="77777777" w:rsidR="00341349" w:rsidRPr="000D2C55" w:rsidRDefault="00341349" w:rsidP="00341349">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1145D469" w14:textId="77777777" w:rsidR="00341349" w:rsidRPr="00441526" w:rsidRDefault="00341349" w:rsidP="00341349">
      <w:pPr>
        <w:spacing w:after="120"/>
        <w:jc w:val="both"/>
        <w:rPr>
          <w:b/>
          <w:lang w:val="en-NZ" w:eastAsia="ko-KR"/>
        </w:rPr>
      </w:pPr>
      <w:r>
        <w:rPr>
          <w:b/>
          <w:lang w:val="en-NZ" w:eastAsia="ko-KR"/>
        </w:rPr>
        <w:t xml:space="preserve">3.1.1 </w:t>
      </w:r>
      <w:r>
        <w:rPr>
          <w:b/>
          <w:lang w:val="en-NZ" w:eastAsia="ko-KR"/>
        </w:rPr>
        <w:tab/>
      </w:r>
      <w:r w:rsidRPr="00926098">
        <w:rPr>
          <w:b/>
          <w:lang w:val="en-NZ" w:eastAsia="ko-KR"/>
        </w:rPr>
        <w:t>Korea (Rep. of)</w:t>
      </w:r>
      <w:r w:rsidRPr="00441526">
        <w:rPr>
          <w:b/>
          <w:lang w:val="en-NZ" w:eastAsia="ko-KR"/>
        </w:rPr>
        <w:t xml:space="preserve"> </w:t>
      </w:r>
      <w:r w:rsidRPr="00441526">
        <w:t xml:space="preserve">- </w:t>
      </w:r>
      <w:r>
        <w:rPr>
          <w:b/>
          <w:lang w:val="en-NZ" w:eastAsia="ko-KR"/>
        </w:rPr>
        <w:t>Document APG19-3/INP-23</w:t>
      </w:r>
    </w:p>
    <w:p w14:paraId="3EF27259" w14:textId="00E7941B" w:rsidR="00341349" w:rsidRDefault="00341349" w:rsidP="00341349">
      <w:pPr>
        <w:rPr>
          <w:rFonts w:eastAsiaTheme="minorEastAsia"/>
        </w:rPr>
      </w:pPr>
      <w:r w:rsidRPr="004B7A8F">
        <w:rPr>
          <w:rFonts w:eastAsiaTheme="minorEastAsia"/>
        </w:rPr>
        <w:t>The</w:t>
      </w:r>
      <w:r w:rsidR="00F564D9">
        <w:rPr>
          <w:rFonts w:eastAsiaTheme="minorEastAsia"/>
        </w:rPr>
        <w:t xml:space="preserve"> Republic</w:t>
      </w:r>
      <w:r w:rsidRPr="004B7A8F">
        <w:rPr>
          <w:rFonts w:eastAsiaTheme="minorEastAsia"/>
        </w:rPr>
        <w:t xml:space="preserve"> of Korea proposes modifications to the APT Preliminary View adopted at the APG19-2 </w:t>
      </w:r>
      <w:r w:rsidR="00F564D9">
        <w:rPr>
          <w:rFonts w:eastAsiaTheme="minorEastAsia"/>
        </w:rPr>
        <w:t>as stated below</w:t>
      </w:r>
      <w:r w:rsidRPr="004B7A8F">
        <w:rPr>
          <w:rFonts w:eastAsiaTheme="minorEastAsia"/>
        </w:rPr>
        <w:t>:</w:t>
      </w:r>
    </w:p>
    <w:p w14:paraId="76198EA1" w14:textId="77777777" w:rsidR="00341349" w:rsidRDefault="00341349" w:rsidP="00341349">
      <w:pPr>
        <w:rPr>
          <w:rFonts w:eastAsiaTheme="minorEastAsia"/>
        </w:rPr>
      </w:pPr>
    </w:p>
    <w:p w14:paraId="4D81AF92" w14:textId="77777777" w:rsidR="00341349" w:rsidRDefault="00341349" w:rsidP="00341349">
      <w:pPr>
        <w:rPr>
          <w:lang w:val="id-ID"/>
        </w:rPr>
      </w:pPr>
      <w:r>
        <w:rPr>
          <w:rFonts w:eastAsiaTheme="minorEastAsia"/>
        </w:rPr>
        <w:t xml:space="preserve">APT Members support </w:t>
      </w:r>
      <w:r>
        <w:rPr>
          <w:lang w:eastAsia="ko-KR"/>
        </w:rPr>
        <w:t xml:space="preserve">further </w:t>
      </w:r>
      <w:r>
        <w:t xml:space="preserve">studies relating to spectrum needs, sharing and compatibility between fixed-satellite service in the frequency band 51.4-52.4 GHz and other co-frequency, and adjacent band services in accordance with Resolution </w:t>
      </w:r>
      <w:r>
        <w:rPr>
          <w:b/>
        </w:rPr>
        <w:t>162 (WRC-15)</w:t>
      </w:r>
      <w:r>
        <w:rPr>
          <w:lang w:val="id-ID"/>
        </w:rPr>
        <w:t>.</w:t>
      </w:r>
    </w:p>
    <w:p w14:paraId="03396243" w14:textId="77777777" w:rsidR="00341349" w:rsidRDefault="00341349" w:rsidP="00341349">
      <w:pPr>
        <w:rPr>
          <w:rFonts w:eastAsiaTheme="minorEastAsia"/>
          <w:lang w:val="id-ID"/>
        </w:rPr>
      </w:pPr>
    </w:p>
    <w:p w14:paraId="4B7B5F3C" w14:textId="77777777" w:rsidR="00341349" w:rsidRDefault="00341349" w:rsidP="00341349">
      <w:pPr>
        <w:jc w:val="both"/>
        <w:rPr>
          <w:lang w:eastAsia="ko-KR"/>
        </w:rPr>
      </w:pPr>
      <w:r>
        <w:rPr>
          <w:lang w:eastAsia="ja-JP"/>
        </w:rPr>
        <w:t>APT Members</w:t>
      </w:r>
      <w:r>
        <w:rPr>
          <w:rFonts w:eastAsia="MS Mincho"/>
          <w:lang w:eastAsia="ja-JP"/>
        </w:rPr>
        <w:t xml:space="preserve"> are of the view that consideration of an</w:t>
      </w:r>
      <w:r>
        <w:t xml:space="preserve"> allocation to the fixed-satellite service (Earth-to-space) in the frequency band 51.4-52.4 GHz limited to feeder links for geostationary satellite orbit use is subject to satisfactory outcomes of ITU-R studies related to spectrum needs and compatibility with existing services allocated to the same and adjacent bands.</w:t>
      </w:r>
    </w:p>
    <w:p w14:paraId="570151CC" w14:textId="77777777" w:rsidR="00341349" w:rsidRPr="00441526" w:rsidRDefault="00341349" w:rsidP="00341349">
      <w:pPr>
        <w:rPr>
          <w:lang w:val="en-NZ"/>
        </w:rPr>
      </w:pPr>
    </w:p>
    <w:p w14:paraId="68ABD726" w14:textId="77777777" w:rsidR="00341349" w:rsidRPr="007907A1" w:rsidRDefault="00341349" w:rsidP="00341349">
      <w:pPr>
        <w:spacing w:after="120"/>
        <w:jc w:val="both"/>
        <w:rPr>
          <w:b/>
          <w:lang w:val="en-NZ" w:eastAsia="ko-KR"/>
        </w:rPr>
      </w:pPr>
      <w:bookmarkStart w:id="5" w:name="OLE_LINK23"/>
      <w:r>
        <w:rPr>
          <w:b/>
          <w:lang w:val="en-NZ" w:eastAsia="ko-KR"/>
        </w:rPr>
        <w:t>3.1.2</w:t>
      </w:r>
      <w:r w:rsidRPr="00441526">
        <w:rPr>
          <w:b/>
          <w:lang w:val="en-NZ" w:eastAsia="ko-KR"/>
        </w:rPr>
        <w:tab/>
      </w:r>
      <w:r w:rsidRPr="00926098">
        <w:rPr>
          <w:b/>
          <w:lang w:val="en-NZ" w:eastAsia="ko-KR"/>
        </w:rPr>
        <w:t>Australia</w:t>
      </w:r>
      <w:r w:rsidRPr="00441526">
        <w:t xml:space="preserve">- </w:t>
      </w:r>
      <w:r>
        <w:rPr>
          <w:b/>
          <w:lang w:val="en-NZ" w:eastAsia="ko-KR"/>
        </w:rPr>
        <w:t>Document APG19-3/INP-43</w:t>
      </w:r>
      <w:bookmarkEnd w:id="5"/>
    </w:p>
    <w:p w14:paraId="2369B70E" w14:textId="77777777" w:rsidR="00341349" w:rsidRDefault="00341349" w:rsidP="00341349">
      <w:pPr>
        <w:pStyle w:val="NormalWeb"/>
        <w:spacing w:before="0" w:beforeAutospacing="0"/>
      </w:pPr>
      <w:r>
        <w:t xml:space="preserve">Australia supports an allocation to the fixed-satellite service (Earth-to-space) in the frequency band 51.4-52.4 GHz, subject to satisfactory outcomes of ITU-R studies related to spectrum needs and compatibility with co-frequency and adjacent band services, in accordance with Resolution </w:t>
      </w:r>
      <w:r>
        <w:rPr>
          <w:b/>
        </w:rPr>
        <w:t>162 (WRC-15)</w:t>
      </w:r>
      <w:r>
        <w:t xml:space="preserve">. </w:t>
      </w:r>
    </w:p>
    <w:p w14:paraId="29A05D4B" w14:textId="77777777" w:rsidR="00341349" w:rsidRPr="00441526" w:rsidRDefault="00341349" w:rsidP="00341349">
      <w:pPr>
        <w:spacing w:after="120"/>
        <w:jc w:val="both"/>
        <w:rPr>
          <w:b/>
          <w:lang w:val="en-NZ" w:eastAsia="ko-KR"/>
        </w:rPr>
      </w:pPr>
      <w:r>
        <w:rPr>
          <w:b/>
          <w:lang w:val="en-NZ" w:eastAsia="ko-KR"/>
        </w:rPr>
        <w:t>3.1.3</w:t>
      </w:r>
      <w:r w:rsidRPr="00441526">
        <w:rPr>
          <w:b/>
          <w:lang w:val="en-NZ" w:eastAsia="ko-KR"/>
        </w:rPr>
        <w:tab/>
      </w:r>
      <w:r w:rsidRPr="00926098">
        <w:rPr>
          <w:b/>
          <w:lang w:val="en-NZ" w:eastAsia="ko-KR"/>
        </w:rPr>
        <w:t xml:space="preserve">China (People’s Republic of) </w:t>
      </w:r>
      <w:r w:rsidRPr="00441526">
        <w:t xml:space="preserve">- </w:t>
      </w:r>
      <w:r>
        <w:rPr>
          <w:b/>
          <w:lang w:val="en-NZ" w:eastAsia="ko-KR"/>
        </w:rPr>
        <w:t>Document APG19-3/INP-88</w:t>
      </w:r>
    </w:p>
    <w:p w14:paraId="0827CB7C" w14:textId="77777777" w:rsidR="00341349" w:rsidRDefault="00341349" w:rsidP="00341349">
      <w:pPr>
        <w:pStyle w:val="ListParagraph1"/>
        <w:spacing w:beforeLines="50" w:before="120" w:afterLines="50" w:after="120"/>
        <w:ind w:firstLineChars="0" w:firstLine="0"/>
        <w:jc w:val="both"/>
        <w:rPr>
          <w:rFonts w:eastAsia="SimSun"/>
          <w:lang w:eastAsia="zh-CN"/>
        </w:rPr>
      </w:pPr>
      <w:bookmarkStart w:id="6" w:name="OLE_LINK94"/>
      <w:bookmarkStart w:id="7" w:name="OLE_LINK93"/>
      <w:r>
        <w:rPr>
          <w:rFonts w:eastAsia="SimSun"/>
          <w:lang w:eastAsia="zh-CN"/>
        </w:rPr>
        <w:t>China supports ITU-R to conduct and complete studies considering FSS compatibility with existing services currently allocated as FS, MS</w:t>
      </w:r>
      <w:r>
        <w:rPr>
          <w:rFonts w:eastAsia="SimSun" w:hint="eastAsia"/>
          <w:lang w:eastAsia="zh-CN"/>
        </w:rPr>
        <w:t>，</w:t>
      </w:r>
      <w:r>
        <w:rPr>
          <w:rFonts w:eastAsia="SimSun"/>
          <w:lang w:eastAsia="zh-CN"/>
        </w:rPr>
        <w:t>RAS in the same bands and as EESS (passive), SRS (passive</w:t>
      </w:r>
      <w:proofErr w:type="gramStart"/>
      <w:r>
        <w:rPr>
          <w:rFonts w:eastAsia="SimSun"/>
          <w:lang w:eastAsia="zh-CN"/>
        </w:rPr>
        <w:t>)</w:t>
      </w:r>
      <w:r>
        <w:rPr>
          <w:rFonts w:eastAsia="SimSun" w:hint="eastAsia"/>
          <w:lang w:eastAsia="zh-CN"/>
        </w:rPr>
        <w:t>，</w:t>
      </w:r>
      <w:proofErr w:type="gramEnd"/>
      <w:r>
        <w:rPr>
          <w:rFonts w:eastAsia="SimSun"/>
          <w:lang w:eastAsia="zh-CN"/>
        </w:rPr>
        <w:t>RAS in the adjacent bands.</w:t>
      </w:r>
    </w:p>
    <w:p w14:paraId="79B6013A" w14:textId="77777777" w:rsidR="00341349" w:rsidRPr="007907A1" w:rsidRDefault="00341349" w:rsidP="00341349">
      <w:pPr>
        <w:pStyle w:val="ListParagraph1"/>
        <w:spacing w:beforeLines="50" w:before="120" w:afterLines="50" w:after="120"/>
        <w:ind w:firstLineChars="0" w:firstLine="0"/>
        <w:jc w:val="both"/>
        <w:rPr>
          <w:rFonts w:eastAsia="SimSun"/>
          <w:lang w:eastAsia="zh-CN"/>
        </w:rPr>
      </w:pPr>
      <w:r>
        <w:rPr>
          <w:rFonts w:eastAsia="SimSun"/>
          <w:lang w:eastAsia="zh-CN"/>
        </w:rPr>
        <w:t>China supports add</w:t>
      </w:r>
      <w:r w:rsidRPr="005109AA">
        <w:rPr>
          <w:rFonts w:eastAsia="SimSun"/>
          <w:lang w:eastAsia="zh-CN"/>
        </w:rPr>
        <w:t>itional spectru</w:t>
      </w:r>
      <w:r>
        <w:rPr>
          <w:rFonts w:eastAsia="SimSun"/>
          <w:lang w:eastAsia="zh-CN"/>
        </w:rPr>
        <w:t>m allocation to the fixed-satellite service (Earth-to-space) in the 51.4-52.4GHz band study only if the results of ITU-R studies verify the compatibility between FSS and the existing services currently allocated.</w:t>
      </w:r>
      <w:bookmarkEnd w:id="6"/>
      <w:bookmarkEnd w:id="7"/>
    </w:p>
    <w:p w14:paraId="5659FC37" w14:textId="77777777" w:rsidR="00341349" w:rsidRPr="00441526" w:rsidRDefault="00341349" w:rsidP="00341349">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552DA46B" w14:textId="77777777" w:rsidR="00341349" w:rsidRPr="005109AA" w:rsidRDefault="00341349" w:rsidP="00341349">
      <w:pPr>
        <w:rPr>
          <w:rFonts w:eastAsia="SimSun"/>
          <w:lang w:eastAsia="zh-CN"/>
        </w:rPr>
      </w:pPr>
      <w:r>
        <w:rPr>
          <w:rFonts w:eastAsia="SimSun"/>
          <w:lang w:eastAsia="zh-CN"/>
        </w:rPr>
        <w:t>T</w:t>
      </w:r>
      <w:r w:rsidRPr="005109AA">
        <w:rPr>
          <w:rFonts w:eastAsia="SimSun"/>
          <w:lang w:eastAsia="zh-CN"/>
        </w:rPr>
        <w:t xml:space="preserve">wo issues </w:t>
      </w:r>
      <w:r>
        <w:rPr>
          <w:rFonts w:eastAsia="SimSun"/>
          <w:lang w:eastAsia="zh-CN"/>
        </w:rPr>
        <w:t xml:space="preserve">were </w:t>
      </w:r>
      <w:r w:rsidRPr="005109AA">
        <w:rPr>
          <w:rFonts w:eastAsia="SimSun"/>
          <w:lang w:eastAsia="zh-CN"/>
        </w:rPr>
        <w:t xml:space="preserve">raised in the drafting group sessions </w:t>
      </w:r>
      <w:r>
        <w:rPr>
          <w:rFonts w:eastAsia="SimSun"/>
          <w:lang w:eastAsia="zh-CN"/>
        </w:rPr>
        <w:t xml:space="preserve">and relevant discussion are summarized </w:t>
      </w:r>
      <w:r w:rsidRPr="005109AA">
        <w:rPr>
          <w:rFonts w:eastAsia="SimSun"/>
          <w:lang w:eastAsia="zh-CN"/>
        </w:rPr>
        <w:t>as follows:</w:t>
      </w:r>
    </w:p>
    <w:p w14:paraId="53097FED" w14:textId="77777777" w:rsidR="00341349" w:rsidRDefault="00341349" w:rsidP="00341349">
      <w:pPr>
        <w:rPr>
          <w:rFonts w:eastAsia="SimSun"/>
          <w:lang w:eastAsia="zh-CN"/>
        </w:rPr>
      </w:pPr>
    </w:p>
    <w:p w14:paraId="2E7D85E2" w14:textId="77777777" w:rsidR="00341349" w:rsidRDefault="00341349" w:rsidP="00341349">
      <w:pPr>
        <w:pStyle w:val="ListParagraph"/>
        <w:numPr>
          <w:ilvl w:val="0"/>
          <w:numId w:val="33"/>
        </w:numPr>
        <w:rPr>
          <w:rFonts w:eastAsia="SimSun"/>
          <w:lang w:eastAsia="zh-CN"/>
        </w:rPr>
      </w:pPr>
      <w:r w:rsidRPr="005109AA">
        <w:rPr>
          <w:rFonts w:eastAsia="SimSun"/>
          <w:lang w:eastAsia="zh-CN"/>
        </w:rPr>
        <w:t>Issue on</w:t>
      </w:r>
      <w:r w:rsidRPr="005109AA">
        <w:rPr>
          <w:rFonts w:eastAsia="SimSun" w:hint="eastAsia"/>
          <w:lang w:eastAsia="zh-CN"/>
        </w:rPr>
        <w:t xml:space="preserve"> determination of unwanted emission power limits for the protection of EESS (passive) in the adjacent band 52.6-54.25 GHz.</w:t>
      </w:r>
    </w:p>
    <w:p w14:paraId="20860053" w14:textId="77777777" w:rsidR="00341349" w:rsidRDefault="00341349" w:rsidP="00341349">
      <w:pPr>
        <w:rPr>
          <w:rFonts w:eastAsia="SimSun"/>
          <w:lang w:eastAsia="zh-CN"/>
        </w:rPr>
      </w:pPr>
    </w:p>
    <w:p w14:paraId="4FC74618" w14:textId="77777777" w:rsidR="00341349" w:rsidRPr="005109AA" w:rsidRDefault="00341349" w:rsidP="00341349">
      <w:pPr>
        <w:rPr>
          <w:lang w:val="en-NZ"/>
        </w:rPr>
      </w:pPr>
      <w:r>
        <w:rPr>
          <w:lang w:val="en-NZ"/>
        </w:rPr>
        <w:t>After</w:t>
      </w:r>
      <w:r w:rsidRPr="005109AA">
        <w:rPr>
          <w:lang w:val="en-NZ"/>
        </w:rPr>
        <w:t xml:space="preserve"> discussion, it was agreed that </w:t>
      </w:r>
      <w:r>
        <w:rPr>
          <w:lang w:val="en-NZ"/>
        </w:rPr>
        <w:t xml:space="preserve">further study is needed on appropriate </w:t>
      </w:r>
      <w:r w:rsidRPr="005109AA">
        <w:rPr>
          <w:rFonts w:eastAsia="SimSun" w:hint="eastAsia"/>
          <w:lang w:eastAsia="zh-CN"/>
        </w:rPr>
        <w:t>unwanted emission power limits for the protection of EESS</w:t>
      </w:r>
      <w:r>
        <w:rPr>
          <w:rFonts w:eastAsia="SimSun" w:hint="eastAsia"/>
          <w:lang w:eastAsia="zh-CN"/>
        </w:rPr>
        <w:t xml:space="preserve"> (passive) in the adjacent band</w:t>
      </w:r>
      <w:r w:rsidRPr="005109AA">
        <w:rPr>
          <w:rFonts w:eastAsia="SimSun" w:hint="eastAsia"/>
          <w:lang w:eastAsia="zh-CN"/>
        </w:rPr>
        <w:t xml:space="preserve"> 52.6-54.25 GHz</w:t>
      </w:r>
      <w:r>
        <w:rPr>
          <w:rFonts w:eastAsia="SimSun"/>
          <w:lang w:eastAsia="zh-CN"/>
        </w:rPr>
        <w:t>.</w:t>
      </w:r>
    </w:p>
    <w:p w14:paraId="2AD8EDAC" w14:textId="77777777" w:rsidR="00341349" w:rsidRPr="005109AA" w:rsidRDefault="00341349" w:rsidP="00341349">
      <w:pPr>
        <w:rPr>
          <w:rFonts w:eastAsia="SimSun"/>
          <w:lang w:eastAsia="zh-CN"/>
        </w:rPr>
      </w:pPr>
    </w:p>
    <w:p w14:paraId="5F22A8FD" w14:textId="77777777" w:rsidR="00341349" w:rsidRPr="005109AA" w:rsidRDefault="00341349" w:rsidP="00341349">
      <w:pPr>
        <w:pStyle w:val="ListParagraph"/>
        <w:numPr>
          <w:ilvl w:val="0"/>
          <w:numId w:val="33"/>
        </w:numPr>
        <w:rPr>
          <w:rFonts w:eastAsia="SimSun"/>
          <w:lang w:eastAsia="zh-CN"/>
        </w:rPr>
      </w:pPr>
      <w:r>
        <w:rPr>
          <w:rFonts w:eastAsia="SimSun"/>
          <w:lang w:eastAsia="zh-CN"/>
        </w:rPr>
        <w:t>Issue on</w:t>
      </w:r>
      <w:r w:rsidRPr="005109AA">
        <w:rPr>
          <w:rFonts w:eastAsia="SimSun" w:hint="eastAsia"/>
          <w:lang w:eastAsia="zh-CN"/>
        </w:rPr>
        <w:t xml:space="preserve"> limit</w:t>
      </w:r>
      <w:r>
        <w:rPr>
          <w:rFonts w:eastAsia="SimSun"/>
          <w:lang w:eastAsia="zh-CN"/>
        </w:rPr>
        <w:t>ation of</w:t>
      </w:r>
      <w:r w:rsidRPr="005109AA">
        <w:rPr>
          <w:rFonts w:eastAsia="SimSun" w:hint="eastAsia"/>
          <w:lang w:eastAsia="zh-CN"/>
        </w:rPr>
        <w:t xml:space="preserve"> minimum antenna size of earth stations </w:t>
      </w:r>
      <w:r>
        <w:rPr>
          <w:rFonts w:eastAsia="SimSun"/>
          <w:lang w:eastAsia="zh-CN"/>
        </w:rPr>
        <w:t>as</w:t>
      </w:r>
      <w:r>
        <w:rPr>
          <w:rFonts w:eastAsia="SimSun" w:hint="eastAsia"/>
          <w:lang w:eastAsia="zh-CN"/>
        </w:rPr>
        <w:t xml:space="preserve"> [7] meters.</w:t>
      </w:r>
    </w:p>
    <w:p w14:paraId="4FB9D304" w14:textId="77777777" w:rsidR="00341349" w:rsidRDefault="00341349" w:rsidP="00341349"/>
    <w:p w14:paraId="26E129E1" w14:textId="77777777" w:rsidR="00341349" w:rsidRPr="005109AA" w:rsidRDefault="00341349" w:rsidP="00341349">
      <w:pPr>
        <w:rPr>
          <w:lang w:val="en-NZ"/>
        </w:rPr>
      </w:pPr>
      <w:r>
        <w:rPr>
          <w:lang w:val="en-NZ"/>
        </w:rPr>
        <w:t>After</w:t>
      </w:r>
      <w:r w:rsidRPr="005109AA">
        <w:rPr>
          <w:lang w:val="en-NZ"/>
        </w:rPr>
        <w:t xml:space="preserve"> discussion, it was agreed that </w:t>
      </w:r>
      <w:r>
        <w:rPr>
          <w:lang w:val="en-NZ"/>
        </w:rPr>
        <w:t xml:space="preserve">it is appropriate to limit </w:t>
      </w:r>
      <w:r w:rsidRPr="005109AA">
        <w:rPr>
          <w:rFonts w:eastAsia="SimSun" w:hint="eastAsia"/>
          <w:lang w:eastAsia="zh-CN"/>
        </w:rPr>
        <w:t>minimum antenna size of earth stations</w:t>
      </w:r>
      <w:r>
        <w:rPr>
          <w:lang w:val="en-NZ"/>
        </w:rPr>
        <w:t xml:space="preserve"> based on current studies, but further consideration may be needed based on updated ITU-R studies.</w:t>
      </w:r>
    </w:p>
    <w:p w14:paraId="27106605" w14:textId="77777777" w:rsidR="00341349" w:rsidRPr="00441526" w:rsidRDefault="00341349" w:rsidP="00341349">
      <w:pPr>
        <w:jc w:val="both"/>
        <w:rPr>
          <w:lang w:val="en-NZ"/>
        </w:rPr>
      </w:pPr>
    </w:p>
    <w:p w14:paraId="3B269A05" w14:textId="77777777" w:rsidR="00341349" w:rsidRPr="00516CE7" w:rsidRDefault="00341349" w:rsidP="00341349">
      <w:pPr>
        <w:spacing w:afterLines="50" w:after="120"/>
        <w:rPr>
          <w:b/>
          <w:lang w:val="en-NZ" w:eastAsia="ko-KR"/>
        </w:rPr>
      </w:pPr>
      <w:r w:rsidRPr="00441526">
        <w:rPr>
          <w:b/>
          <w:lang w:val="en-NZ" w:eastAsia="ko-KR"/>
        </w:rPr>
        <w:t xml:space="preserve">4. </w:t>
      </w:r>
      <w:r w:rsidRPr="00441526">
        <w:rPr>
          <w:b/>
          <w:lang w:val="en-NZ" w:eastAsia="ko-KR"/>
        </w:rPr>
        <w:tab/>
        <w:t>APT Preliminary View(s)</w:t>
      </w:r>
    </w:p>
    <w:p w14:paraId="52EF813D" w14:textId="77777777" w:rsidR="00341349" w:rsidRDefault="00341349" w:rsidP="00341349">
      <w:pPr>
        <w:rPr>
          <w:lang w:val="id-ID"/>
        </w:rPr>
      </w:pPr>
      <w:r w:rsidRPr="00B11B5D">
        <w:rPr>
          <w:rFonts w:eastAsiaTheme="minorEastAsia"/>
        </w:rPr>
        <w:t>APT Members support</w:t>
      </w:r>
      <w:r>
        <w:rPr>
          <w:rFonts w:eastAsiaTheme="minorEastAsia"/>
        </w:rPr>
        <w:t xml:space="preserve"> further</w:t>
      </w:r>
      <w:r>
        <w:t xml:space="preserve"> studies of ITU-R </w:t>
      </w:r>
      <w:r w:rsidRPr="00EC2F50">
        <w:t>relat</w:t>
      </w:r>
      <w:r>
        <w:t>ing</w:t>
      </w:r>
      <w:r w:rsidRPr="00EC2F50">
        <w:t xml:space="preserve"> to </w:t>
      </w:r>
      <w:r>
        <w:t xml:space="preserve">sharing and </w:t>
      </w:r>
      <w:r w:rsidRPr="00EC2F50">
        <w:t>compatibility</w:t>
      </w:r>
      <w:r>
        <w:t xml:space="preserve"> between fixed-satellite service </w:t>
      </w:r>
      <w:r w:rsidRPr="00EC2F50">
        <w:t xml:space="preserve">in the frequency band 51.4-52.4 GHz </w:t>
      </w:r>
      <w:r>
        <w:t>and other</w:t>
      </w:r>
      <w:r w:rsidRPr="00EC2F50">
        <w:t xml:space="preserve"> co-frequency</w:t>
      </w:r>
      <w:r>
        <w:t>,</w:t>
      </w:r>
      <w:r w:rsidRPr="00EC2F50">
        <w:t xml:space="preserve"> and adjacent band services</w:t>
      </w:r>
      <w:r>
        <w:t xml:space="preserve"> in accordance with Resolution </w:t>
      </w:r>
      <w:r>
        <w:rPr>
          <w:b/>
        </w:rPr>
        <w:t>162 (WRC-15)</w:t>
      </w:r>
      <w:r w:rsidRPr="00FF1969">
        <w:rPr>
          <w:lang w:val="id-ID"/>
        </w:rPr>
        <w:t>.</w:t>
      </w:r>
    </w:p>
    <w:p w14:paraId="493DEFAE" w14:textId="77777777" w:rsidR="00341349" w:rsidRPr="004B7A8F" w:rsidRDefault="00341349" w:rsidP="00341349">
      <w:pPr>
        <w:rPr>
          <w:rFonts w:eastAsiaTheme="minorEastAsia"/>
          <w:lang w:val="id-ID"/>
        </w:rPr>
      </w:pPr>
    </w:p>
    <w:p w14:paraId="6820BCFA" w14:textId="77777777" w:rsidR="00341349" w:rsidRPr="007649F8" w:rsidRDefault="00341349" w:rsidP="00341349">
      <w:pPr>
        <w:rPr>
          <w:lang w:val="en-NZ"/>
        </w:rPr>
      </w:pPr>
      <w:r w:rsidRPr="006F3808">
        <w:rPr>
          <w:lang w:eastAsia="ja-JP"/>
        </w:rPr>
        <w:t>APT Members</w:t>
      </w:r>
      <w:r>
        <w:rPr>
          <w:rFonts w:eastAsia="MS Mincho"/>
          <w:lang w:eastAsia="ja-JP"/>
        </w:rPr>
        <w:t xml:space="preserve"> are</w:t>
      </w:r>
      <w:r w:rsidRPr="006F3808">
        <w:rPr>
          <w:rFonts w:eastAsia="MS Mincho"/>
          <w:lang w:eastAsia="ja-JP"/>
        </w:rPr>
        <w:t xml:space="preserve"> of the view that </w:t>
      </w:r>
      <w:r>
        <w:rPr>
          <w:rFonts w:eastAsia="MS Mincho"/>
          <w:lang w:eastAsia="ja-JP"/>
        </w:rPr>
        <w:t xml:space="preserve">consideration of an </w:t>
      </w:r>
      <w:r w:rsidRPr="00EC2F50">
        <w:t>allocation to the fixed-satellite service (Earth-to-space) in th</w:t>
      </w:r>
      <w:r>
        <w:t xml:space="preserve">e frequency band 51.4-52.4 GHz limited to feeder links for geostationary satellite orbit use </w:t>
      </w:r>
      <w:r w:rsidRPr="00EF3B11">
        <w:t>is</w:t>
      </w:r>
      <w:r>
        <w:t xml:space="preserve"> </w:t>
      </w:r>
      <w:r w:rsidRPr="00EC2F50">
        <w:t>subject to satisfactory outcomes of ITU-R studies related to spectrum needs and compatibility with</w:t>
      </w:r>
      <w:r>
        <w:t xml:space="preserve"> existing services allocated to the same and adjacent bands.</w:t>
      </w:r>
    </w:p>
    <w:p w14:paraId="4AFEA9B2" w14:textId="77777777" w:rsidR="00341349" w:rsidRPr="00516CE7" w:rsidRDefault="00341349" w:rsidP="00341349">
      <w:pPr>
        <w:rPr>
          <w:lang w:val="en-NZ"/>
        </w:rPr>
      </w:pPr>
    </w:p>
    <w:p w14:paraId="26C0FA91" w14:textId="77777777" w:rsidR="00341349" w:rsidRPr="00441526" w:rsidRDefault="00341349" w:rsidP="00341349">
      <w:pPr>
        <w:spacing w:after="120"/>
        <w:jc w:val="both"/>
        <w:rPr>
          <w:b/>
          <w:lang w:val="en-NZ" w:eastAsia="ko-KR"/>
        </w:rPr>
      </w:pPr>
      <w:r w:rsidRPr="00441526">
        <w:rPr>
          <w:b/>
          <w:lang w:val="en-NZ" w:eastAsia="ko-KR"/>
        </w:rPr>
        <w:t xml:space="preserve">5. </w:t>
      </w:r>
      <w:r w:rsidRPr="00441526">
        <w:rPr>
          <w:b/>
          <w:lang w:val="en-NZ" w:eastAsia="ko-KR"/>
        </w:rPr>
        <w:tab/>
        <w:t>Other View(s)</w:t>
      </w:r>
    </w:p>
    <w:p w14:paraId="54594B8A" w14:textId="77777777" w:rsidR="00341349" w:rsidRPr="00516CE7" w:rsidRDefault="00341349" w:rsidP="00341349">
      <w:pPr>
        <w:jc w:val="both"/>
        <w:rPr>
          <w:lang w:val="en-NZ"/>
        </w:rPr>
      </w:pPr>
      <w:r w:rsidRPr="00516CE7">
        <w:rPr>
          <w:lang w:val="en-NZ"/>
        </w:rPr>
        <w:t>None.</w:t>
      </w:r>
    </w:p>
    <w:p w14:paraId="00B3D630" w14:textId="77777777" w:rsidR="00341349" w:rsidRDefault="00341349" w:rsidP="00341349">
      <w:pPr>
        <w:rPr>
          <w:lang w:val="en-NZ"/>
        </w:rPr>
      </w:pPr>
    </w:p>
    <w:p w14:paraId="0E2C95E1" w14:textId="77777777" w:rsidR="00341349" w:rsidRPr="00441526" w:rsidRDefault="00341349" w:rsidP="00341349">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5F7E932F" w14:textId="77777777" w:rsidR="00341349" w:rsidRDefault="00341349" w:rsidP="00341349">
      <w:pPr>
        <w:jc w:val="both"/>
        <w:rPr>
          <w:lang w:val="en-NZ"/>
        </w:rPr>
      </w:pPr>
      <w:r w:rsidRPr="002D10CB">
        <w:rPr>
          <w:lang w:val="en-NZ"/>
        </w:rPr>
        <w:t>It was agreed that the issue</w:t>
      </w:r>
      <w:r>
        <w:rPr>
          <w:lang w:val="en-NZ"/>
        </w:rPr>
        <w:t>s</w:t>
      </w:r>
      <w:r w:rsidRPr="002D10CB">
        <w:rPr>
          <w:lang w:val="en-NZ"/>
        </w:rPr>
        <w:t xml:space="preserve"> </w:t>
      </w:r>
      <w:r>
        <w:rPr>
          <w:lang w:val="en-NZ"/>
        </w:rPr>
        <w:t xml:space="preserve">which are included in Section 3.2 </w:t>
      </w:r>
      <w:r w:rsidRPr="002D10CB">
        <w:rPr>
          <w:lang w:val="en-NZ"/>
        </w:rPr>
        <w:t>would be further discussed at the next APG meeting</w:t>
      </w:r>
    </w:p>
    <w:p w14:paraId="15E14B21" w14:textId="77777777" w:rsidR="00341349" w:rsidRPr="00516CE7" w:rsidRDefault="00341349" w:rsidP="00341349">
      <w:pPr>
        <w:jc w:val="both"/>
        <w:rPr>
          <w:lang w:val="en-NZ"/>
        </w:rPr>
      </w:pPr>
    </w:p>
    <w:p w14:paraId="7F0BF312" w14:textId="77777777" w:rsidR="00341349" w:rsidRPr="002D10CB" w:rsidRDefault="00341349" w:rsidP="00341349">
      <w:pPr>
        <w:rPr>
          <w:lang w:val="en-NZ"/>
        </w:rPr>
      </w:pPr>
      <w:r>
        <w:t>APT Members are invited to follow the progress of ITU-R studies</w:t>
      </w:r>
      <w:r>
        <w:rPr>
          <w:snapToGrid w:val="0"/>
          <w:lang w:val="en-AU"/>
        </w:rPr>
        <w:t>, particularly the planned WP4A meeting on 3-14 July 2018, and</w:t>
      </w:r>
      <w:r w:rsidRPr="00B11B5D">
        <w:rPr>
          <w:snapToGrid w:val="0"/>
          <w:lang w:val="en-AU"/>
        </w:rPr>
        <w:t xml:space="preserve"> </w:t>
      </w:r>
      <w:r>
        <w:rPr>
          <w:snapToGrid w:val="0"/>
          <w:lang w:val="en-AU"/>
        </w:rPr>
        <w:t xml:space="preserve">are </w:t>
      </w:r>
      <w:r w:rsidRPr="00B11B5D">
        <w:rPr>
          <w:snapToGrid w:val="0"/>
          <w:lang w:val="en-AU"/>
        </w:rPr>
        <w:t xml:space="preserve">encouraged to submit their contributions for further considerations in the next </w:t>
      </w:r>
      <w:r>
        <w:rPr>
          <w:snapToGrid w:val="0"/>
          <w:lang w:val="en-AU"/>
        </w:rPr>
        <w:t xml:space="preserve">APG </w:t>
      </w:r>
      <w:r w:rsidRPr="00B11B5D">
        <w:rPr>
          <w:snapToGrid w:val="0"/>
          <w:lang w:val="en-AU"/>
        </w:rPr>
        <w:t>meeting.</w:t>
      </w:r>
    </w:p>
    <w:p w14:paraId="087901B0" w14:textId="77777777" w:rsidR="00341349" w:rsidRPr="00441526" w:rsidRDefault="00341349" w:rsidP="00341349">
      <w:pPr>
        <w:jc w:val="both"/>
        <w:rPr>
          <w:lang w:val="en-NZ"/>
        </w:rPr>
      </w:pPr>
    </w:p>
    <w:p w14:paraId="25427210" w14:textId="77777777" w:rsidR="00341349" w:rsidRPr="00441526" w:rsidRDefault="00341349" w:rsidP="00341349">
      <w:pPr>
        <w:spacing w:afterLines="50" w:after="120"/>
        <w:jc w:val="both"/>
        <w:rPr>
          <w:lang w:val="en-NZ"/>
        </w:rPr>
      </w:pPr>
      <w:r>
        <w:rPr>
          <w:b/>
          <w:lang w:val="en-NZ"/>
        </w:rPr>
        <w:t>7</w:t>
      </w:r>
      <w:r w:rsidRPr="00441526">
        <w:rPr>
          <w:b/>
          <w:lang w:val="en-NZ"/>
        </w:rPr>
        <w:t xml:space="preserve">. </w:t>
      </w:r>
      <w:r w:rsidRPr="00441526">
        <w:rPr>
          <w:b/>
          <w:lang w:val="en-NZ"/>
        </w:rPr>
        <w:tab/>
        <w:t>Views from Other Organisations</w:t>
      </w:r>
    </w:p>
    <w:p w14:paraId="011EA157" w14:textId="77777777" w:rsidR="00341349" w:rsidRPr="00441526" w:rsidRDefault="00341349" w:rsidP="00341349">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0F202BB3" w14:textId="77777777" w:rsidR="00341349" w:rsidRPr="00441526" w:rsidRDefault="00341349" w:rsidP="00341349">
      <w:pPr>
        <w:spacing w:after="120"/>
        <w:jc w:val="both"/>
        <w:rPr>
          <w:b/>
          <w:lang w:val="en-NZ" w:eastAsia="ko-KR"/>
        </w:rPr>
      </w:pPr>
      <w:r>
        <w:rPr>
          <w:b/>
          <w:lang w:val="en-NZ" w:eastAsia="ko-KR"/>
        </w:rPr>
        <w:t>7</w:t>
      </w:r>
      <w:r w:rsidRPr="00441526">
        <w:rPr>
          <w:b/>
          <w:lang w:val="en-NZ" w:eastAsia="ko-KR"/>
        </w:rPr>
        <w:t xml:space="preserve">.1.1 </w:t>
      </w:r>
      <w:r w:rsidRPr="00441526">
        <w:rPr>
          <w:b/>
          <w:lang w:val="en-NZ" w:eastAsia="ko-KR"/>
        </w:rPr>
        <w:tab/>
        <w:t>ASMG</w:t>
      </w:r>
      <w:r w:rsidRPr="00441526">
        <w:t xml:space="preserve"> - </w:t>
      </w:r>
      <w:r>
        <w:rPr>
          <w:b/>
          <w:lang w:val="en-NZ" w:eastAsia="ko-KR"/>
        </w:rPr>
        <w:t>Document APG19-2/INF-01</w:t>
      </w:r>
    </w:p>
    <w:p w14:paraId="60392221" w14:textId="77777777" w:rsidR="00341349" w:rsidRPr="003F70E0" w:rsidRDefault="00341349" w:rsidP="00341349">
      <w:pPr>
        <w:rPr>
          <w:rFonts w:eastAsiaTheme="minorEastAsia"/>
          <w:lang w:val="en-NZ" w:eastAsia="zh-CN"/>
        </w:rPr>
      </w:pPr>
      <w:r>
        <w:rPr>
          <w:rFonts w:eastAsiaTheme="minorEastAsia" w:hint="eastAsia"/>
          <w:lang w:val="en-NZ" w:eastAsia="zh-CN"/>
        </w:rPr>
        <w:t>A</w:t>
      </w:r>
      <w:r>
        <w:rPr>
          <w:rFonts w:eastAsiaTheme="minorEastAsia"/>
          <w:lang w:val="en-NZ" w:eastAsia="zh-CN"/>
        </w:rPr>
        <w:t>SMG position:</w:t>
      </w:r>
    </w:p>
    <w:p w14:paraId="0ADF48DC" w14:textId="77777777" w:rsidR="00341349" w:rsidRPr="00590E8A" w:rsidRDefault="00341349" w:rsidP="00341349">
      <w:pPr>
        <w:numPr>
          <w:ilvl w:val="0"/>
          <w:numId w:val="34"/>
        </w:numPr>
        <w:rPr>
          <w:lang w:val="en-NZ"/>
        </w:rPr>
      </w:pPr>
      <w:r w:rsidRPr="00590E8A">
        <w:rPr>
          <w:rFonts w:hint="eastAsia"/>
          <w:lang w:val="en-NZ"/>
        </w:rPr>
        <w:t>Follow up current studies on this item.</w:t>
      </w:r>
    </w:p>
    <w:p w14:paraId="32FADB44" w14:textId="77777777" w:rsidR="00341349" w:rsidRPr="00590E8A" w:rsidRDefault="00341349" w:rsidP="00341349">
      <w:pPr>
        <w:numPr>
          <w:ilvl w:val="0"/>
          <w:numId w:val="34"/>
        </w:numPr>
        <w:rPr>
          <w:lang w:val="en-NZ"/>
        </w:rPr>
      </w:pPr>
      <w:r w:rsidRPr="00590E8A">
        <w:rPr>
          <w:rFonts w:hint="eastAsia"/>
          <w:lang w:val="en-NZ"/>
        </w:rPr>
        <w:t>Ensure the protection of existing services, especially the fixed and mobile services that may be used extensively in Arab states.</w:t>
      </w:r>
    </w:p>
    <w:p w14:paraId="5CBA9425" w14:textId="77777777" w:rsidR="00341349" w:rsidRPr="00590E8A" w:rsidRDefault="00341349" w:rsidP="00341349">
      <w:pPr>
        <w:numPr>
          <w:ilvl w:val="0"/>
          <w:numId w:val="34"/>
        </w:numPr>
        <w:rPr>
          <w:lang w:val="en-NZ"/>
        </w:rPr>
      </w:pPr>
      <w:r w:rsidRPr="00590E8A">
        <w:rPr>
          <w:rFonts w:hint="eastAsia"/>
          <w:lang w:val="en-NZ"/>
        </w:rPr>
        <w:t>Consult with satellite operators with respect to their needs of spectrum in the frequency range 51.4-52.4 GHz.</w:t>
      </w:r>
    </w:p>
    <w:p w14:paraId="7CD2447A" w14:textId="77777777" w:rsidR="00341349" w:rsidRPr="00BA7893" w:rsidRDefault="00341349" w:rsidP="00341349">
      <w:pPr>
        <w:numPr>
          <w:ilvl w:val="0"/>
          <w:numId w:val="34"/>
        </w:numPr>
        <w:rPr>
          <w:lang w:val="en-NZ"/>
        </w:rPr>
      </w:pPr>
      <w:r w:rsidRPr="00590E8A">
        <w:rPr>
          <w:rFonts w:hint="eastAsia"/>
          <w:lang w:val="en-NZ"/>
        </w:rPr>
        <w:t xml:space="preserve">Consultation with concerned groups in ASMG on the proposed </w:t>
      </w:r>
      <w:r>
        <w:rPr>
          <w:rFonts w:hint="eastAsia"/>
          <w:lang w:val="en-NZ"/>
        </w:rPr>
        <w:t>allocation of this band for IMT</w:t>
      </w:r>
      <w:r w:rsidRPr="00BA7893">
        <w:rPr>
          <w:lang w:val="en-NZ"/>
        </w:rPr>
        <w:t>.</w:t>
      </w:r>
    </w:p>
    <w:p w14:paraId="2999F1E2" w14:textId="77777777" w:rsidR="00341349" w:rsidRPr="00D45A25" w:rsidRDefault="00341349" w:rsidP="00341349">
      <w:pPr>
        <w:rPr>
          <w:lang w:val="en-NZ"/>
        </w:rPr>
      </w:pPr>
    </w:p>
    <w:p w14:paraId="11E144CB" w14:textId="77777777" w:rsidR="00341349" w:rsidRPr="00441526" w:rsidRDefault="00341349" w:rsidP="00341349">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rsidRPr="00441526">
        <w:t xml:space="preserve">- </w:t>
      </w:r>
      <w:r>
        <w:rPr>
          <w:b/>
          <w:lang w:val="en-NZ" w:eastAsia="ko-KR"/>
        </w:rPr>
        <w:t>Document APG19-2/INF-07</w:t>
      </w:r>
    </w:p>
    <w:p w14:paraId="0A18E37C" w14:textId="77777777" w:rsidR="00341349" w:rsidRPr="00D45A25" w:rsidRDefault="00341349" w:rsidP="00341349">
      <w:pPr>
        <w:jc w:val="both"/>
      </w:pPr>
      <w:r>
        <w:t>No</w:t>
      </w:r>
      <w:r w:rsidRPr="00BF10B7">
        <w:t xml:space="preserve"> preliminary position on this agenda item</w:t>
      </w:r>
      <w:r>
        <w:t xml:space="preserve"> yet</w:t>
      </w:r>
      <w:r w:rsidRPr="00BF10B7">
        <w:t>.</w:t>
      </w:r>
    </w:p>
    <w:p w14:paraId="77DBC750" w14:textId="77777777" w:rsidR="00341349" w:rsidRPr="00441526" w:rsidRDefault="00341349" w:rsidP="00341349">
      <w:pPr>
        <w:rPr>
          <w:b/>
          <w:lang w:val="en-NZ"/>
        </w:rPr>
      </w:pPr>
    </w:p>
    <w:p w14:paraId="457A3BE7" w14:textId="77777777" w:rsidR="00341349" w:rsidRPr="00441526" w:rsidRDefault="00341349" w:rsidP="00341349">
      <w:pPr>
        <w:spacing w:after="120"/>
        <w:jc w:val="both"/>
        <w:rPr>
          <w:b/>
          <w:lang w:val="en-NZ" w:eastAsia="ko-KR"/>
        </w:rPr>
      </w:pPr>
      <w:r>
        <w:rPr>
          <w:b/>
          <w:lang w:val="en-NZ" w:eastAsia="ko-KR"/>
        </w:rPr>
        <w:t>7</w:t>
      </w:r>
      <w:r w:rsidRPr="00441526">
        <w:rPr>
          <w:b/>
          <w:lang w:val="en-NZ" w:eastAsia="ko-KR"/>
        </w:rPr>
        <w:t xml:space="preserve">.1.3 </w:t>
      </w:r>
      <w:r w:rsidRPr="00441526">
        <w:rPr>
          <w:b/>
          <w:lang w:val="en-NZ" w:eastAsia="ko-KR"/>
        </w:rPr>
        <w:tab/>
        <w:t xml:space="preserve">CEPT </w:t>
      </w:r>
      <w:r w:rsidRPr="00441526">
        <w:t xml:space="preserve">- </w:t>
      </w:r>
      <w:r>
        <w:rPr>
          <w:b/>
          <w:lang w:val="en-NZ" w:eastAsia="ko-KR"/>
        </w:rPr>
        <w:t>Document APG19-3/INF-06</w:t>
      </w:r>
    </w:p>
    <w:p w14:paraId="7D58DFDC" w14:textId="77777777" w:rsidR="00341349" w:rsidRPr="00D7386D" w:rsidRDefault="00341349" w:rsidP="00341349">
      <w:pPr>
        <w:rPr>
          <w:lang w:val="en-NZ"/>
        </w:rPr>
      </w:pPr>
      <w:r w:rsidRPr="00D7386D">
        <w:rPr>
          <w:lang w:val="en-NZ"/>
        </w:rPr>
        <w:t>Preliminary CEPT position:</w:t>
      </w:r>
    </w:p>
    <w:p w14:paraId="5590FE0C" w14:textId="77777777" w:rsidR="00341349" w:rsidRPr="002D10CB" w:rsidRDefault="00341349" w:rsidP="00341349">
      <w:pPr>
        <w:numPr>
          <w:ilvl w:val="0"/>
          <w:numId w:val="34"/>
        </w:numPr>
        <w:rPr>
          <w:lang w:val="en-NZ"/>
        </w:rPr>
      </w:pPr>
      <w:r w:rsidRPr="002D10CB">
        <w:rPr>
          <w:lang w:val="en-NZ"/>
        </w:rPr>
        <w:t xml:space="preserve">Based on the results of studies on additional spectrum needs for development of the fixed-satellite service, in accordance with resolves to invite ITU-R 1 of Resolution </w:t>
      </w:r>
      <w:r w:rsidRPr="004B7A8F">
        <w:rPr>
          <w:lang w:val="en-NZ"/>
        </w:rPr>
        <w:t>162 (WRC-15)</w:t>
      </w:r>
      <w:r w:rsidRPr="002D10CB">
        <w:rPr>
          <w:lang w:val="en-NZ"/>
        </w:rPr>
        <w:t xml:space="preserve">, CEPT supports the additional allocation of 1 GHz spectrum in 51.4 – 52.4 GHz band for the uplink GSO FSS feeder links, which allows to increase the throughput of these networks. </w:t>
      </w:r>
    </w:p>
    <w:p w14:paraId="366EE767" w14:textId="77777777" w:rsidR="00341349" w:rsidRDefault="00341349" w:rsidP="00341349">
      <w:pPr>
        <w:numPr>
          <w:ilvl w:val="0"/>
          <w:numId w:val="34"/>
        </w:numPr>
        <w:rPr>
          <w:lang w:val="en-NZ"/>
        </w:rPr>
      </w:pPr>
      <w:r w:rsidRPr="002D10CB">
        <w:rPr>
          <w:lang w:val="en-NZ"/>
        </w:rPr>
        <w:t>CEPT supports the sharing and compatibility studies with existing services for consideration of new primary allocation to the FSS in the frequency band 51.4-52.4 GHz (Earth-to-space) limited to FSS feeder links for geostationary orbit use.</w:t>
      </w:r>
    </w:p>
    <w:p w14:paraId="57B03A7A" w14:textId="77777777" w:rsidR="00341349" w:rsidRPr="002D10CB" w:rsidRDefault="00341349" w:rsidP="00341349">
      <w:pPr>
        <w:numPr>
          <w:ilvl w:val="0"/>
          <w:numId w:val="34"/>
        </w:numPr>
        <w:rPr>
          <w:lang w:val="en-NZ"/>
        </w:rPr>
      </w:pPr>
      <w:r w:rsidRPr="002D10CB">
        <w:rPr>
          <w:lang w:val="en-NZ"/>
        </w:rPr>
        <w:t xml:space="preserve">To ensure the protection of the EESS (passive) operating in the band 52.6-54.25 GHz CEPT is actively working to establish the unwanted emission power limits for FSS Earth stations that would operate in the 51.4 - 52.4 GHz. In addition, CEPT supports the approach to assume a 3 dB apportionment of the EESS (passive) protection criterion to take into account the aggregate interference from all the active services </w:t>
      </w:r>
      <w:r w:rsidRPr="002D10CB">
        <w:rPr>
          <w:lang w:val="en-NZ"/>
        </w:rPr>
        <w:lastRenderedPageBreak/>
        <w:t xml:space="preserve">allocated in the 51.4-52.4 GHz band. CEPT supports </w:t>
      </w:r>
      <w:r w:rsidRPr="002D10CB">
        <w:rPr>
          <w:lang w:val="en-NZ"/>
        </w:rPr>
        <w:br/>
        <w:t>studies regarding the impact on radio astronomy observations in the band 51.4-54.25 GHz.</w:t>
      </w:r>
    </w:p>
    <w:p w14:paraId="1EC02EEB" w14:textId="77777777" w:rsidR="00341349" w:rsidRPr="00441526" w:rsidRDefault="00341349" w:rsidP="00341349">
      <w:pPr>
        <w:rPr>
          <w:lang w:val="en-NZ"/>
        </w:rPr>
      </w:pPr>
    </w:p>
    <w:p w14:paraId="4DD4A39E" w14:textId="4F2970A1" w:rsidR="00341349" w:rsidRPr="00BA0634" w:rsidRDefault="00341349" w:rsidP="00BA0634">
      <w:pPr>
        <w:pStyle w:val="ListParagraph"/>
        <w:numPr>
          <w:ilvl w:val="2"/>
          <w:numId w:val="35"/>
        </w:numPr>
        <w:spacing w:after="120"/>
        <w:jc w:val="both"/>
        <w:rPr>
          <w:b/>
          <w:lang w:val="en-NZ" w:eastAsia="ko-KR"/>
        </w:rPr>
      </w:pPr>
      <w:r w:rsidRPr="00BA0634">
        <w:rPr>
          <w:b/>
          <w:lang w:val="en-NZ" w:eastAsia="ko-KR"/>
        </w:rPr>
        <w:tab/>
        <w:t xml:space="preserve">CITEL </w:t>
      </w:r>
      <w:r w:rsidRPr="00441526">
        <w:t xml:space="preserve">- </w:t>
      </w:r>
      <w:r w:rsidRPr="00BA0634">
        <w:rPr>
          <w:b/>
          <w:lang w:val="en-NZ" w:eastAsia="ko-KR"/>
        </w:rPr>
        <w:t>Document APG19-3/INF-08 Rev.1</w:t>
      </w:r>
    </w:p>
    <w:p w14:paraId="1B9B5A36" w14:textId="493E456A" w:rsidR="00341349" w:rsidRDefault="00341349" w:rsidP="00BA0634">
      <w:pPr>
        <w:rPr>
          <w:lang w:val="en-NZ"/>
        </w:rPr>
      </w:pPr>
      <w:r w:rsidRPr="00B14564">
        <w:t>P</w:t>
      </w:r>
      <w:r>
        <w:t>reliminary Views</w:t>
      </w:r>
      <w:r w:rsidRPr="00B14564">
        <w:t xml:space="preserve"> </w:t>
      </w:r>
      <w:r w:rsidR="000D0238">
        <w:t>from a few countries support studies</w:t>
      </w:r>
      <w:r w:rsidR="000D0238">
        <w:rPr>
          <w:lang w:val="en-NZ"/>
        </w:rPr>
        <w:t>.</w:t>
      </w:r>
      <w:r w:rsidR="00BA0634">
        <w:rPr>
          <w:lang w:val="en-NZ"/>
        </w:rPr>
        <w:t xml:space="preserve"> </w:t>
      </w:r>
      <w:r w:rsidRPr="00B14564">
        <w:rPr>
          <w:lang w:val="en-NZ"/>
        </w:rPr>
        <w:t>Studies should determine the suitability, including protection of fixed and mobile services, of a new primary allocation limited to GSO FSS feeder links, and the possible associated regulatory actions based on the results of these studies</w:t>
      </w:r>
      <w:r>
        <w:rPr>
          <w:lang w:val="en-NZ"/>
        </w:rPr>
        <w:t>.</w:t>
      </w:r>
    </w:p>
    <w:p w14:paraId="31E07F7E" w14:textId="77777777" w:rsidR="00341349" w:rsidRPr="00E617DF" w:rsidRDefault="00341349" w:rsidP="00341349">
      <w:pPr>
        <w:rPr>
          <w:lang w:val="en-NZ"/>
        </w:rPr>
      </w:pPr>
    </w:p>
    <w:p w14:paraId="0C87CF41" w14:textId="77777777" w:rsidR="00341349" w:rsidRPr="00441526" w:rsidRDefault="00341349" w:rsidP="00341349">
      <w:pPr>
        <w:spacing w:afterLines="50" w:after="120"/>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Pr>
          <w:b/>
          <w:lang w:val="en-NZ" w:eastAsia="ko-KR"/>
        </w:rPr>
        <w:t>Document APG19-2/INF-05</w:t>
      </w:r>
    </w:p>
    <w:p w14:paraId="5126B938" w14:textId="77777777" w:rsidR="00341349" w:rsidRDefault="00341349" w:rsidP="00341349">
      <w:pPr>
        <w:spacing w:afterLines="50" w:after="120"/>
      </w:pPr>
      <w:r>
        <w:t>The RCC Administrations are in favor of justification of additional spectrum needs for the development of the fixed-satellite service in the frequency bands above 50 GHz, taking into account technical aspects of using the frequency bands already allocated to this service in the ranges above 30 GHz as well as the possibility to optimize their use based on the technology of FSS satellites with multiple-beam antennas and frequency reuse.</w:t>
      </w:r>
    </w:p>
    <w:p w14:paraId="559C738E" w14:textId="77777777" w:rsidR="00341349" w:rsidRPr="00D45A25" w:rsidRDefault="00341349" w:rsidP="00341349">
      <w:r>
        <w:t xml:space="preserve">The RCC Administrations consider that the technical conditions and regulatory provisions, which are subject to the ITU-R studies, for use of new primary allocations to the FSS (Earth-to-space) in the 51.4-52.4 GHz band, limited to GSO FSS feeder links, shall ensure protection of existing services and systems in the considered and adjacent frequency bands and development of possible related regulatory measures, including revision of Resolution </w:t>
      </w:r>
      <w:r w:rsidRPr="00590E8A">
        <w:rPr>
          <w:b/>
        </w:rPr>
        <w:t>750 (Rev. WRC-15)</w:t>
      </w:r>
      <w:r>
        <w:t>.</w:t>
      </w:r>
    </w:p>
    <w:p w14:paraId="6E0A0319" w14:textId="77777777" w:rsidR="00341349" w:rsidRPr="00441526" w:rsidRDefault="00341349" w:rsidP="00341349">
      <w:pPr>
        <w:rPr>
          <w:lang w:val="en-NZ"/>
        </w:rPr>
      </w:pPr>
    </w:p>
    <w:p w14:paraId="1125C13C" w14:textId="77777777" w:rsidR="00341349" w:rsidRPr="00441526" w:rsidRDefault="00341349" w:rsidP="00341349">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7072C4AE" w14:textId="677F4F70" w:rsidR="00341349" w:rsidRPr="00441526" w:rsidRDefault="00341349" w:rsidP="00341349">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t xml:space="preserve">IARU </w:t>
      </w:r>
    </w:p>
    <w:p w14:paraId="7DF035A7" w14:textId="77777777" w:rsidR="00341349" w:rsidRDefault="00341349" w:rsidP="00341349">
      <w:pPr>
        <w:rPr>
          <w:rFonts w:eastAsiaTheme="minorEastAsia"/>
          <w:lang w:val="en-NZ" w:eastAsia="zh-CN"/>
        </w:rPr>
      </w:pPr>
      <w:r>
        <w:rPr>
          <w:rFonts w:eastAsiaTheme="minorEastAsia" w:hint="eastAsia"/>
          <w:lang w:val="en-NZ" w:eastAsia="zh-CN"/>
        </w:rPr>
        <w:t>None.</w:t>
      </w:r>
    </w:p>
    <w:p w14:paraId="03473DFC" w14:textId="77777777" w:rsidR="00341349" w:rsidRPr="000D2C55" w:rsidRDefault="00341349" w:rsidP="00341349">
      <w:pPr>
        <w:rPr>
          <w:rFonts w:eastAsiaTheme="minorEastAsia"/>
          <w:lang w:val="en-NZ" w:eastAsia="zh-CN"/>
        </w:rPr>
      </w:pPr>
    </w:p>
    <w:p w14:paraId="5F2198D4" w14:textId="0E98D6B4" w:rsidR="00341349" w:rsidRPr="00441526" w:rsidRDefault="00341349" w:rsidP="00341349">
      <w:pPr>
        <w:spacing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t xml:space="preserve">ICAO </w:t>
      </w:r>
    </w:p>
    <w:p w14:paraId="26F0E445" w14:textId="77777777" w:rsidR="00341349" w:rsidRPr="00441526" w:rsidRDefault="00341349" w:rsidP="00341349">
      <w:pPr>
        <w:rPr>
          <w:lang w:val="en-NZ"/>
        </w:rPr>
      </w:pPr>
      <w:r>
        <w:rPr>
          <w:lang w:val="en-NZ"/>
        </w:rPr>
        <w:t>None.</w:t>
      </w:r>
    </w:p>
    <w:p w14:paraId="02720117" w14:textId="77777777" w:rsidR="00341349" w:rsidRPr="00441526" w:rsidRDefault="00341349" w:rsidP="00341349">
      <w:pPr>
        <w:rPr>
          <w:lang w:val="en-NZ"/>
        </w:rPr>
      </w:pPr>
    </w:p>
    <w:p w14:paraId="60834401" w14:textId="7EDAB7AF" w:rsidR="00CD4C1F" w:rsidRDefault="00CD4C1F" w:rsidP="00CD4C1F">
      <w:pPr>
        <w:rPr>
          <w:rFonts w:eastAsia="MS Mincho"/>
          <w:lang w:eastAsia="ja-JP"/>
        </w:rPr>
      </w:pPr>
    </w:p>
    <w:p w14:paraId="27C5B5C1" w14:textId="77777777" w:rsidR="00424ACC" w:rsidRDefault="00424ACC" w:rsidP="00CD4C1F">
      <w:pPr>
        <w:rPr>
          <w:rFonts w:eastAsia="MS Mincho"/>
          <w:lang w:eastAsia="ja-JP"/>
        </w:rPr>
      </w:pPr>
    </w:p>
    <w:p w14:paraId="2E0E6770" w14:textId="63BE2BC8" w:rsidR="00B64A60" w:rsidRDefault="00B64A60" w:rsidP="00CD4C1F">
      <w:pPr>
        <w:jc w:val="center"/>
        <w:rPr>
          <w:lang w:val="en-NZ"/>
        </w:rPr>
      </w:pPr>
      <w:r w:rsidRPr="00710333">
        <w:rPr>
          <w:lang w:val="en-NZ"/>
        </w:rPr>
        <w:t>____________</w:t>
      </w:r>
      <w:r w:rsidR="00424ACC" w:rsidRPr="00424ACC">
        <w:rPr>
          <w:u w:val="single"/>
          <w:lang w:val="en-NZ"/>
        </w:rPr>
        <w:tab/>
      </w:r>
    </w:p>
    <w:sectPr w:rsidR="00B64A60"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BBDE4" w14:textId="77777777" w:rsidR="002A126C" w:rsidRDefault="002A126C">
      <w:r>
        <w:separator/>
      </w:r>
    </w:p>
  </w:endnote>
  <w:endnote w:type="continuationSeparator" w:id="0">
    <w:p w14:paraId="15A8795A" w14:textId="77777777" w:rsidR="002A126C" w:rsidRDefault="002A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19A6E5F1" w:rsidR="0097693B" w:rsidRDefault="009E42F8" w:rsidP="009E42F8">
    <w:pPr>
      <w:pStyle w:val="Footer"/>
      <w:tabs>
        <w:tab w:val="left" w:pos="540"/>
        <w:tab w:val="right" w:pos="8957"/>
      </w:tabs>
      <w:ind w:right="360"/>
    </w:pPr>
    <w:r>
      <w:rPr>
        <w:rFonts w:hint="eastAsia"/>
        <w:lang w:eastAsia="ko-KR"/>
      </w:rPr>
      <w:t>A</w:t>
    </w:r>
    <w:r w:rsidR="004F4F4E">
      <w:rPr>
        <w:lang w:eastAsia="ko-KR"/>
      </w:rPr>
      <w:t>PG19-3</w:t>
    </w:r>
    <w:r w:rsidR="00341349">
      <w:rPr>
        <w:lang w:eastAsia="ko-KR"/>
      </w:rPr>
      <w:t>/OUT-17</w:t>
    </w:r>
    <w:r>
      <w:rPr>
        <w:rStyle w:val="PageNumber"/>
      </w:rPr>
      <w:tab/>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043543">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043543">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233"/>
      <w:gridCol w:w="4073"/>
    </w:tblGrid>
    <w:tr w:rsidR="00043543" w14:paraId="4A213786" w14:textId="77777777" w:rsidTr="0087136E">
      <w:trPr>
        <w:cantSplit/>
        <w:trHeight w:val="204"/>
        <w:jc w:val="center"/>
      </w:trPr>
      <w:tc>
        <w:tcPr>
          <w:tcW w:w="1617" w:type="dxa"/>
          <w:tcBorders>
            <w:top w:val="single" w:sz="12" w:space="0" w:color="auto"/>
          </w:tcBorders>
        </w:tcPr>
        <w:p w14:paraId="42A15893" w14:textId="77777777" w:rsidR="00043543" w:rsidRDefault="00043543" w:rsidP="00043543">
          <w:pPr>
            <w:rPr>
              <w:b/>
              <w:bCs/>
            </w:rPr>
          </w:pPr>
          <w:r>
            <w:rPr>
              <w:b/>
              <w:bCs/>
            </w:rPr>
            <w:t xml:space="preserve">Contact: </w:t>
          </w:r>
        </w:p>
      </w:tc>
      <w:tc>
        <w:tcPr>
          <w:tcW w:w="4233" w:type="dxa"/>
          <w:tcBorders>
            <w:top w:val="single" w:sz="12" w:space="0" w:color="auto"/>
          </w:tcBorders>
        </w:tcPr>
        <w:p w14:paraId="42CFC6A9" w14:textId="77777777" w:rsidR="00043543" w:rsidRDefault="00043543" w:rsidP="00043543">
          <w:pPr>
            <w:rPr>
              <w:rFonts w:eastAsia="Batang"/>
            </w:rPr>
          </w:pPr>
          <w:r>
            <w:rPr>
              <w:rFonts w:eastAsia="Batang"/>
            </w:rPr>
            <w:t>MR. MUNEO ABE</w:t>
          </w:r>
        </w:p>
        <w:p w14:paraId="38051145" w14:textId="77777777" w:rsidR="00043543" w:rsidRDefault="00043543" w:rsidP="00043543">
          <w:pPr>
            <w:rPr>
              <w:rFonts w:eastAsia="Batang"/>
            </w:rPr>
          </w:pPr>
          <w:r>
            <w:rPr>
              <w:rFonts w:eastAsia="Batang"/>
            </w:rPr>
            <w:t>Chairman, WP3</w:t>
          </w:r>
        </w:p>
      </w:tc>
      <w:tc>
        <w:tcPr>
          <w:tcW w:w="4073" w:type="dxa"/>
          <w:tcBorders>
            <w:top w:val="single" w:sz="12" w:space="0" w:color="auto"/>
          </w:tcBorders>
        </w:tcPr>
        <w:p w14:paraId="35744FAC" w14:textId="77777777" w:rsidR="00043543" w:rsidRDefault="00043543" w:rsidP="00043543">
          <w:pPr>
            <w:rPr>
              <w:lang w:eastAsia="ja-JP"/>
            </w:rPr>
          </w:pPr>
          <w:r>
            <w:rPr>
              <w:lang w:eastAsia="ja-JP"/>
            </w:rPr>
            <w:t xml:space="preserve">Email: </w:t>
          </w:r>
          <w:hyperlink r:id="rId1" w:history="1">
            <w:r w:rsidRPr="001C68DD">
              <w:rPr>
                <w:rStyle w:val="Hyperlink"/>
                <w:lang w:eastAsia="ja-JP"/>
              </w:rPr>
              <w:t>Abe.Muneo@cj.MitsubishiElectric.co.jp</w:t>
            </w:r>
          </w:hyperlink>
          <w:r>
            <w:rPr>
              <w:lang w:eastAsia="ja-JP"/>
            </w:rPr>
            <w:t xml:space="preserve"> </w:t>
          </w:r>
        </w:p>
      </w:tc>
    </w:tr>
  </w:tbl>
  <w:p w14:paraId="2E0E6781" w14:textId="77777777"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CB47A" w14:textId="77777777" w:rsidR="002A126C" w:rsidRDefault="002A126C">
      <w:r>
        <w:separator/>
      </w:r>
    </w:p>
  </w:footnote>
  <w:footnote w:type="continuationSeparator" w:id="0">
    <w:p w14:paraId="364E7849" w14:textId="77777777" w:rsidR="002A126C" w:rsidRDefault="002A1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7DBD5BDB" w:rsidR="0097693B" w:rsidRDefault="0097693B" w:rsidP="00C15633">
    <w:pPr>
      <w:pStyle w:val="Header"/>
      <w:tabs>
        <w:tab w:val="center" w:pos="4763"/>
        <w:tab w:val="left" w:pos="5820"/>
      </w:tabs>
      <w:rPr>
        <w:lang w:eastAsia="ko-KR"/>
      </w:rPr>
    </w:pPr>
    <w:r>
      <w:rPr>
        <w:lang w:eastAsia="ko-KR"/>
      </w:rPr>
      <w:tab/>
    </w:r>
  </w:p>
  <w:p w14:paraId="2E0E6779"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79BA"/>
    <w:multiLevelType w:val="hybridMultilevel"/>
    <w:tmpl w:val="4BB26FEC"/>
    <w:lvl w:ilvl="0" w:tplc="A114EBFA">
      <w:start w:val="1"/>
      <w:numFmt w:val="bullet"/>
      <w:lvlText w:val="-"/>
      <w:lvlJc w:val="left"/>
      <w:pPr>
        <w:ind w:left="720" w:hanging="360"/>
      </w:pPr>
      <w:rPr>
        <w:rFonts w:ascii="Malgun Gothic" w:eastAsia="Malgun Gothic" w:hAnsi="Malgun Gothic" w:cstheme="minorBidi"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1F96786B"/>
    <w:multiLevelType w:val="multilevel"/>
    <w:tmpl w:val="CADAB6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A70BE5"/>
    <w:multiLevelType w:val="multilevel"/>
    <w:tmpl w:val="EF204BB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ED7C99"/>
    <w:multiLevelType w:val="multilevel"/>
    <w:tmpl w:val="AECE85F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5056106"/>
    <w:multiLevelType w:val="hybridMultilevel"/>
    <w:tmpl w:val="FCC0F9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BBE1A4D"/>
    <w:multiLevelType w:val="hybridMultilevel"/>
    <w:tmpl w:val="8DB00EA8"/>
    <w:lvl w:ilvl="0" w:tplc="A114EBFA">
      <w:start w:val="1"/>
      <w:numFmt w:val="bullet"/>
      <w:lvlText w:val="-"/>
      <w:lvlJc w:val="left"/>
      <w:pPr>
        <w:ind w:left="3338"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15:restartNumberingAfterBreak="0">
    <w:nsid w:val="40B46B16"/>
    <w:multiLevelType w:val="hybridMultilevel"/>
    <w:tmpl w:val="FC76D0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CE035C"/>
    <w:multiLevelType w:val="hybridMultilevel"/>
    <w:tmpl w:val="23FAB1BC"/>
    <w:lvl w:ilvl="0" w:tplc="722A45E8">
      <w:start w:val="2"/>
      <w:numFmt w:val="bullet"/>
      <w:lvlText w:val="-"/>
      <w:lvlJc w:val="left"/>
      <w:pPr>
        <w:ind w:left="720" w:hanging="360"/>
      </w:pPr>
      <w:rPr>
        <w:rFonts w:ascii="Times New Roman" w:eastAsia="Gulim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1A6D56"/>
    <w:multiLevelType w:val="hybridMultilevel"/>
    <w:tmpl w:val="8BCC9862"/>
    <w:lvl w:ilvl="0" w:tplc="8A0A331C">
      <w:start w:val="1"/>
      <w:numFmt w:val="bullet"/>
      <w:lvlText w:val="-"/>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D2A0917"/>
    <w:multiLevelType w:val="multilevel"/>
    <w:tmpl w:val="EF309FB4"/>
    <w:lvl w:ilvl="0">
      <w:numFmt w:val="bullet"/>
      <w:lvlText w:val="-"/>
      <w:lvlJc w:val="left"/>
      <w:pPr>
        <w:ind w:left="720" w:hanging="360"/>
      </w:pPr>
      <w:rPr>
        <w:rFonts w:ascii="Times New Roman" w:eastAsia="GulimChe"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0477784"/>
    <w:multiLevelType w:val="hybridMultilevel"/>
    <w:tmpl w:val="3710E4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6E5BBB"/>
    <w:multiLevelType w:val="multilevel"/>
    <w:tmpl w:val="D6563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FF7831"/>
    <w:multiLevelType w:val="hybridMultilevel"/>
    <w:tmpl w:val="55E25198"/>
    <w:lvl w:ilvl="0" w:tplc="62C21D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42E74C4"/>
    <w:multiLevelType w:val="hybridMultilevel"/>
    <w:tmpl w:val="844E0F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7462D4"/>
    <w:multiLevelType w:val="hybridMultilevel"/>
    <w:tmpl w:val="3A705D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0"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5755024"/>
    <w:multiLevelType w:val="hybridMultilevel"/>
    <w:tmpl w:val="E51AD7FC"/>
    <w:lvl w:ilvl="0" w:tplc="637ABA4E">
      <w:start w:val="1"/>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3"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4"/>
  </w:num>
  <w:num w:numId="2">
    <w:abstractNumId w:val="9"/>
  </w:num>
  <w:num w:numId="3">
    <w:abstractNumId w:val="8"/>
  </w:num>
  <w:num w:numId="4">
    <w:abstractNumId w:val="29"/>
  </w:num>
  <w:num w:numId="5">
    <w:abstractNumId w:val="13"/>
  </w:num>
  <w:num w:numId="6">
    <w:abstractNumId w:val="15"/>
  </w:num>
  <w:num w:numId="7">
    <w:abstractNumId w:val="3"/>
  </w:num>
  <w:num w:numId="8">
    <w:abstractNumId w:val="2"/>
  </w:num>
  <w:num w:numId="9">
    <w:abstractNumId w:val="32"/>
  </w:num>
  <w:num w:numId="10">
    <w:abstractNumId w:val="24"/>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3"/>
  </w:num>
  <w:num w:numId="17">
    <w:abstractNumId w:val="23"/>
  </w:num>
  <w:num w:numId="18">
    <w:abstractNumId w:val="16"/>
  </w:num>
  <w:num w:numId="19">
    <w:abstractNumId w:val="30"/>
  </w:num>
  <w:num w:numId="20">
    <w:abstractNumId w:val="12"/>
  </w:num>
  <w:num w:numId="21">
    <w:abstractNumId w:val="18"/>
  </w:num>
  <w:num w:numId="22">
    <w:abstractNumId w:val="20"/>
  </w:num>
  <w:num w:numId="23">
    <w:abstractNumId w:val="17"/>
  </w:num>
  <w:num w:numId="24">
    <w:abstractNumId w:val="25"/>
  </w:num>
  <w:num w:numId="25">
    <w:abstractNumId w:val="5"/>
  </w:num>
  <w:num w:numId="26">
    <w:abstractNumId w:val="21"/>
  </w:num>
  <w:num w:numId="27">
    <w:abstractNumId w:val="7"/>
  </w:num>
  <w:num w:numId="28">
    <w:abstractNumId w:val="31"/>
  </w:num>
  <w:num w:numId="29">
    <w:abstractNumId w:val="19"/>
  </w:num>
  <w:num w:numId="30">
    <w:abstractNumId w:val="10"/>
  </w:num>
  <w:num w:numId="31">
    <w:abstractNumId w:val="28"/>
  </w:num>
  <w:num w:numId="32">
    <w:abstractNumId w:val="27"/>
  </w:num>
  <w:num w:numId="33">
    <w:abstractNumId w:val="26"/>
  </w:num>
  <w:num w:numId="34">
    <w:abstractNumId w:val="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611F"/>
    <w:rsid w:val="00007FC0"/>
    <w:rsid w:val="000103ED"/>
    <w:rsid w:val="00010C8E"/>
    <w:rsid w:val="000172F2"/>
    <w:rsid w:val="00020E68"/>
    <w:rsid w:val="0003595B"/>
    <w:rsid w:val="00036517"/>
    <w:rsid w:val="00036CC9"/>
    <w:rsid w:val="00043543"/>
    <w:rsid w:val="00050D08"/>
    <w:rsid w:val="00070642"/>
    <w:rsid w:val="000713CF"/>
    <w:rsid w:val="000734FA"/>
    <w:rsid w:val="00075C14"/>
    <w:rsid w:val="000822B5"/>
    <w:rsid w:val="00094B87"/>
    <w:rsid w:val="000A012B"/>
    <w:rsid w:val="000A5418"/>
    <w:rsid w:val="000B3623"/>
    <w:rsid w:val="000C6DD4"/>
    <w:rsid w:val="000D0238"/>
    <w:rsid w:val="000D4155"/>
    <w:rsid w:val="000F074E"/>
    <w:rsid w:val="000F345F"/>
    <w:rsid w:val="000F517C"/>
    <w:rsid w:val="000F5540"/>
    <w:rsid w:val="00101B58"/>
    <w:rsid w:val="001057E4"/>
    <w:rsid w:val="00105F1A"/>
    <w:rsid w:val="00111146"/>
    <w:rsid w:val="00120C56"/>
    <w:rsid w:val="001409B2"/>
    <w:rsid w:val="00141399"/>
    <w:rsid w:val="00152636"/>
    <w:rsid w:val="001539DD"/>
    <w:rsid w:val="00155761"/>
    <w:rsid w:val="00156782"/>
    <w:rsid w:val="0016326A"/>
    <w:rsid w:val="001731F4"/>
    <w:rsid w:val="00180A4E"/>
    <w:rsid w:val="001911F4"/>
    <w:rsid w:val="00196568"/>
    <w:rsid w:val="00197806"/>
    <w:rsid w:val="00197878"/>
    <w:rsid w:val="00197C18"/>
    <w:rsid w:val="001A2F16"/>
    <w:rsid w:val="001A764B"/>
    <w:rsid w:val="001B1804"/>
    <w:rsid w:val="001B18C2"/>
    <w:rsid w:val="001B5016"/>
    <w:rsid w:val="001C1C58"/>
    <w:rsid w:val="001C4FF8"/>
    <w:rsid w:val="001C61A5"/>
    <w:rsid w:val="001C6707"/>
    <w:rsid w:val="001C7CEE"/>
    <w:rsid w:val="001D5D7E"/>
    <w:rsid w:val="001E067B"/>
    <w:rsid w:val="001F00A1"/>
    <w:rsid w:val="001F5947"/>
    <w:rsid w:val="001F71A2"/>
    <w:rsid w:val="00201B98"/>
    <w:rsid w:val="00202410"/>
    <w:rsid w:val="00204433"/>
    <w:rsid w:val="0020463A"/>
    <w:rsid w:val="00204D05"/>
    <w:rsid w:val="002103F7"/>
    <w:rsid w:val="00210ED7"/>
    <w:rsid w:val="002111B1"/>
    <w:rsid w:val="0021498B"/>
    <w:rsid w:val="00214A0C"/>
    <w:rsid w:val="0021588B"/>
    <w:rsid w:val="002216AC"/>
    <w:rsid w:val="00227127"/>
    <w:rsid w:val="00230BBA"/>
    <w:rsid w:val="00232D82"/>
    <w:rsid w:val="002444AD"/>
    <w:rsid w:val="00245F0F"/>
    <w:rsid w:val="002506D2"/>
    <w:rsid w:val="00250DE2"/>
    <w:rsid w:val="00254A1B"/>
    <w:rsid w:val="0026064A"/>
    <w:rsid w:val="00265A7A"/>
    <w:rsid w:val="0028454D"/>
    <w:rsid w:val="00287988"/>
    <w:rsid w:val="00291C9E"/>
    <w:rsid w:val="002926D4"/>
    <w:rsid w:val="002A126C"/>
    <w:rsid w:val="002A62A6"/>
    <w:rsid w:val="002B06A3"/>
    <w:rsid w:val="002B435C"/>
    <w:rsid w:val="002B447F"/>
    <w:rsid w:val="002C07DA"/>
    <w:rsid w:val="002C295F"/>
    <w:rsid w:val="002C45D2"/>
    <w:rsid w:val="002C7EA9"/>
    <w:rsid w:val="002E1735"/>
    <w:rsid w:val="002F2A53"/>
    <w:rsid w:val="002F575D"/>
    <w:rsid w:val="002F68F0"/>
    <w:rsid w:val="00300DC1"/>
    <w:rsid w:val="003066AB"/>
    <w:rsid w:val="0030715F"/>
    <w:rsid w:val="003113D7"/>
    <w:rsid w:val="00311E8A"/>
    <w:rsid w:val="00312FEA"/>
    <w:rsid w:val="00341349"/>
    <w:rsid w:val="00342F20"/>
    <w:rsid w:val="00346242"/>
    <w:rsid w:val="003479C0"/>
    <w:rsid w:val="003561D7"/>
    <w:rsid w:val="00360377"/>
    <w:rsid w:val="00362B4D"/>
    <w:rsid w:val="00366548"/>
    <w:rsid w:val="003772CC"/>
    <w:rsid w:val="003809C7"/>
    <w:rsid w:val="0038236C"/>
    <w:rsid w:val="00395B40"/>
    <w:rsid w:val="003A1ABB"/>
    <w:rsid w:val="003A22D6"/>
    <w:rsid w:val="003A6568"/>
    <w:rsid w:val="003B6263"/>
    <w:rsid w:val="003C29E6"/>
    <w:rsid w:val="003C64A7"/>
    <w:rsid w:val="003D1671"/>
    <w:rsid w:val="003D3FDA"/>
    <w:rsid w:val="003D6D00"/>
    <w:rsid w:val="003E166F"/>
    <w:rsid w:val="003F6C79"/>
    <w:rsid w:val="004001E5"/>
    <w:rsid w:val="00411797"/>
    <w:rsid w:val="00414C58"/>
    <w:rsid w:val="00420822"/>
    <w:rsid w:val="00420C74"/>
    <w:rsid w:val="00424ACC"/>
    <w:rsid w:val="00433A59"/>
    <w:rsid w:val="004465AA"/>
    <w:rsid w:val="0045458F"/>
    <w:rsid w:val="00462166"/>
    <w:rsid w:val="004633B4"/>
    <w:rsid w:val="00495A35"/>
    <w:rsid w:val="004A2F96"/>
    <w:rsid w:val="004B0E2F"/>
    <w:rsid w:val="004B3553"/>
    <w:rsid w:val="004B3F4B"/>
    <w:rsid w:val="004C15A4"/>
    <w:rsid w:val="004C2B2A"/>
    <w:rsid w:val="004C4E7F"/>
    <w:rsid w:val="004C5410"/>
    <w:rsid w:val="004D586B"/>
    <w:rsid w:val="004F4F4E"/>
    <w:rsid w:val="00500DBB"/>
    <w:rsid w:val="00503189"/>
    <w:rsid w:val="005033E8"/>
    <w:rsid w:val="00511577"/>
    <w:rsid w:val="00515508"/>
    <w:rsid w:val="005163DE"/>
    <w:rsid w:val="00526D01"/>
    <w:rsid w:val="0053050A"/>
    <w:rsid w:val="00530E8C"/>
    <w:rsid w:val="00545933"/>
    <w:rsid w:val="00547745"/>
    <w:rsid w:val="0055013E"/>
    <w:rsid w:val="00552105"/>
    <w:rsid w:val="00552364"/>
    <w:rsid w:val="005562F2"/>
    <w:rsid w:val="00557544"/>
    <w:rsid w:val="00564A74"/>
    <w:rsid w:val="00565BBB"/>
    <w:rsid w:val="005676E1"/>
    <w:rsid w:val="00585F3C"/>
    <w:rsid w:val="00586CA0"/>
    <w:rsid w:val="00587445"/>
    <w:rsid w:val="00587875"/>
    <w:rsid w:val="00592AE9"/>
    <w:rsid w:val="00593133"/>
    <w:rsid w:val="005A18F2"/>
    <w:rsid w:val="005A63EB"/>
    <w:rsid w:val="005B0861"/>
    <w:rsid w:val="005C1EDE"/>
    <w:rsid w:val="005C33B6"/>
    <w:rsid w:val="005C5499"/>
    <w:rsid w:val="005D6097"/>
    <w:rsid w:val="005D6202"/>
    <w:rsid w:val="005D6E98"/>
    <w:rsid w:val="005E701A"/>
    <w:rsid w:val="005E717A"/>
    <w:rsid w:val="00607E2B"/>
    <w:rsid w:val="006139D6"/>
    <w:rsid w:val="00616D1B"/>
    <w:rsid w:val="00621C19"/>
    <w:rsid w:val="00623CE1"/>
    <w:rsid w:val="0063062B"/>
    <w:rsid w:val="00637351"/>
    <w:rsid w:val="00640D42"/>
    <w:rsid w:val="00641D40"/>
    <w:rsid w:val="00643A33"/>
    <w:rsid w:val="00646166"/>
    <w:rsid w:val="00652970"/>
    <w:rsid w:val="00654896"/>
    <w:rsid w:val="006621F0"/>
    <w:rsid w:val="006647BA"/>
    <w:rsid w:val="00667229"/>
    <w:rsid w:val="006707A1"/>
    <w:rsid w:val="00671D5A"/>
    <w:rsid w:val="00674E92"/>
    <w:rsid w:val="00682BE5"/>
    <w:rsid w:val="00690382"/>
    <w:rsid w:val="00690FED"/>
    <w:rsid w:val="006939A5"/>
    <w:rsid w:val="00697582"/>
    <w:rsid w:val="00697B5C"/>
    <w:rsid w:val="006A2E69"/>
    <w:rsid w:val="006C2744"/>
    <w:rsid w:val="006D5223"/>
    <w:rsid w:val="006E12FC"/>
    <w:rsid w:val="006E61B6"/>
    <w:rsid w:val="006E7427"/>
    <w:rsid w:val="006F2B2E"/>
    <w:rsid w:val="006F4471"/>
    <w:rsid w:val="006F758F"/>
    <w:rsid w:val="00705962"/>
    <w:rsid w:val="00707C21"/>
    <w:rsid w:val="00712451"/>
    <w:rsid w:val="00717DE9"/>
    <w:rsid w:val="0072518B"/>
    <w:rsid w:val="00726117"/>
    <w:rsid w:val="00726D27"/>
    <w:rsid w:val="00731041"/>
    <w:rsid w:val="007329E4"/>
    <w:rsid w:val="00732A2C"/>
    <w:rsid w:val="00732F08"/>
    <w:rsid w:val="007342F0"/>
    <w:rsid w:val="00736E38"/>
    <w:rsid w:val="00737DF5"/>
    <w:rsid w:val="0074190C"/>
    <w:rsid w:val="00751A10"/>
    <w:rsid w:val="00752C06"/>
    <w:rsid w:val="00753090"/>
    <w:rsid w:val="00753260"/>
    <w:rsid w:val="00755BF3"/>
    <w:rsid w:val="00762576"/>
    <w:rsid w:val="007673CA"/>
    <w:rsid w:val="00770750"/>
    <w:rsid w:val="007765E4"/>
    <w:rsid w:val="00777339"/>
    <w:rsid w:val="007800CB"/>
    <w:rsid w:val="00780BD3"/>
    <w:rsid w:val="00791060"/>
    <w:rsid w:val="00795D7D"/>
    <w:rsid w:val="007A2B2D"/>
    <w:rsid w:val="007A5390"/>
    <w:rsid w:val="007B5626"/>
    <w:rsid w:val="007B6124"/>
    <w:rsid w:val="007B6735"/>
    <w:rsid w:val="007C0F4A"/>
    <w:rsid w:val="007C5525"/>
    <w:rsid w:val="007D3C53"/>
    <w:rsid w:val="007D55B7"/>
    <w:rsid w:val="007D5B15"/>
    <w:rsid w:val="007F2628"/>
    <w:rsid w:val="007F2FBA"/>
    <w:rsid w:val="007F3573"/>
    <w:rsid w:val="00800C3A"/>
    <w:rsid w:val="0080570B"/>
    <w:rsid w:val="00805D8F"/>
    <w:rsid w:val="00813A71"/>
    <w:rsid w:val="008148E1"/>
    <w:rsid w:val="008319BF"/>
    <w:rsid w:val="00842C61"/>
    <w:rsid w:val="008433C2"/>
    <w:rsid w:val="00844457"/>
    <w:rsid w:val="008454C8"/>
    <w:rsid w:val="00851D78"/>
    <w:rsid w:val="00853C40"/>
    <w:rsid w:val="008543B5"/>
    <w:rsid w:val="00872B9D"/>
    <w:rsid w:val="00875D6B"/>
    <w:rsid w:val="00881A2A"/>
    <w:rsid w:val="008A1A0D"/>
    <w:rsid w:val="008A5155"/>
    <w:rsid w:val="008A76ED"/>
    <w:rsid w:val="008B3C72"/>
    <w:rsid w:val="008C5BFA"/>
    <w:rsid w:val="008D0E09"/>
    <w:rsid w:val="008D31F9"/>
    <w:rsid w:val="008E7E97"/>
    <w:rsid w:val="00903007"/>
    <w:rsid w:val="00905DC7"/>
    <w:rsid w:val="00907043"/>
    <w:rsid w:val="00910DF1"/>
    <w:rsid w:val="00923816"/>
    <w:rsid w:val="0093074B"/>
    <w:rsid w:val="00930E64"/>
    <w:rsid w:val="009321B7"/>
    <w:rsid w:val="0094157C"/>
    <w:rsid w:val="00956F8C"/>
    <w:rsid w:val="0095753F"/>
    <w:rsid w:val="00961D57"/>
    <w:rsid w:val="00976716"/>
    <w:rsid w:val="0097693B"/>
    <w:rsid w:val="0097736E"/>
    <w:rsid w:val="0099049F"/>
    <w:rsid w:val="00991532"/>
    <w:rsid w:val="00991E83"/>
    <w:rsid w:val="00993355"/>
    <w:rsid w:val="00993ED9"/>
    <w:rsid w:val="009963F7"/>
    <w:rsid w:val="009A133E"/>
    <w:rsid w:val="009A4A6D"/>
    <w:rsid w:val="009A78BB"/>
    <w:rsid w:val="009B1081"/>
    <w:rsid w:val="009B5802"/>
    <w:rsid w:val="009B7E42"/>
    <w:rsid w:val="009D76AA"/>
    <w:rsid w:val="009E13DD"/>
    <w:rsid w:val="009E42F8"/>
    <w:rsid w:val="009E46E0"/>
    <w:rsid w:val="00A0503B"/>
    <w:rsid w:val="00A111D4"/>
    <w:rsid w:val="00A13265"/>
    <w:rsid w:val="00A1482F"/>
    <w:rsid w:val="00A14900"/>
    <w:rsid w:val="00A2159F"/>
    <w:rsid w:val="00A421A0"/>
    <w:rsid w:val="00A529BC"/>
    <w:rsid w:val="00A5346C"/>
    <w:rsid w:val="00A562F0"/>
    <w:rsid w:val="00A564B5"/>
    <w:rsid w:val="00A564FB"/>
    <w:rsid w:val="00A614C1"/>
    <w:rsid w:val="00A61EA6"/>
    <w:rsid w:val="00A71136"/>
    <w:rsid w:val="00A76002"/>
    <w:rsid w:val="00A83D7A"/>
    <w:rsid w:val="00A83ECB"/>
    <w:rsid w:val="00AA474C"/>
    <w:rsid w:val="00AC35EF"/>
    <w:rsid w:val="00AD2697"/>
    <w:rsid w:val="00AD7E5F"/>
    <w:rsid w:val="00AE1D9B"/>
    <w:rsid w:val="00AE3066"/>
    <w:rsid w:val="00AF67FA"/>
    <w:rsid w:val="00AF68E4"/>
    <w:rsid w:val="00B0082E"/>
    <w:rsid w:val="00B01AA1"/>
    <w:rsid w:val="00B13455"/>
    <w:rsid w:val="00B14463"/>
    <w:rsid w:val="00B25E16"/>
    <w:rsid w:val="00B30C81"/>
    <w:rsid w:val="00B34241"/>
    <w:rsid w:val="00B447D0"/>
    <w:rsid w:val="00B4793B"/>
    <w:rsid w:val="00B64A60"/>
    <w:rsid w:val="00B70590"/>
    <w:rsid w:val="00B715B9"/>
    <w:rsid w:val="00B83EDF"/>
    <w:rsid w:val="00B86C70"/>
    <w:rsid w:val="00B9307A"/>
    <w:rsid w:val="00B937D7"/>
    <w:rsid w:val="00B96B67"/>
    <w:rsid w:val="00BA0634"/>
    <w:rsid w:val="00BB67B0"/>
    <w:rsid w:val="00BC57EF"/>
    <w:rsid w:val="00BD5540"/>
    <w:rsid w:val="00BD665F"/>
    <w:rsid w:val="00BF25F9"/>
    <w:rsid w:val="00C13FD5"/>
    <w:rsid w:val="00C15633"/>
    <w:rsid w:val="00C15799"/>
    <w:rsid w:val="00C226E5"/>
    <w:rsid w:val="00C23B83"/>
    <w:rsid w:val="00C32E84"/>
    <w:rsid w:val="00C32F8A"/>
    <w:rsid w:val="00C35415"/>
    <w:rsid w:val="00C357AD"/>
    <w:rsid w:val="00C46B6F"/>
    <w:rsid w:val="00C47734"/>
    <w:rsid w:val="00C554CC"/>
    <w:rsid w:val="00C6069C"/>
    <w:rsid w:val="00C74745"/>
    <w:rsid w:val="00C81C84"/>
    <w:rsid w:val="00C831BD"/>
    <w:rsid w:val="00C84A6B"/>
    <w:rsid w:val="00C85119"/>
    <w:rsid w:val="00CA488B"/>
    <w:rsid w:val="00CA63B9"/>
    <w:rsid w:val="00CC574F"/>
    <w:rsid w:val="00CC6D57"/>
    <w:rsid w:val="00CD320B"/>
    <w:rsid w:val="00CD3F37"/>
    <w:rsid w:val="00CD4C1F"/>
    <w:rsid w:val="00CD5431"/>
    <w:rsid w:val="00CD5D71"/>
    <w:rsid w:val="00CE02B0"/>
    <w:rsid w:val="00CE4B93"/>
    <w:rsid w:val="00CF2491"/>
    <w:rsid w:val="00CF3963"/>
    <w:rsid w:val="00CF4D8B"/>
    <w:rsid w:val="00D07C04"/>
    <w:rsid w:val="00D1252E"/>
    <w:rsid w:val="00D13D9D"/>
    <w:rsid w:val="00D3283A"/>
    <w:rsid w:val="00D373CF"/>
    <w:rsid w:val="00D459A2"/>
    <w:rsid w:val="00D530FF"/>
    <w:rsid w:val="00D53688"/>
    <w:rsid w:val="00D5407A"/>
    <w:rsid w:val="00D55656"/>
    <w:rsid w:val="00D57772"/>
    <w:rsid w:val="00D62128"/>
    <w:rsid w:val="00D70472"/>
    <w:rsid w:val="00D72AE3"/>
    <w:rsid w:val="00D75A4D"/>
    <w:rsid w:val="00D8478B"/>
    <w:rsid w:val="00D86151"/>
    <w:rsid w:val="00D9172D"/>
    <w:rsid w:val="00DA7595"/>
    <w:rsid w:val="00DB0A68"/>
    <w:rsid w:val="00DB3715"/>
    <w:rsid w:val="00DC24F3"/>
    <w:rsid w:val="00DC43A3"/>
    <w:rsid w:val="00DC4CF3"/>
    <w:rsid w:val="00DC5C01"/>
    <w:rsid w:val="00DD383E"/>
    <w:rsid w:val="00DD66E3"/>
    <w:rsid w:val="00DD7C09"/>
    <w:rsid w:val="00DE790D"/>
    <w:rsid w:val="00DF6DE8"/>
    <w:rsid w:val="00E0124F"/>
    <w:rsid w:val="00E03542"/>
    <w:rsid w:val="00E131D0"/>
    <w:rsid w:val="00E15F4E"/>
    <w:rsid w:val="00E25084"/>
    <w:rsid w:val="00E25E60"/>
    <w:rsid w:val="00E47E8D"/>
    <w:rsid w:val="00E561A3"/>
    <w:rsid w:val="00E6417B"/>
    <w:rsid w:val="00E674D3"/>
    <w:rsid w:val="00E70FD0"/>
    <w:rsid w:val="00E727DD"/>
    <w:rsid w:val="00E77C4B"/>
    <w:rsid w:val="00E84028"/>
    <w:rsid w:val="00E871AA"/>
    <w:rsid w:val="00E87D7E"/>
    <w:rsid w:val="00E9301F"/>
    <w:rsid w:val="00E9690A"/>
    <w:rsid w:val="00E97DC7"/>
    <w:rsid w:val="00EA0C18"/>
    <w:rsid w:val="00EA1B75"/>
    <w:rsid w:val="00EA26A3"/>
    <w:rsid w:val="00EB72B4"/>
    <w:rsid w:val="00EF0A25"/>
    <w:rsid w:val="00EF1D71"/>
    <w:rsid w:val="00F000EF"/>
    <w:rsid w:val="00F2504E"/>
    <w:rsid w:val="00F2585B"/>
    <w:rsid w:val="00F4053F"/>
    <w:rsid w:val="00F4162C"/>
    <w:rsid w:val="00F516E7"/>
    <w:rsid w:val="00F564D9"/>
    <w:rsid w:val="00F5673C"/>
    <w:rsid w:val="00F57BF7"/>
    <w:rsid w:val="00F6263E"/>
    <w:rsid w:val="00F627C2"/>
    <w:rsid w:val="00F63759"/>
    <w:rsid w:val="00F84067"/>
    <w:rsid w:val="00F9328C"/>
    <w:rsid w:val="00FA0834"/>
    <w:rsid w:val="00FA4E70"/>
    <w:rsid w:val="00FA50B4"/>
    <w:rsid w:val="00FB680B"/>
    <w:rsid w:val="00FC1253"/>
    <w:rsid w:val="00FC156A"/>
    <w:rsid w:val="00FD3CD4"/>
    <w:rsid w:val="00FD6235"/>
    <w:rsid w:val="00FE3DE5"/>
    <w:rsid w:val="00FE4812"/>
    <w:rsid w:val="00FF48C6"/>
    <w:rsid w:val="00FF7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E672F"/>
  <w15:docId w15:val="{EA9D6779-8880-4E35-A482-A13B9425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styleId="Date">
    <w:name w:val="Date"/>
    <w:basedOn w:val="Normal"/>
    <w:next w:val="Normal"/>
    <w:link w:val="DateChar"/>
    <w:rsid w:val="00007FC0"/>
  </w:style>
  <w:style w:type="character" w:customStyle="1" w:styleId="DateChar">
    <w:name w:val="Date Char"/>
    <w:basedOn w:val="DefaultParagraphFont"/>
    <w:link w:val="Date"/>
    <w:rsid w:val="00007FC0"/>
    <w:rPr>
      <w:rFonts w:eastAsia="BatangChe"/>
      <w:sz w:val="24"/>
      <w:szCs w:val="24"/>
    </w:rPr>
  </w:style>
  <w:style w:type="paragraph" w:styleId="PlainText">
    <w:name w:val="Plain Text"/>
    <w:basedOn w:val="Normal"/>
    <w:link w:val="PlainTextChar"/>
    <w:uiPriority w:val="99"/>
    <w:unhideWhenUsed/>
    <w:rsid w:val="00726D27"/>
    <w:rPr>
      <w:rFonts w:ascii="Calibri" w:eastAsiaTheme="minorEastAsia" w:hAnsi="Calibri"/>
      <w:sz w:val="22"/>
      <w:szCs w:val="22"/>
    </w:rPr>
  </w:style>
  <w:style w:type="character" w:customStyle="1" w:styleId="PlainTextChar">
    <w:name w:val="Plain Text Char"/>
    <w:basedOn w:val="DefaultParagraphFont"/>
    <w:link w:val="PlainText"/>
    <w:uiPriority w:val="99"/>
    <w:rsid w:val="00726D27"/>
    <w:rPr>
      <w:rFonts w:ascii="Calibri" w:eastAsiaTheme="minorEastAsia" w:hAnsi="Calibri"/>
      <w:sz w:val="22"/>
      <w:szCs w:val="22"/>
    </w:rPr>
  </w:style>
  <w:style w:type="paragraph" w:customStyle="1" w:styleId="Default">
    <w:name w:val="Default"/>
    <w:rsid w:val="00FF74C4"/>
    <w:pPr>
      <w:widowControl w:val="0"/>
      <w:autoSpaceDE w:val="0"/>
      <w:autoSpaceDN w:val="0"/>
      <w:adjustRightInd w:val="0"/>
    </w:pPr>
    <w:rPr>
      <w:rFonts w:ascii="Arial" w:hAnsi="Arial" w:cs="Arial"/>
      <w:color w:val="000000"/>
      <w:sz w:val="24"/>
      <w:szCs w:val="24"/>
    </w:rPr>
  </w:style>
  <w:style w:type="paragraph" w:customStyle="1" w:styleId="ListParagraph1">
    <w:name w:val="List Paragraph1"/>
    <w:basedOn w:val="Normal"/>
    <w:uiPriority w:val="34"/>
    <w:qFormat/>
    <w:rsid w:val="00341349"/>
    <w:pPr>
      <w:ind w:firstLineChars="200" w:firstLine="420"/>
    </w:pPr>
  </w:style>
  <w:style w:type="paragraph" w:styleId="NormalWeb">
    <w:name w:val="Normal (Web)"/>
    <w:basedOn w:val="Normal"/>
    <w:uiPriority w:val="99"/>
    <w:semiHidden/>
    <w:unhideWhenUsed/>
    <w:rsid w:val="00341349"/>
    <w:pPr>
      <w:spacing w:before="100" w:beforeAutospacing="1" w:after="100" w:afterAutospacing="1"/>
    </w:pPr>
    <w:rPr>
      <w:rFonts w:eastAsia="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30073">
      <w:bodyDiv w:val="1"/>
      <w:marLeft w:val="0"/>
      <w:marRight w:val="0"/>
      <w:marTop w:val="0"/>
      <w:marBottom w:val="0"/>
      <w:divBdr>
        <w:top w:val="none" w:sz="0" w:space="0" w:color="auto"/>
        <w:left w:val="none" w:sz="0" w:space="0" w:color="auto"/>
        <w:bottom w:val="none" w:sz="0" w:space="0" w:color="auto"/>
        <w:right w:val="none" w:sz="0" w:space="0" w:color="auto"/>
      </w:divBdr>
    </w:div>
    <w:div w:id="867839454">
      <w:bodyDiv w:val="1"/>
      <w:marLeft w:val="0"/>
      <w:marRight w:val="0"/>
      <w:marTop w:val="0"/>
      <w:marBottom w:val="0"/>
      <w:divBdr>
        <w:top w:val="none" w:sz="0" w:space="0" w:color="auto"/>
        <w:left w:val="none" w:sz="0" w:space="0" w:color="auto"/>
        <w:bottom w:val="none" w:sz="0" w:space="0" w:color="auto"/>
        <w:right w:val="none" w:sz="0" w:space="0" w:color="auto"/>
      </w:divBdr>
    </w:div>
    <w:div w:id="930577601">
      <w:bodyDiv w:val="1"/>
      <w:marLeft w:val="0"/>
      <w:marRight w:val="0"/>
      <w:marTop w:val="0"/>
      <w:marBottom w:val="0"/>
      <w:divBdr>
        <w:top w:val="none" w:sz="0" w:space="0" w:color="auto"/>
        <w:left w:val="none" w:sz="0" w:space="0" w:color="auto"/>
        <w:bottom w:val="none" w:sz="0" w:space="0" w:color="auto"/>
        <w:right w:val="none" w:sz="0" w:space="0" w:color="auto"/>
      </w:divBdr>
    </w:div>
    <w:div w:id="1234781865">
      <w:bodyDiv w:val="1"/>
      <w:marLeft w:val="0"/>
      <w:marRight w:val="0"/>
      <w:marTop w:val="0"/>
      <w:marBottom w:val="0"/>
      <w:divBdr>
        <w:top w:val="none" w:sz="0" w:space="0" w:color="auto"/>
        <w:left w:val="none" w:sz="0" w:space="0" w:color="auto"/>
        <w:bottom w:val="none" w:sz="0" w:space="0" w:color="auto"/>
        <w:right w:val="none" w:sz="0" w:space="0" w:color="auto"/>
      </w:divBdr>
    </w:div>
    <w:div w:id="1326393741">
      <w:bodyDiv w:val="1"/>
      <w:marLeft w:val="0"/>
      <w:marRight w:val="0"/>
      <w:marTop w:val="0"/>
      <w:marBottom w:val="0"/>
      <w:divBdr>
        <w:top w:val="none" w:sz="0" w:space="0" w:color="auto"/>
        <w:left w:val="none" w:sz="0" w:space="0" w:color="auto"/>
        <w:bottom w:val="none" w:sz="0" w:space="0" w:color="auto"/>
        <w:right w:val="none" w:sz="0" w:space="0" w:color="auto"/>
      </w:divBdr>
    </w:div>
    <w:div w:id="148539304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00331965">
      <w:bodyDiv w:val="1"/>
      <w:marLeft w:val="0"/>
      <w:marRight w:val="0"/>
      <w:marTop w:val="0"/>
      <w:marBottom w:val="0"/>
      <w:divBdr>
        <w:top w:val="none" w:sz="0" w:space="0" w:color="auto"/>
        <w:left w:val="none" w:sz="0" w:space="0" w:color="auto"/>
        <w:bottom w:val="none" w:sz="0" w:space="0" w:color="auto"/>
        <w:right w:val="none" w:sz="0" w:space="0" w:color="auto"/>
      </w:divBdr>
    </w:div>
    <w:div w:id="1699042635">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990">
      <w:bodyDiv w:val="1"/>
      <w:marLeft w:val="0"/>
      <w:marRight w:val="0"/>
      <w:marTop w:val="0"/>
      <w:marBottom w:val="0"/>
      <w:divBdr>
        <w:top w:val="none" w:sz="0" w:space="0" w:color="auto"/>
        <w:left w:val="none" w:sz="0" w:space="0" w:color="auto"/>
        <w:bottom w:val="none" w:sz="0" w:space="0" w:color="auto"/>
        <w:right w:val="none" w:sz="0" w:space="0" w:color="auto"/>
      </w:divBdr>
    </w:div>
    <w:div w:id="20293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be.Muneo@cj.MitsubishiElectric.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01731-585B-456B-B999-B6AA3644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1375</Words>
  <Characters>7841</Characters>
  <Application>Microsoft Office Word</Application>
  <DocSecurity>0</DocSecurity>
  <Lines>65</Lines>
  <Paragraphs>18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10</cp:revision>
  <cp:lastPrinted>2015-02-02T07:28:00Z</cp:lastPrinted>
  <dcterms:created xsi:type="dcterms:W3CDTF">2018-03-16T03:39:00Z</dcterms:created>
  <dcterms:modified xsi:type="dcterms:W3CDTF">2018-03-20T03:17:00Z</dcterms:modified>
</cp:coreProperties>
</file>