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431CF" w:rsidRPr="00891D0B" w14:paraId="46C6CACE" w14:textId="77777777" w:rsidTr="00214505">
        <w:trPr>
          <w:cantSplit/>
          <w:trHeight w:val="288"/>
        </w:trPr>
        <w:tc>
          <w:tcPr>
            <w:tcW w:w="1399" w:type="dxa"/>
            <w:vMerge w:val="restart"/>
          </w:tcPr>
          <w:p w14:paraId="320AE65E" w14:textId="77777777" w:rsidR="002431CF" w:rsidRPr="00891D0B" w:rsidRDefault="002431CF"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C708C1B" wp14:editId="54BB8D59">
                  <wp:extent cx="762635" cy="716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7348554" w14:textId="77777777" w:rsidR="002431CF" w:rsidRPr="00891D0B" w:rsidRDefault="002431CF" w:rsidP="00214505">
            <w:pPr>
              <w:spacing w:before="40"/>
              <w:rPr>
                <w:sz w:val="22"/>
                <w:szCs w:val="22"/>
              </w:rPr>
            </w:pPr>
            <w:r w:rsidRPr="00891D0B">
              <w:rPr>
                <w:sz w:val="22"/>
                <w:szCs w:val="22"/>
              </w:rPr>
              <w:t>ASIA-PACIFIC TELECOMMUNITY</w:t>
            </w:r>
          </w:p>
        </w:tc>
        <w:tc>
          <w:tcPr>
            <w:tcW w:w="2160" w:type="dxa"/>
          </w:tcPr>
          <w:p w14:paraId="64EBD7E8" w14:textId="77777777" w:rsidR="002431CF" w:rsidRPr="00891D0B" w:rsidRDefault="002431CF" w:rsidP="00214505">
            <w:pPr>
              <w:pStyle w:val="Heading8"/>
              <w:spacing w:before="40"/>
              <w:rPr>
                <w:sz w:val="24"/>
                <w:szCs w:val="24"/>
              </w:rPr>
            </w:pPr>
            <w:r>
              <w:rPr>
                <w:sz w:val="24"/>
                <w:szCs w:val="24"/>
              </w:rPr>
              <w:t>Document No:</w:t>
            </w:r>
          </w:p>
        </w:tc>
      </w:tr>
      <w:tr w:rsidR="002431CF" w:rsidRPr="00C15799" w14:paraId="6599ACDF" w14:textId="77777777" w:rsidTr="00214505">
        <w:trPr>
          <w:cantSplit/>
          <w:trHeight w:val="504"/>
        </w:trPr>
        <w:tc>
          <w:tcPr>
            <w:tcW w:w="1399" w:type="dxa"/>
            <w:vMerge/>
          </w:tcPr>
          <w:p w14:paraId="535F0D69" w14:textId="77777777" w:rsidR="002431CF" w:rsidRPr="00891D0B" w:rsidRDefault="002431CF" w:rsidP="00214505"/>
        </w:tc>
        <w:tc>
          <w:tcPr>
            <w:tcW w:w="5760" w:type="dxa"/>
            <w:vAlign w:val="center"/>
          </w:tcPr>
          <w:p w14:paraId="0092676A" w14:textId="77777777" w:rsidR="002431CF" w:rsidRDefault="002431CF" w:rsidP="00214505">
            <w:pPr>
              <w:spacing w:before="40"/>
              <w:rPr>
                <w:b/>
              </w:rPr>
            </w:pPr>
            <w:r>
              <w:rPr>
                <w:b/>
              </w:rPr>
              <w:t>The 4th Meeting of the APT Conference Preparatory</w:t>
            </w:r>
          </w:p>
          <w:p w14:paraId="0B960110" w14:textId="77777777" w:rsidR="002431CF" w:rsidRPr="00891D0B" w:rsidRDefault="002431CF" w:rsidP="00214505">
            <w:pPr>
              <w:spacing w:line="0" w:lineRule="atLeast"/>
            </w:pPr>
            <w:r>
              <w:rPr>
                <w:b/>
              </w:rPr>
              <w:t>Group for WRC-19 (APG19-4)</w:t>
            </w:r>
          </w:p>
        </w:tc>
        <w:tc>
          <w:tcPr>
            <w:tcW w:w="2160" w:type="dxa"/>
          </w:tcPr>
          <w:p w14:paraId="439FD420" w14:textId="12E10650" w:rsidR="002431CF" w:rsidRPr="007E1FDD" w:rsidRDefault="002431CF" w:rsidP="002431CF">
            <w:pPr>
              <w:spacing w:before="40"/>
              <w:rPr>
                <w:b/>
                <w:bCs/>
                <w:lang w:val="en-GB"/>
              </w:rPr>
            </w:pPr>
            <w:r w:rsidRPr="00C96104">
              <w:rPr>
                <w:b/>
                <w:bCs/>
                <w:lang w:val="fr-FR"/>
              </w:rPr>
              <w:t>AP</w:t>
            </w:r>
            <w:r>
              <w:rPr>
                <w:b/>
                <w:bCs/>
                <w:lang w:val="fr-FR"/>
              </w:rPr>
              <w:t>G19-4/OUT-3</w:t>
            </w:r>
            <w:r>
              <w:rPr>
                <w:b/>
                <w:bCs/>
                <w:lang w:val="fr-FR"/>
              </w:rPr>
              <w:t>2</w:t>
            </w:r>
          </w:p>
        </w:tc>
      </w:tr>
      <w:tr w:rsidR="002431CF" w:rsidRPr="00891D0B" w14:paraId="6792F93D" w14:textId="77777777" w:rsidTr="00214505">
        <w:trPr>
          <w:cantSplit/>
          <w:trHeight w:val="288"/>
        </w:trPr>
        <w:tc>
          <w:tcPr>
            <w:tcW w:w="1399" w:type="dxa"/>
            <w:vMerge/>
          </w:tcPr>
          <w:p w14:paraId="5389D60E" w14:textId="77777777" w:rsidR="002431CF" w:rsidRPr="007E1FDD" w:rsidRDefault="002431CF" w:rsidP="00214505">
            <w:pPr>
              <w:rPr>
                <w:lang w:val="en-GB"/>
              </w:rPr>
            </w:pPr>
          </w:p>
        </w:tc>
        <w:tc>
          <w:tcPr>
            <w:tcW w:w="5760" w:type="dxa"/>
            <w:vAlign w:val="bottom"/>
          </w:tcPr>
          <w:p w14:paraId="69E5B844" w14:textId="77777777" w:rsidR="002431CF" w:rsidRPr="00712451" w:rsidRDefault="002431CF" w:rsidP="00214505">
            <w:pPr>
              <w:spacing w:before="40"/>
              <w:rPr>
                <w:b/>
              </w:rPr>
            </w:pPr>
            <w:r>
              <w:t>7 – 12 January 2019</w:t>
            </w:r>
            <w:r w:rsidRPr="00891D0B">
              <w:t xml:space="preserve">, </w:t>
            </w:r>
            <w:r>
              <w:t>Busan, Republic of Korea</w:t>
            </w:r>
          </w:p>
        </w:tc>
        <w:tc>
          <w:tcPr>
            <w:tcW w:w="2160" w:type="dxa"/>
            <w:vAlign w:val="bottom"/>
          </w:tcPr>
          <w:p w14:paraId="2CDAF919" w14:textId="77777777" w:rsidR="002431CF" w:rsidRPr="007E1FDD" w:rsidRDefault="002431CF" w:rsidP="00214505">
            <w:pPr>
              <w:spacing w:before="40"/>
              <w:rPr>
                <w:bCs/>
              </w:rPr>
            </w:pPr>
            <w:r>
              <w:rPr>
                <w:bCs/>
              </w:rPr>
              <w:t xml:space="preserve">12 January </w:t>
            </w:r>
            <w:r w:rsidRPr="007E1FDD">
              <w:rPr>
                <w:bCs/>
              </w:rPr>
              <w:t>201</w:t>
            </w:r>
            <w:r>
              <w:rPr>
                <w:bCs/>
              </w:rPr>
              <w:t>9</w:t>
            </w:r>
          </w:p>
        </w:tc>
      </w:tr>
    </w:tbl>
    <w:p w14:paraId="2E0E673C" w14:textId="77777777" w:rsidR="00D13D9D" w:rsidRDefault="00D13D9D" w:rsidP="002431CF">
      <w:pPr>
        <w:rPr>
          <w:lang w:val="en-NZ" w:eastAsia="ko-KR"/>
        </w:rPr>
      </w:pPr>
    </w:p>
    <w:p w14:paraId="5395C47E" w14:textId="77777777" w:rsidR="002431CF" w:rsidRPr="00A324FF" w:rsidRDefault="002431CF" w:rsidP="002431CF">
      <w:pPr>
        <w:rPr>
          <w:lang w:val="en-NZ" w:eastAsia="ko-KR"/>
        </w:rPr>
      </w:pPr>
    </w:p>
    <w:p w14:paraId="2E0E6744" w14:textId="2C2B4E5D" w:rsidR="00B64A60" w:rsidRDefault="002A0111" w:rsidP="002431CF">
      <w:pPr>
        <w:jc w:val="center"/>
        <w:rPr>
          <w:lang w:val="en-NZ" w:eastAsia="ko-KR"/>
        </w:rPr>
      </w:pPr>
      <w:bookmarkStart w:id="0" w:name="_GoBack"/>
      <w:bookmarkEnd w:id="0"/>
      <w:r w:rsidRPr="002A0111">
        <w:rPr>
          <w:lang w:val="en-NZ" w:eastAsia="ko-KR"/>
        </w:rPr>
        <w:t xml:space="preserve">Working Party </w:t>
      </w:r>
      <w:r w:rsidR="00E52766">
        <w:rPr>
          <w:lang w:val="en-NZ" w:eastAsia="ko-KR"/>
        </w:rPr>
        <w:t>4</w:t>
      </w:r>
    </w:p>
    <w:p w14:paraId="339FE8B8" w14:textId="77777777" w:rsidR="002431CF" w:rsidRPr="002A0111" w:rsidRDefault="002431CF" w:rsidP="002431CF">
      <w:pPr>
        <w:jc w:val="center"/>
        <w:rPr>
          <w:lang w:val="en-NZ" w:eastAsia="ko-KR"/>
        </w:rPr>
      </w:pPr>
    </w:p>
    <w:p w14:paraId="2E0E6746" w14:textId="462F5017" w:rsidR="00B64A60" w:rsidRPr="00441526" w:rsidRDefault="00B64A60" w:rsidP="002431CF">
      <w:pPr>
        <w:jc w:val="center"/>
        <w:rPr>
          <w:b/>
          <w:bCs/>
          <w:caps/>
          <w:lang w:val="en-NZ"/>
        </w:rPr>
      </w:pPr>
      <w:r w:rsidRPr="00441526">
        <w:rPr>
          <w:b/>
          <w:bCs/>
          <w:caps/>
          <w:lang w:val="en-NZ"/>
        </w:rPr>
        <w:t>PRELIMINARY VIEWs on WRC-19 agenda item 1.</w:t>
      </w:r>
      <w:r w:rsidR="00E52766">
        <w:rPr>
          <w:b/>
          <w:bCs/>
          <w:caps/>
          <w:lang w:val="en-NZ"/>
        </w:rPr>
        <w:t>3</w:t>
      </w:r>
    </w:p>
    <w:p w14:paraId="2E0E6747" w14:textId="77777777" w:rsidR="00B64A60" w:rsidRDefault="00B64A60" w:rsidP="002431CF">
      <w:pPr>
        <w:rPr>
          <w:lang w:val="en-NZ"/>
        </w:rPr>
      </w:pPr>
    </w:p>
    <w:p w14:paraId="6782387B" w14:textId="77777777" w:rsidR="002431CF" w:rsidRPr="00441526" w:rsidRDefault="002431CF" w:rsidP="002431CF">
      <w:pPr>
        <w:rPr>
          <w:lang w:val="en-NZ"/>
        </w:rPr>
      </w:pPr>
    </w:p>
    <w:p w14:paraId="62F94C58" w14:textId="0103BB05" w:rsidR="002A0111" w:rsidRPr="00441526" w:rsidRDefault="00E52766" w:rsidP="002431CF">
      <w:pPr>
        <w:jc w:val="both"/>
        <w:rPr>
          <w:lang w:val="en-NZ"/>
        </w:rPr>
      </w:pPr>
      <w:r>
        <w:rPr>
          <w:b/>
          <w:lang w:val="en-NZ"/>
        </w:rPr>
        <w:t>Agenda Item 1.3</w:t>
      </w:r>
      <w:r w:rsidR="002A0111" w:rsidRPr="00441526">
        <w:rPr>
          <w:b/>
          <w:lang w:val="en-NZ"/>
        </w:rPr>
        <w:t xml:space="preserve">: </w:t>
      </w:r>
    </w:p>
    <w:p w14:paraId="4C1F9636" w14:textId="2B51D364" w:rsidR="002A0111" w:rsidRPr="00066598" w:rsidRDefault="00066598" w:rsidP="002A0111">
      <w:pPr>
        <w:jc w:val="both"/>
        <w:rPr>
          <w:lang w:val="en-NZ"/>
        </w:rPr>
      </w:pPr>
      <w:r w:rsidRPr="00066598">
        <w:rPr>
          <w:rStyle w:val="ECCParagraph"/>
          <w:rFonts w:ascii="Times New Roman" w:hAnsi="Times New Roman"/>
          <w:i/>
          <w:sz w:val="24"/>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066598">
        <w:rPr>
          <w:rStyle w:val="ECCHLbold"/>
          <w:i/>
        </w:rPr>
        <w:t>766 (WRC-15)</w:t>
      </w:r>
      <w:r w:rsidRPr="00066598">
        <w:rPr>
          <w:rStyle w:val="ECCParagraph"/>
          <w:rFonts w:ascii="Times New Roman" w:hAnsi="Times New Roman"/>
          <w:i/>
          <w:sz w:val="24"/>
        </w:rPr>
        <w:t>.</w:t>
      </w:r>
    </w:p>
    <w:p w14:paraId="72D2656A" w14:textId="77777777" w:rsidR="002A0111" w:rsidRPr="00441526" w:rsidRDefault="002A0111" w:rsidP="00066598">
      <w:pPr>
        <w:spacing w:before="240" w:after="120"/>
        <w:jc w:val="both"/>
        <w:rPr>
          <w:b/>
          <w:lang w:val="en-NZ" w:eastAsia="ko-KR"/>
        </w:rPr>
      </w:pPr>
      <w:r w:rsidRPr="00441526">
        <w:rPr>
          <w:b/>
          <w:lang w:val="en-NZ" w:eastAsia="ko-KR"/>
        </w:rPr>
        <w:t xml:space="preserve">1. </w:t>
      </w:r>
      <w:r w:rsidRPr="00441526">
        <w:rPr>
          <w:b/>
          <w:lang w:val="en-NZ" w:eastAsia="ko-KR"/>
        </w:rPr>
        <w:tab/>
        <w:t>Background</w:t>
      </w:r>
    </w:p>
    <w:p w14:paraId="2989EE42" w14:textId="4A57D219" w:rsidR="00A02191" w:rsidRDefault="00A02191" w:rsidP="00A02191">
      <w:pPr>
        <w:ind w:left="280"/>
        <w:jc w:val="both"/>
      </w:pPr>
      <w:r w:rsidRPr="007003E0">
        <w:t xml:space="preserve">This agenda item relates to the possibility of upgrading the secondary </w:t>
      </w:r>
      <w:proofErr w:type="spellStart"/>
      <w:r w:rsidRPr="007003E0">
        <w:t>MetSat</w:t>
      </w:r>
      <w:proofErr w:type="spellEnd"/>
      <w:r w:rsidRPr="007003E0">
        <w:t xml:space="preserve"> (space-to-Earth) allocation to primary status and adding a primary EESS (space-to-Earth) allocation in the frequency band 460-470 </w:t>
      </w:r>
      <w:proofErr w:type="spellStart"/>
      <w:r w:rsidRPr="007003E0">
        <w:t>MHz</w:t>
      </w:r>
      <w:r>
        <w:t>.</w:t>
      </w:r>
      <w:proofErr w:type="spellEnd"/>
      <w:r w:rsidR="008714B4">
        <w:t xml:space="preserve"> It is important to note, that this band is allocated for fixed and mobile services on the primary basis worldwide, as in the following table.</w:t>
      </w:r>
    </w:p>
    <w:p w14:paraId="3EC2432C" w14:textId="7056EBA0" w:rsidR="008714B4" w:rsidRDefault="008714B4" w:rsidP="00A02191">
      <w:pPr>
        <w:ind w:left="280"/>
        <w:jc w:val="both"/>
      </w:pPr>
      <w:r>
        <w:rPr>
          <w:noProof/>
        </w:rPr>
        <w:drawing>
          <wp:inline distT="0" distB="0" distL="0" distR="0" wp14:anchorId="519A54D5" wp14:editId="063C1755">
            <wp:extent cx="5589917" cy="134873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7312" cy="1352928"/>
                    </a:xfrm>
                    <a:prstGeom prst="rect">
                      <a:avLst/>
                    </a:prstGeom>
                  </pic:spPr>
                </pic:pic>
              </a:graphicData>
            </a:graphic>
          </wp:inline>
        </w:drawing>
      </w:r>
    </w:p>
    <w:p w14:paraId="59F3DADD" w14:textId="2C01EBF3" w:rsidR="00FB7C84" w:rsidRDefault="00FB7C84" w:rsidP="00B679D4">
      <w:pPr>
        <w:spacing w:before="120" w:after="120"/>
        <w:ind w:left="274"/>
        <w:jc w:val="both"/>
        <w:rPr>
          <w:rFonts w:eastAsia="Times New Roman"/>
          <w:lang w:val="en-AU" w:eastAsia="en-AU"/>
        </w:rPr>
      </w:pPr>
      <w:r w:rsidRPr="00FB7C84">
        <w:rPr>
          <w:rFonts w:eastAsia="Times New Roman"/>
          <w:lang w:val="en-AU" w:eastAsia="en-AU"/>
        </w:rPr>
        <w:t xml:space="preserve">The frequency band 460-470 MHz is already being utilized by </w:t>
      </w:r>
      <w:proofErr w:type="spellStart"/>
      <w:r w:rsidRPr="00FB7C84">
        <w:rPr>
          <w:rFonts w:eastAsia="Times New Roman"/>
          <w:lang w:val="en-AU" w:eastAsia="en-AU"/>
        </w:rPr>
        <w:t>MetSat</w:t>
      </w:r>
      <w:proofErr w:type="spellEnd"/>
      <w:r w:rsidRPr="00FB7C84">
        <w:rPr>
          <w:rFonts w:eastAsia="Times New Roman"/>
          <w:lang w:val="en-AU" w:eastAsia="en-AU"/>
        </w:rPr>
        <w:t xml:space="preserve"> (on secondary allocation basis) in downlink to control and configure data collection platforms. The data collection systems (DCS) operate on geostationary and non-geostationary orbits in the </w:t>
      </w:r>
      <w:proofErr w:type="spellStart"/>
      <w:r w:rsidRPr="00FB7C84">
        <w:rPr>
          <w:rFonts w:eastAsia="Times New Roman"/>
          <w:lang w:val="en-AU" w:eastAsia="en-AU"/>
        </w:rPr>
        <w:t>MetSat</w:t>
      </w:r>
      <w:proofErr w:type="spellEnd"/>
      <w:r w:rsidRPr="00FB7C84">
        <w:rPr>
          <w:rFonts w:eastAsia="Times New Roman"/>
          <w:lang w:val="en-AU" w:eastAsia="en-AU"/>
        </w:rPr>
        <w:t xml:space="preserve"> and the EESS (Earth-to-space) systems in the frequency band 401-403 MHz (uplink) and 460-470 MHz (downlink). DCS are essential for monitoring and predicting climate change, monitoring ocean, and water resources, weather forecasting and assisting in protecting biodiversity, as well as improving maritime security. Thus, a</w:t>
      </w:r>
      <w:r>
        <w:t xml:space="preserve"> primary allocation to the </w:t>
      </w:r>
      <w:proofErr w:type="spellStart"/>
      <w:r>
        <w:t>MetSat</w:t>
      </w:r>
      <w:proofErr w:type="spellEnd"/>
      <w:r>
        <w:t xml:space="preserve"> and EESS (space-to-Earth) in the frequency band 460</w:t>
      </w:r>
      <w:r>
        <w:noBreakHyphen/>
        <w:t>470 MHz would provide confidence to space and meteorological agencies deeply involved in satellite data collection programs and the public sectors funding the development and operation of such systems. Furthermore, t</w:t>
      </w:r>
      <w:r w:rsidRPr="00FB7C84">
        <w:rPr>
          <w:rFonts w:eastAsia="Times New Roman"/>
          <w:lang w:val="en-AU" w:eastAsia="en-AU"/>
        </w:rPr>
        <w:t>he PDN Report ITU-R SA</w:t>
      </w:r>
      <w:proofErr w:type="gramStart"/>
      <w:r w:rsidRPr="00FB7C84">
        <w:rPr>
          <w:rFonts w:eastAsia="Times New Roman"/>
          <w:lang w:val="en-AU" w:eastAsia="en-AU"/>
        </w:rPr>
        <w:t>.[</w:t>
      </w:r>
      <w:proofErr w:type="gramEnd"/>
      <w:r w:rsidRPr="00FB7C84">
        <w:rPr>
          <w:rFonts w:eastAsia="Times New Roman"/>
          <w:lang w:val="en-AU" w:eastAsia="en-AU"/>
        </w:rPr>
        <w:t>460 MHZ METSAT-EESS] provides the studies and compiles elements related to background on WRC-19 agenda item 1.3.</w:t>
      </w:r>
    </w:p>
    <w:p w14:paraId="548D381A" w14:textId="65AA0BAD" w:rsidR="00FB7C84" w:rsidRPr="00F04C62" w:rsidRDefault="00A02191" w:rsidP="00A02191">
      <w:pPr>
        <w:pStyle w:val="ListParagraph"/>
        <w:numPr>
          <w:ilvl w:val="0"/>
          <w:numId w:val="33"/>
        </w:numPr>
        <w:spacing w:after="120"/>
        <w:ind w:left="706"/>
        <w:rPr>
          <w:b/>
        </w:rPr>
      </w:pPr>
      <w:r w:rsidRPr="00F04C62">
        <w:rPr>
          <w:b/>
          <w:lang w:val="en-NZ"/>
        </w:rPr>
        <w:t>Progress of ITU-R ongoing studies</w:t>
      </w:r>
    </w:p>
    <w:p w14:paraId="07F80E0D" w14:textId="559CC1BC" w:rsidR="00022639" w:rsidRDefault="007003E0" w:rsidP="00022639">
      <w:pPr>
        <w:ind w:left="348"/>
        <w:jc w:val="both"/>
        <w:rPr>
          <w:rFonts w:eastAsiaTheme="minorEastAsia"/>
          <w:lang w:eastAsia="ko-KR"/>
        </w:rPr>
      </w:pPr>
      <w:r w:rsidRPr="007003E0">
        <w:rPr>
          <w:rFonts w:eastAsiaTheme="minorEastAsia" w:hint="eastAsia"/>
          <w:lang w:eastAsia="ko-KR"/>
        </w:rPr>
        <w:t xml:space="preserve">ITU-R </w:t>
      </w:r>
      <w:r w:rsidR="00F0209F">
        <w:rPr>
          <w:rFonts w:eastAsiaTheme="minorEastAsia"/>
          <w:lang w:eastAsia="ko-KR"/>
        </w:rPr>
        <w:t>SG7</w:t>
      </w:r>
      <w:r w:rsidRPr="007003E0">
        <w:rPr>
          <w:rFonts w:eastAsiaTheme="minorEastAsia" w:hint="eastAsia"/>
          <w:lang w:eastAsia="ko-KR"/>
        </w:rPr>
        <w:t xml:space="preserve"> </w:t>
      </w:r>
      <w:r w:rsidR="008714B4">
        <w:rPr>
          <w:rFonts w:eastAsiaTheme="minorEastAsia"/>
          <w:lang w:eastAsia="ko-KR"/>
        </w:rPr>
        <w:t xml:space="preserve">in </w:t>
      </w:r>
      <w:r w:rsidR="008714B4" w:rsidRPr="008D3A66">
        <w:t>S</w:t>
      </w:r>
      <w:r w:rsidR="008714B4">
        <w:t xml:space="preserve">eptember 2018 </w:t>
      </w:r>
      <w:r w:rsidRPr="007003E0">
        <w:rPr>
          <w:rFonts w:eastAsiaTheme="minorEastAsia" w:hint="eastAsia"/>
          <w:lang w:eastAsia="ko-KR"/>
        </w:rPr>
        <w:t xml:space="preserve">has </w:t>
      </w:r>
      <w:r w:rsidR="00B679D4" w:rsidRPr="00F04C62">
        <w:t xml:space="preserve">approved </w:t>
      </w:r>
      <w:hyperlink r:id="rId10" w:history="1">
        <w:r w:rsidR="00B679D4" w:rsidRPr="00F04C62">
          <w:rPr>
            <w:rStyle w:val="Hyperlink"/>
          </w:rPr>
          <w:t>Report ITU-R SA.</w:t>
        </w:r>
        <w:r w:rsidR="00F0209F">
          <w:rPr>
            <w:rStyle w:val="Hyperlink"/>
          </w:rPr>
          <w:t>2429.</w:t>
        </w:r>
        <w:r w:rsidR="00F0209F" w:rsidRPr="006A656A">
          <w:rPr>
            <w:rStyle w:val="Hyperlink"/>
            <w:u w:val="none"/>
          </w:rPr>
          <w:t xml:space="preserve"> </w:t>
        </w:r>
        <w:r w:rsidR="00F0209F" w:rsidRPr="006A656A">
          <w:rPr>
            <w:rStyle w:val="Hyperlink"/>
            <w:color w:val="auto"/>
            <w:u w:val="none"/>
          </w:rPr>
          <w:t xml:space="preserve">The draft CPM text </w:t>
        </w:r>
      </w:hyperlink>
      <w:r w:rsidR="00022639" w:rsidRPr="00022639">
        <w:rPr>
          <w:rStyle w:val="Hyperlink"/>
          <w:u w:val="none"/>
        </w:rPr>
        <w:t xml:space="preserve"> </w:t>
      </w:r>
      <w:r w:rsidR="00F0209F">
        <w:rPr>
          <w:rFonts w:eastAsiaTheme="minorEastAsia"/>
          <w:lang w:eastAsia="ko-KR"/>
        </w:rPr>
        <w:t>includes</w:t>
      </w:r>
      <w:r w:rsidR="00F0209F" w:rsidRPr="007003E0">
        <w:rPr>
          <w:rFonts w:eastAsiaTheme="minorEastAsia" w:hint="eastAsia"/>
          <w:lang w:eastAsia="ko-KR"/>
        </w:rPr>
        <w:t xml:space="preserve"> </w:t>
      </w:r>
      <w:r w:rsidR="00F04C62">
        <w:rPr>
          <w:rFonts w:eastAsiaTheme="minorEastAsia"/>
          <w:lang w:eastAsia="ko-KR"/>
        </w:rPr>
        <w:t>two methods</w:t>
      </w:r>
      <w:r w:rsidR="00022639">
        <w:rPr>
          <w:rFonts w:eastAsiaTheme="minorEastAsia"/>
          <w:lang w:eastAsia="ko-KR"/>
        </w:rPr>
        <w:t xml:space="preserve"> for the Agenda Item 1.3</w:t>
      </w:r>
      <w:r w:rsidR="00F04C62">
        <w:rPr>
          <w:rFonts w:eastAsiaTheme="minorEastAsia"/>
          <w:lang w:eastAsia="ko-KR"/>
        </w:rPr>
        <w:t xml:space="preserve"> </w:t>
      </w:r>
      <w:r w:rsidR="00F0209F">
        <w:rPr>
          <w:rFonts w:eastAsiaTheme="minorEastAsia"/>
          <w:lang w:eastAsia="ko-KR"/>
        </w:rPr>
        <w:t>as follows</w:t>
      </w:r>
      <w:r w:rsidR="00022639">
        <w:rPr>
          <w:rFonts w:eastAsiaTheme="minorEastAsia"/>
          <w:lang w:eastAsia="ko-KR"/>
        </w:rPr>
        <w:t>:</w:t>
      </w:r>
    </w:p>
    <w:p w14:paraId="3397FFF6" w14:textId="77777777" w:rsidR="00022639" w:rsidRDefault="00F04C62" w:rsidP="00022639">
      <w:pPr>
        <w:pStyle w:val="ListParagraph"/>
        <w:numPr>
          <w:ilvl w:val="0"/>
          <w:numId w:val="38"/>
        </w:numPr>
        <w:jc w:val="both"/>
        <w:rPr>
          <w:rFonts w:eastAsiaTheme="minorEastAsia"/>
          <w:lang w:eastAsia="ko-KR"/>
        </w:rPr>
      </w:pPr>
      <w:r w:rsidRPr="00022639">
        <w:rPr>
          <w:rFonts w:eastAsiaTheme="minorEastAsia"/>
          <w:lang w:eastAsia="ko-KR"/>
        </w:rPr>
        <w:t xml:space="preserve">Method A (NOC), and </w:t>
      </w:r>
    </w:p>
    <w:p w14:paraId="356EC82B" w14:textId="79C129E0" w:rsidR="007003E0" w:rsidRPr="0065277C" w:rsidRDefault="00F04C62" w:rsidP="00F82068">
      <w:pPr>
        <w:pStyle w:val="ListParagraph"/>
        <w:numPr>
          <w:ilvl w:val="0"/>
          <w:numId w:val="38"/>
        </w:numPr>
        <w:tabs>
          <w:tab w:val="left" w:pos="2070"/>
        </w:tabs>
        <w:spacing w:after="120"/>
        <w:jc w:val="both"/>
        <w:rPr>
          <w:rFonts w:eastAsiaTheme="minorEastAsia"/>
          <w:lang w:eastAsia="ko-KR"/>
        </w:rPr>
      </w:pPr>
      <w:r w:rsidRPr="00022639">
        <w:rPr>
          <w:rFonts w:eastAsiaTheme="minorEastAsia"/>
          <w:lang w:eastAsia="ko-KR"/>
        </w:rPr>
        <w:t xml:space="preserve">Method B </w:t>
      </w:r>
      <w:r w:rsidR="00F0209F">
        <w:rPr>
          <w:rFonts w:eastAsiaTheme="minorEastAsia"/>
          <w:lang w:eastAsia="ko-KR"/>
        </w:rPr>
        <w:t>propos</w:t>
      </w:r>
      <w:r w:rsidR="00E9673B">
        <w:rPr>
          <w:rFonts w:eastAsiaTheme="minorEastAsia"/>
          <w:lang w:eastAsia="ko-KR"/>
        </w:rPr>
        <w:t>es</w:t>
      </w:r>
      <w:r w:rsidRPr="00022639">
        <w:rPr>
          <w:rFonts w:eastAsiaTheme="minorEastAsia"/>
          <w:lang w:eastAsia="ko-KR"/>
        </w:rPr>
        <w:t xml:space="preserve"> </w:t>
      </w:r>
      <w:r w:rsidR="00E9673B">
        <w:rPr>
          <w:rFonts w:eastAsiaTheme="minorEastAsia"/>
          <w:lang w:eastAsia="ko-KR"/>
        </w:rPr>
        <w:t>a</w:t>
      </w:r>
      <w:r w:rsidR="00E9673B" w:rsidRPr="00A86286">
        <w:t xml:space="preserve">n upgrade of the </w:t>
      </w:r>
      <w:proofErr w:type="spellStart"/>
      <w:r w:rsidR="00E9673B" w:rsidRPr="00A86286">
        <w:t>MetSat</w:t>
      </w:r>
      <w:proofErr w:type="spellEnd"/>
      <w:r w:rsidR="00E9673B" w:rsidRPr="00A86286">
        <w:t xml:space="preserve"> (space-to-Earth) allocation from secondary to primary status and a</w:t>
      </w:r>
      <w:r w:rsidR="00E9673B">
        <w:t xml:space="preserve"> </w:t>
      </w:r>
      <w:r w:rsidR="00E9673B" w:rsidRPr="00A86286">
        <w:t>primary EESS (space-</w:t>
      </w:r>
      <w:r w:rsidR="00E9673B">
        <w:t xml:space="preserve"> </w:t>
      </w:r>
      <w:r w:rsidR="00E9673B" w:rsidRPr="00A86286">
        <w:t>to-Earth) allocation could be added in the frequency band 460-470 MHz</w:t>
      </w:r>
      <w:r w:rsidR="00E9673B">
        <w:t xml:space="preserve"> </w:t>
      </w:r>
      <w:r w:rsidR="00E9673B" w:rsidRPr="00A86286">
        <w:t xml:space="preserve">provided that the priority of </w:t>
      </w:r>
      <w:proofErr w:type="spellStart"/>
      <w:r w:rsidR="00E9673B" w:rsidRPr="00A86286">
        <w:t>MetSat</w:t>
      </w:r>
      <w:proofErr w:type="spellEnd"/>
      <w:r w:rsidR="00E9673B" w:rsidRPr="00A86286">
        <w:t xml:space="preserve"> over </w:t>
      </w:r>
      <w:r w:rsidR="00E9673B" w:rsidRPr="00A86286">
        <w:lastRenderedPageBreak/>
        <w:t>EESS, as currently contained in the Radio Regulations, is</w:t>
      </w:r>
      <w:r w:rsidR="00E9673B">
        <w:t xml:space="preserve"> </w:t>
      </w:r>
      <w:r w:rsidR="00E9673B" w:rsidRPr="00A86286">
        <w:t>retained and that the protection of primary services in the frequency band and in adjacent frequency</w:t>
      </w:r>
      <w:r w:rsidR="00E9673B">
        <w:t xml:space="preserve"> </w:t>
      </w:r>
      <w:r w:rsidR="00E9673B" w:rsidRPr="00A86286">
        <w:t>bands is ensured.</w:t>
      </w:r>
      <w:r w:rsidR="00E9673B">
        <w:t xml:space="preserve"> </w:t>
      </w:r>
      <w:r w:rsidR="00E9673B" w:rsidRPr="00A86286">
        <w:t xml:space="preserve">In order to protect terrestrial services, </w:t>
      </w:r>
      <w:proofErr w:type="spellStart"/>
      <w:r w:rsidR="00E9673B" w:rsidRPr="00A86286">
        <w:t>pfd</w:t>
      </w:r>
      <w:proofErr w:type="spellEnd"/>
      <w:r w:rsidR="00E9673B" w:rsidRPr="00A86286">
        <w:t xml:space="preserve"> limits are proposed for both non-GSO and GSO</w:t>
      </w:r>
      <w:r w:rsidR="00E9673B">
        <w:t xml:space="preserve"> </w:t>
      </w:r>
      <w:proofErr w:type="spellStart"/>
      <w:r w:rsidR="00E9673B" w:rsidRPr="00A86286">
        <w:t>MetSat</w:t>
      </w:r>
      <w:proofErr w:type="spellEnd"/>
      <w:r w:rsidR="00E9673B" w:rsidRPr="00A86286">
        <w:t>/EESS satellites.</w:t>
      </w:r>
      <w:r w:rsidR="00E9673B">
        <w:t xml:space="preserve"> </w:t>
      </w:r>
      <w:r w:rsidR="00E9673B" w:rsidRPr="00A86286">
        <w:t xml:space="preserve">In addition, RR No. 5.290 is proposed to be suppressed since </w:t>
      </w:r>
      <w:proofErr w:type="spellStart"/>
      <w:r w:rsidR="00E9673B" w:rsidRPr="00A86286">
        <w:t>MetSat</w:t>
      </w:r>
      <w:proofErr w:type="spellEnd"/>
      <w:r w:rsidR="00E9673B" w:rsidRPr="00A86286">
        <w:t xml:space="preserve"> and EESS are primary</w:t>
      </w:r>
      <w:r w:rsidR="00E9673B">
        <w:t xml:space="preserve"> </w:t>
      </w:r>
      <w:r w:rsidR="00E9673B" w:rsidRPr="00A86286">
        <w:t>services in the frequency band.</w:t>
      </w:r>
      <w:r w:rsidR="00E9673B">
        <w:t xml:space="preserve"> </w:t>
      </w:r>
      <w:r w:rsidR="00E9673B" w:rsidRPr="00A86286">
        <w:t>Finally, a new Resolution is proposed to provide the transitional measures for the existing</w:t>
      </w:r>
      <w:r w:rsidR="00E9673B">
        <w:t xml:space="preserve"> </w:t>
      </w:r>
      <w:proofErr w:type="spellStart"/>
      <w:r w:rsidR="00E9673B" w:rsidRPr="00A86286">
        <w:t>MetSat</w:t>
      </w:r>
      <w:proofErr w:type="spellEnd"/>
      <w:r w:rsidR="00E9673B" w:rsidRPr="00A86286">
        <w:t>/EESS frequency assignments</w:t>
      </w:r>
      <w:r w:rsidR="008714B4">
        <w:t>.</w:t>
      </w:r>
    </w:p>
    <w:p w14:paraId="538F420C" w14:textId="5F2ACCA7" w:rsidR="0065277C" w:rsidRPr="00117E82" w:rsidRDefault="0065277C" w:rsidP="0065277C">
      <w:pPr>
        <w:tabs>
          <w:tab w:val="left" w:pos="2070"/>
        </w:tabs>
        <w:spacing w:after="120"/>
        <w:ind w:left="708"/>
        <w:jc w:val="both"/>
        <w:rPr>
          <w:rFonts w:eastAsiaTheme="minorEastAsia"/>
          <w:lang w:eastAsia="ko-KR"/>
        </w:rPr>
      </w:pPr>
      <w:r w:rsidRPr="00175320">
        <w:rPr>
          <w:color w:val="222222"/>
          <w:shd w:val="clear" w:color="auto" w:fill="FFFFFF"/>
        </w:rPr>
        <w:t>It is noted that Report ITU-R SA.2429 states that “</w:t>
      </w:r>
      <w:r w:rsidRPr="00175320">
        <w:rPr>
          <w:i/>
          <w:iCs/>
          <w:color w:val="222222"/>
          <w:shd w:val="clear" w:color="auto" w:fill="FFFFFF"/>
        </w:rPr>
        <w:t>The frequency bands between 450 and 470 MHz are used for conventional and trunked land mobile systems. These bands are also used by public safety agencies...</w:t>
      </w:r>
      <w:proofErr w:type="gramStart"/>
      <w:r w:rsidRPr="00175320">
        <w:rPr>
          <w:color w:val="222222"/>
          <w:shd w:val="clear" w:color="auto" w:fill="FFFFFF"/>
        </w:rPr>
        <w:t>”.</w:t>
      </w:r>
      <w:proofErr w:type="gramEnd"/>
      <w:r w:rsidRPr="00175320">
        <w:rPr>
          <w:color w:val="222222"/>
          <w:shd w:val="clear" w:color="auto" w:fill="FFFFFF"/>
        </w:rPr>
        <w:t>  However the I/N value used for the sharing studies in this report is -6 dB instead of -10dB which is prescribed in Recommendation ITU-R M.1808 where it is stated that “</w:t>
      </w:r>
      <w:r w:rsidRPr="00175320">
        <w:rPr>
          <w:i/>
          <w:iCs/>
          <w:color w:val="222222"/>
          <w:shd w:val="clear" w:color="auto" w:fill="FFFFFF"/>
        </w:rPr>
        <w:t xml:space="preserve">For applications with greater protection requirements, such as public protection and disaster relief (PPDR), </w:t>
      </w:r>
      <w:proofErr w:type="spellStart"/>
      <w:r w:rsidRPr="00175320">
        <w:rPr>
          <w:i/>
          <w:iCs/>
          <w:color w:val="222222"/>
          <w:shd w:val="clear" w:color="auto" w:fill="FFFFFF"/>
        </w:rPr>
        <w:t>an</w:t>
      </w:r>
      <w:proofErr w:type="spellEnd"/>
      <w:r w:rsidRPr="00175320">
        <w:rPr>
          <w:i/>
          <w:iCs/>
          <w:color w:val="222222"/>
          <w:shd w:val="clear" w:color="auto" w:fill="FFFFFF"/>
        </w:rPr>
        <w:t xml:space="preserve"> I/N of −10 dB may be used to determine the impact of interference</w:t>
      </w:r>
      <w:r w:rsidRPr="00175320">
        <w:rPr>
          <w:color w:val="222222"/>
          <w:shd w:val="clear" w:color="auto" w:fill="FFFFFF"/>
        </w:rPr>
        <w:t xml:space="preserve">”. </w:t>
      </w:r>
    </w:p>
    <w:p w14:paraId="5AC63119" w14:textId="77777777" w:rsidR="002A0111" w:rsidRPr="00441526" w:rsidRDefault="002A0111" w:rsidP="006A656A">
      <w:pPr>
        <w:spacing w:before="240" w:after="120"/>
        <w:jc w:val="both"/>
        <w:rPr>
          <w:b/>
          <w:lang w:val="en-NZ" w:eastAsia="ko-KR"/>
        </w:rPr>
      </w:pPr>
      <w:r w:rsidRPr="00441526">
        <w:rPr>
          <w:b/>
          <w:lang w:val="en-NZ" w:eastAsia="ko-KR"/>
        </w:rPr>
        <w:t xml:space="preserve">2. </w:t>
      </w:r>
      <w:r w:rsidRPr="00441526">
        <w:rPr>
          <w:b/>
          <w:lang w:val="en-NZ" w:eastAsia="ko-KR"/>
        </w:rPr>
        <w:tab/>
        <w:t>Documents</w:t>
      </w:r>
    </w:p>
    <w:p w14:paraId="02AB2A91" w14:textId="77777777" w:rsidR="00DE7DF5" w:rsidRDefault="002A0111" w:rsidP="00331666">
      <w:pPr>
        <w:numPr>
          <w:ilvl w:val="0"/>
          <w:numId w:val="18"/>
        </w:numPr>
        <w:spacing w:after="120"/>
        <w:ind w:leftChars="145" w:left="708"/>
        <w:jc w:val="both"/>
        <w:rPr>
          <w:lang w:val="en-NZ"/>
        </w:rPr>
      </w:pPr>
      <w:r w:rsidRPr="00441526">
        <w:rPr>
          <w:lang w:val="en-NZ"/>
        </w:rPr>
        <w:t>Input Documents</w:t>
      </w:r>
      <w:r w:rsidR="00DE7DF5">
        <w:rPr>
          <w:lang w:val="en-NZ"/>
        </w:rPr>
        <w:t>:</w:t>
      </w:r>
    </w:p>
    <w:p w14:paraId="369B7109" w14:textId="27DB1354" w:rsidR="00DE7DF5" w:rsidRPr="002A34FF" w:rsidRDefault="00E55D78" w:rsidP="00DE7DF5">
      <w:pPr>
        <w:numPr>
          <w:ilvl w:val="2"/>
          <w:numId w:val="18"/>
        </w:numPr>
        <w:jc w:val="both"/>
        <w:rPr>
          <w:lang w:val="en-NZ"/>
        </w:rPr>
      </w:pPr>
      <w:hyperlink r:id="rId11" w:history="1">
        <w:r w:rsidR="00DE7DF5" w:rsidRPr="002A34FF">
          <w:rPr>
            <w:rStyle w:val="Hyperlink"/>
            <w:u w:val="none"/>
            <w:lang w:val="en-NZ"/>
          </w:rPr>
          <w:t>APG19-4/INP-18</w:t>
        </w:r>
      </w:hyperlink>
      <w:r w:rsidR="00DE7DF5" w:rsidRPr="002A34FF">
        <w:rPr>
          <w:lang w:val="en-NZ"/>
        </w:rPr>
        <w:t xml:space="preserve"> (Australia)</w:t>
      </w:r>
    </w:p>
    <w:p w14:paraId="7F0DE9C8" w14:textId="2C0562A4" w:rsidR="00331666" w:rsidRPr="002A34FF" w:rsidRDefault="00E55D78" w:rsidP="00DE7DF5">
      <w:pPr>
        <w:numPr>
          <w:ilvl w:val="2"/>
          <w:numId w:val="18"/>
        </w:numPr>
        <w:jc w:val="both"/>
        <w:rPr>
          <w:lang w:val="en-NZ"/>
        </w:rPr>
      </w:pPr>
      <w:hyperlink r:id="rId12" w:history="1">
        <w:r w:rsidR="00DE7DF5" w:rsidRPr="002A34FF">
          <w:rPr>
            <w:rStyle w:val="Hyperlink"/>
            <w:u w:val="none"/>
            <w:lang w:val="en-NZ"/>
          </w:rPr>
          <w:t>APG19-4/INP-45</w:t>
        </w:r>
      </w:hyperlink>
      <w:r w:rsidR="00DE7DF5" w:rsidRPr="002A34FF">
        <w:rPr>
          <w:lang w:val="en-NZ"/>
        </w:rPr>
        <w:t xml:space="preserve"> </w:t>
      </w:r>
      <w:r w:rsidR="00331666" w:rsidRPr="002A34FF">
        <w:rPr>
          <w:lang w:val="en-NZ"/>
        </w:rPr>
        <w:t>(Malaysia and Thailand)</w:t>
      </w:r>
    </w:p>
    <w:p w14:paraId="2DEFD9D7" w14:textId="44629AB1" w:rsidR="00331666" w:rsidRPr="002A34FF" w:rsidRDefault="00E55D78" w:rsidP="00DE7DF5">
      <w:pPr>
        <w:numPr>
          <w:ilvl w:val="2"/>
          <w:numId w:val="18"/>
        </w:numPr>
        <w:jc w:val="both"/>
        <w:rPr>
          <w:lang w:val="en-NZ"/>
        </w:rPr>
      </w:pPr>
      <w:hyperlink r:id="rId13" w:history="1">
        <w:r w:rsidR="00331666" w:rsidRPr="002A34FF">
          <w:rPr>
            <w:rStyle w:val="Hyperlink"/>
            <w:u w:val="none"/>
            <w:lang w:val="en-NZ"/>
          </w:rPr>
          <w:t>APG19-4/INP-62</w:t>
        </w:r>
      </w:hyperlink>
      <w:r w:rsidR="00331666" w:rsidRPr="002A34FF">
        <w:rPr>
          <w:lang w:val="en-NZ"/>
        </w:rPr>
        <w:t xml:space="preserve"> (Japan)</w:t>
      </w:r>
    </w:p>
    <w:p w14:paraId="2DE338DD" w14:textId="437DCB61" w:rsidR="00331666" w:rsidRPr="002A34FF" w:rsidRDefault="00E55D78" w:rsidP="00DE7DF5">
      <w:pPr>
        <w:numPr>
          <w:ilvl w:val="2"/>
          <w:numId w:val="18"/>
        </w:numPr>
        <w:jc w:val="both"/>
        <w:rPr>
          <w:lang w:val="en-NZ"/>
        </w:rPr>
      </w:pPr>
      <w:hyperlink r:id="rId14" w:history="1">
        <w:r w:rsidR="00331666" w:rsidRPr="002A34FF">
          <w:rPr>
            <w:rStyle w:val="Hyperlink"/>
            <w:u w:val="none"/>
            <w:lang w:val="en-NZ"/>
          </w:rPr>
          <w:t>APG19-4/INP-78</w:t>
        </w:r>
      </w:hyperlink>
      <w:r w:rsidR="00331666" w:rsidRPr="002A34FF">
        <w:rPr>
          <w:lang w:val="en-NZ"/>
        </w:rPr>
        <w:t xml:space="preserve"> (Korea)</w:t>
      </w:r>
    </w:p>
    <w:p w14:paraId="419C3B09" w14:textId="77777777" w:rsidR="00C755FA" w:rsidRPr="002A34FF" w:rsidRDefault="00E55D78" w:rsidP="00C755FA">
      <w:pPr>
        <w:numPr>
          <w:ilvl w:val="2"/>
          <w:numId w:val="18"/>
        </w:numPr>
        <w:jc w:val="both"/>
        <w:rPr>
          <w:lang w:val="en-NZ"/>
        </w:rPr>
      </w:pPr>
      <w:hyperlink r:id="rId15" w:history="1">
        <w:r w:rsidR="00C755FA" w:rsidRPr="002A34FF">
          <w:rPr>
            <w:rStyle w:val="Hyperlink"/>
            <w:u w:val="none"/>
            <w:lang w:val="en-NZ"/>
          </w:rPr>
          <w:t>APG19-4/INP-93</w:t>
        </w:r>
      </w:hyperlink>
      <w:r w:rsidR="00C755FA" w:rsidRPr="002A34FF">
        <w:rPr>
          <w:lang w:val="en-NZ"/>
        </w:rPr>
        <w:t xml:space="preserve"> (Singapore)</w:t>
      </w:r>
    </w:p>
    <w:p w14:paraId="73B083B6" w14:textId="3120F4EF" w:rsidR="00331666" w:rsidRPr="002A34FF" w:rsidRDefault="00E55D78" w:rsidP="00DE7DF5">
      <w:pPr>
        <w:numPr>
          <w:ilvl w:val="2"/>
          <w:numId w:val="18"/>
        </w:numPr>
        <w:jc w:val="both"/>
        <w:rPr>
          <w:lang w:val="en-NZ"/>
        </w:rPr>
      </w:pPr>
      <w:hyperlink r:id="rId16" w:history="1">
        <w:r w:rsidR="00331666" w:rsidRPr="002A34FF">
          <w:rPr>
            <w:rStyle w:val="Hyperlink"/>
            <w:u w:val="none"/>
            <w:lang w:val="en-NZ"/>
          </w:rPr>
          <w:t>APG19-4/INP-97</w:t>
        </w:r>
      </w:hyperlink>
      <w:r w:rsidR="00331666" w:rsidRPr="002A34FF">
        <w:rPr>
          <w:lang w:val="en-NZ"/>
        </w:rPr>
        <w:t xml:space="preserve"> (China)</w:t>
      </w:r>
    </w:p>
    <w:p w14:paraId="3437F4A3" w14:textId="63BBBAA5" w:rsidR="00331666" w:rsidRPr="002A34FF" w:rsidRDefault="00E55D78" w:rsidP="00DE7DF5">
      <w:pPr>
        <w:numPr>
          <w:ilvl w:val="2"/>
          <w:numId w:val="18"/>
        </w:numPr>
        <w:jc w:val="both"/>
        <w:rPr>
          <w:lang w:val="en-NZ"/>
        </w:rPr>
      </w:pPr>
      <w:hyperlink r:id="rId17" w:history="1">
        <w:r w:rsidR="00331666" w:rsidRPr="002A34FF">
          <w:rPr>
            <w:rStyle w:val="Hyperlink"/>
            <w:u w:val="none"/>
            <w:lang w:val="en-NZ"/>
          </w:rPr>
          <w:t>APG19-4/INP-115</w:t>
        </w:r>
      </w:hyperlink>
      <w:r w:rsidR="00331666" w:rsidRPr="002A34FF">
        <w:rPr>
          <w:lang w:val="en-NZ"/>
        </w:rPr>
        <w:t xml:space="preserve"> (India)</w:t>
      </w:r>
    </w:p>
    <w:p w14:paraId="7BB4A9DE" w14:textId="63B00391" w:rsidR="002A0111" w:rsidRPr="00441526" w:rsidRDefault="00E55D78" w:rsidP="00DE7DF5">
      <w:pPr>
        <w:numPr>
          <w:ilvl w:val="2"/>
          <w:numId w:val="18"/>
        </w:numPr>
        <w:jc w:val="both"/>
        <w:rPr>
          <w:lang w:val="en-NZ"/>
        </w:rPr>
      </w:pPr>
      <w:hyperlink r:id="rId18" w:history="1">
        <w:r w:rsidR="00331666" w:rsidRPr="002A34FF">
          <w:rPr>
            <w:rStyle w:val="Hyperlink"/>
            <w:u w:val="none"/>
            <w:lang w:val="en-NZ"/>
          </w:rPr>
          <w:t>APG19-4/INP-121</w:t>
        </w:r>
      </w:hyperlink>
      <w:r w:rsidR="00331666">
        <w:rPr>
          <w:lang w:val="en-NZ"/>
        </w:rPr>
        <w:t xml:space="preserve"> (Indonesia)</w:t>
      </w:r>
      <w:r w:rsidR="002A0111" w:rsidRPr="00441526">
        <w:rPr>
          <w:lang w:val="en-NZ"/>
        </w:rPr>
        <w:t xml:space="preserve"> </w:t>
      </w:r>
    </w:p>
    <w:p w14:paraId="5CE59DEB" w14:textId="759DB44A" w:rsidR="002A0111" w:rsidRDefault="002A0111" w:rsidP="00331666">
      <w:pPr>
        <w:numPr>
          <w:ilvl w:val="0"/>
          <w:numId w:val="18"/>
        </w:numPr>
        <w:spacing w:before="240"/>
        <w:ind w:leftChars="145" w:left="708"/>
        <w:jc w:val="both"/>
        <w:rPr>
          <w:lang w:val="en-NZ"/>
        </w:rPr>
      </w:pPr>
      <w:r w:rsidRPr="00441526">
        <w:rPr>
          <w:lang w:val="en-NZ"/>
        </w:rPr>
        <w:t>Information Documents</w:t>
      </w:r>
      <w:r w:rsidR="00331666">
        <w:rPr>
          <w:lang w:val="en-NZ"/>
        </w:rPr>
        <w:t>:</w:t>
      </w:r>
    </w:p>
    <w:p w14:paraId="39C5E5FB" w14:textId="40C620F1" w:rsidR="00681C6C" w:rsidRPr="00681C6C" w:rsidRDefault="00E55D78" w:rsidP="00331666">
      <w:pPr>
        <w:numPr>
          <w:ilvl w:val="2"/>
          <w:numId w:val="18"/>
        </w:numPr>
        <w:spacing w:before="120"/>
        <w:ind w:left="1123" w:hanging="403"/>
        <w:jc w:val="both"/>
        <w:rPr>
          <w:rStyle w:val="Hyperlink"/>
          <w:color w:val="auto"/>
          <w:u w:val="none"/>
          <w:lang w:val="en-NZ"/>
        </w:rPr>
      </w:pPr>
      <w:hyperlink r:id="rId19" w:history="1">
        <w:r w:rsidR="00681C6C" w:rsidRPr="00681C6C">
          <w:rPr>
            <w:rStyle w:val="Hyperlink"/>
            <w:lang w:val="en-NZ"/>
          </w:rPr>
          <w:t>APG19-4/INP-09</w:t>
        </w:r>
      </w:hyperlink>
      <w:r w:rsidR="00914310">
        <w:rPr>
          <w:rStyle w:val="Hyperlink"/>
          <w:lang w:val="en-NZ"/>
        </w:rPr>
        <w:t>(Rev.1)</w:t>
      </w:r>
      <w:r w:rsidR="00681C6C">
        <w:rPr>
          <w:rStyle w:val="Hyperlink"/>
          <w:color w:val="auto"/>
          <w:u w:val="none"/>
          <w:lang w:val="en-NZ"/>
        </w:rPr>
        <w:t xml:space="preserve"> (</w:t>
      </w:r>
      <w:r w:rsidR="00B764C6">
        <w:rPr>
          <w:rStyle w:val="Hyperlink"/>
          <w:color w:val="auto"/>
          <w:u w:val="none"/>
          <w:lang w:val="en-NZ"/>
        </w:rPr>
        <w:t xml:space="preserve">Chairman APG in </w:t>
      </w:r>
      <w:r w:rsidR="00681C6C">
        <w:rPr>
          <w:rStyle w:val="Hyperlink"/>
          <w:color w:val="auto"/>
          <w:u w:val="none"/>
          <w:lang w:val="en-NZ"/>
        </w:rPr>
        <w:t>Inter-regional meeting)</w:t>
      </w:r>
    </w:p>
    <w:p w14:paraId="3E1A81E7" w14:textId="33519D0A" w:rsidR="00331666" w:rsidRDefault="00E55D78" w:rsidP="00331666">
      <w:pPr>
        <w:numPr>
          <w:ilvl w:val="2"/>
          <w:numId w:val="18"/>
        </w:numPr>
        <w:spacing w:before="120"/>
        <w:ind w:left="1123" w:hanging="403"/>
        <w:jc w:val="both"/>
        <w:rPr>
          <w:lang w:val="en-NZ"/>
        </w:rPr>
      </w:pPr>
      <w:hyperlink r:id="rId20" w:history="1">
        <w:r w:rsidR="000D5FEB" w:rsidRPr="002A34FF">
          <w:rPr>
            <w:rStyle w:val="Hyperlink"/>
            <w:u w:val="none"/>
            <w:lang w:val="en-NZ"/>
          </w:rPr>
          <w:t>APG19-4/INF-02</w:t>
        </w:r>
      </w:hyperlink>
      <w:r w:rsidR="000D5FEB">
        <w:rPr>
          <w:lang w:val="en-NZ"/>
        </w:rPr>
        <w:t xml:space="preserve"> (WMO)</w:t>
      </w:r>
    </w:p>
    <w:p w14:paraId="1AC8BFBC" w14:textId="5A3AC9F8" w:rsidR="00681C6C" w:rsidRDefault="00E55D78" w:rsidP="00331666">
      <w:pPr>
        <w:numPr>
          <w:ilvl w:val="2"/>
          <w:numId w:val="18"/>
        </w:numPr>
        <w:spacing w:before="120"/>
        <w:ind w:left="1123" w:hanging="403"/>
        <w:jc w:val="both"/>
        <w:rPr>
          <w:lang w:val="en-NZ"/>
        </w:rPr>
      </w:pPr>
      <w:hyperlink r:id="rId21" w:history="1">
        <w:r w:rsidR="00681C6C" w:rsidRPr="00681C6C">
          <w:rPr>
            <w:rStyle w:val="Hyperlink"/>
            <w:lang w:val="en-NZ"/>
          </w:rPr>
          <w:t>APG19-4/INF-03</w:t>
        </w:r>
      </w:hyperlink>
      <w:r w:rsidR="00681C6C">
        <w:rPr>
          <w:lang w:val="en-NZ"/>
        </w:rPr>
        <w:t xml:space="preserve"> (IARU)</w:t>
      </w:r>
    </w:p>
    <w:p w14:paraId="381489AF" w14:textId="6DD63333" w:rsidR="00681C6C" w:rsidRDefault="00E55D78" w:rsidP="00331666">
      <w:pPr>
        <w:numPr>
          <w:ilvl w:val="2"/>
          <w:numId w:val="18"/>
        </w:numPr>
        <w:spacing w:before="120"/>
        <w:ind w:left="1123" w:hanging="403"/>
        <w:jc w:val="both"/>
        <w:rPr>
          <w:lang w:val="en-NZ"/>
        </w:rPr>
      </w:pPr>
      <w:hyperlink r:id="rId22" w:history="1">
        <w:r w:rsidR="00681C6C" w:rsidRPr="00681C6C">
          <w:rPr>
            <w:rStyle w:val="Hyperlink"/>
            <w:lang w:val="en-NZ"/>
          </w:rPr>
          <w:t>APG19-4/INF-04</w:t>
        </w:r>
      </w:hyperlink>
      <w:r w:rsidR="00681C6C">
        <w:rPr>
          <w:lang w:val="en-NZ"/>
        </w:rPr>
        <w:t xml:space="preserve"> (ICAO)</w:t>
      </w:r>
    </w:p>
    <w:p w14:paraId="449B1C78" w14:textId="38F46A30" w:rsidR="005A3F07" w:rsidRDefault="00E55D78" w:rsidP="00331666">
      <w:pPr>
        <w:numPr>
          <w:ilvl w:val="2"/>
          <w:numId w:val="18"/>
        </w:numPr>
        <w:spacing w:before="120"/>
        <w:ind w:left="1123" w:hanging="403"/>
        <w:jc w:val="both"/>
        <w:rPr>
          <w:lang w:val="en-NZ"/>
        </w:rPr>
      </w:pPr>
      <w:hyperlink r:id="rId23" w:history="1">
        <w:r w:rsidR="005A3F07" w:rsidRPr="005A3F07">
          <w:rPr>
            <w:rStyle w:val="Hyperlink"/>
            <w:lang w:val="en-NZ"/>
          </w:rPr>
          <w:t>APG19-4/INF-22</w:t>
        </w:r>
      </w:hyperlink>
      <w:r w:rsidR="005A3F07">
        <w:rPr>
          <w:lang w:val="en-NZ"/>
        </w:rPr>
        <w:t xml:space="preserve"> (CITEL)</w:t>
      </w:r>
    </w:p>
    <w:p w14:paraId="0D4FAF68" w14:textId="1E5AB981" w:rsidR="005A3F07" w:rsidRDefault="00E55D78" w:rsidP="00331666">
      <w:pPr>
        <w:numPr>
          <w:ilvl w:val="2"/>
          <w:numId w:val="18"/>
        </w:numPr>
        <w:spacing w:before="120"/>
        <w:ind w:left="1123" w:hanging="403"/>
        <w:jc w:val="both"/>
        <w:rPr>
          <w:lang w:val="en-NZ"/>
        </w:rPr>
      </w:pPr>
      <w:hyperlink r:id="rId24" w:history="1">
        <w:r w:rsidR="005A3F07" w:rsidRPr="005A3F07">
          <w:rPr>
            <w:rStyle w:val="Hyperlink"/>
            <w:lang w:val="en-NZ"/>
          </w:rPr>
          <w:t>APG19-4/INF-23</w:t>
        </w:r>
      </w:hyperlink>
      <w:r w:rsidR="005A3F07">
        <w:rPr>
          <w:lang w:val="en-NZ"/>
        </w:rPr>
        <w:t xml:space="preserve"> (CEPT)</w:t>
      </w:r>
    </w:p>
    <w:p w14:paraId="4C004B4C" w14:textId="36A0480B" w:rsidR="005A3F07" w:rsidRDefault="00E55D78" w:rsidP="00331666">
      <w:pPr>
        <w:numPr>
          <w:ilvl w:val="2"/>
          <w:numId w:val="18"/>
        </w:numPr>
        <w:spacing w:before="120"/>
        <w:ind w:left="1123" w:hanging="403"/>
        <w:jc w:val="both"/>
        <w:rPr>
          <w:lang w:val="en-NZ"/>
        </w:rPr>
      </w:pPr>
      <w:hyperlink r:id="rId25" w:history="1">
        <w:r w:rsidR="005A3F07" w:rsidRPr="005A3F07">
          <w:rPr>
            <w:rStyle w:val="Hyperlink"/>
            <w:lang w:val="en-NZ"/>
          </w:rPr>
          <w:t>APG19-4/INF-24</w:t>
        </w:r>
      </w:hyperlink>
      <w:r w:rsidR="005A3F07">
        <w:rPr>
          <w:lang w:val="en-NZ"/>
        </w:rPr>
        <w:t xml:space="preserve"> (RCC)</w:t>
      </w:r>
    </w:p>
    <w:p w14:paraId="27E54C89" w14:textId="04835516" w:rsidR="002A0111" w:rsidRPr="00441526" w:rsidRDefault="002A0111" w:rsidP="00B679D4">
      <w:pPr>
        <w:spacing w:before="240"/>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350584">
      <w:pPr>
        <w:spacing w:after="24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1165EB5B"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2A34FF">
        <w:rPr>
          <w:b/>
          <w:lang w:val="en-NZ" w:eastAsia="ko-KR"/>
        </w:rPr>
        <w:t xml:space="preserve">Australia </w:t>
      </w:r>
      <w:r w:rsidRPr="00441526">
        <w:t xml:space="preserve">- </w:t>
      </w:r>
      <w:r w:rsidRPr="00441526">
        <w:rPr>
          <w:b/>
          <w:lang w:val="en-NZ" w:eastAsia="ko-KR"/>
        </w:rPr>
        <w:t>Document APG19-</w:t>
      </w:r>
      <w:r w:rsidR="002A34FF">
        <w:rPr>
          <w:b/>
          <w:lang w:val="en-NZ" w:eastAsia="ko-KR"/>
        </w:rPr>
        <w:t>4</w:t>
      </w:r>
      <w:r w:rsidRPr="00441526">
        <w:rPr>
          <w:b/>
          <w:lang w:val="en-NZ" w:eastAsia="ko-KR"/>
        </w:rPr>
        <w:t>/INP-</w:t>
      </w:r>
      <w:r w:rsidR="002A34FF">
        <w:rPr>
          <w:b/>
          <w:lang w:val="en-NZ" w:eastAsia="ko-KR"/>
        </w:rPr>
        <w:t>18</w:t>
      </w:r>
    </w:p>
    <w:p w14:paraId="755CE1F5" w14:textId="77777777" w:rsidR="002A34FF" w:rsidRPr="002A34FF" w:rsidRDefault="002A34FF" w:rsidP="002A34FF">
      <w:pPr>
        <w:numPr>
          <w:ilvl w:val="0"/>
          <w:numId w:val="18"/>
        </w:numPr>
        <w:ind w:leftChars="145" w:left="708"/>
        <w:jc w:val="both"/>
        <w:rPr>
          <w:lang w:val="en-NZ"/>
        </w:rPr>
      </w:pPr>
      <w:r w:rsidRPr="002A34FF">
        <w:rPr>
          <w:lang w:val="en-NZ"/>
        </w:rPr>
        <w:t xml:space="preserve">Australia supports consideration of the upgrading of the secondary </w:t>
      </w:r>
      <w:proofErr w:type="spellStart"/>
      <w:r w:rsidRPr="002A34FF">
        <w:rPr>
          <w:lang w:val="en-NZ"/>
        </w:rPr>
        <w:t>MetSat</w:t>
      </w:r>
      <w:proofErr w:type="spellEnd"/>
      <w:r w:rsidRPr="002A34FF">
        <w:rPr>
          <w:lang w:val="en-NZ"/>
        </w:rPr>
        <w:t xml:space="preserve"> (space-to-Earth) allocation to primary, and adding a primary EESS (space-to-Earth) allocation in the frequency band 460</w:t>
      </w:r>
      <w:r w:rsidRPr="002A34FF">
        <w:rPr>
          <w:lang w:val="en-NZ"/>
        </w:rPr>
        <w:noBreakHyphen/>
        <w:t>470 MHz, while providing protection and not imposing any additional constraints on existing primary services to which the frequency band is already allocated and in the adjacent frequency bands and maintaining the conditions contained in Radio Regulations No. </w:t>
      </w:r>
      <w:r w:rsidRPr="00914310">
        <w:rPr>
          <w:b/>
          <w:lang w:val="en-NZ"/>
        </w:rPr>
        <w:t>5.289</w:t>
      </w:r>
      <w:r w:rsidRPr="002A34FF">
        <w:rPr>
          <w:lang w:val="en-NZ"/>
        </w:rPr>
        <w:t>, subject to appropriate ITU</w:t>
      </w:r>
      <w:r w:rsidRPr="002A34FF">
        <w:rPr>
          <w:lang w:val="en-NZ"/>
        </w:rPr>
        <w:noBreakHyphen/>
        <w:t>R sharing and compatibility studies.</w:t>
      </w:r>
    </w:p>
    <w:p w14:paraId="71B46551" w14:textId="77777777" w:rsidR="002A34FF" w:rsidRPr="002A34FF" w:rsidRDefault="002A34FF" w:rsidP="0023178E">
      <w:pPr>
        <w:ind w:left="708"/>
        <w:jc w:val="both"/>
        <w:rPr>
          <w:lang w:val="en-NZ"/>
        </w:rPr>
      </w:pPr>
      <w:r w:rsidRPr="002A34FF">
        <w:rPr>
          <w:lang w:val="en-NZ"/>
        </w:rPr>
        <w:lastRenderedPageBreak/>
        <w:t xml:space="preserve">This view is consistent with Method B in the Draft CPM Report, noting that further work is required to address </w:t>
      </w:r>
      <w:proofErr w:type="spellStart"/>
      <w:r w:rsidRPr="002A34FF">
        <w:rPr>
          <w:lang w:val="en-NZ"/>
        </w:rPr>
        <w:t>pfd</w:t>
      </w:r>
      <w:proofErr w:type="spellEnd"/>
      <w:r w:rsidRPr="002A34FF">
        <w:rPr>
          <w:lang w:val="en-NZ"/>
        </w:rPr>
        <w:t xml:space="preserve"> limits for GSO satellites.</w:t>
      </w:r>
    </w:p>
    <w:p w14:paraId="1F4B0140" w14:textId="77777777" w:rsidR="002A0111" w:rsidRPr="00441526" w:rsidRDefault="002A0111" w:rsidP="002A34FF">
      <w:pPr>
        <w:ind w:left="348"/>
        <w:jc w:val="both"/>
        <w:rPr>
          <w:lang w:val="en-NZ"/>
        </w:rPr>
      </w:pPr>
    </w:p>
    <w:p w14:paraId="1B7BB750" w14:textId="1BD19A91"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2A34FF" w:rsidRPr="002A34FF">
        <w:rPr>
          <w:b/>
          <w:lang w:val="en-NZ"/>
        </w:rPr>
        <w:t>Malaysia and Thailand</w:t>
      </w:r>
      <w:r w:rsidRPr="00441526">
        <w:rPr>
          <w:b/>
          <w:lang w:val="en-NZ" w:eastAsia="ko-KR"/>
        </w:rPr>
        <w:t xml:space="preserve"> </w:t>
      </w:r>
      <w:r w:rsidRPr="00441526">
        <w:t xml:space="preserve">- </w:t>
      </w:r>
      <w:r w:rsidRPr="00441526">
        <w:rPr>
          <w:b/>
          <w:lang w:val="en-NZ" w:eastAsia="ko-KR"/>
        </w:rPr>
        <w:t>Document APG19-</w:t>
      </w:r>
      <w:r w:rsidR="002A34FF">
        <w:rPr>
          <w:b/>
          <w:lang w:val="en-NZ" w:eastAsia="ko-KR"/>
        </w:rPr>
        <w:t>4</w:t>
      </w:r>
      <w:r w:rsidRPr="00441526">
        <w:rPr>
          <w:b/>
          <w:lang w:val="en-NZ" w:eastAsia="ko-KR"/>
        </w:rPr>
        <w:t>/INP-</w:t>
      </w:r>
      <w:r w:rsidR="002A34FF">
        <w:rPr>
          <w:b/>
          <w:lang w:val="en-NZ" w:eastAsia="ko-KR"/>
        </w:rPr>
        <w:t>45</w:t>
      </w:r>
    </w:p>
    <w:p w14:paraId="26F758A2" w14:textId="77777777" w:rsidR="002A34FF" w:rsidRPr="002A34FF" w:rsidRDefault="002A34FF" w:rsidP="002A34FF">
      <w:pPr>
        <w:numPr>
          <w:ilvl w:val="0"/>
          <w:numId w:val="18"/>
        </w:numPr>
        <w:ind w:leftChars="145" w:left="708"/>
        <w:jc w:val="both"/>
        <w:rPr>
          <w:lang w:val="en-NZ"/>
        </w:rPr>
      </w:pPr>
      <w:r w:rsidRPr="002A34FF">
        <w:rPr>
          <w:lang w:val="en-NZ"/>
        </w:rPr>
        <w:t xml:space="preserve">Since the studies contained in the ITU-R Report SA.2429 has determined the </w:t>
      </w:r>
      <w:proofErr w:type="spellStart"/>
      <w:r w:rsidRPr="002A34FF">
        <w:rPr>
          <w:lang w:val="en-NZ"/>
        </w:rPr>
        <w:t>pfd</w:t>
      </w:r>
      <w:proofErr w:type="spellEnd"/>
      <w:r w:rsidRPr="002A34FF">
        <w:rPr>
          <w:lang w:val="en-NZ"/>
        </w:rPr>
        <w:t xml:space="preserve"> limits for both  non-GSO and GSO </w:t>
      </w:r>
      <w:proofErr w:type="spellStart"/>
      <w:r w:rsidRPr="002A34FF">
        <w:rPr>
          <w:lang w:val="en-NZ"/>
        </w:rPr>
        <w:t>MetSat</w:t>
      </w:r>
      <w:proofErr w:type="spellEnd"/>
      <w:r w:rsidRPr="002A34FF">
        <w:rPr>
          <w:lang w:val="en-NZ"/>
        </w:rPr>
        <w:t xml:space="preserve"> and EESS satellites in the frequency band 460-470 MHz which will ensure the protection of incumbent primary allocated services in this band and adjacent bands, Malaysia and Thailand support the proposal to upgrade the allocation for </w:t>
      </w:r>
      <w:proofErr w:type="spellStart"/>
      <w:r w:rsidRPr="002A34FF">
        <w:rPr>
          <w:lang w:val="en-NZ"/>
        </w:rPr>
        <w:t>MetSat</w:t>
      </w:r>
      <w:proofErr w:type="spellEnd"/>
      <w:r w:rsidRPr="002A34FF">
        <w:rPr>
          <w:lang w:val="en-NZ"/>
        </w:rPr>
        <w:t xml:space="preserve"> (space-to-Earth) from secondary to primary status and addition of primary allocation for EESS (space-to-Earth) in the frequency band 460-470 MHz, provided that the priority of </w:t>
      </w:r>
      <w:proofErr w:type="spellStart"/>
      <w:r w:rsidRPr="002A34FF">
        <w:rPr>
          <w:lang w:val="en-NZ"/>
        </w:rPr>
        <w:t>MetSat</w:t>
      </w:r>
      <w:proofErr w:type="spellEnd"/>
      <w:r w:rsidRPr="002A34FF">
        <w:rPr>
          <w:lang w:val="en-NZ"/>
        </w:rPr>
        <w:t xml:space="preserve"> over EESS is retained as currently contained in the Radio Regulations and earth stations in the </w:t>
      </w:r>
      <w:proofErr w:type="spellStart"/>
      <w:r w:rsidRPr="002A34FF">
        <w:rPr>
          <w:lang w:val="en-NZ"/>
        </w:rPr>
        <w:t>MetSat</w:t>
      </w:r>
      <w:proofErr w:type="spellEnd"/>
      <w:r w:rsidRPr="002A34FF">
        <w:rPr>
          <w:lang w:val="en-NZ"/>
        </w:rPr>
        <w:t xml:space="preserve"> (space-to-Earth) and EESS (space-to-Earth) shall not cause interference to nor claim protection from stations of the fixed and mobile services.</w:t>
      </w:r>
    </w:p>
    <w:p w14:paraId="542BCB85" w14:textId="77777777" w:rsidR="002A34FF" w:rsidRPr="002A34FF" w:rsidRDefault="002A34FF" w:rsidP="0023178E">
      <w:pPr>
        <w:ind w:left="708"/>
        <w:jc w:val="both"/>
        <w:rPr>
          <w:lang w:val="en-NZ"/>
        </w:rPr>
      </w:pPr>
      <w:r w:rsidRPr="002A34FF">
        <w:rPr>
          <w:lang w:val="en-NZ"/>
        </w:rPr>
        <w:t xml:space="preserve">Therefore, Malaysia and Thailand support Method B of the draft CPM text. Moreover, the </w:t>
      </w:r>
      <w:proofErr w:type="spellStart"/>
      <w:r w:rsidRPr="002A34FF">
        <w:rPr>
          <w:lang w:val="en-NZ"/>
        </w:rPr>
        <w:t>pfd</w:t>
      </w:r>
      <w:proofErr w:type="spellEnd"/>
      <w:r w:rsidRPr="002A34FF">
        <w:rPr>
          <w:lang w:val="en-NZ"/>
        </w:rPr>
        <w:t xml:space="preserve"> limits for non-GSO and the single </w:t>
      </w:r>
      <w:proofErr w:type="spellStart"/>
      <w:r w:rsidRPr="002A34FF">
        <w:rPr>
          <w:lang w:val="en-NZ"/>
        </w:rPr>
        <w:t>pfd</w:t>
      </w:r>
      <w:proofErr w:type="spellEnd"/>
      <w:r w:rsidRPr="002A34FF">
        <w:rPr>
          <w:lang w:val="en-NZ"/>
        </w:rPr>
        <w:t xml:space="preserve"> limits for GSO satellites are preferable that would protect the incumbent in-band and adjacent channel service operations.</w:t>
      </w:r>
    </w:p>
    <w:p w14:paraId="13BB992D" w14:textId="77777777" w:rsidR="002A0111" w:rsidRPr="00441526" w:rsidRDefault="002A0111" w:rsidP="003D3D47">
      <w:pPr>
        <w:jc w:val="both"/>
        <w:rPr>
          <w:lang w:val="en-NZ"/>
        </w:rPr>
      </w:pPr>
      <w:r w:rsidRPr="00441526">
        <w:rPr>
          <w:lang w:val="en-NZ"/>
        </w:rPr>
        <w:t xml:space="preserve">. </w:t>
      </w:r>
    </w:p>
    <w:p w14:paraId="1EEFFC7C" w14:textId="63D7CD19" w:rsidR="002A0111" w:rsidRPr="00441526" w:rsidRDefault="002A0111" w:rsidP="003D3D47">
      <w:pPr>
        <w:spacing w:after="120"/>
        <w:jc w:val="both"/>
        <w:rPr>
          <w:b/>
          <w:lang w:val="en-NZ" w:eastAsia="ko-KR"/>
        </w:rPr>
      </w:pPr>
      <w:r w:rsidRPr="00441526">
        <w:rPr>
          <w:b/>
          <w:lang w:val="en-NZ" w:eastAsia="ko-KR"/>
        </w:rPr>
        <w:t>3.1.</w:t>
      </w:r>
      <w:r w:rsidR="002A34FF">
        <w:rPr>
          <w:b/>
          <w:lang w:val="en-NZ" w:eastAsia="ko-KR"/>
        </w:rPr>
        <w:t>3</w:t>
      </w:r>
      <w:r w:rsidRPr="00441526">
        <w:rPr>
          <w:b/>
          <w:lang w:val="en-NZ" w:eastAsia="ko-KR"/>
        </w:rPr>
        <w:tab/>
      </w:r>
      <w:r w:rsidR="002A34FF">
        <w:rPr>
          <w:b/>
          <w:lang w:val="en-NZ" w:eastAsia="ko-KR"/>
        </w:rPr>
        <w:t>Japan</w:t>
      </w:r>
      <w:r w:rsidRPr="00441526">
        <w:rPr>
          <w:b/>
          <w:lang w:val="en-NZ" w:eastAsia="ko-KR"/>
        </w:rPr>
        <w:t xml:space="preserve"> </w:t>
      </w:r>
      <w:r w:rsidRPr="00441526">
        <w:t xml:space="preserve">- </w:t>
      </w:r>
      <w:r w:rsidRPr="00441526">
        <w:rPr>
          <w:b/>
          <w:lang w:val="en-NZ" w:eastAsia="ko-KR"/>
        </w:rPr>
        <w:t>Document APG19-</w:t>
      </w:r>
      <w:r w:rsidR="002A34FF">
        <w:rPr>
          <w:b/>
          <w:lang w:val="en-NZ" w:eastAsia="ko-KR"/>
        </w:rPr>
        <w:t>4</w:t>
      </w:r>
      <w:r w:rsidRPr="00441526">
        <w:rPr>
          <w:b/>
          <w:lang w:val="en-NZ" w:eastAsia="ko-KR"/>
        </w:rPr>
        <w:t>/INP-</w:t>
      </w:r>
      <w:r w:rsidR="002A34FF">
        <w:rPr>
          <w:b/>
          <w:lang w:val="en-NZ" w:eastAsia="ko-KR"/>
        </w:rPr>
        <w:t>62</w:t>
      </w:r>
    </w:p>
    <w:p w14:paraId="77B5F02B" w14:textId="72331F7F" w:rsidR="002A0111" w:rsidRDefault="00AC72FA" w:rsidP="00AC72FA">
      <w:pPr>
        <w:numPr>
          <w:ilvl w:val="0"/>
          <w:numId w:val="18"/>
        </w:numPr>
        <w:ind w:leftChars="145" w:left="708"/>
        <w:jc w:val="both"/>
        <w:rPr>
          <w:lang w:val="en-NZ"/>
        </w:rPr>
      </w:pPr>
      <w:r w:rsidRPr="00AC72FA">
        <w:rPr>
          <w:lang w:val="en-NZ"/>
        </w:rPr>
        <w:t>Japan supports Method B from the viewpoint that in the frequency band 460 - 470 MHz</w:t>
      </w:r>
      <w:r w:rsidRPr="00AC72FA" w:rsidDel="00DD18DA">
        <w:rPr>
          <w:lang w:val="en-NZ"/>
        </w:rPr>
        <w:t xml:space="preserve"> </w:t>
      </w:r>
      <w:r w:rsidRPr="00AC72FA">
        <w:rPr>
          <w:lang w:val="en-NZ"/>
        </w:rPr>
        <w:t>the existing co-primary services should be adequately protected from the possible addition of a primary EESS</w:t>
      </w:r>
      <w:r w:rsidRPr="00AC72FA">
        <w:rPr>
          <w:rFonts w:hint="eastAsia"/>
          <w:lang w:val="en-NZ"/>
        </w:rPr>
        <w:t xml:space="preserve"> </w:t>
      </w:r>
      <w:r w:rsidRPr="00AC72FA">
        <w:rPr>
          <w:lang w:val="en-NZ"/>
        </w:rPr>
        <w:t xml:space="preserve">(space-to-Earth) allocation and possible upgrading the </w:t>
      </w:r>
      <w:proofErr w:type="spellStart"/>
      <w:r w:rsidRPr="00AC72FA">
        <w:rPr>
          <w:lang w:val="en-NZ"/>
        </w:rPr>
        <w:t>MetSat</w:t>
      </w:r>
      <w:proofErr w:type="spellEnd"/>
      <w:r w:rsidRPr="00AC72FA">
        <w:rPr>
          <w:lang w:val="en-NZ"/>
        </w:rPr>
        <w:t xml:space="preserve"> (space-to-Earth) allocation to primary status, while ensuring continuous operation of the existing systems of EESS</w:t>
      </w:r>
      <w:r w:rsidRPr="00AC72FA">
        <w:rPr>
          <w:rFonts w:hint="eastAsia"/>
          <w:lang w:val="en-NZ"/>
        </w:rPr>
        <w:t xml:space="preserve"> </w:t>
      </w:r>
      <w:r w:rsidRPr="00AC72FA">
        <w:rPr>
          <w:lang w:val="en-NZ"/>
        </w:rPr>
        <w:t xml:space="preserve">(space-to-Earth) and </w:t>
      </w:r>
      <w:proofErr w:type="spellStart"/>
      <w:r w:rsidRPr="00AC72FA">
        <w:rPr>
          <w:lang w:val="en-NZ"/>
        </w:rPr>
        <w:t>MetSat</w:t>
      </w:r>
      <w:proofErr w:type="spellEnd"/>
      <w:r w:rsidRPr="00AC72FA">
        <w:rPr>
          <w:lang w:val="en-NZ"/>
        </w:rPr>
        <w:t xml:space="preserve"> (space-to-Earth).</w:t>
      </w:r>
    </w:p>
    <w:p w14:paraId="2FB36EF5" w14:textId="77777777" w:rsidR="00AC72FA" w:rsidRPr="00AC72FA" w:rsidRDefault="00AC72FA" w:rsidP="00AC72FA">
      <w:pPr>
        <w:jc w:val="both"/>
        <w:rPr>
          <w:lang w:val="en-NZ"/>
        </w:rPr>
      </w:pPr>
    </w:p>
    <w:p w14:paraId="515BCF8B" w14:textId="0C132CF2" w:rsidR="00AC72FA" w:rsidRPr="00441526" w:rsidRDefault="00AC72FA" w:rsidP="00AC72FA">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Korea</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78</w:t>
      </w:r>
    </w:p>
    <w:p w14:paraId="32F7F9D1" w14:textId="56AFE5C0" w:rsidR="002A0111" w:rsidRDefault="00AC72FA" w:rsidP="00AC72FA">
      <w:pPr>
        <w:numPr>
          <w:ilvl w:val="0"/>
          <w:numId w:val="18"/>
        </w:numPr>
        <w:ind w:leftChars="145" w:left="708"/>
        <w:jc w:val="both"/>
        <w:rPr>
          <w:lang w:val="en-NZ"/>
        </w:rPr>
      </w:pPr>
      <w:r w:rsidRPr="00AC72FA">
        <w:rPr>
          <w:lang w:val="en-NZ"/>
        </w:rPr>
        <w:t xml:space="preserve">APT Members support the ITU-R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460-470 MHz,  provided that the appropriate measures are taken to ensure the protection of existing  fixed, mobile, and broadcasting services and not to constraint their future developments in the frequency band 460-470 MHz and in the adjacent bands, and stations of the EESS and </w:t>
      </w:r>
      <w:proofErr w:type="spellStart"/>
      <w:r w:rsidRPr="00AC72FA">
        <w:rPr>
          <w:lang w:val="en-NZ"/>
        </w:rPr>
        <w:t>MetSat</w:t>
      </w:r>
      <w:proofErr w:type="spellEnd"/>
      <w:r w:rsidRPr="00AC72FA">
        <w:rPr>
          <w:lang w:val="en-NZ"/>
        </w:rPr>
        <w:t xml:space="preserve"> services shall not claim protection from the fixed and mobile services. APT Members also note that the priority of </w:t>
      </w:r>
      <w:proofErr w:type="spellStart"/>
      <w:r w:rsidRPr="00AC72FA">
        <w:rPr>
          <w:lang w:val="en-NZ"/>
        </w:rPr>
        <w:t>MetSat</w:t>
      </w:r>
      <w:proofErr w:type="spellEnd"/>
      <w:r w:rsidRPr="00AC72FA">
        <w:rPr>
          <w:lang w:val="en-NZ"/>
        </w:rPr>
        <w:t xml:space="preserve"> over EESS should be maintained.</w:t>
      </w:r>
    </w:p>
    <w:p w14:paraId="1B7F5C60" w14:textId="5D137589" w:rsidR="00C755FA" w:rsidRDefault="00AC72FA" w:rsidP="004D20BB">
      <w:pPr>
        <w:spacing w:before="240" w:after="120"/>
        <w:jc w:val="both"/>
        <w:rPr>
          <w:lang w:val="en-NZ"/>
        </w:rPr>
      </w:pPr>
      <w:r w:rsidRPr="00441526">
        <w:rPr>
          <w:b/>
          <w:lang w:val="en-NZ" w:eastAsia="ko-KR"/>
        </w:rPr>
        <w:t>3.1.</w:t>
      </w:r>
      <w:r>
        <w:rPr>
          <w:b/>
          <w:lang w:val="en-NZ" w:eastAsia="ko-KR"/>
        </w:rPr>
        <w:t>5</w:t>
      </w:r>
      <w:r w:rsidRPr="00441526">
        <w:rPr>
          <w:b/>
          <w:lang w:val="en-NZ" w:eastAsia="ko-KR"/>
        </w:rPr>
        <w:tab/>
      </w:r>
      <w:r w:rsidR="00C755FA">
        <w:rPr>
          <w:b/>
          <w:lang w:val="en-NZ" w:eastAsia="ko-KR"/>
        </w:rPr>
        <w:t>Singapore</w:t>
      </w:r>
      <w:r w:rsidR="00C755FA" w:rsidRPr="00441526">
        <w:rPr>
          <w:b/>
          <w:lang w:val="en-NZ" w:eastAsia="ko-KR"/>
        </w:rPr>
        <w:t xml:space="preserve"> </w:t>
      </w:r>
      <w:r w:rsidR="00C755FA" w:rsidRPr="00441526">
        <w:t xml:space="preserve">- </w:t>
      </w:r>
      <w:r w:rsidR="00C755FA" w:rsidRPr="00441526">
        <w:rPr>
          <w:b/>
          <w:lang w:val="en-NZ" w:eastAsia="ko-KR"/>
        </w:rPr>
        <w:t>Document APG19-</w:t>
      </w:r>
      <w:r w:rsidR="00C755FA">
        <w:rPr>
          <w:b/>
          <w:lang w:val="en-NZ" w:eastAsia="ko-KR"/>
        </w:rPr>
        <w:t>4</w:t>
      </w:r>
      <w:r w:rsidR="00C755FA" w:rsidRPr="00441526">
        <w:rPr>
          <w:b/>
          <w:lang w:val="en-NZ" w:eastAsia="ko-KR"/>
        </w:rPr>
        <w:t>/INP-</w:t>
      </w:r>
      <w:r w:rsidR="00C755FA">
        <w:rPr>
          <w:b/>
          <w:lang w:val="en-NZ" w:eastAsia="ko-KR"/>
        </w:rPr>
        <w:t>93</w:t>
      </w:r>
    </w:p>
    <w:p w14:paraId="00078EA5" w14:textId="77777777" w:rsidR="00C755FA" w:rsidRPr="007A040B" w:rsidRDefault="00C755FA" w:rsidP="00C755FA">
      <w:pPr>
        <w:numPr>
          <w:ilvl w:val="0"/>
          <w:numId w:val="18"/>
        </w:numPr>
        <w:ind w:leftChars="145" w:left="708"/>
        <w:jc w:val="both"/>
        <w:rPr>
          <w:lang w:val="en-NZ"/>
        </w:rPr>
      </w:pPr>
      <w:r w:rsidRPr="007A040B">
        <w:rPr>
          <w:lang w:val="en-NZ"/>
        </w:rPr>
        <w:t xml:space="preserve">Based on Table 10 of </w:t>
      </w:r>
      <w:hyperlink r:id="rId26" w:history="1">
        <w:r w:rsidRPr="007A040B">
          <w:rPr>
            <w:lang w:val="en-NZ"/>
          </w:rPr>
          <w:t>Report ITU-R SA</w:t>
        </w:r>
        <w:proofErr w:type="gramStart"/>
        <w:r w:rsidRPr="007A040B">
          <w:rPr>
            <w:lang w:val="en-NZ"/>
          </w:rPr>
          <w:t>.[</w:t>
        </w:r>
        <w:proofErr w:type="gramEnd"/>
        <w:r w:rsidRPr="007A040B">
          <w:rPr>
            <w:lang w:val="en-NZ"/>
          </w:rPr>
          <w:t>460 MHZ METSAT-EESS]</w:t>
        </w:r>
      </w:hyperlink>
      <w:r w:rsidRPr="007A040B">
        <w:rPr>
          <w:lang w:val="en-NZ"/>
        </w:rPr>
        <w:t xml:space="preserve">, it is noted that the I/N value used had not taken into consideration applications with greater protection requirements, such as Public Protection and Disaster Relief (PPDR). As such, even if the </w:t>
      </w:r>
      <w:proofErr w:type="spellStart"/>
      <w:r w:rsidRPr="007A040B">
        <w:rPr>
          <w:lang w:val="en-NZ"/>
        </w:rPr>
        <w:t>pfd</w:t>
      </w:r>
      <w:proofErr w:type="spellEnd"/>
      <w:r w:rsidRPr="007A040B">
        <w:rPr>
          <w:lang w:val="en-NZ"/>
        </w:rPr>
        <w:t xml:space="preserve"> limits proposed in Method B can protect mobile applications in the band 460-470 MHz it is not certain that the limits can protect PPDR mobile applications that require an I/N of -10 </w:t>
      </w:r>
      <w:proofErr w:type="spellStart"/>
      <w:r w:rsidRPr="007A040B">
        <w:rPr>
          <w:lang w:val="en-NZ"/>
        </w:rPr>
        <w:t>dB.</w:t>
      </w:r>
      <w:proofErr w:type="spellEnd"/>
    </w:p>
    <w:p w14:paraId="3CF7F329" w14:textId="77777777" w:rsidR="00C755FA" w:rsidRPr="007A040B" w:rsidRDefault="00C755FA" w:rsidP="00C755FA">
      <w:pPr>
        <w:ind w:left="708"/>
        <w:jc w:val="both"/>
        <w:rPr>
          <w:lang w:val="en-NZ"/>
        </w:rPr>
      </w:pPr>
      <w:r w:rsidRPr="007A040B">
        <w:rPr>
          <w:lang w:val="en-NZ"/>
        </w:rPr>
        <w:t xml:space="preserve">As such, given that there is no certainty that </w:t>
      </w:r>
      <w:proofErr w:type="spellStart"/>
      <w:r w:rsidRPr="007A040B">
        <w:rPr>
          <w:lang w:val="en-NZ"/>
        </w:rPr>
        <w:t>pfd</w:t>
      </w:r>
      <w:proofErr w:type="spellEnd"/>
      <w:r w:rsidRPr="007A040B">
        <w:rPr>
          <w:lang w:val="en-NZ"/>
        </w:rPr>
        <w:t xml:space="preserve"> limits proposed in Method B can ensure the protection of existing mobile service and not constraint the future </w:t>
      </w:r>
      <w:r w:rsidRPr="007A040B">
        <w:rPr>
          <w:lang w:val="en-NZ"/>
        </w:rPr>
        <w:lastRenderedPageBreak/>
        <w:t>development of the service in the frequency band 460-470 MHz, Singapore is of the view that Method A is the alternative.</w:t>
      </w:r>
    </w:p>
    <w:p w14:paraId="68C8E123" w14:textId="450088E6" w:rsidR="00C755FA" w:rsidRDefault="007A040B" w:rsidP="004D20BB">
      <w:pPr>
        <w:spacing w:before="240" w:after="120"/>
        <w:jc w:val="both"/>
        <w:rPr>
          <w:lang w:val="en-NZ"/>
        </w:rPr>
      </w:pPr>
      <w:r w:rsidRPr="00441526">
        <w:rPr>
          <w:b/>
          <w:lang w:val="en-NZ" w:eastAsia="ko-KR"/>
        </w:rPr>
        <w:t>3.1.</w:t>
      </w:r>
      <w:r w:rsidR="006648E5">
        <w:rPr>
          <w:b/>
          <w:lang w:val="en-NZ" w:eastAsia="ko-KR"/>
        </w:rPr>
        <w:t>6</w:t>
      </w:r>
      <w:r w:rsidRPr="00441526">
        <w:rPr>
          <w:b/>
          <w:lang w:val="en-NZ" w:eastAsia="ko-KR"/>
        </w:rPr>
        <w:tab/>
      </w:r>
      <w:r w:rsidR="00C755FA">
        <w:rPr>
          <w:b/>
          <w:lang w:val="en-NZ" w:eastAsia="ko-KR"/>
        </w:rPr>
        <w:t>China</w:t>
      </w:r>
      <w:r w:rsidR="00C755FA" w:rsidRPr="00441526">
        <w:rPr>
          <w:b/>
          <w:lang w:val="en-NZ" w:eastAsia="ko-KR"/>
        </w:rPr>
        <w:t xml:space="preserve"> </w:t>
      </w:r>
      <w:r w:rsidR="00C755FA" w:rsidRPr="00441526">
        <w:t xml:space="preserve">- </w:t>
      </w:r>
      <w:r w:rsidR="00C755FA" w:rsidRPr="00441526">
        <w:rPr>
          <w:b/>
          <w:lang w:val="en-NZ" w:eastAsia="ko-KR"/>
        </w:rPr>
        <w:t>Document APG19-</w:t>
      </w:r>
      <w:r w:rsidR="00C755FA">
        <w:rPr>
          <w:b/>
          <w:lang w:val="en-NZ" w:eastAsia="ko-KR"/>
        </w:rPr>
        <w:t>4</w:t>
      </w:r>
      <w:r w:rsidR="00C755FA" w:rsidRPr="00441526">
        <w:rPr>
          <w:b/>
          <w:lang w:val="en-NZ" w:eastAsia="ko-KR"/>
        </w:rPr>
        <w:t>/INP-</w:t>
      </w:r>
      <w:r w:rsidR="00C755FA">
        <w:rPr>
          <w:b/>
          <w:lang w:val="en-NZ" w:eastAsia="ko-KR"/>
        </w:rPr>
        <w:t>97</w:t>
      </w:r>
    </w:p>
    <w:p w14:paraId="7A2539B7" w14:textId="7D71F339" w:rsidR="007A040B" w:rsidRPr="006648E5" w:rsidRDefault="00C755FA" w:rsidP="006648E5">
      <w:pPr>
        <w:numPr>
          <w:ilvl w:val="0"/>
          <w:numId w:val="18"/>
        </w:numPr>
        <w:ind w:leftChars="145" w:left="708"/>
        <w:jc w:val="both"/>
        <w:rPr>
          <w:lang w:val="en-NZ"/>
        </w:rPr>
      </w:pPr>
      <w:r w:rsidRPr="006648E5">
        <w:rPr>
          <w:lang w:val="en-NZ"/>
        </w:rPr>
        <w:t xml:space="preserve">China supports the studies on this agenda item carried out in ITU-R WP 7B and </w:t>
      </w:r>
      <w:r w:rsidRPr="006648E5">
        <w:rPr>
          <w:rFonts w:hint="eastAsia"/>
          <w:lang w:val="en-NZ"/>
        </w:rPr>
        <w:t>does not oppose</w:t>
      </w:r>
      <w:r w:rsidRPr="006648E5">
        <w:rPr>
          <w:lang w:val="en-NZ"/>
        </w:rPr>
        <w:t xml:space="preserve"> the possible upgrading of </w:t>
      </w:r>
      <w:proofErr w:type="spellStart"/>
      <w:r w:rsidRPr="006648E5">
        <w:rPr>
          <w:lang w:val="en-NZ"/>
        </w:rPr>
        <w:t>MetSat</w:t>
      </w:r>
      <w:proofErr w:type="spellEnd"/>
      <w:r w:rsidRPr="006648E5">
        <w:rPr>
          <w:lang w:val="en-NZ"/>
        </w:rPr>
        <w:t xml:space="preserve"> (space-to-Earth) allocation from secondary to primary status and a primary EESS (space-to-Earth) allocation, </w:t>
      </w:r>
      <w:r w:rsidRPr="006648E5">
        <w:rPr>
          <w:rFonts w:hint="eastAsia"/>
          <w:lang w:val="en-NZ"/>
        </w:rPr>
        <w:t>providing that</w:t>
      </w:r>
      <w:r w:rsidRPr="006648E5">
        <w:rPr>
          <w:lang w:val="en-NZ"/>
        </w:rPr>
        <w:t xml:space="preserve"> the priority of </w:t>
      </w:r>
      <w:proofErr w:type="spellStart"/>
      <w:r w:rsidRPr="006648E5">
        <w:rPr>
          <w:lang w:val="en-NZ"/>
        </w:rPr>
        <w:t>MetSat</w:t>
      </w:r>
      <w:proofErr w:type="spellEnd"/>
      <w:r w:rsidRPr="006648E5">
        <w:rPr>
          <w:lang w:val="en-NZ"/>
        </w:rPr>
        <w:t xml:space="preserve"> over EESS</w:t>
      </w:r>
      <w:r w:rsidRPr="006648E5">
        <w:rPr>
          <w:rFonts w:hint="eastAsia"/>
          <w:lang w:val="en-NZ"/>
        </w:rPr>
        <w:t xml:space="preserve"> is retained</w:t>
      </w:r>
      <w:r w:rsidRPr="006648E5">
        <w:rPr>
          <w:lang w:val="en-NZ"/>
        </w:rPr>
        <w:t xml:space="preserve">, and the protection of current primary services in this frequency band and in </w:t>
      </w:r>
      <w:r w:rsidRPr="006648E5">
        <w:rPr>
          <w:rFonts w:hint="eastAsia"/>
          <w:lang w:val="en-NZ"/>
        </w:rPr>
        <w:t xml:space="preserve">the </w:t>
      </w:r>
      <w:r w:rsidRPr="006648E5">
        <w:rPr>
          <w:lang w:val="en-NZ"/>
        </w:rPr>
        <w:t>adjacent frequency bands</w:t>
      </w:r>
      <w:r w:rsidRPr="006648E5">
        <w:rPr>
          <w:rFonts w:hint="eastAsia"/>
          <w:lang w:val="en-NZ"/>
        </w:rPr>
        <w:t xml:space="preserve"> is ensured</w:t>
      </w:r>
      <w:r w:rsidRPr="006648E5">
        <w:rPr>
          <w:lang w:val="en-NZ"/>
        </w:rPr>
        <w:t>.</w:t>
      </w:r>
    </w:p>
    <w:p w14:paraId="6A3B7401" w14:textId="77777777" w:rsidR="007A040B" w:rsidRDefault="007A040B" w:rsidP="00AC72FA">
      <w:pPr>
        <w:jc w:val="both"/>
        <w:rPr>
          <w:lang w:val="en-NZ"/>
        </w:rPr>
      </w:pPr>
    </w:p>
    <w:p w14:paraId="58DA2323" w14:textId="0A0B760A" w:rsidR="007A040B" w:rsidRDefault="00736E7A" w:rsidP="006648E5">
      <w:pPr>
        <w:spacing w:after="120"/>
        <w:jc w:val="both"/>
        <w:rPr>
          <w:b/>
          <w:lang w:val="en-NZ" w:eastAsia="ko-KR"/>
        </w:rPr>
      </w:pPr>
      <w:r w:rsidRPr="00441526">
        <w:rPr>
          <w:b/>
          <w:lang w:val="en-NZ" w:eastAsia="ko-KR"/>
        </w:rPr>
        <w:t>3.1.</w:t>
      </w:r>
      <w:r w:rsidR="006648E5">
        <w:rPr>
          <w:b/>
          <w:lang w:val="en-NZ" w:eastAsia="ko-KR"/>
        </w:rPr>
        <w:t>7</w:t>
      </w:r>
      <w:r w:rsidRPr="00441526">
        <w:rPr>
          <w:b/>
          <w:lang w:val="en-NZ" w:eastAsia="ko-KR"/>
        </w:rPr>
        <w:tab/>
      </w:r>
      <w:r>
        <w:rPr>
          <w:b/>
          <w:lang w:val="en-NZ" w:eastAsia="ko-KR"/>
        </w:rPr>
        <w:t>India</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115</w:t>
      </w:r>
    </w:p>
    <w:p w14:paraId="6EC3121D" w14:textId="09244895" w:rsidR="00736E7A" w:rsidRDefault="00736E7A" w:rsidP="00736E7A">
      <w:pPr>
        <w:numPr>
          <w:ilvl w:val="0"/>
          <w:numId w:val="18"/>
        </w:numPr>
        <w:ind w:leftChars="145" w:left="708"/>
        <w:jc w:val="both"/>
        <w:rPr>
          <w:lang w:val="en-NZ"/>
        </w:rPr>
      </w:pPr>
      <w:r w:rsidRPr="00736E7A">
        <w:rPr>
          <w:lang w:val="en-NZ"/>
        </w:rPr>
        <w:t>Consistent with the preliminary view of the previous APG meeting, and noting that Method B can’t ensure the protection of existing mobile service and that it will constraint the future development of the mobile service in the frequency band 460-470 MHz, India supports Method A  with NO CHANGE to this band</w:t>
      </w:r>
      <w:r>
        <w:rPr>
          <w:lang w:val="en-NZ"/>
        </w:rPr>
        <w:t>.</w:t>
      </w:r>
    </w:p>
    <w:p w14:paraId="4EA111F8" w14:textId="77777777" w:rsidR="00B06CD4" w:rsidRDefault="00B06CD4" w:rsidP="00B06CD4">
      <w:pPr>
        <w:ind w:left="348"/>
        <w:jc w:val="both"/>
        <w:rPr>
          <w:lang w:val="en-NZ"/>
        </w:rPr>
      </w:pPr>
    </w:p>
    <w:p w14:paraId="618BB9B1" w14:textId="69C30A10" w:rsidR="00736E7A" w:rsidRPr="00736E7A" w:rsidRDefault="00736E7A" w:rsidP="006648E5">
      <w:pPr>
        <w:spacing w:after="120"/>
        <w:ind w:left="-86"/>
        <w:jc w:val="both"/>
        <w:rPr>
          <w:b/>
          <w:lang w:val="en-NZ" w:eastAsia="ko-KR"/>
        </w:rPr>
      </w:pPr>
      <w:r w:rsidRPr="00736E7A">
        <w:rPr>
          <w:b/>
          <w:lang w:val="en-NZ" w:eastAsia="ko-KR"/>
        </w:rPr>
        <w:t>3.1.</w:t>
      </w:r>
      <w:r w:rsidR="006648E5">
        <w:rPr>
          <w:b/>
          <w:lang w:val="en-NZ" w:eastAsia="ko-KR"/>
        </w:rPr>
        <w:t>8</w:t>
      </w:r>
      <w:r w:rsidRPr="00736E7A">
        <w:rPr>
          <w:b/>
          <w:lang w:val="en-NZ" w:eastAsia="ko-KR"/>
        </w:rPr>
        <w:tab/>
        <w:t>Ind</w:t>
      </w:r>
      <w:r>
        <w:rPr>
          <w:b/>
          <w:lang w:val="en-NZ" w:eastAsia="ko-KR"/>
        </w:rPr>
        <w:t>ones</w:t>
      </w:r>
      <w:r w:rsidRPr="00736E7A">
        <w:rPr>
          <w:b/>
          <w:lang w:val="en-NZ" w:eastAsia="ko-KR"/>
        </w:rPr>
        <w:t xml:space="preserve">ia </w:t>
      </w:r>
      <w:r w:rsidRPr="00441526">
        <w:t xml:space="preserve">- </w:t>
      </w:r>
      <w:r w:rsidRPr="00736E7A">
        <w:rPr>
          <w:b/>
          <w:lang w:val="en-NZ" w:eastAsia="ko-KR"/>
        </w:rPr>
        <w:t>Document APG19-4/INP-</w:t>
      </w:r>
      <w:r w:rsidR="00B42D5B" w:rsidRPr="00736E7A">
        <w:rPr>
          <w:b/>
          <w:lang w:val="en-NZ" w:eastAsia="ko-KR"/>
        </w:rPr>
        <w:t>1</w:t>
      </w:r>
      <w:r w:rsidR="00B42D5B">
        <w:rPr>
          <w:b/>
          <w:lang w:val="en-NZ" w:eastAsia="ko-KR"/>
        </w:rPr>
        <w:t>21</w:t>
      </w:r>
    </w:p>
    <w:p w14:paraId="7224BE93" w14:textId="77777777" w:rsidR="00736E7A" w:rsidRDefault="00736E7A" w:rsidP="00736E7A">
      <w:pPr>
        <w:numPr>
          <w:ilvl w:val="0"/>
          <w:numId w:val="18"/>
        </w:numPr>
        <w:ind w:leftChars="145" w:left="708"/>
        <w:jc w:val="both"/>
        <w:rPr>
          <w:lang w:val="en-NZ"/>
        </w:rPr>
      </w:pPr>
      <w:r>
        <w:rPr>
          <w:lang w:val="en-NZ"/>
        </w:rPr>
        <w:t xml:space="preserve">Indonesia support further ITU-R sharing and compatibility study for a possible upgrading of </w:t>
      </w:r>
      <w:proofErr w:type="spellStart"/>
      <w:r>
        <w:rPr>
          <w:lang w:val="en-NZ"/>
        </w:rPr>
        <w:t>MetSat</w:t>
      </w:r>
      <w:proofErr w:type="spellEnd"/>
      <w:r>
        <w:rPr>
          <w:lang w:val="en-NZ"/>
        </w:rPr>
        <w:t xml:space="preserve"> </w:t>
      </w:r>
      <w:r w:rsidRPr="00736E7A">
        <w:rPr>
          <w:lang w:val="en-NZ"/>
        </w:rPr>
        <w:t xml:space="preserve">(space-to-earth) </w:t>
      </w:r>
      <w:r>
        <w:rPr>
          <w:lang w:val="en-NZ"/>
        </w:rPr>
        <w:t xml:space="preserve">from secondary </w:t>
      </w:r>
      <w:r w:rsidRPr="00736E7A">
        <w:rPr>
          <w:lang w:val="en-NZ"/>
        </w:rPr>
        <w:t xml:space="preserve">to primary allocation, and possible addition of EESS (space-to-earth) to a primary allocation in accordance with Resolution 766 (WRC-15), provided that the priority of </w:t>
      </w:r>
      <w:proofErr w:type="spellStart"/>
      <w:r w:rsidRPr="00736E7A">
        <w:rPr>
          <w:lang w:val="en-NZ"/>
        </w:rPr>
        <w:t>MetSat</w:t>
      </w:r>
      <w:proofErr w:type="spellEnd"/>
      <w:r w:rsidRPr="00736E7A">
        <w:rPr>
          <w:lang w:val="en-NZ"/>
        </w:rPr>
        <w:t xml:space="preserve"> over EESS is maintained.</w:t>
      </w:r>
    </w:p>
    <w:p w14:paraId="06B0096A" w14:textId="77777777" w:rsidR="00736E7A" w:rsidRPr="00F81FAD" w:rsidRDefault="00736E7A" w:rsidP="0023178E">
      <w:pPr>
        <w:ind w:left="708"/>
        <w:jc w:val="both"/>
        <w:rPr>
          <w:lang w:val="en-NZ"/>
        </w:rPr>
      </w:pPr>
      <w:r w:rsidRPr="00736E7A">
        <w:rPr>
          <w:lang w:val="en-NZ"/>
        </w:rPr>
        <w:t>The protection of the existing and future fixed and mobile services in the frequency band 460-470 MHz are ensured, and no additional constraints to the existing and future fixed and mobile services in that frequency band are imposed.</w:t>
      </w:r>
    </w:p>
    <w:p w14:paraId="4C9AD6E6" w14:textId="2A65CC4D" w:rsidR="00736E7A" w:rsidRPr="00441526" w:rsidRDefault="00736E7A" w:rsidP="004D20BB">
      <w:pPr>
        <w:spacing w:after="240"/>
        <w:ind w:left="708"/>
        <w:jc w:val="both"/>
        <w:rPr>
          <w:lang w:val="en-NZ"/>
        </w:rPr>
      </w:pPr>
      <w:r w:rsidRPr="00736E7A">
        <w:rPr>
          <w:lang w:val="en-NZ"/>
        </w:rPr>
        <w:t xml:space="preserve">The </w:t>
      </w:r>
      <w:proofErr w:type="spellStart"/>
      <w:r w:rsidRPr="00736E7A">
        <w:rPr>
          <w:lang w:val="en-NZ"/>
        </w:rPr>
        <w:t>MetSat</w:t>
      </w:r>
      <w:proofErr w:type="spellEnd"/>
      <w:r w:rsidRPr="00736E7A">
        <w:rPr>
          <w:lang w:val="en-NZ"/>
        </w:rPr>
        <w:t xml:space="preserve"> and EESS stations shall not claim protection from fixed and mobile services.</w:t>
      </w:r>
    </w:p>
    <w:p w14:paraId="6E378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75DAE9D2" w14:textId="139E782F" w:rsidR="002A0111" w:rsidRDefault="00CE7D9A" w:rsidP="003D3D47">
      <w:pPr>
        <w:numPr>
          <w:ilvl w:val="0"/>
          <w:numId w:val="18"/>
        </w:numPr>
        <w:ind w:leftChars="145" w:left="708"/>
        <w:jc w:val="both"/>
        <w:rPr>
          <w:lang w:val="en-NZ"/>
        </w:rPr>
      </w:pPr>
      <w:r>
        <w:rPr>
          <w:lang w:val="en-NZ"/>
        </w:rPr>
        <w:t xml:space="preserve">Consideration to include </w:t>
      </w:r>
      <w:proofErr w:type="gramStart"/>
      <w:r>
        <w:rPr>
          <w:lang w:val="en-NZ"/>
        </w:rPr>
        <w:t>I/N</w:t>
      </w:r>
      <w:proofErr w:type="gramEnd"/>
      <w:r>
        <w:rPr>
          <w:lang w:val="en-NZ"/>
        </w:rPr>
        <w:t xml:space="preserve"> protection criteria into the background of this document, as advised by India and Singapore. </w:t>
      </w:r>
    </w:p>
    <w:p w14:paraId="01EDF0BE" w14:textId="576113C0" w:rsidR="00A4532D" w:rsidRDefault="007319E0" w:rsidP="003D3D47">
      <w:pPr>
        <w:numPr>
          <w:ilvl w:val="0"/>
          <w:numId w:val="18"/>
        </w:numPr>
        <w:ind w:leftChars="145" w:left="708"/>
        <w:jc w:val="both"/>
        <w:rPr>
          <w:lang w:val="en-NZ"/>
        </w:rPr>
      </w:pPr>
      <w:r>
        <w:rPr>
          <w:lang w:val="en-NZ"/>
        </w:rPr>
        <w:t>It should be taken into account that the upgrading decision will be taken after the further</w:t>
      </w:r>
      <w:r w:rsidR="00F42645">
        <w:rPr>
          <w:lang w:val="en-NZ"/>
        </w:rPr>
        <w:t xml:space="preserve"> ITU-R</w:t>
      </w:r>
      <w:r>
        <w:rPr>
          <w:lang w:val="en-NZ"/>
        </w:rPr>
        <w:t xml:space="preserve"> study w.r.t this issue come out.</w:t>
      </w:r>
    </w:p>
    <w:p w14:paraId="14A56E6F" w14:textId="06D3E1F5" w:rsidR="00AB5DDE" w:rsidRDefault="00AB5DDE" w:rsidP="003D3D47">
      <w:pPr>
        <w:numPr>
          <w:ilvl w:val="0"/>
          <w:numId w:val="18"/>
        </w:numPr>
        <w:ind w:leftChars="145" w:left="708"/>
        <w:jc w:val="both"/>
        <w:rPr>
          <w:lang w:val="en-NZ"/>
        </w:rPr>
      </w:pPr>
      <w:r>
        <w:rPr>
          <w:lang w:val="en-NZ"/>
        </w:rPr>
        <w:t xml:space="preserve">It is a matter of urgency to consider the appropriate I/N protection criteria related to PPDR in the next CPM meeting, and APT members are encouraged to submit to </w:t>
      </w:r>
      <w:r w:rsidR="00451D50">
        <w:rPr>
          <w:lang w:val="en-NZ"/>
        </w:rPr>
        <w:t xml:space="preserve">WP7B </w:t>
      </w:r>
      <w:r>
        <w:rPr>
          <w:lang w:val="en-NZ"/>
        </w:rPr>
        <w:t xml:space="preserve">and </w:t>
      </w:r>
      <w:r w:rsidR="00451D50">
        <w:rPr>
          <w:lang w:val="en-NZ"/>
        </w:rPr>
        <w:t xml:space="preserve">SG7 </w:t>
      </w:r>
      <w:r>
        <w:rPr>
          <w:lang w:val="en-NZ"/>
        </w:rPr>
        <w:t>their studies with regard to this issue</w:t>
      </w:r>
      <w:r w:rsidR="00481AF2">
        <w:rPr>
          <w:lang w:val="en-NZ"/>
        </w:rPr>
        <w:t>.</w:t>
      </w:r>
    </w:p>
    <w:p w14:paraId="6A491BC4" w14:textId="77777777" w:rsidR="002A0111" w:rsidRPr="00441526" w:rsidRDefault="002A0111" w:rsidP="003D3D47">
      <w:pPr>
        <w:jc w:val="both"/>
        <w:rPr>
          <w:lang w:val="en-NZ"/>
        </w:rPr>
      </w:pPr>
    </w:p>
    <w:p w14:paraId="73A40A65" w14:textId="3AC1379D"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11A7C5CA" w14:textId="7A65ED43" w:rsidR="00B877A7" w:rsidRPr="00117E82" w:rsidRDefault="002A1187" w:rsidP="00A976A0">
      <w:pPr>
        <w:numPr>
          <w:ilvl w:val="0"/>
          <w:numId w:val="18"/>
        </w:numPr>
        <w:ind w:leftChars="145" w:left="708"/>
        <w:jc w:val="both"/>
        <w:rPr>
          <w:lang w:val="en-NZ"/>
        </w:rPr>
      </w:pPr>
      <w:r w:rsidRPr="002D099F">
        <w:t xml:space="preserve">APT members support </w:t>
      </w:r>
      <w:r w:rsidR="00F82068">
        <w:t>further</w:t>
      </w:r>
      <w:r w:rsidRPr="002D099F">
        <w:t xml:space="preserve"> ITU-R </w:t>
      </w:r>
      <w:r w:rsidR="00F82068">
        <w:t xml:space="preserve">sharing and compatibility </w:t>
      </w:r>
      <w:r w:rsidRPr="002D099F">
        <w:t xml:space="preserve">studies in accordance with Resolution </w:t>
      </w:r>
      <w:r w:rsidRPr="00914310">
        <w:rPr>
          <w:b/>
        </w:rPr>
        <w:t>766 (WRC-15)</w:t>
      </w:r>
      <w:r w:rsidR="00A976A0">
        <w:rPr>
          <w:lang w:val="en-NZ"/>
        </w:rPr>
        <w:t>,</w:t>
      </w:r>
      <w:r w:rsidRPr="002D099F">
        <w:t xml:space="preserve">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w:t>
      </w:r>
      <w:r w:rsidRPr="0004673A">
        <w:rPr>
          <w:lang w:val="id-ID"/>
        </w:rPr>
        <w:t>-</w:t>
      </w:r>
      <w:r w:rsidRPr="002D099F">
        <w:t xml:space="preserve">470 </w:t>
      </w:r>
      <w:proofErr w:type="spellStart"/>
      <w:r w:rsidRPr="002D099F">
        <w:t>MHz</w:t>
      </w:r>
      <w:r w:rsidR="00B877A7">
        <w:t>.</w:t>
      </w:r>
      <w:proofErr w:type="spellEnd"/>
      <w:r w:rsidRPr="002D099F">
        <w:t xml:space="preserve">  </w:t>
      </w:r>
    </w:p>
    <w:p w14:paraId="50A3D175" w14:textId="66D80A1C" w:rsidR="002A0111" w:rsidRPr="00717F30" w:rsidRDefault="00B877A7" w:rsidP="00A976A0">
      <w:pPr>
        <w:numPr>
          <w:ilvl w:val="0"/>
          <w:numId w:val="18"/>
        </w:numPr>
        <w:ind w:leftChars="145" w:left="708"/>
        <w:jc w:val="both"/>
        <w:rPr>
          <w:lang w:val="en-NZ"/>
        </w:rPr>
      </w:pPr>
      <w:r>
        <w:t>T</w:t>
      </w:r>
      <w:r w:rsidR="002A1187" w:rsidRPr="002D099F">
        <w:t xml:space="preserve">he appropriate measures are </w:t>
      </w:r>
      <w:r>
        <w:t xml:space="preserve">necessary to be </w:t>
      </w:r>
      <w:r w:rsidR="002A1187" w:rsidRPr="002D099F">
        <w:t>taken to ensure the protection of existing</w:t>
      </w:r>
      <w:r w:rsidR="002A1187" w:rsidRPr="0004673A">
        <w:rPr>
          <w:lang w:val="id-ID"/>
        </w:rPr>
        <w:t xml:space="preserve"> fixed, mobile, and broadcasting</w:t>
      </w:r>
      <w:r w:rsidR="002A1187" w:rsidRPr="002D099F">
        <w:t xml:space="preserve"> services</w:t>
      </w:r>
      <w:r w:rsidR="002A1187" w:rsidRPr="0004673A">
        <w:rPr>
          <w:lang w:val="id-ID"/>
        </w:rPr>
        <w:t xml:space="preserve"> and not to constraint their future developments</w:t>
      </w:r>
      <w:r w:rsidR="002A1187" w:rsidRPr="002D099F">
        <w:t xml:space="preserve"> in the frequency band 460-470 MHz and in the adjacent bands</w:t>
      </w:r>
      <w:r w:rsidR="002A1187">
        <w:t xml:space="preserve">, </w:t>
      </w:r>
      <w:r w:rsidR="002A1187" w:rsidRPr="004B6A81">
        <w:t xml:space="preserve">and stations of the EESS and </w:t>
      </w:r>
      <w:proofErr w:type="spellStart"/>
      <w:r w:rsidR="002A1187" w:rsidRPr="004B6A81">
        <w:t>MetSat</w:t>
      </w:r>
      <w:proofErr w:type="spellEnd"/>
      <w:r w:rsidR="002A1187" w:rsidRPr="004B6A81">
        <w:t xml:space="preserve"> services shall not claim protection from the fixed</w:t>
      </w:r>
      <w:r>
        <w:t>,</w:t>
      </w:r>
      <w:r w:rsidR="002A1187" w:rsidRPr="004B6A81">
        <w:t xml:space="preserve"> mobile</w:t>
      </w:r>
      <w:r>
        <w:t xml:space="preserve">, and </w:t>
      </w:r>
      <w:r>
        <w:lastRenderedPageBreak/>
        <w:t>broadcasting</w:t>
      </w:r>
      <w:r w:rsidR="002A1187" w:rsidRPr="004B6A81">
        <w:t xml:space="preserve"> services</w:t>
      </w:r>
      <w:r w:rsidR="00717F30">
        <w:t>.</w:t>
      </w:r>
      <w:r w:rsidR="002A1187" w:rsidRPr="002D099F">
        <w:t xml:space="preserve"> APT members also note that the priority of Met</w:t>
      </w:r>
      <w:r w:rsidR="002A1187" w:rsidRPr="0004673A">
        <w:rPr>
          <w:lang w:val="id-ID"/>
        </w:rPr>
        <w:t>S</w:t>
      </w:r>
      <w:r w:rsidR="002A1187" w:rsidRPr="002D099F">
        <w:t>at over EESS should be maintained.</w:t>
      </w:r>
      <w:r w:rsidR="002A1187">
        <w:t xml:space="preserve"> </w:t>
      </w:r>
    </w:p>
    <w:p w14:paraId="7268F972" w14:textId="5F59129D" w:rsidR="00717F30" w:rsidRPr="009F1AFD" w:rsidRDefault="009F1AFD" w:rsidP="00A976A0">
      <w:pPr>
        <w:numPr>
          <w:ilvl w:val="0"/>
          <w:numId w:val="18"/>
        </w:numPr>
        <w:ind w:leftChars="145" w:left="708"/>
        <w:jc w:val="both"/>
        <w:rPr>
          <w:lang w:val="en-NZ"/>
        </w:rPr>
      </w:pPr>
      <w:r w:rsidRPr="002D099F">
        <w:t xml:space="preserve">APT members </w:t>
      </w:r>
      <w:r>
        <w:rPr>
          <w:lang w:val="en-NZ"/>
        </w:rPr>
        <w:t>note</w:t>
      </w:r>
      <w:r w:rsidRPr="002A34FF">
        <w:rPr>
          <w:lang w:val="en-NZ"/>
        </w:rPr>
        <w:t xml:space="preserve"> that further </w:t>
      </w:r>
      <w:r>
        <w:rPr>
          <w:lang w:val="en-NZ"/>
        </w:rPr>
        <w:t>studies</w:t>
      </w:r>
      <w:r w:rsidRPr="002A34FF">
        <w:rPr>
          <w:lang w:val="en-NZ"/>
        </w:rPr>
        <w:t xml:space="preserve"> </w:t>
      </w:r>
      <w:r>
        <w:rPr>
          <w:lang w:val="en-NZ"/>
        </w:rPr>
        <w:t>are</w:t>
      </w:r>
      <w:r w:rsidRPr="002A34FF">
        <w:rPr>
          <w:lang w:val="en-NZ"/>
        </w:rPr>
        <w:t xml:space="preserve"> required to address </w:t>
      </w:r>
      <w:r>
        <w:rPr>
          <w:lang w:val="en-NZ"/>
        </w:rPr>
        <w:t xml:space="preserve">appropriate </w:t>
      </w:r>
      <w:proofErr w:type="gramStart"/>
      <w:r>
        <w:rPr>
          <w:lang w:val="en-NZ"/>
        </w:rPr>
        <w:t>I/N</w:t>
      </w:r>
      <w:proofErr w:type="gramEnd"/>
      <w:r>
        <w:rPr>
          <w:lang w:val="en-NZ"/>
        </w:rPr>
        <w:t xml:space="preserve"> protection criteria with regard to the PPDR </w:t>
      </w:r>
      <w:r w:rsidR="002431CF">
        <w:rPr>
          <w:lang w:val="en-NZ"/>
        </w:rPr>
        <w:t>systems</w:t>
      </w:r>
      <w:r>
        <w:rPr>
          <w:lang w:val="en-NZ"/>
        </w:rPr>
        <w:t xml:space="preserve">. </w:t>
      </w:r>
      <w:r w:rsidRPr="009F1AFD">
        <w:rPr>
          <w:rFonts w:eastAsia="Times New Roman"/>
          <w:color w:val="222222"/>
        </w:rPr>
        <w:t>The decision on which Method to adopt will depend on the outcome of those studies.</w:t>
      </w:r>
    </w:p>
    <w:p w14:paraId="273A974C" w14:textId="77777777" w:rsidR="00717F30" w:rsidRPr="009F1AFD" w:rsidRDefault="00717F30" w:rsidP="009F1AFD">
      <w:pPr>
        <w:numPr>
          <w:ilvl w:val="0"/>
          <w:numId w:val="18"/>
        </w:numPr>
        <w:ind w:leftChars="145" w:left="708"/>
        <w:jc w:val="both"/>
      </w:pPr>
      <w:r w:rsidRPr="009F1AFD">
        <w:t xml:space="preserve">Stations of the EESS and </w:t>
      </w:r>
      <w:proofErr w:type="spellStart"/>
      <w:r w:rsidRPr="009F1AFD">
        <w:t>MetSat</w:t>
      </w:r>
      <w:proofErr w:type="spellEnd"/>
      <w:r w:rsidRPr="009F1AFD">
        <w:t xml:space="preserve"> services shall not cause harmful interference to fixed, mobile, and broadcasting services in 460-470 MHz and adjacent bands. APT members note that further studies are required to address appropriate </w:t>
      </w:r>
      <w:proofErr w:type="spellStart"/>
      <w:r w:rsidRPr="009F1AFD">
        <w:t>pfd</w:t>
      </w:r>
      <w:proofErr w:type="spellEnd"/>
      <w:r w:rsidRPr="009F1AFD">
        <w:t xml:space="preserve"> limits for GSO and non-GSO satellites to ensure this. </w:t>
      </w:r>
    </w:p>
    <w:p w14:paraId="37A74514" w14:textId="77777777" w:rsidR="002A0111" w:rsidRPr="00441526" w:rsidRDefault="002A0111" w:rsidP="002A0111">
      <w:pPr>
        <w:rPr>
          <w:lang w:val="en-NZ"/>
        </w:rPr>
      </w:pPr>
    </w:p>
    <w:p w14:paraId="2711E65C"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4796D1F9" w14:textId="135E523B" w:rsidR="009F1AFD" w:rsidRPr="009F1AFD" w:rsidRDefault="009F1AFD" w:rsidP="009F1AFD">
      <w:pPr>
        <w:numPr>
          <w:ilvl w:val="0"/>
          <w:numId w:val="18"/>
        </w:numPr>
        <w:ind w:leftChars="145" w:left="708"/>
        <w:jc w:val="both"/>
        <w:rPr>
          <w:lang w:val="en-NZ"/>
        </w:rPr>
      </w:pPr>
      <w:r w:rsidRPr="009F1AFD">
        <w:t>Some administration</w:t>
      </w:r>
      <w:r w:rsidR="00632224">
        <w:t>s</w:t>
      </w:r>
      <w:r w:rsidRPr="009F1AFD">
        <w:t xml:space="preserve"> noted that continuous operation of</w:t>
      </w:r>
      <w:r w:rsidR="00632224">
        <w:t xml:space="preserve"> the existing systems of EESS (space-to-Earth) and </w:t>
      </w:r>
      <w:proofErr w:type="spellStart"/>
      <w:r w:rsidR="00632224">
        <w:t>MetSat</w:t>
      </w:r>
      <w:proofErr w:type="spellEnd"/>
      <w:r w:rsidR="00632224">
        <w:t xml:space="preserve"> (space-to-E</w:t>
      </w:r>
      <w:r w:rsidRPr="009F1AFD">
        <w:t>arth) is also necessary to be ensured.</w:t>
      </w:r>
    </w:p>
    <w:p w14:paraId="7484DC91" w14:textId="77777777" w:rsidR="002A0111" w:rsidRDefault="002A0111" w:rsidP="002A0111">
      <w:pPr>
        <w:rPr>
          <w:lang w:val="en-NZ"/>
        </w:rPr>
      </w:pPr>
    </w:p>
    <w:p w14:paraId="280E9D5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56D7C3F" w14:textId="714A98E5" w:rsidR="002A0111" w:rsidRPr="00C97193" w:rsidRDefault="00827EFF" w:rsidP="00C97193">
      <w:pPr>
        <w:pStyle w:val="ListParagraph"/>
        <w:numPr>
          <w:ilvl w:val="1"/>
          <w:numId w:val="18"/>
        </w:numPr>
        <w:jc w:val="both"/>
        <w:rPr>
          <w:lang w:val="en-NZ"/>
        </w:rPr>
      </w:pPr>
      <w:r w:rsidRPr="0004673A">
        <w:t>APT members are encouraged to participate in and contribute</w:t>
      </w:r>
      <w:r>
        <w:rPr>
          <w:lang w:val="en-NZ"/>
        </w:rPr>
        <w:t xml:space="preserve"> to the next APG19-5 meeting and to consider the output of the APG19-4</w:t>
      </w:r>
      <w:r w:rsidR="00AE3E6B">
        <w:rPr>
          <w:lang w:val="en-NZ"/>
        </w:rPr>
        <w:t xml:space="preserve">, </w:t>
      </w:r>
      <w:r w:rsidR="005C3B44">
        <w:rPr>
          <w:lang w:val="en-NZ"/>
        </w:rPr>
        <w:t xml:space="preserve">the </w:t>
      </w:r>
      <w:r w:rsidR="00AE3E6B">
        <w:rPr>
          <w:lang w:val="en-NZ"/>
        </w:rPr>
        <w:t>outcome of CPM19-2 meeting</w:t>
      </w:r>
      <w:r>
        <w:rPr>
          <w:lang w:val="en-NZ"/>
        </w:rPr>
        <w:t xml:space="preserve"> and the ITU-R studies regarding the agenda item 1.3.</w:t>
      </w:r>
    </w:p>
    <w:p w14:paraId="58AC7E30" w14:textId="77777777" w:rsidR="002A0111" w:rsidRPr="00441526" w:rsidRDefault="002A0111" w:rsidP="003D3D47">
      <w:pPr>
        <w:jc w:val="both"/>
        <w:rPr>
          <w:lang w:val="en-NZ"/>
        </w:rPr>
      </w:pPr>
    </w:p>
    <w:p w14:paraId="6C71D09A" w14:textId="32D4DE82" w:rsidR="002A0111" w:rsidRPr="006F518F" w:rsidRDefault="002A0111" w:rsidP="00151A4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3DC33E29" w14:textId="1D0E0FA5" w:rsidR="002A0111" w:rsidRPr="00441526" w:rsidRDefault="005206E9" w:rsidP="00DB39D4">
      <w:pPr>
        <w:spacing w:before="24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2331702" w14:textId="52C0AA69" w:rsidR="00A26BB6" w:rsidRPr="009F3366" w:rsidRDefault="00A26BB6" w:rsidP="00DB39D4">
      <w:pPr>
        <w:spacing w:after="120"/>
        <w:contextualSpacing/>
        <w:jc w:val="both"/>
        <w:rPr>
          <w:b/>
          <w:lang w:eastAsia="ko-KR"/>
        </w:rPr>
      </w:pPr>
      <w:r>
        <w:rPr>
          <w:b/>
          <w:lang w:eastAsia="ko-KR"/>
        </w:rPr>
        <w:t>7.1.1</w:t>
      </w:r>
      <w:r>
        <w:rPr>
          <w:b/>
          <w:lang w:eastAsia="ko-KR"/>
        </w:rPr>
        <w:tab/>
      </w:r>
      <w:r w:rsidRPr="00A26BB6">
        <w:rPr>
          <w:b/>
          <w:lang w:eastAsia="ko-KR"/>
        </w:rPr>
        <w:t xml:space="preserve">ASMG - Document </w:t>
      </w:r>
      <w:hyperlink r:id="rId27" w:history="1">
        <w:r w:rsidR="006648E5" w:rsidRPr="00681C6C">
          <w:rPr>
            <w:rStyle w:val="Hyperlink"/>
            <w:lang w:val="en-NZ"/>
          </w:rPr>
          <w:t>APG19-4/INP-09</w:t>
        </w:r>
      </w:hyperlink>
    </w:p>
    <w:p w14:paraId="41ECD407" w14:textId="1C4F49B5" w:rsidR="006648E5" w:rsidRDefault="006648E5" w:rsidP="00DB39D4">
      <w:pPr>
        <w:pStyle w:val="ListParagraph"/>
        <w:numPr>
          <w:ilvl w:val="0"/>
          <w:numId w:val="23"/>
        </w:numPr>
        <w:ind w:left="900" w:hanging="180"/>
        <w:contextualSpacing/>
        <w:jc w:val="both"/>
        <w:rPr>
          <w:color w:val="000000" w:themeColor="text1"/>
        </w:rPr>
      </w:pPr>
      <w:r>
        <w:t xml:space="preserve">Due to the heavily used for the frequency band 460 – 470 MHz in the Arab countries for mobile and fixed services, so initially ASMG doesn’t support the possible upgrading of the secondary allocation to the meteorological satellite service (space-to-earth) to primary status and a primary allocation to the Earth exploration satellite service (space-to-earth) in the frequency band 460-470MHz. </w:t>
      </w:r>
    </w:p>
    <w:p w14:paraId="63DC13CB" w14:textId="77777777" w:rsidR="00A26BB6" w:rsidRPr="004B6A81" w:rsidRDefault="00A26BB6" w:rsidP="00A26BB6">
      <w:pPr>
        <w:pStyle w:val="ListParagraph"/>
        <w:numPr>
          <w:ilvl w:val="0"/>
          <w:numId w:val="23"/>
        </w:numPr>
        <w:spacing w:before="240"/>
        <w:ind w:left="900" w:hanging="180"/>
        <w:contextualSpacing/>
        <w:jc w:val="both"/>
        <w:rPr>
          <w:color w:val="000000" w:themeColor="text1"/>
        </w:rPr>
      </w:pPr>
      <w:r w:rsidRPr="004B6A81">
        <w:rPr>
          <w:color w:val="000000" w:themeColor="text1"/>
        </w:rPr>
        <w:t>Follow up studies under this agenda item and ensure the protection of the existing services.</w:t>
      </w:r>
    </w:p>
    <w:p w14:paraId="71D68454" w14:textId="24945A1F" w:rsidR="006648E5" w:rsidRPr="006648E5" w:rsidRDefault="006648E5" w:rsidP="006648E5">
      <w:pPr>
        <w:spacing w:before="240" w:after="120"/>
        <w:contextualSpacing/>
        <w:jc w:val="both"/>
        <w:rPr>
          <w:b/>
          <w:lang w:eastAsia="ko-KR"/>
        </w:rPr>
      </w:pPr>
      <w:r w:rsidRPr="006648E5">
        <w:rPr>
          <w:b/>
          <w:lang w:eastAsia="ko-KR"/>
        </w:rPr>
        <w:t>7.1.</w:t>
      </w:r>
      <w:r>
        <w:rPr>
          <w:b/>
          <w:lang w:eastAsia="ko-KR"/>
        </w:rPr>
        <w:t>2</w:t>
      </w:r>
      <w:r w:rsidRPr="006648E5">
        <w:rPr>
          <w:b/>
          <w:lang w:eastAsia="ko-KR"/>
        </w:rPr>
        <w:tab/>
      </w:r>
      <w:r>
        <w:rPr>
          <w:b/>
          <w:lang w:eastAsia="ko-KR"/>
        </w:rPr>
        <w:t>ATU</w:t>
      </w:r>
      <w:r w:rsidRPr="006648E5">
        <w:rPr>
          <w:b/>
          <w:lang w:eastAsia="ko-KR"/>
        </w:rPr>
        <w:t xml:space="preserve"> - Document </w:t>
      </w:r>
      <w:hyperlink r:id="rId28" w:history="1">
        <w:r w:rsidRPr="006648E5">
          <w:rPr>
            <w:rStyle w:val="Hyperlink"/>
            <w:lang w:val="en-NZ"/>
          </w:rPr>
          <w:t>APG19-4/INP-09</w:t>
        </w:r>
      </w:hyperlink>
    </w:p>
    <w:p w14:paraId="1059378A" w14:textId="77777777" w:rsidR="00B32DE1" w:rsidRDefault="00B32DE1" w:rsidP="00B32DE1">
      <w:pPr>
        <w:spacing w:after="240"/>
        <w:ind w:left="720"/>
        <w:contextualSpacing/>
        <w:jc w:val="both"/>
        <w:rPr>
          <w:color w:val="000000" w:themeColor="text1"/>
        </w:rPr>
      </w:pPr>
    </w:p>
    <w:p w14:paraId="0A564FC7" w14:textId="63178F0E" w:rsidR="006648E5" w:rsidRDefault="006C0684" w:rsidP="00B32DE1">
      <w:pPr>
        <w:spacing w:after="240"/>
        <w:ind w:left="720"/>
        <w:contextualSpacing/>
        <w:jc w:val="both"/>
        <w:rPr>
          <w:color w:val="000000" w:themeColor="text1"/>
        </w:rPr>
      </w:pPr>
      <w:r w:rsidRPr="00B32DE1">
        <w:rPr>
          <w:color w:val="000000" w:themeColor="text1"/>
        </w:rPr>
        <w:t>Method A (No Change)</w:t>
      </w:r>
    </w:p>
    <w:p w14:paraId="78D5D43D" w14:textId="77777777" w:rsidR="00B32DE1" w:rsidRPr="00B32DE1" w:rsidRDefault="00B32DE1" w:rsidP="00B32DE1">
      <w:pPr>
        <w:spacing w:before="120" w:after="240"/>
        <w:ind w:left="720"/>
        <w:contextualSpacing/>
        <w:jc w:val="both"/>
        <w:rPr>
          <w:color w:val="000000" w:themeColor="text1"/>
        </w:rPr>
      </w:pPr>
    </w:p>
    <w:p w14:paraId="5B76F728" w14:textId="7845DD53" w:rsidR="00A26BB6" w:rsidRPr="00A26BB6" w:rsidRDefault="00A26BB6" w:rsidP="00B32DE1">
      <w:pPr>
        <w:contextualSpacing/>
        <w:jc w:val="both"/>
        <w:rPr>
          <w:b/>
          <w:lang w:eastAsia="ko-KR"/>
        </w:rPr>
      </w:pPr>
      <w:r>
        <w:rPr>
          <w:b/>
          <w:lang w:eastAsia="ko-KR"/>
        </w:rPr>
        <w:t>7.1.</w:t>
      </w:r>
      <w:r w:rsidR="00B32DE1">
        <w:rPr>
          <w:b/>
          <w:lang w:eastAsia="ko-KR"/>
        </w:rPr>
        <w:t>3</w:t>
      </w:r>
      <w:r>
        <w:rPr>
          <w:b/>
          <w:lang w:eastAsia="ko-KR"/>
        </w:rPr>
        <w:tab/>
      </w:r>
      <w:r w:rsidRPr="00A26BB6">
        <w:rPr>
          <w:b/>
          <w:lang w:eastAsia="ko-KR"/>
        </w:rPr>
        <w:t xml:space="preserve">CEPT- Document </w:t>
      </w:r>
      <w:hyperlink r:id="rId29" w:history="1">
        <w:hyperlink r:id="rId30" w:history="1">
          <w:r w:rsidR="006C0684" w:rsidRPr="005A3F07">
            <w:rPr>
              <w:rStyle w:val="Hyperlink"/>
              <w:lang w:val="en-NZ"/>
            </w:rPr>
            <w:t>APG19-4/INF-23</w:t>
          </w:r>
        </w:hyperlink>
      </w:hyperlink>
    </w:p>
    <w:p w14:paraId="7DF49A7C" w14:textId="4738604E" w:rsidR="00A26BB6" w:rsidRPr="0004673A" w:rsidRDefault="00A26BB6" w:rsidP="00A26BB6">
      <w:pPr>
        <w:autoSpaceDE w:val="0"/>
        <w:autoSpaceDN w:val="0"/>
        <w:adjustRightInd w:val="0"/>
        <w:spacing w:before="240"/>
        <w:ind w:left="720"/>
        <w:jc w:val="both"/>
        <w:rPr>
          <w:rFonts w:eastAsia="ArialMT"/>
          <w:color w:val="000000"/>
          <w:szCs w:val="16"/>
        </w:rPr>
      </w:pPr>
      <w:r w:rsidRPr="0004673A">
        <w:rPr>
          <w:rFonts w:eastAsia="ArialMT"/>
          <w:color w:val="000000"/>
          <w:szCs w:val="16"/>
        </w:rPr>
        <w:t xml:space="preserve">CEPT supports that the </w:t>
      </w:r>
      <w:proofErr w:type="spellStart"/>
      <w:r w:rsidRPr="0004673A">
        <w:rPr>
          <w:rFonts w:eastAsia="ArialMT"/>
          <w:color w:val="000000"/>
          <w:szCs w:val="16"/>
        </w:rPr>
        <w:t>MetSat</w:t>
      </w:r>
      <w:proofErr w:type="spellEnd"/>
      <w:r w:rsidRPr="0004673A">
        <w:rPr>
          <w:rFonts w:eastAsia="ArialMT"/>
          <w:color w:val="000000"/>
          <w:szCs w:val="16"/>
        </w:rPr>
        <w:t xml:space="preserve"> (space-to-Earth) allocation should be upgraded from secondary to primary status and a primary EESS (space-to-Earth) allocation should be added in the frequency</w:t>
      </w:r>
      <w:r w:rsidR="006C0684">
        <w:rPr>
          <w:rFonts w:eastAsia="ArialMT"/>
          <w:color w:val="000000"/>
          <w:szCs w:val="16"/>
        </w:rPr>
        <w:t xml:space="preserve"> band 460-470 MHz provided that</w:t>
      </w:r>
    </w:p>
    <w:p w14:paraId="7CC82D62" w14:textId="7FDDF860" w:rsidR="006C0684" w:rsidRPr="006C0684" w:rsidRDefault="006C0684" w:rsidP="001803F6">
      <w:pPr>
        <w:pStyle w:val="ListParagraph"/>
        <w:numPr>
          <w:ilvl w:val="0"/>
          <w:numId w:val="26"/>
        </w:numPr>
        <w:tabs>
          <w:tab w:val="num" w:pos="2430"/>
        </w:tabs>
        <w:autoSpaceDE w:val="0"/>
        <w:autoSpaceDN w:val="0"/>
        <w:adjustRightInd w:val="0"/>
        <w:ind w:left="1260" w:hanging="270"/>
        <w:contextualSpacing/>
        <w:jc w:val="both"/>
        <w:rPr>
          <w:rFonts w:eastAsia="ArialMT"/>
          <w:color w:val="000000"/>
          <w:szCs w:val="16"/>
        </w:rPr>
      </w:pPr>
      <w:r w:rsidRPr="006C0684">
        <w:t>the protection of primary services in the frequency band and in adjacent frequency</w:t>
      </w:r>
      <w:r>
        <w:t xml:space="preserve"> </w:t>
      </w:r>
      <w:r w:rsidRPr="006C0684">
        <w:t xml:space="preserve">bands is ensured by the introduction of relevant </w:t>
      </w:r>
      <w:proofErr w:type="spellStart"/>
      <w:r w:rsidRPr="006C0684">
        <w:t>pfd</w:t>
      </w:r>
      <w:proofErr w:type="spellEnd"/>
      <w:r w:rsidRPr="006C0684">
        <w:t xml:space="preserve"> masks for GSO and non-GSO</w:t>
      </w:r>
      <w:r>
        <w:t xml:space="preserve"> </w:t>
      </w:r>
      <w:r w:rsidRPr="006C0684">
        <w:t>satellites</w:t>
      </w:r>
      <w:r>
        <w:t>;</w:t>
      </w:r>
    </w:p>
    <w:p w14:paraId="2FA7E0FD" w14:textId="5392CEBC" w:rsidR="006C0684" w:rsidRDefault="006C0684" w:rsidP="001803F6">
      <w:pPr>
        <w:pStyle w:val="ListParagraph"/>
        <w:numPr>
          <w:ilvl w:val="0"/>
          <w:numId w:val="26"/>
        </w:numPr>
        <w:tabs>
          <w:tab w:val="num" w:pos="2430"/>
        </w:tabs>
        <w:autoSpaceDE w:val="0"/>
        <w:autoSpaceDN w:val="0"/>
        <w:adjustRightInd w:val="0"/>
        <w:ind w:left="1260" w:hanging="270"/>
        <w:contextualSpacing/>
        <w:jc w:val="both"/>
        <w:rPr>
          <w:rFonts w:eastAsia="ArialMT"/>
          <w:color w:val="000000"/>
          <w:szCs w:val="16"/>
        </w:rPr>
      </w:pPr>
      <w:proofErr w:type="spellStart"/>
      <w:r w:rsidRPr="0004673A">
        <w:rPr>
          <w:rFonts w:eastAsia="ArialMT"/>
          <w:color w:val="000000"/>
          <w:szCs w:val="16"/>
        </w:rPr>
        <w:t>MetSat</w:t>
      </w:r>
      <w:proofErr w:type="spellEnd"/>
      <w:r w:rsidRPr="0004673A">
        <w:rPr>
          <w:rFonts w:eastAsia="ArialMT"/>
          <w:color w:val="000000"/>
          <w:szCs w:val="16"/>
        </w:rPr>
        <w:t xml:space="preserve"> and EESS earth stations will not claim protection from stations in the fixed and mobile services, as stated in recognizing f) of Res 766</w:t>
      </w:r>
      <w:r>
        <w:rPr>
          <w:rFonts w:eastAsia="ArialMT"/>
          <w:color w:val="000000"/>
          <w:szCs w:val="16"/>
        </w:rPr>
        <w:t>;</w:t>
      </w:r>
    </w:p>
    <w:p w14:paraId="2BD788E6" w14:textId="566F1DFB" w:rsidR="00A26BB6" w:rsidRPr="0004673A" w:rsidRDefault="00A26BB6" w:rsidP="001803F6">
      <w:pPr>
        <w:pStyle w:val="ListParagraph"/>
        <w:numPr>
          <w:ilvl w:val="0"/>
          <w:numId w:val="26"/>
        </w:numPr>
        <w:tabs>
          <w:tab w:val="num" w:pos="2430"/>
        </w:tabs>
        <w:autoSpaceDE w:val="0"/>
        <w:autoSpaceDN w:val="0"/>
        <w:adjustRightInd w:val="0"/>
        <w:ind w:left="1260" w:hanging="270"/>
        <w:contextualSpacing/>
        <w:jc w:val="both"/>
        <w:rPr>
          <w:rFonts w:eastAsia="ArialMT"/>
          <w:color w:val="000000"/>
          <w:szCs w:val="16"/>
        </w:rPr>
      </w:pPr>
      <w:r w:rsidRPr="0004673A">
        <w:rPr>
          <w:rFonts w:eastAsia="ArialMT"/>
          <w:color w:val="000000"/>
          <w:szCs w:val="16"/>
        </w:rPr>
        <w:t xml:space="preserve">priority of </w:t>
      </w:r>
      <w:proofErr w:type="spellStart"/>
      <w:r w:rsidRPr="0004673A">
        <w:rPr>
          <w:rFonts w:eastAsia="ArialMT"/>
          <w:color w:val="000000"/>
          <w:szCs w:val="16"/>
        </w:rPr>
        <w:t>MetSat</w:t>
      </w:r>
      <w:proofErr w:type="spellEnd"/>
      <w:r w:rsidRPr="0004673A">
        <w:rPr>
          <w:rFonts w:eastAsia="ArialMT"/>
          <w:color w:val="000000"/>
          <w:szCs w:val="16"/>
        </w:rPr>
        <w:t xml:space="preserve"> over EESS as currently expressed in the RR is retained;</w:t>
      </w:r>
    </w:p>
    <w:p w14:paraId="43A22E34" w14:textId="77777777" w:rsidR="00A26BB6" w:rsidRDefault="00A26BB6" w:rsidP="00A26BB6">
      <w:pPr>
        <w:autoSpaceDE w:val="0"/>
        <w:autoSpaceDN w:val="0"/>
        <w:adjustRightInd w:val="0"/>
        <w:ind w:left="1440"/>
        <w:rPr>
          <w:rFonts w:eastAsia="ArialMT"/>
          <w:color w:val="000000"/>
          <w:sz w:val="22"/>
          <w:szCs w:val="22"/>
        </w:rPr>
      </w:pPr>
    </w:p>
    <w:p w14:paraId="19AEAA34" w14:textId="77777777" w:rsidR="00914310" w:rsidRDefault="00914310" w:rsidP="00A26BB6">
      <w:pPr>
        <w:autoSpaceDE w:val="0"/>
        <w:autoSpaceDN w:val="0"/>
        <w:adjustRightInd w:val="0"/>
        <w:ind w:left="1440"/>
        <w:rPr>
          <w:rFonts w:eastAsia="ArialMT"/>
          <w:color w:val="000000"/>
          <w:sz w:val="22"/>
          <w:szCs w:val="22"/>
        </w:rPr>
      </w:pPr>
    </w:p>
    <w:p w14:paraId="0BEA8B7B" w14:textId="77777777" w:rsidR="00914310" w:rsidRDefault="00914310" w:rsidP="00A26BB6">
      <w:pPr>
        <w:autoSpaceDE w:val="0"/>
        <w:autoSpaceDN w:val="0"/>
        <w:adjustRightInd w:val="0"/>
        <w:ind w:left="1440"/>
        <w:rPr>
          <w:rFonts w:eastAsia="ArialMT"/>
          <w:color w:val="000000"/>
          <w:sz w:val="22"/>
          <w:szCs w:val="22"/>
        </w:rPr>
      </w:pPr>
    </w:p>
    <w:p w14:paraId="3FF59D90" w14:textId="77777777" w:rsidR="00914310" w:rsidRPr="004B6A81" w:rsidRDefault="00914310" w:rsidP="00A26BB6">
      <w:pPr>
        <w:autoSpaceDE w:val="0"/>
        <w:autoSpaceDN w:val="0"/>
        <w:adjustRightInd w:val="0"/>
        <w:ind w:left="1440"/>
        <w:rPr>
          <w:rFonts w:eastAsia="ArialMT"/>
          <w:color w:val="000000"/>
          <w:sz w:val="22"/>
          <w:szCs w:val="22"/>
        </w:rPr>
      </w:pPr>
    </w:p>
    <w:p w14:paraId="3FD34C45" w14:textId="1C32F577" w:rsidR="00A26BB6" w:rsidRPr="00A26BB6" w:rsidRDefault="00A26BB6" w:rsidP="00B32DE1">
      <w:pPr>
        <w:spacing w:after="120"/>
        <w:contextualSpacing/>
        <w:jc w:val="both"/>
        <w:rPr>
          <w:b/>
          <w:lang w:eastAsia="ko-KR"/>
        </w:rPr>
      </w:pPr>
      <w:r>
        <w:rPr>
          <w:b/>
          <w:lang w:eastAsia="ko-KR"/>
        </w:rPr>
        <w:lastRenderedPageBreak/>
        <w:t>7.1.</w:t>
      </w:r>
      <w:r w:rsidR="00B32DE1">
        <w:rPr>
          <w:b/>
          <w:lang w:eastAsia="ko-KR"/>
        </w:rPr>
        <w:t>4</w:t>
      </w:r>
      <w:r>
        <w:rPr>
          <w:b/>
          <w:lang w:eastAsia="ko-KR"/>
        </w:rPr>
        <w:tab/>
      </w:r>
      <w:r w:rsidRPr="00A26BB6">
        <w:rPr>
          <w:b/>
          <w:lang w:eastAsia="ko-KR"/>
        </w:rPr>
        <w:t xml:space="preserve">CITEL- Document </w:t>
      </w:r>
      <w:hyperlink r:id="rId31" w:history="1">
        <w:r w:rsidR="001803F6" w:rsidRPr="005A3F07">
          <w:rPr>
            <w:rStyle w:val="Hyperlink"/>
            <w:lang w:val="en-NZ"/>
          </w:rPr>
          <w:t>APG19-4/INF-23</w:t>
        </w:r>
      </w:hyperlink>
    </w:p>
    <w:p w14:paraId="3736830D" w14:textId="77777777" w:rsidR="00B32DE1" w:rsidRDefault="00B32DE1" w:rsidP="00B32DE1">
      <w:pPr>
        <w:spacing w:before="240"/>
        <w:ind w:left="720"/>
        <w:contextualSpacing/>
        <w:jc w:val="both"/>
        <w:rPr>
          <w:rFonts w:eastAsia="ArialMT"/>
          <w:color w:val="000000"/>
          <w:szCs w:val="16"/>
        </w:rPr>
      </w:pPr>
    </w:p>
    <w:p w14:paraId="2821C291" w14:textId="52EBAA25" w:rsidR="00A26BB6" w:rsidRPr="00B32DE1" w:rsidRDefault="001803F6" w:rsidP="00B32DE1">
      <w:pPr>
        <w:spacing w:before="240"/>
        <w:ind w:left="720"/>
        <w:contextualSpacing/>
        <w:jc w:val="both"/>
        <w:rPr>
          <w:rFonts w:eastAsia="ArialMT"/>
          <w:color w:val="000000"/>
          <w:szCs w:val="16"/>
        </w:rPr>
      </w:pPr>
      <w:r w:rsidRPr="00B32DE1">
        <w:rPr>
          <w:rFonts w:eastAsia="ArialMT"/>
          <w:color w:val="000000"/>
          <w:szCs w:val="16"/>
        </w:rPr>
        <w:t xml:space="preserve">Proposals support Method </w:t>
      </w:r>
      <w:proofErr w:type="spellStart"/>
      <w:r w:rsidRPr="00B32DE1">
        <w:rPr>
          <w:rFonts w:eastAsia="ArialMT"/>
          <w:color w:val="000000"/>
          <w:szCs w:val="16"/>
        </w:rPr>
        <w:t>B</w:t>
      </w:r>
      <w:proofErr w:type="spellEnd"/>
      <w:r w:rsidRPr="00B32DE1">
        <w:rPr>
          <w:rFonts w:eastAsia="ArialMT"/>
          <w:color w:val="000000"/>
          <w:szCs w:val="16"/>
        </w:rPr>
        <w:t xml:space="preserve"> which upgrades the </w:t>
      </w:r>
      <w:proofErr w:type="spellStart"/>
      <w:r w:rsidRPr="00B32DE1">
        <w:rPr>
          <w:rFonts w:eastAsia="ArialMT"/>
          <w:color w:val="000000"/>
          <w:szCs w:val="16"/>
        </w:rPr>
        <w:t>MetSat</w:t>
      </w:r>
      <w:proofErr w:type="spellEnd"/>
      <w:r w:rsidRPr="00B32DE1">
        <w:rPr>
          <w:rFonts w:eastAsia="ArialMT"/>
          <w:color w:val="000000"/>
          <w:szCs w:val="16"/>
        </w:rPr>
        <w:t xml:space="preserve"> allocation to primary and adds a new EESS allocation with some preference expressed for Option 1 as the </w:t>
      </w:r>
      <w:proofErr w:type="spellStart"/>
      <w:r w:rsidRPr="00B32DE1">
        <w:rPr>
          <w:rFonts w:eastAsia="ArialMT"/>
          <w:color w:val="000000"/>
          <w:szCs w:val="16"/>
        </w:rPr>
        <w:t>pfd</w:t>
      </w:r>
      <w:proofErr w:type="spellEnd"/>
      <w:r w:rsidRPr="00B32DE1">
        <w:rPr>
          <w:rFonts w:eastAsia="ArialMT"/>
          <w:color w:val="000000"/>
          <w:szCs w:val="16"/>
        </w:rPr>
        <w:t xml:space="preserve"> mask to protect terrestrial services</w:t>
      </w:r>
      <w:r w:rsidR="00A26BB6" w:rsidRPr="00B32DE1">
        <w:rPr>
          <w:rFonts w:eastAsia="ArialMT"/>
          <w:color w:val="000000"/>
          <w:szCs w:val="16"/>
        </w:rPr>
        <w:t>.</w:t>
      </w:r>
    </w:p>
    <w:p w14:paraId="323203CD" w14:textId="3F215418" w:rsidR="00A26BB6" w:rsidRPr="00A26BB6" w:rsidRDefault="00A26BB6" w:rsidP="00DB39D4">
      <w:pPr>
        <w:spacing w:before="240" w:after="120"/>
        <w:jc w:val="both"/>
        <w:rPr>
          <w:b/>
          <w:lang w:eastAsia="ko-KR"/>
        </w:rPr>
      </w:pPr>
      <w:r>
        <w:rPr>
          <w:b/>
          <w:lang w:eastAsia="ko-KR"/>
        </w:rPr>
        <w:t>7.1.</w:t>
      </w:r>
      <w:r w:rsidR="00B32DE1">
        <w:rPr>
          <w:b/>
          <w:lang w:eastAsia="ko-KR"/>
        </w:rPr>
        <w:t>5</w:t>
      </w:r>
      <w:r>
        <w:rPr>
          <w:b/>
          <w:lang w:eastAsia="ko-KR"/>
        </w:rPr>
        <w:tab/>
      </w:r>
      <w:r w:rsidRPr="00A26BB6">
        <w:rPr>
          <w:b/>
          <w:lang w:eastAsia="ko-KR"/>
        </w:rPr>
        <w:t xml:space="preserve">RCC- Document </w:t>
      </w:r>
      <w:hyperlink r:id="rId32" w:history="1">
        <w:r w:rsidR="00B32DE1" w:rsidRPr="005A3F07">
          <w:rPr>
            <w:rStyle w:val="Hyperlink"/>
            <w:lang w:val="en-NZ"/>
          </w:rPr>
          <w:t>APG19-4/INF-24</w:t>
        </w:r>
      </w:hyperlink>
    </w:p>
    <w:p w14:paraId="13553633" w14:textId="648AC5AE" w:rsidR="00B32DE1" w:rsidRPr="00B32DE1" w:rsidRDefault="00B32DE1" w:rsidP="00B32DE1">
      <w:pPr>
        <w:pStyle w:val="ListParagraph"/>
        <w:numPr>
          <w:ilvl w:val="0"/>
          <w:numId w:val="37"/>
        </w:numPr>
        <w:contextualSpacing/>
        <w:jc w:val="both"/>
        <w:rPr>
          <w:rFonts w:eastAsia="ArialMT"/>
          <w:color w:val="000000"/>
          <w:szCs w:val="16"/>
        </w:rPr>
      </w:pPr>
      <w:r w:rsidRPr="00B32DE1">
        <w:rPr>
          <w:rFonts w:eastAsia="ArialMT"/>
          <w:color w:val="000000"/>
          <w:szCs w:val="16"/>
        </w:rPr>
        <w:t>The RCC Administrations support upgrading the secondary allocation to the meteorological-satellite service (space-to-Earth) to a primary status as well as a primary allocation to the Earth exploration-satellite service (space-to-Earth) in the frequency band 460-470 MHz under the following conditions:</w:t>
      </w:r>
    </w:p>
    <w:p w14:paraId="501873A3" w14:textId="6D37FF03" w:rsidR="002A0111" w:rsidRDefault="00B32DE1" w:rsidP="00B32DE1">
      <w:pPr>
        <w:pStyle w:val="ListParagraph"/>
        <w:numPr>
          <w:ilvl w:val="1"/>
          <w:numId w:val="25"/>
        </w:numPr>
        <w:ind w:left="1350" w:hanging="270"/>
        <w:contextualSpacing/>
        <w:jc w:val="both"/>
        <w:rPr>
          <w:rFonts w:eastAsia="ArialMT"/>
          <w:color w:val="000000"/>
          <w:szCs w:val="16"/>
        </w:rPr>
      </w:pPr>
      <w:r w:rsidRPr="00B32DE1">
        <w:rPr>
          <w:rFonts w:eastAsia="ArialMT"/>
          <w:color w:val="000000"/>
          <w:szCs w:val="16"/>
        </w:rPr>
        <w:t>upgrading the status of allocations of the frequency bands to the meteorological-satellite service and the Earth exploration-satellite service shall be applied both for future systems as well as existing systems of these radio services;</w:t>
      </w:r>
    </w:p>
    <w:p w14:paraId="149E3493" w14:textId="0774B025" w:rsidR="00B32DE1" w:rsidRPr="00B32DE1" w:rsidRDefault="00B32DE1" w:rsidP="00B32DE1">
      <w:pPr>
        <w:pStyle w:val="ListParagraph"/>
        <w:numPr>
          <w:ilvl w:val="1"/>
          <w:numId w:val="25"/>
        </w:numPr>
        <w:ind w:left="1350" w:hanging="270"/>
        <w:contextualSpacing/>
        <w:jc w:val="both"/>
        <w:rPr>
          <w:rFonts w:eastAsia="ArialMT"/>
          <w:color w:val="000000"/>
          <w:szCs w:val="16"/>
        </w:rPr>
      </w:pPr>
      <w:r w:rsidRPr="00B32DE1">
        <w:rPr>
          <w:rFonts w:eastAsia="ArialMT"/>
          <w:color w:val="000000"/>
          <w:szCs w:val="16"/>
        </w:rPr>
        <w:t xml:space="preserve">for the protection of the terrestrial services to which the frequency band 460-470 MHz is allocated on a primary basis, which ensure acceptable interference level, </w:t>
      </w:r>
      <w:proofErr w:type="spellStart"/>
      <w:r w:rsidRPr="00B32DE1">
        <w:rPr>
          <w:rFonts w:eastAsia="ArialMT"/>
          <w:color w:val="000000"/>
          <w:szCs w:val="16"/>
        </w:rPr>
        <w:t>pfd</w:t>
      </w:r>
      <w:proofErr w:type="spellEnd"/>
      <w:r w:rsidRPr="00B32DE1">
        <w:rPr>
          <w:rFonts w:eastAsia="ArialMT"/>
          <w:color w:val="000000"/>
          <w:szCs w:val="16"/>
        </w:rPr>
        <w:t xml:space="preserve"> limits for the specified satellite services shall be established to ensure acceptable interference level. In case of non-compliance with these limits, satellite systems of specified services can continue</w:t>
      </w:r>
      <w:r>
        <w:rPr>
          <w:rFonts w:eastAsia="ArialMT"/>
          <w:color w:val="000000"/>
          <w:szCs w:val="16"/>
        </w:rPr>
        <w:t xml:space="preserve"> </w:t>
      </w:r>
      <w:r w:rsidRPr="00B32DE1">
        <w:rPr>
          <w:rFonts w:eastAsia="ArialMT"/>
          <w:color w:val="000000"/>
          <w:szCs w:val="16"/>
        </w:rPr>
        <w:t>to be used on the secondary basis;</w:t>
      </w:r>
    </w:p>
    <w:p w14:paraId="4ADCD0FD" w14:textId="29B302EE" w:rsidR="00B32DE1" w:rsidRDefault="00B32DE1" w:rsidP="00B32DE1">
      <w:pPr>
        <w:pStyle w:val="ListParagraph"/>
        <w:numPr>
          <w:ilvl w:val="1"/>
          <w:numId w:val="25"/>
        </w:numPr>
        <w:ind w:left="1350" w:hanging="270"/>
        <w:contextualSpacing/>
        <w:jc w:val="both"/>
        <w:rPr>
          <w:rFonts w:eastAsia="ArialMT"/>
          <w:color w:val="000000"/>
          <w:szCs w:val="16"/>
        </w:rPr>
      </w:pPr>
      <w:r>
        <w:rPr>
          <w:rFonts w:eastAsia="ArialMT"/>
          <w:color w:val="000000"/>
          <w:szCs w:val="16"/>
        </w:rPr>
        <w:t>M</w:t>
      </w:r>
      <w:r w:rsidRPr="00B32DE1">
        <w:rPr>
          <w:rFonts w:eastAsia="ArialMT"/>
          <w:color w:val="000000"/>
          <w:szCs w:val="16"/>
        </w:rPr>
        <w:t>aintaining priority of the meteorological-satellite service over</w:t>
      </w:r>
      <w:r>
        <w:rPr>
          <w:rFonts w:eastAsia="ArialMT"/>
          <w:color w:val="000000"/>
          <w:szCs w:val="16"/>
        </w:rPr>
        <w:t xml:space="preserve"> </w:t>
      </w:r>
      <w:r w:rsidRPr="00B32DE1">
        <w:rPr>
          <w:rFonts w:eastAsia="ArialMT"/>
          <w:color w:val="000000"/>
          <w:szCs w:val="16"/>
        </w:rPr>
        <w:t>the Earth exploration-satellite service should be ensured.</w:t>
      </w:r>
    </w:p>
    <w:p w14:paraId="5384202E" w14:textId="4A36B11B" w:rsidR="00B32DE1" w:rsidRPr="00B32DE1" w:rsidRDefault="00B32DE1" w:rsidP="00F4256F">
      <w:pPr>
        <w:pStyle w:val="ListParagraph"/>
        <w:numPr>
          <w:ilvl w:val="0"/>
          <w:numId w:val="37"/>
        </w:numPr>
        <w:contextualSpacing/>
        <w:jc w:val="both"/>
        <w:rPr>
          <w:rFonts w:eastAsia="ArialMT"/>
          <w:color w:val="000000"/>
          <w:szCs w:val="16"/>
        </w:rPr>
      </w:pPr>
      <w:r w:rsidRPr="00B32DE1">
        <w:rPr>
          <w:rFonts w:eastAsia="ArialMT"/>
          <w:color w:val="000000"/>
          <w:szCs w:val="16"/>
        </w:rPr>
        <w:t>The RCC Administrations do not support segmentation of the frequency band 460-470 MHz for geostationary and non</w:t>
      </w:r>
      <w:r w:rsidR="003A3C4C">
        <w:rPr>
          <w:rFonts w:eastAsia="ArialMT"/>
          <w:color w:val="000000"/>
          <w:szCs w:val="16"/>
        </w:rPr>
        <w:t>-</w:t>
      </w:r>
      <w:r w:rsidRPr="00B32DE1">
        <w:rPr>
          <w:rFonts w:eastAsia="ArialMT"/>
          <w:color w:val="000000"/>
          <w:szCs w:val="16"/>
        </w:rPr>
        <w:t>geostationary</w:t>
      </w:r>
      <w:r>
        <w:rPr>
          <w:rFonts w:eastAsia="ArialMT"/>
          <w:color w:val="000000"/>
          <w:szCs w:val="16"/>
        </w:rPr>
        <w:t xml:space="preserve"> </w:t>
      </w:r>
      <w:r w:rsidRPr="00B32DE1">
        <w:rPr>
          <w:rFonts w:eastAsia="ArialMT"/>
          <w:color w:val="000000"/>
          <w:szCs w:val="16"/>
        </w:rPr>
        <w:t>satellite systems.</w:t>
      </w:r>
    </w:p>
    <w:p w14:paraId="55192488" w14:textId="683432D7" w:rsidR="002A0111" w:rsidRPr="00441526" w:rsidRDefault="005206E9" w:rsidP="00FA022D">
      <w:pPr>
        <w:tabs>
          <w:tab w:val="left" w:pos="720"/>
          <w:tab w:val="left" w:pos="1440"/>
          <w:tab w:val="left" w:pos="2160"/>
          <w:tab w:val="left" w:pos="2880"/>
          <w:tab w:val="left" w:pos="3600"/>
          <w:tab w:val="left" w:pos="5184"/>
        </w:tabs>
        <w:spacing w:before="240"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r w:rsidR="00E21031">
        <w:rPr>
          <w:b/>
          <w:lang w:val="en-NZ" w:eastAsia="ko-KR"/>
        </w:rPr>
        <w:tab/>
      </w:r>
      <w:r w:rsidR="00E21031">
        <w:rPr>
          <w:b/>
          <w:lang w:val="en-NZ" w:eastAsia="ko-KR"/>
        </w:rPr>
        <w:tab/>
      </w:r>
    </w:p>
    <w:p w14:paraId="01999CFD" w14:textId="609D435F" w:rsidR="00FA022D" w:rsidRDefault="00FA022D" w:rsidP="002A0111">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r>
      <w:r w:rsidR="00B77C12">
        <w:rPr>
          <w:b/>
          <w:lang w:val="en-NZ" w:eastAsia="ko-KR"/>
        </w:rPr>
        <w:t>ICAO</w:t>
      </w:r>
      <w:r w:rsidRPr="00441526">
        <w:rPr>
          <w:b/>
          <w:lang w:val="en-NZ" w:eastAsia="ko-KR"/>
        </w:rPr>
        <w:t xml:space="preserve"> </w:t>
      </w:r>
      <w:r w:rsidR="00B77C12">
        <w:t>–</w:t>
      </w:r>
      <w:r w:rsidRPr="00441526">
        <w:t xml:space="preserve"> </w:t>
      </w:r>
      <w:r w:rsidRPr="00441526">
        <w:rPr>
          <w:b/>
          <w:lang w:val="en-NZ" w:eastAsia="ko-KR"/>
        </w:rPr>
        <w:t>Document</w:t>
      </w:r>
      <w:r w:rsidR="00B77C12">
        <w:rPr>
          <w:b/>
          <w:lang w:val="en-NZ" w:eastAsia="ko-KR"/>
        </w:rPr>
        <w:t xml:space="preserve"> </w:t>
      </w:r>
      <w:hyperlink r:id="rId33" w:history="1">
        <w:r w:rsidR="00B77C12" w:rsidRPr="00681C6C">
          <w:rPr>
            <w:rStyle w:val="Hyperlink"/>
            <w:lang w:val="en-NZ"/>
          </w:rPr>
          <w:t>APG19-4/INF-04</w:t>
        </w:r>
      </w:hyperlink>
    </w:p>
    <w:p w14:paraId="7D285346" w14:textId="50885842" w:rsidR="00FA022D" w:rsidRPr="00B77C12" w:rsidRDefault="00B77C12" w:rsidP="00B77C12">
      <w:pPr>
        <w:spacing w:after="120"/>
        <w:ind w:left="720"/>
        <w:jc w:val="both"/>
        <w:rPr>
          <w:b/>
          <w:lang w:val="en-NZ" w:eastAsia="ko-KR"/>
        </w:rPr>
      </w:pPr>
      <w:r w:rsidRPr="00B77C12">
        <w:t>No impact on aeronautic</w:t>
      </w:r>
      <w:r w:rsidR="00914310">
        <w:t>al services has been identified</w:t>
      </w:r>
      <w:r w:rsidRPr="00B77C12">
        <w:t xml:space="preserve"> </w:t>
      </w:r>
      <w:proofErr w:type="gramStart"/>
      <w:r w:rsidRPr="00B77C12">
        <w:t>from  WRC</w:t>
      </w:r>
      <w:proofErr w:type="gramEnd"/>
      <w:r w:rsidRPr="00B77C12">
        <w:t>-19  Agenda  Items</w:t>
      </w:r>
      <w:r w:rsidRPr="00B77C12">
        <w:rPr>
          <w:spacing w:val="-2"/>
        </w:rPr>
        <w:t xml:space="preserve"> </w:t>
      </w:r>
      <w:r w:rsidRPr="00B77C12">
        <w:rPr>
          <w:spacing w:val="14"/>
        </w:rPr>
        <w:t xml:space="preserve"> </w:t>
      </w:r>
      <w:r w:rsidRPr="00B77C12">
        <w:t>1.3</w:t>
      </w:r>
      <w:r>
        <w:t>.</w:t>
      </w:r>
    </w:p>
    <w:p w14:paraId="409B59F6" w14:textId="06530B72"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.2.</w:t>
      </w:r>
      <w:r w:rsidR="00914310">
        <w:rPr>
          <w:b/>
          <w:lang w:val="en-NZ" w:eastAsia="ko-KR"/>
        </w:rPr>
        <w:t>2</w:t>
      </w:r>
      <w:r w:rsidR="002A0111" w:rsidRPr="00441526">
        <w:rPr>
          <w:b/>
          <w:lang w:val="en-NZ" w:eastAsia="ko-KR"/>
        </w:rPr>
        <w:t xml:space="preserve"> </w:t>
      </w:r>
      <w:r w:rsidR="002A0111" w:rsidRPr="00441526">
        <w:rPr>
          <w:b/>
          <w:lang w:val="en-NZ" w:eastAsia="ko-KR"/>
        </w:rPr>
        <w:tab/>
      </w:r>
      <w:r w:rsidR="004826AC">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 xml:space="preserve">Document </w:t>
      </w:r>
      <w:hyperlink r:id="rId34" w:history="1">
        <w:r w:rsidR="009F3366" w:rsidRPr="009F3366">
          <w:rPr>
            <w:rStyle w:val="Hyperlink"/>
            <w:u w:val="none"/>
            <w:lang w:val="en-NZ" w:eastAsia="ko-KR"/>
          </w:rPr>
          <w:t>APG19-4/INF-02</w:t>
        </w:r>
      </w:hyperlink>
      <w:r w:rsidR="009F3366">
        <w:rPr>
          <w:b/>
          <w:lang w:val="en-NZ" w:eastAsia="ko-KR"/>
        </w:rPr>
        <w:t xml:space="preserve"> </w:t>
      </w:r>
    </w:p>
    <w:p w14:paraId="510CFD60" w14:textId="77777777" w:rsidR="004826AC" w:rsidRPr="00E21031" w:rsidRDefault="004826AC" w:rsidP="00E21031">
      <w:pPr>
        <w:pStyle w:val="ListParagraph"/>
        <w:numPr>
          <w:ilvl w:val="0"/>
          <w:numId w:val="31"/>
        </w:numPr>
        <w:rPr>
          <w:rFonts w:eastAsia="ArialMT"/>
          <w:color w:val="000000"/>
          <w:szCs w:val="16"/>
        </w:rPr>
      </w:pPr>
      <w:r w:rsidRPr="00E21031">
        <w:rPr>
          <w:rFonts w:eastAsia="ArialMT"/>
          <w:color w:val="000000"/>
          <w:szCs w:val="16"/>
        </w:rPr>
        <w:t xml:space="preserve">WMO supports the upgrade of the </w:t>
      </w:r>
      <w:proofErr w:type="spellStart"/>
      <w:r w:rsidRPr="00E21031">
        <w:rPr>
          <w:rFonts w:eastAsia="ArialMT"/>
          <w:color w:val="000000"/>
          <w:szCs w:val="16"/>
        </w:rPr>
        <w:t>MetSat</w:t>
      </w:r>
      <w:proofErr w:type="spellEnd"/>
      <w:r w:rsidRPr="00E21031">
        <w:rPr>
          <w:rFonts w:eastAsia="ArialMT"/>
          <w:color w:val="000000"/>
          <w:szCs w:val="16"/>
        </w:rPr>
        <w:t xml:space="preserve"> (space-to-Earth) allocation to primary in the frequency band 460-470 MHz with the use of appropriate PFD limits for GSO and non-GSO satellites to protect incumbent services.</w:t>
      </w:r>
    </w:p>
    <w:p w14:paraId="7E01975A" w14:textId="77777777" w:rsidR="004826AC" w:rsidRDefault="004826AC" w:rsidP="00E21031">
      <w:pPr>
        <w:ind w:left="1080"/>
        <w:rPr>
          <w:rFonts w:eastAsia="ArialMT"/>
          <w:color w:val="000000"/>
          <w:szCs w:val="16"/>
        </w:rPr>
      </w:pPr>
      <w:r w:rsidRPr="00E21031">
        <w:rPr>
          <w:rFonts w:eastAsia="ArialMT"/>
          <w:color w:val="000000"/>
          <w:szCs w:val="16"/>
        </w:rPr>
        <w:t xml:space="preserve">WMO also supports creation of a primary allocation to the EESS (space-to-Earth) in the frequency band 460-470 MHz with the use of appropriate </w:t>
      </w:r>
      <w:proofErr w:type="spellStart"/>
      <w:r w:rsidRPr="00E21031">
        <w:rPr>
          <w:rFonts w:eastAsia="ArialMT"/>
          <w:color w:val="000000"/>
          <w:szCs w:val="16"/>
        </w:rPr>
        <w:t>pfd</w:t>
      </w:r>
      <w:proofErr w:type="spellEnd"/>
      <w:r w:rsidRPr="00E21031">
        <w:rPr>
          <w:rFonts w:eastAsia="ArialMT"/>
          <w:color w:val="000000"/>
          <w:szCs w:val="16"/>
        </w:rPr>
        <w:t xml:space="preserve"> limits for GSO and non-GSO satellites to protect incumbent services, while retaining the priority of </w:t>
      </w:r>
      <w:proofErr w:type="spellStart"/>
      <w:r w:rsidRPr="00E21031">
        <w:rPr>
          <w:rFonts w:eastAsia="ArialMT"/>
          <w:color w:val="000000"/>
          <w:szCs w:val="16"/>
        </w:rPr>
        <w:t>MetSat</w:t>
      </w:r>
      <w:proofErr w:type="spellEnd"/>
      <w:r w:rsidRPr="00E21031">
        <w:rPr>
          <w:rFonts w:eastAsia="ArialMT"/>
          <w:color w:val="000000"/>
          <w:szCs w:val="16"/>
        </w:rPr>
        <w:t xml:space="preserve"> service over EESS as currently expressed in footnote RR No. </w:t>
      </w:r>
      <w:r w:rsidRPr="00914310">
        <w:rPr>
          <w:rFonts w:eastAsia="ArialMT"/>
          <w:b/>
          <w:color w:val="000000"/>
          <w:szCs w:val="16"/>
        </w:rPr>
        <w:t>5.289</w:t>
      </w:r>
      <w:r w:rsidRPr="00E21031">
        <w:rPr>
          <w:rFonts w:eastAsia="ArialMT"/>
          <w:color w:val="000000"/>
          <w:szCs w:val="16"/>
        </w:rPr>
        <w:t>.</w:t>
      </w:r>
    </w:p>
    <w:p w14:paraId="00EDEDA9" w14:textId="77777777" w:rsidR="00914310" w:rsidRPr="00E21031" w:rsidRDefault="00914310" w:rsidP="00E21031">
      <w:pPr>
        <w:ind w:left="1080"/>
        <w:rPr>
          <w:rFonts w:eastAsia="ArialMT"/>
          <w:color w:val="000000"/>
          <w:szCs w:val="16"/>
        </w:rPr>
      </w:pPr>
    </w:p>
    <w:p w14:paraId="145C4B3E" w14:textId="5BEF2867" w:rsidR="00914310" w:rsidRDefault="00914310" w:rsidP="00914310">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 xml:space="preserve">IARU </w:t>
      </w:r>
      <w:r>
        <w:t>–</w:t>
      </w:r>
      <w:r w:rsidRPr="00441526">
        <w:t xml:space="preserve"> </w:t>
      </w:r>
      <w:r w:rsidRPr="00441526">
        <w:rPr>
          <w:b/>
          <w:lang w:val="en-NZ" w:eastAsia="ko-KR"/>
        </w:rPr>
        <w:t>Document</w:t>
      </w:r>
      <w:r>
        <w:rPr>
          <w:b/>
          <w:lang w:val="en-NZ" w:eastAsia="ko-KR"/>
        </w:rPr>
        <w:t xml:space="preserve"> </w:t>
      </w:r>
      <w:hyperlink r:id="rId35" w:history="1">
        <w:r w:rsidRPr="00681C6C">
          <w:rPr>
            <w:rStyle w:val="Hyperlink"/>
            <w:lang w:val="en-NZ"/>
          </w:rPr>
          <w:t>APG19-4/INF-03</w:t>
        </w:r>
      </w:hyperlink>
    </w:p>
    <w:p w14:paraId="33BF46E4" w14:textId="77777777" w:rsidR="00914310" w:rsidRPr="00B77C12" w:rsidRDefault="00914310" w:rsidP="00914310">
      <w:pPr>
        <w:spacing w:after="120"/>
        <w:ind w:left="720"/>
        <w:jc w:val="both"/>
        <w:rPr>
          <w:lang w:val="en-NZ" w:eastAsia="ko-KR"/>
        </w:rPr>
      </w:pPr>
      <w:r w:rsidRPr="00B77C12">
        <w:rPr>
          <w:lang w:val="en-NZ" w:eastAsia="ko-KR"/>
        </w:rPr>
        <w:t>None</w:t>
      </w:r>
    </w:p>
    <w:p w14:paraId="2D9D6EB4" w14:textId="77777777" w:rsidR="002A0111" w:rsidRPr="00441526" w:rsidRDefault="002A0111" w:rsidP="002A0111">
      <w:pPr>
        <w:rPr>
          <w:lang w:val="en-NZ"/>
        </w:rPr>
      </w:pPr>
    </w:p>
    <w:p w14:paraId="4BB34B8F" w14:textId="1B6809DE" w:rsidR="002A0111" w:rsidRPr="00441526" w:rsidRDefault="002A0111" w:rsidP="00A26BB6">
      <w:pPr>
        <w:spacing w:after="120"/>
        <w:jc w:val="both"/>
        <w:rPr>
          <w:lang w:val="en-NZ"/>
        </w:rPr>
      </w:pPr>
      <w:r w:rsidRPr="00441526">
        <w:rPr>
          <w:b/>
          <w:lang w:val="en-NZ" w:eastAsia="ko-KR"/>
        </w:rPr>
        <w:tab/>
      </w:r>
    </w:p>
    <w:p w14:paraId="38669673" w14:textId="77777777" w:rsidR="002A0111" w:rsidRPr="00441526" w:rsidRDefault="002A0111" w:rsidP="002A0111">
      <w:pPr>
        <w:rPr>
          <w:b/>
          <w:lang w:val="en-NZ"/>
        </w:rPr>
      </w:pPr>
    </w:p>
    <w:p w14:paraId="52A68A06" w14:textId="77777777" w:rsidR="002A0111" w:rsidRPr="00710333" w:rsidRDefault="002A0111" w:rsidP="002A0111">
      <w:pPr>
        <w:jc w:val="center"/>
        <w:rPr>
          <w:snapToGrid w:val="0"/>
          <w:lang w:val="en-NZ"/>
        </w:rPr>
      </w:pPr>
      <w:r w:rsidRPr="00441526">
        <w:rPr>
          <w:lang w:val="en-NZ"/>
        </w:rPr>
        <w:t>____________</w:t>
      </w:r>
    </w:p>
    <w:sectPr w:rsidR="002A0111" w:rsidRPr="00710333" w:rsidSect="00771205">
      <w:headerReference w:type="default" r:id="rId36"/>
      <w:footerReference w:type="even" r:id="rId37"/>
      <w:footerReference w:type="default" r:id="rId38"/>
      <w:headerReference w:type="first" r:id="rId39"/>
      <w:footerReference w:type="first" r:id="rId40"/>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74AE2" w14:textId="77777777" w:rsidR="00E55D78" w:rsidRDefault="00E55D78">
      <w:r>
        <w:separator/>
      </w:r>
    </w:p>
  </w:endnote>
  <w:endnote w:type="continuationSeparator" w:id="0">
    <w:p w14:paraId="6CE91740" w14:textId="77777777" w:rsidR="00E55D78" w:rsidRDefault="00E5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533F33" w:rsidRDefault="00533F3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533F33" w:rsidRDefault="00533F3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0E1497F5" w:rsidR="00533F33" w:rsidRDefault="00533F33" w:rsidP="0092727B">
    <w:pPr>
      <w:pStyle w:val="Footer"/>
      <w:tabs>
        <w:tab w:val="clear" w:pos="4320"/>
        <w:tab w:val="clear" w:pos="8640"/>
        <w:tab w:val="right" w:pos="9180"/>
      </w:tabs>
      <w:ind w:right="-7"/>
    </w:pPr>
    <w:r>
      <w:rPr>
        <w:rFonts w:hint="eastAsia"/>
        <w:lang w:eastAsia="ko-KR"/>
      </w:rPr>
      <w:t>A</w:t>
    </w:r>
    <w:r w:rsidR="00AF3D96">
      <w:rPr>
        <w:lang w:eastAsia="ko-KR"/>
      </w:rPr>
      <w:t>PG19-4/OUT-32</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431CF">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431CF">
      <w:rPr>
        <w:rStyle w:val="PageNumber"/>
        <w:noProof/>
      </w:rPr>
      <w:t>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968"/>
      <w:gridCol w:w="3096"/>
    </w:tblGrid>
    <w:tr w:rsidR="002431CF" w:rsidRPr="00690609" w14:paraId="09F3C7F6" w14:textId="77777777" w:rsidTr="00214505">
      <w:trPr>
        <w:cantSplit/>
        <w:trHeight w:val="204"/>
        <w:jc w:val="center"/>
      </w:trPr>
      <w:tc>
        <w:tcPr>
          <w:tcW w:w="1152" w:type="dxa"/>
        </w:tcPr>
        <w:p w14:paraId="1A133F57" w14:textId="77777777" w:rsidR="002431CF" w:rsidRPr="00690609" w:rsidRDefault="002431CF" w:rsidP="002431CF">
          <w:pPr>
            <w:rPr>
              <w:b/>
              <w:bCs/>
            </w:rPr>
          </w:pPr>
          <w:r w:rsidRPr="00690609">
            <w:rPr>
              <w:b/>
              <w:bCs/>
            </w:rPr>
            <w:t>Contact:</w:t>
          </w:r>
        </w:p>
      </w:tc>
      <w:tc>
        <w:tcPr>
          <w:tcW w:w="4968" w:type="dxa"/>
        </w:tcPr>
        <w:p w14:paraId="6F71B941" w14:textId="77777777" w:rsidR="002431CF" w:rsidRPr="00F44DB9" w:rsidRDefault="002431CF" w:rsidP="002431CF">
          <w:pPr>
            <w:overflowPunct w:val="0"/>
            <w:autoSpaceDE w:val="0"/>
            <w:autoSpaceDN w:val="0"/>
            <w:adjustRightInd w:val="0"/>
            <w:spacing w:line="240" w:lineRule="atLeast"/>
            <w:textAlignment w:val="baseline"/>
          </w:pPr>
          <w:r w:rsidRPr="00F44DB9">
            <w:t>DR. ATMADJI W. SOEWITO</w:t>
          </w:r>
        </w:p>
        <w:p w14:paraId="78DCEBD8" w14:textId="77777777" w:rsidR="002431CF" w:rsidRPr="00690609" w:rsidRDefault="002431CF" w:rsidP="002431CF">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WP4</w:t>
          </w:r>
        </w:p>
      </w:tc>
      <w:tc>
        <w:tcPr>
          <w:tcW w:w="3096" w:type="dxa"/>
        </w:tcPr>
        <w:p w14:paraId="4E50B9C6" w14:textId="77777777" w:rsidR="002431CF" w:rsidRPr="00690609" w:rsidRDefault="002431CF" w:rsidP="002431CF">
          <w:pPr>
            <w:rPr>
              <w:lang w:eastAsia="ja-JP"/>
            </w:rPr>
          </w:pPr>
          <w:r w:rsidRPr="00690609">
            <w:t>Email</w:t>
          </w:r>
          <w:r>
            <w:rPr>
              <w:rFonts w:hint="eastAsia"/>
            </w:rPr>
            <w:t>:</w:t>
          </w:r>
          <w:r>
            <w:t xml:space="preserve"> </w:t>
          </w:r>
          <w:hyperlink r:id="rId1" w:history="1">
            <w:r w:rsidRPr="00492A22">
              <w:rPr>
                <w:rStyle w:val="Hyperlink"/>
              </w:rPr>
              <w:t>atmadji@rfd-tech.com</w:t>
            </w:r>
          </w:hyperlink>
          <w:r>
            <w:t xml:space="preserve"> </w:t>
          </w:r>
        </w:p>
      </w:tc>
    </w:tr>
  </w:tbl>
  <w:p w14:paraId="2E0E6781" w14:textId="64F17CD3" w:rsidR="00533F33" w:rsidRDefault="00533F33"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2C5F" w14:textId="77777777" w:rsidR="00E55D78" w:rsidRDefault="00E55D78">
      <w:r>
        <w:separator/>
      </w:r>
    </w:p>
  </w:footnote>
  <w:footnote w:type="continuationSeparator" w:id="0">
    <w:p w14:paraId="4703FD8E" w14:textId="77777777" w:rsidR="00E55D78" w:rsidRDefault="00E5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533F33" w:rsidRDefault="00533F33" w:rsidP="0092727B">
    <w:pPr>
      <w:pStyle w:val="Header"/>
      <w:tabs>
        <w:tab w:val="clear" w:pos="4320"/>
        <w:tab w:val="clear" w:pos="8640"/>
      </w:tabs>
      <w:rPr>
        <w:lang w:eastAsia="ko-KR"/>
      </w:rPr>
    </w:pPr>
  </w:p>
  <w:p w14:paraId="2E0E6779" w14:textId="77777777" w:rsidR="00533F33" w:rsidRDefault="00533F33"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533F33" w:rsidRDefault="00533F33"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0175F"/>
    <w:multiLevelType w:val="hybridMultilevel"/>
    <w:tmpl w:val="9BDA7E6C"/>
    <w:lvl w:ilvl="0" w:tplc="07629780">
      <w:start w:val="1"/>
      <w:numFmt w:val="bullet"/>
      <w:lvlText w:val="-"/>
      <w:lvlJc w:val="left"/>
      <w:pPr>
        <w:ind w:left="1080" w:hanging="360"/>
      </w:pPr>
      <w:rPr>
        <w:rFonts w:ascii="Sylfaen" w:hAnsi="Sylfae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167106"/>
    <w:multiLevelType w:val="multilevel"/>
    <w:tmpl w:val="DDB89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5969D2"/>
    <w:multiLevelType w:val="hybridMultilevel"/>
    <w:tmpl w:val="DA56AA5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F3BA6"/>
    <w:multiLevelType w:val="hybridMultilevel"/>
    <w:tmpl w:val="0B24C8A8"/>
    <w:lvl w:ilvl="0" w:tplc="4FD62C8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02B5273"/>
    <w:multiLevelType w:val="hybridMultilevel"/>
    <w:tmpl w:val="B1F23906"/>
    <w:lvl w:ilvl="0" w:tplc="07629780">
      <w:start w:val="1"/>
      <w:numFmt w:val="bullet"/>
      <w:lvlText w:val="-"/>
      <w:lvlJc w:val="left"/>
      <w:pPr>
        <w:ind w:left="720" w:hanging="360"/>
      </w:pPr>
      <w:rPr>
        <w:rFonts w:ascii="Sylfaen" w:hAnsi="Sylfaen" w:hint="default"/>
        <w:color w:val="auto"/>
      </w:rPr>
    </w:lvl>
    <w:lvl w:ilvl="1" w:tplc="B6DC905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4465E4"/>
    <w:multiLevelType w:val="multilevel"/>
    <w:tmpl w:val="5102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56E7088"/>
    <w:multiLevelType w:val="hybridMultilevel"/>
    <w:tmpl w:val="AB8EFFE8"/>
    <w:lvl w:ilvl="0" w:tplc="04090001">
      <w:start w:val="1"/>
      <w:numFmt w:val="bullet"/>
      <w:lvlText w:val=""/>
      <w:lvlJc w:val="left"/>
      <w:pPr>
        <w:ind w:left="-768" w:hanging="420"/>
      </w:pPr>
      <w:rPr>
        <w:rFonts w:ascii="Symbol" w:hAnsi="Symbol" w:hint="default"/>
        <w:color w:val="auto"/>
      </w:rPr>
    </w:lvl>
    <w:lvl w:ilvl="1" w:tplc="0409000B">
      <w:start w:val="1"/>
      <w:numFmt w:val="bullet"/>
      <w:lvlText w:val=""/>
      <w:lvlJc w:val="left"/>
      <w:pPr>
        <w:ind w:left="-348" w:hanging="420"/>
      </w:pPr>
      <w:rPr>
        <w:rFonts w:ascii="Wingdings" w:hAnsi="Wingdings" w:hint="default"/>
      </w:rPr>
    </w:lvl>
    <w:lvl w:ilvl="2" w:tplc="0409000D">
      <w:start w:val="1"/>
      <w:numFmt w:val="bullet"/>
      <w:lvlText w:val=""/>
      <w:lvlJc w:val="left"/>
      <w:pPr>
        <w:ind w:left="222" w:hanging="420"/>
      </w:pPr>
      <w:rPr>
        <w:rFonts w:ascii="Wingdings" w:hAnsi="Wingdings" w:hint="default"/>
      </w:rPr>
    </w:lvl>
    <w:lvl w:ilvl="3" w:tplc="04090001" w:tentative="1">
      <w:start w:val="1"/>
      <w:numFmt w:val="bullet"/>
      <w:lvlText w:val=""/>
      <w:lvlJc w:val="left"/>
      <w:pPr>
        <w:ind w:left="492" w:hanging="420"/>
      </w:pPr>
      <w:rPr>
        <w:rFonts w:ascii="Wingdings" w:hAnsi="Wingdings" w:hint="default"/>
      </w:rPr>
    </w:lvl>
    <w:lvl w:ilvl="4" w:tplc="0409000B" w:tentative="1">
      <w:start w:val="1"/>
      <w:numFmt w:val="bullet"/>
      <w:lvlText w:val=""/>
      <w:lvlJc w:val="left"/>
      <w:pPr>
        <w:ind w:left="912" w:hanging="420"/>
      </w:pPr>
      <w:rPr>
        <w:rFonts w:ascii="Wingdings" w:hAnsi="Wingdings" w:hint="default"/>
      </w:rPr>
    </w:lvl>
    <w:lvl w:ilvl="5" w:tplc="0409000D" w:tentative="1">
      <w:start w:val="1"/>
      <w:numFmt w:val="bullet"/>
      <w:lvlText w:val=""/>
      <w:lvlJc w:val="left"/>
      <w:pPr>
        <w:ind w:left="1332" w:hanging="420"/>
      </w:pPr>
      <w:rPr>
        <w:rFonts w:ascii="Wingdings" w:hAnsi="Wingdings" w:hint="default"/>
      </w:rPr>
    </w:lvl>
    <w:lvl w:ilvl="6" w:tplc="04090001" w:tentative="1">
      <w:start w:val="1"/>
      <w:numFmt w:val="bullet"/>
      <w:lvlText w:val=""/>
      <w:lvlJc w:val="left"/>
      <w:pPr>
        <w:ind w:left="1752" w:hanging="420"/>
      </w:pPr>
      <w:rPr>
        <w:rFonts w:ascii="Wingdings" w:hAnsi="Wingdings" w:hint="default"/>
      </w:rPr>
    </w:lvl>
    <w:lvl w:ilvl="7" w:tplc="0409000B" w:tentative="1">
      <w:start w:val="1"/>
      <w:numFmt w:val="bullet"/>
      <w:lvlText w:val=""/>
      <w:lvlJc w:val="left"/>
      <w:pPr>
        <w:ind w:left="2172" w:hanging="420"/>
      </w:pPr>
      <w:rPr>
        <w:rFonts w:ascii="Wingdings" w:hAnsi="Wingdings" w:hint="default"/>
      </w:rPr>
    </w:lvl>
    <w:lvl w:ilvl="8" w:tplc="0409000D" w:tentative="1">
      <w:start w:val="1"/>
      <w:numFmt w:val="bullet"/>
      <w:lvlText w:val=""/>
      <w:lvlJc w:val="left"/>
      <w:pPr>
        <w:ind w:left="2592" w:hanging="420"/>
      </w:pPr>
      <w:rPr>
        <w:rFonts w:ascii="Wingdings" w:hAnsi="Wingdings" w:hint="default"/>
      </w:rPr>
    </w:lvl>
  </w:abstractNum>
  <w:abstractNum w:abstractNumId="16" w15:restartNumberingAfterBreak="0">
    <w:nsid w:val="35E30AFC"/>
    <w:multiLevelType w:val="hybridMultilevel"/>
    <w:tmpl w:val="0ED43CCC"/>
    <w:lvl w:ilvl="0" w:tplc="04090001">
      <w:start w:val="1"/>
      <w:numFmt w:val="bullet"/>
      <w:lvlText w:val=""/>
      <w:lvlJc w:val="left"/>
      <w:pPr>
        <w:ind w:left="720" w:hanging="360"/>
      </w:pPr>
      <w:rPr>
        <w:rFonts w:ascii="Symbol" w:hAnsi="Symbol" w:hint="default"/>
        <w:color w:val="auto"/>
      </w:rPr>
    </w:lvl>
    <w:lvl w:ilvl="1" w:tplc="07629780">
      <w:start w:val="1"/>
      <w:numFmt w:val="bullet"/>
      <w:lvlText w:val="-"/>
      <w:lvlJc w:val="left"/>
      <w:pPr>
        <w:ind w:left="1440" w:hanging="360"/>
      </w:pPr>
      <w:rPr>
        <w:rFonts w:ascii="Sylfaen" w:hAnsi="Sylfae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BBE1A4D"/>
    <w:multiLevelType w:val="hybridMultilevel"/>
    <w:tmpl w:val="37F07CC2"/>
    <w:lvl w:ilvl="0" w:tplc="07629780">
      <w:start w:val="1"/>
      <w:numFmt w:val="bullet"/>
      <w:lvlText w:val="-"/>
      <w:lvlJc w:val="left"/>
      <w:pPr>
        <w:ind w:left="280" w:hanging="360"/>
      </w:pPr>
      <w:rPr>
        <w:rFonts w:ascii="Sylfaen" w:hAnsi="Sylfaen" w:hint="default"/>
        <w:color w:val="auto"/>
      </w:rPr>
    </w:lvl>
    <w:lvl w:ilvl="1" w:tplc="07629780">
      <w:start w:val="1"/>
      <w:numFmt w:val="bullet"/>
      <w:lvlText w:val="-"/>
      <w:lvlJc w:val="left"/>
      <w:pPr>
        <w:ind w:left="720" w:hanging="400"/>
      </w:pPr>
      <w:rPr>
        <w:rFonts w:ascii="Sylfaen" w:hAnsi="Sylfaen" w:hint="default"/>
        <w:color w:val="auto"/>
      </w:rPr>
    </w:lvl>
    <w:lvl w:ilvl="2" w:tplc="07629780">
      <w:start w:val="1"/>
      <w:numFmt w:val="bullet"/>
      <w:lvlText w:val="-"/>
      <w:lvlJc w:val="left"/>
      <w:pPr>
        <w:ind w:left="1120" w:hanging="400"/>
      </w:pPr>
      <w:rPr>
        <w:rFonts w:ascii="Sylfaen" w:hAnsi="Sylfaen" w:hint="default"/>
        <w:color w:val="auto"/>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56D3297"/>
    <w:multiLevelType w:val="hybridMultilevel"/>
    <w:tmpl w:val="D5A236F4"/>
    <w:lvl w:ilvl="0" w:tplc="1FEADCB2">
      <w:numFmt w:val="bullet"/>
      <w:lvlText w:val="-"/>
      <w:lvlJc w:val="left"/>
      <w:pPr>
        <w:ind w:left="360" w:hanging="360"/>
      </w:pPr>
      <w:rPr>
        <w:rFonts w:ascii="Times New Roman" w:eastAsia="BatangChe"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B505F6"/>
    <w:multiLevelType w:val="hybridMultilevel"/>
    <w:tmpl w:val="9D4E3F90"/>
    <w:lvl w:ilvl="0" w:tplc="07629780">
      <w:start w:val="1"/>
      <w:numFmt w:val="bullet"/>
      <w:lvlText w:val="-"/>
      <w:lvlJc w:val="left"/>
      <w:pPr>
        <w:ind w:left="720" w:hanging="360"/>
      </w:pPr>
      <w:rPr>
        <w:rFonts w:ascii="Sylfaen" w:hAnsi="Sylfaen" w:hint="default"/>
        <w:color w:val="auto"/>
      </w:rPr>
    </w:lvl>
    <w:lvl w:ilvl="1" w:tplc="07629780">
      <w:start w:val="1"/>
      <w:numFmt w:val="bullet"/>
      <w:lvlText w:val="-"/>
      <w:lvlJc w:val="left"/>
      <w:pPr>
        <w:ind w:left="1440" w:hanging="360"/>
      </w:pPr>
      <w:rPr>
        <w:rFonts w:ascii="Sylfaen" w:hAnsi="Sylfaen"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B055B"/>
    <w:multiLevelType w:val="hybridMultilevel"/>
    <w:tmpl w:val="2C309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2E4151"/>
    <w:multiLevelType w:val="hybridMultilevel"/>
    <w:tmpl w:val="A78425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217C5D"/>
    <w:multiLevelType w:val="hybridMultilevel"/>
    <w:tmpl w:val="2C58B574"/>
    <w:lvl w:ilvl="0" w:tplc="3BD0276E">
      <w:start w:val="1"/>
      <w:numFmt w:val="bullet"/>
      <w:lvlText w:val="-"/>
      <w:lvlJc w:val="left"/>
      <w:pPr>
        <w:ind w:left="1728" w:hanging="360"/>
      </w:pPr>
      <w:rPr>
        <w:rFonts w:ascii="Times New Roman" w:eastAsia="MS Mincho" w:hAnsi="Times New Roman"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58FF68CF"/>
    <w:multiLevelType w:val="hybridMultilevel"/>
    <w:tmpl w:val="3C1A1C4C"/>
    <w:lvl w:ilvl="0" w:tplc="1FEADCB2">
      <w:numFmt w:val="bullet"/>
      <w:lvlText w:val="-"/>
      <w:lvlJc w:val="left"/>
      <w:pPr>
        <w:ind w:left="708" w:hanging="360"/>
      </w:pPr>
      <w:rPr>
        <w:rFonts w:ascii="Times New Roman" w:eastAsia="BatangChe"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B482EDC"/>
    <w:multiLevelType w:val="hybridMultilevel"/>
    <w:tmpl w:val="BA86504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B352A"/>
    <w:multiLevelType w:val="multilevel"/>
    <w:tmpl w:val="A3E6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23A7635"/>
    <w:multiLevelType w:val="hybridMultilevel"/>
    <w:tmpl w:val="52EEFE5A"/>
    <w:lvl w:ilvl="0" w:tplc="9FBA364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1121B2"/>
    <w:multiLevelType w:val="hybridMultilevel"/>
    <w:tmpl w:val="A074F234"/>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475DDB"/>
    <w:multiLevelType w:val="hybridMultilevel"/>
    <w:tmpl w:val="D0889AEA"/>
    <w:lvl w:ilvl="0" w:tplc="07629780">
      <w:start w:val="1"/>
      <w:numFmt w:val="bullet"/>
      <w:lvlText w:val="-"/>
      <w:lvlJc w:val="left"/>
      <w:pPr>
        <w:tabs>
          <w:tab w:val="num" w:pos="1620"/>
        </w:tabs>
        <w:ind w:left="1620" w:hanging="360"/>
      </w:pPr>
      <w:rPr>
        <w:rFonts w:ascii="Sylfaen" w:hAnsi="Sylfaen"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7"/>
  </w:num>
  <w:num w:numId="2">
    <w:abstractNumId w:val="10"/>
  </w:num>
  <w:num w:numId="3">
    <w:abstractNumId w:val="9"/>
  </w:num>
  <w:num w:numId="4">
    <w:abstractNumId w:val="31"/>
  </w:num>
  <w:num w:numId="5">
    <w:abstractNumId w:val="14"/>
  </w:num>
  <w:num w:numId="6">
    <w:abstractNumId w:val="18"/>
  </w:num>
  <w:num w:numId="7">
    <w:abstractNumId w:val="6"/>
  </w:num>
  <w:num w:numId="8">
    <w:abstractNumId w:val="2"/>
  </w:num>
  <w:num w:numId="9">
    <w:abstractNumId w:val="37"/>
  </w:num>
  <w:num w:numId="10">
    <w:abstractNumId w:val="29"/>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8"/>
  </w:num>
  <w:num w:numId="17">
    <w:abstractNumId w:val="27"/>
  </w:num>
  <w:num w:numId="18">
    <w:abstractNumId w:val="19"/>
  </w:num>
  <w:num w:numId="19">
    <w:abstractNumId w:val="35"/>
  </w:num>
  <w:num w:numId="20">
    <w:abstractNumId w:val="12"/>
  </w:num>
  <w:num w:numId="21">
    <w:abstractNumId w:val="34"/>
  </w:num>
  <w:num w:numId="22">
    <w:abstractNumId w:val="39"/>
  </w:num>
  <w:num w:numId="23">
    <w:abstractNumId w:val="15"/>
  </w:num>
  <w:num w:numId="24">
    <w:abstractNumId w:val="3"/>
  </w:num>
  <w:num w:numId="25">
    <w:abstractNumId w:val="16"/>
  </w:num>
  <w:num w:numId="26">
    <w:abstractNumId w:val="36"/>
  </w:num>
  <w:num w:numId="27">
    <w:abstractNumId w:val="8"/>
  </w:num>
  <w:num w:numId="28">
    <w:abstractNumId w:val="25"/>
  </w:num>
  <w:num w:numId="29">
    <w:abstractNumId w:val="2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26"/>
  </w:num>
  <w:num w:numId="34">
    <w:abstractNumId w:val="5"/>
  </w:num>
  <w:num w:numId="35">
    <w:abstractNumId w:val="32"/>
  </w:num>
  <w:num w:numId="36">
    <w:abstractNumId w:val="22"/>
  </w:num>
  <w:num w:numId="37">
    <w:abstractNumId w:val="4"/>
  </w:num>
  <w:num w:numId="38">
    <w:abstractNumId w:val="33"/>
  </w:num>
  <w:num w:numId="39">
    <w:abstractNumId w:val="28"/>
  </w:num>
  <w:num w:numId="40">
    <w:abstractNumId w:val="1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2639"/>
    <w:rsid w:val="0003595B"/>
    <w:rsid w:val="00036517"/>
    <w:rsid w:val="00036CC9"/>
    <w:rsid w:val="00040149"/>
    <w:rsid w:val="00066598"/>
    <w:rsid w:val="00070642"/>
    <w:rsid w:val="000713CF"/>
    <w:rsid w:val="00075C14"/>
    <w:rsid w:val="000822B5"/>
    <w:rsid w:val="00094B87"/>
    <w:rsid w:val="000A012B"/>
    <w:rsid w:val="000A5418"/>
    <w:rsid w:val="000B3340"/>
    <w:rsid w:val="000D47FB"/>
    <w:rsid w:val="000D5FEB"/>
    <w:rsid w:val="000F345F"/>
    <w:rsid w:val="000F3646"/>
    <w:rsid w:val="000F517C"/>
    <w:rsid w:val="000F5540"/>
    <w:rsid w:val="000F5B70"/>
    <w:rsid w:val="00105F1A"/>
    <w:rsid w:val="0011591D"/>
    <w:rsid w:val="00117E82"/>
    <w:rsid w:val="00125FBD"/>
    <w:rsid w:val="001409B2"/>
    <w:rsid w:val="00151A4A"/>
    <w:rsid w:val="00152636"/>
    <w:rsid w:val="001539DD"/>
    <w:rsid w:val="00156782"/>
    <w:rsid w:val="0016551C"/>
    <w:rsid w:val="00165F01"/>
    <w:rsid w:val="001731F4"/>
    <w:rsid w:val="00175320"/>
    <w:rsid w:val="0017596D"/>
    <w:rsid w:val="001803F6"/>
    <w:rsid w:val="00187FD8"/>
    <w:rsid w:val="001916F2"/>
    <w:rsid w:val="00191765"/>
    <w:rsid w:val="001930A7"/>
    <w:rsid w:val="00196568"/>
    <w:rsid w:val="00197C18"/>
    <w:rsid w:val="00197CA9"/>
    <w:rsid w:val="001A2F16"/>
    <w:rsid w:val="001B1804"/>
    <w:rsid w:val="001B18C2"/>
    <w:rsid w:val="001B193B"/>
    <w:rsid w:val="001C443F"/>
    <w:rsid w:val="001C61A5"/>
    <w:rsid w:val="001C6707"/>
    <w:rsid w:val="001D5D7E"/>
    <w:rsid w:val="001E372C"/>
    <w:rsid w:val="001F0983"/>
    <w:rsid w:val="001F5947"/>
    <w:rsid w:val="00202410"/>
    <w:rsid w:val="00204F00"/>
    <w:rsid w:val="00210407"/>
    <w:rsid w:val="00214A0C"/>
    <w:rsid w:val="0021588B"/>
    <w:rsid w:val="002161B6"/>
    <w:rsid w:val="002216AC"/>
    <w:rsid w:val="00223958"/>
    <w:rsid w:val="0023178E"/>
    <w:rsid w:val="002431CF"/>
    <w:rsid w:val="002475E2"/>
    <w:rsid w:val="002506D2"/>
    <w:rsid w:val="00250DE2"/>
    <w:rsid w:val="00254A1B"/>
    <w:rsid w:val="0026064A"/>
    <w:rsid w:val="00264566"/>
    <w:rsid w:val="0028454D"/>
    <w:rsid w:val="00291C9E"/>
    <w:rsid w:val="002926D4"/>
    <w:rsid w:val="00293E78"/>
    <w:rsid w:val="0029734E"/>
    <w:rsid w:val="002A0111"/>
    <w:rsid w:val="002A1187"/>
    <w:rsid w:val="002A34FF"/>
    <w:rsid w:val="002A3CF5"/>
    <w:rsid w:val="002A4D32"/>
    <w:rsid w:val="002B06A3"/>
    <w:rsid w:val="002B435C"/>
    <w:rsid w:val="002B447F"/>
    <w:rsid w:val="002C07DA"/>
    <w:rsid w:val="002C2A49"/>
    <w:rsid w:val="002C7EA9"/>
    <w:rsid w:val="002F575D"/>
    <w:rsid w:val="003113D7"/>
    <w:rsid w:val="00311E8A"/>
    <w:rsid w:val="00314E2F"/>
    <w:rsid w:val="00331666"/>
    <w:rsid w:val="00332A80"/>
    <w:rsid w:val="00342F20"/>
    <w:rsid w:val="00350584"/>
    <w:rsid w:val="00360377"/>
    <w:rsid w:val="00360C2A"/>
    <w:rsid w:val="00365203"/>
    <w:rsid w:val="00366548"/>
    <w:rsid w:val="0038005B"/>
    <w:rsid w:val="003809C7"/>
    <w:rsid w:val="0038236C"/>
    <w:rsid w:val="00384A3E"/>
    <w:rsid w:val="00393DCD"/>
    <w:rsid w:val="00395B40"/>
    <w:rsid w:val="003A00FB"/>
    <w:rsid w:val="003A2006"/>
    <w:rsid w:val="003A3C4C"/>
    <w:rsid w:val="003A6568"/>
    <w:rsid w:val="003B3951"/>
    <w:rsid w:val="003B4FD1"/>
    <w:rsid w:val="003B6263"/>
    <w:rsid w:val="003C29E6"/>
    <w:rsid w:val="003C64A7"/>
    <w:rsid w:val="003D1128"/>
    <w:rsid w:val="003D1671"/>
    <w:rsid w:val="003D3D47"/>
    <w:rsid w:val="003D3FDA"/>
    <w:rsid w:val="003D6D00"/>
    <w:rsid w:val="003E166F"/>
    <w:rsid w:val="003F307E"/>
    <w:rsid w:val="004001E5"/>
    <w:rsid w:val="0041313C"/>
    <w:rsid w:val="00420822"/>
    <w:rsid w:val="00420C74"/>
    <w:rsid w:val="00431B9B"/>
    <w:rsid w:val="00441526"/>
    <w:rsid w:val="004465AA"/>
    <w:rsid w:val="00446A5E"/>
    <w:rsid w:val="00451D50"/>
    <w:rsid w:val="0045458F"/>
    <w:rsid w:val="00457618"/>
    <w:rsid w:val="004633B4"/>
    <w:rsid w:val="00481AF2"/>
    <w:rsid w:val="004826AC"/>
    <w:rsid w:val="00495CED"/>
    <w:rsid w:val="004A2F96"/>
    <w:rsid w:val="004A4BDF"/>
    <w:rsid w:val="004A5A06"/>
    <w:rsid w:val="004B3553"/>
    <w:rsid w:val="004B3F4B"/>
    <w:rsid w:val="004D20BB"/>
    <w:rsid w:val="004E1FCA"/>
    <w:rsid w:val="004E47D6"/>
    <w:rsid w:val="004F483F"/>
    <w:rsid w:val="00502DD2"/>
    <w:rsid w:val="00503189"/>
    <w:rsid w:val="00516BD1"/>
    <w:rsid w:val="005206E9"/>
    <w:rsid w:val="00526D01"/>
    <w:rsid w:val="00530E8C"/>
    <w:rsid w:val="005316CD"/>
    <w:rsid w:val="00533F33"/>
    <w:rsid w:val="00535D34"/>
    <w:rsid w:val="00540587"/>
    <w:rsid w:val="00545933"/>
    <w:rsid w:val="00552105"/>
    <w:rsid w:val="005562F2"/>
    <w:rsid w:val="00557544"/>
    <w:rsid w:val="00565BBB"/>
    <w:rsid w:val="00576AAA"/>
    <w:rsid w:val="00585F3C"/>
    <w:rsid w:val="00586CA0"/>
    <w:rsid w:val="00587875"/>
    <w:rsid w:val="00593FE8"/>
    <w:rsid w:val="005A3F07"/>
    <w:rsid w:val="005A63EB"/>
    <w:rsid w:val="005A65D3"/>
    <w:rsid w:val="005B0876"/>
    <w:rsid w:val="005C0024"/>
    <w:rsid w:val="005C33B6"/>
    <w:rsid w:val="005C3B44"/>
    <w:rsid w:val="005D6202"/>
    <w:rsid w:val="005D6E98"/>
    <w:rsid w:val="005E66B7"/>
    <w:rsid w:val="00607E2B"/>
    <w:rsid w:val="006139D6"/>
    <w:rsid w:val="00614BF9"/>
    <w:rsid w:val="00616D1B"/>
    <w:rsid w:val="00623CE1"/>
    <w:rsid w:val="00627880"/>
    <w:rsid w:val="0063062B"/>
    <w:rsid w:val="00632224"/>
    <w:rsid w:val="00634A82"/>
    <w:rsid w:val="00637351"/>
    <w:rsid w:val="00646166"/>
    <w:rsid w:val="0065277C"/>
    <w:rsid w:val="00654896"/>
    <w:rsid w:val="006621F0"/>
    <w:rsid w:val="006647BA"/>
    <w:rsid w:val="006648E5"/>
    <w:rsid w:val="00667229"/>
    <w:rsid w:val="00681C6C"/>
    <w:rsid w:val="00682BE5"/>
    <w:rsid w:val="00683846"/>
    <w:rsid w:val="00690FED"/>
    <w:rsid w:val="006939A5"/>
    <w:rsid w:val="00693F4C"/>
    <w:rsid w:val="006A656A"/>
    <w:rsid w:val="006C0684"/>
    <w:rsid w:val="006C0D73"/>
    <w:rsid w:val="006D5223"/>
    <w:rsid w:val="006D5970"/>
    <w:rsid w:val="006E12FC"/>
    <w:rsid w:val="006F0F24"/>
    <w:rsid w:val="006F2B2E"/>
    <w:rsid w:val="006F6A5C"/>
    <w:rsid w:val="007003E0"/>
    <w:rsid w:val="00701006"/>
    <w:rsid w:val="00703F6F"/>
    <w:rsid w:val="007052B3"/>
    <w:rsid w:val="00705962"/>
    <w:rsid w:val="00707C21"/>
    <w:rsid w:val="00712451"/>
    <w:rsid w:val="0071540F"/>
    <w:rsid w:val="00717DE9"/>
    <w:rsid w:val="00717F30"/>
    <w:rsid w:val="0072518B"/>
    <w:rsid w:val="00731041"/>
    <w:rsid w:val="007319E0"/>
    <w:rsid w:val="007329E4"/>
    <w:rsid w:val="00732F08"/>
    <w:rsid w:val="007342F0"/>
    <w:rsid w:val="00736E7A"/>
    <w:rsid w:val="0074190C"/>
    <w:rsid w:val="00752656"/>
    <w:rsid w:val="00752DB4"/>
    <w:rsid w:val="0075493D"/>
    <w:rsid w:val="007565FF"/>
    <w:rsid w:val="007566ED"/>
    <w:rsid w:val="00762576"/>
    <w:rsid w:val="00764CEF"/>
    <w:rsid w:val="00766B3A"/>
    <w:rsid w:val="007673CA"/>
    <w:rsid w:val="00771205"/>
    <w:rsid w:val="00783831"/>
    <w:rsid w:val="00791060"/>
    <w:rsid w:val="007926EA"/>
    <w:rsid w:val="007A040B"/>
    <w:rsid w:val="007B32CD"/>
    <w:rsid w:val="007B5626"/>
    <w:rsid w:val="007B6124"/>
    <w:rsid w:val="007D3C53"/>
    <w:rsid w:val="007E3A0F"/>
    <w:rsid w:val="007F2628"/>
    <w:rsid w:val="007F2FBA"/>
    <w:rsid w:val="00800C3A"/>
    <w:rsid w:val="00803A3D"/>
    <w:rsid w:val="0080570B"/>
    <w:rsid w:val="008148E1"/>
    <w:rsid w:val="00827EFF"/>
    <w:rsid w:val="008319BF"/>
    <w:rsid w:val="0084012B"/>
    <w:rsid w:val="008415F0"/>
    <w:rsid w:val="008433C2"/>
    <w:rsid w:val="00844457"/>
    <w:rsid w:val="008454C8"/>
    <w:rsid w:val="00851D78"/>
    <w:rsid w:val="008714B4"/>
    <w:rsid w:val="00894D9D"/>
    <w:rsid w:val="008A016F"/>
    <w:rsid w:val="008A1A0D"/>
    <w:rsid w:val="008A72E1"/>
    <w:rsid w:val="008A76ED"/>
    <w:rsid w:val="008B3C72"/>
    <w:rsid w:val="008C5FED"/>
    <w:rsid w:val="008D0E09"/>
    <w:rsid w:val="008E414E"/>
    <w:rsid w:val="00903007"/>
    <w:rsid w:val="00914310"/>
    <w:rsid w:val="00923816"/>
    <w:rsid w:val="00924DD8"/>
    <w:rsid w:val="0092727B"/>
    <w:rsid w:val="00927782"/>
    <w:rsid w:val="0093074B"/>
    <w:rsid w:val="00930E64"/>
    <w:rsid w:val="00931930"/>
    <w:rsid w:val="00942503"/>
    <w:rsid w:val="00943CF9"/>
    <w:rsid w:val="00956F8C"/>
    <w:rsid w:val="00961D57"/>
    <w:rsid w:val="00976716"/>
    <w:rsid w:val="0097693B"/>
    <w:rsid w:val="00981018"/>
    <w:rsid w:val="00993355"/>
    <w:rsid w:val="009963F7"/>
    <w:rsid w:val="009A11CB"/>
    <w:rsid w:val="009A4A6D"/>
    <w:rsid w:val="009B44DD"/>
    <w:rsid w:val="009B7E42"/>
    <w:rsid w:val="009D46CE"/>
    <w:rsid w:val="009D4ADA"/>
    <w:rsid w:val="009E13DD"/>
    <w:rsid w:val="009F1AFD"/>
    <w:rsid w:val="009F3366"/>
    <w:rsid w:val="009F547A"/>
    <w:rsid w:val="009F749B"/>
    <w:rsid w:val="00A02191"/>
    <w:rsid w:val="00A03D78"/>
    <w:rsid w:val="00A0503B"/>
    <w:rsid w:val="00A059CD"/>
    <w:rsid w:val="00A13265"/>
    <w:rsid w:val="00A14900"/>
    <w:rsid w:val="00A2159F"/>
    <w:rsid w:val="00A26BB6"/>
    <w:rsid w:val="00A324FF"/>
    <w:rsid w:val="00A4532D"/>
    <w:rsid w:val="00A529BC"/>
    <w:rsid w:val="00A5346C"/>
    <w:rsid w:val="00A53F51"/>
    <w:rsid w:val="00A562F0"/>
    <w:rsid w:val="00A564FB"/>
    <w:rsid w:val="00A614C1"/>
    <w:rsid w:val="00A61EA6"/>
    <w:rsid w:val="00A657BF"/>
    <w:rsid w:val="00A67E8F"/>
    <w:rsid w:val="00A71136"/>
    <w:rsid w:val="00A76FC7"/>
    <w:rsid w:val="00A87D3E"/>
    <w:rsid w:val="00A92578"/>
    <w:rsid w:val="00A976A0"/>
    <w:rsid w:val="00AA474C"/>
    <w:rsid w:val="00AA475C"/>
    <w:rsid w:val="00AB59D1"/>
    <w:rsid w:val="00AB5DDE"/>
    <w:rsid w:val="00AC1294"/>
    <w:rsid w:val="00AC35EF"/>
    <w:rsid w:val="00AC4D5B"/>
    <w:rsid w:val="00AC72FA"/>
    <w:rsid w:val="00AD1DDB"/>
    <w:rsid w:val="00AD2697"/>
    <w:rsid w:val="00AD7E5F"/>
    <w:rsid w:val="00AE3066"/>
    <w:rsid w:val="00AE3E6B"/>
    <w:rsid w:val="00AF3D96"/>
    <w:rsid w:val="00AF68E4"/>
    <w:rsid w:val="00B006A1"/>
    <w:rsid w:val="00B00A87"/>
    <w:rsid w:val="00B01AA1"/>
    <w:rsid w:val="00B0510E"/>
    <w:rsid w:val="00B05144"/>
    <w:rsid w:val="00B06025"/>
    <w:rsid w:val="00B06CD4"/>
    <w:rsid w:val="00B2087C"/>
    <w:rsid w:val="00B30C81"/>
    <w:rsid w:val="00B30DA1"/>
    <w:rsid w:val="00B32DE1"/>
    <w:rsid w:val="00B42D5B"/>
    <w:rsid w:val="00B4793B"/>
    <w:rsid w:val="00B5535E"/>
    <w:rsid w:val="00B56099"/>
    <w:rsid w:val="00B64A60"/>
    <w:rsid w:val="00B679D4"/>
    <w:rsid w:val="00B764C6"/>
    <w:rsid w:val="00B77C12"/>
    <w:rsid w:val="00B8468D"/>
    <w:rsid w:val="00B877A7"/>
    <w:rsid w:val="00B91661"/>
    <w:rsid w:val="00B937D7"/>
    <w:rsid w:val="00B963E7"/>
    <w:rsid w:val="00B96B67"/>
    <w:rsid w:val="00BA4D08"/>
    <w:rsid w:val="00BB0EA4"/>
    <w:rsid w:val="00BC57EF"/>
    <w:rsid w:val="00BC69DB"/>
    <w:rsid w:val="00BE6B6B"/>
    <w:rsid w:val="00BF25F9"/>
    <w:rsid w:val="00C00B87"/>
    <w:rsid w:val="00C1229A"/>
    <w:rsid w:val="00C13FD5"/>
    <w:rsid w:val="00C15633"/>
    <w:rsid w:val="00C15799"/>
    <w:rsid w:val="00C32E84"/>
    <w:rsid w:val="00C35415"/>
    <w:rsid w:val="00C357AD"/>
    <w:rsid w:val="00C4367B"/>
    <w:rsid w:val="00C451DE"/>
    <w:rsid w:val="00C51C5F"/>
    <w:rsid w:val="00C554CC"/>
    <w:rsid w:val="00C6069C"/>
    <w:rsid w:val="00C657FA"/>
    <w:rsid w:val="00C675AA"/>
    <w:rsid w:val="00C70477"/>
    <w:rsid w:val="00C74745"/>
    <w:rsid w:val="00C755FA"/>
    <w:rsid w:val="00C85119"/>
    <w:rsid w:val="00C95C48"/>
    <w:rsid w:val="00C97193"/>
    <w:rsid w:val="00CA41E7"/>
    <w:rsid w:val="00CD170C"/>
    <w:rsid w:val="00CD320B"/>
    <w:rsid w:val="00CD3F37"/>
    <w:rsid w:val="00CD5029"/>
    <w:rsid w:val="00CD5431"/>
    <w:rsid w:val="00CE4B93"/>
    <w:rsid w:val="00CE7D9A"/>
    <w:rsid w:val="00CF2491"/>
    <w:rsid w:val="00CF3963"/>
    <w:rsid w:val="00D1252E"/>
    <w:rsid w:val="00D13D9D"/>
    <w:rsid w:val="00D416A3"/>
    <w:rsid w:val="00D459A2"/>
    <w:rsid w:val="00D530FF"/>
    <w:rsid w:val="00D53688"/>
    <w:rsid w:val="00D5407A"/>
    <w:rsid w:val="00D57772"/>
    <w:rsid w:val="00D72AE3"/>
    <w:rsid w:val="00D75A4D"/>
    <w:rsid w:val="00D80F10"/>
    <w:rsid w:val="00D8478B"/>
    <w:rsid w:val="00D86151"/>
    <w:rsid w:val="00D9075E"/>
    <w:rsid w:val="00D9172D"/>
    <w:rsid w:val="00D97E84"/>
    <w:rsid w:val="00DA05F9"/>
    <w:rsid w:val="00DA5641"/>
    <w:rsid w:val="00DA7595"/>
    <w:rsid w:val="00DB0A68"/>
    <w:rsid w:val="00DB10C5"/>
    <w:rsid w:val="00DB39D4"/>
    <w:rsid w:val="00DC43A3"/>
    <w:rsid w:val="00DC4CF3"/>
    <w:rsid w:val="00DC5C01"/>
    <w:rsid w:val="00DC63F1"/>
    <w:rsid w:val="00DD3924"/>
    <w:rsid w:val="00DD7C09"/>
    <w:rsid w:val="00DE7DF5"/>
    <w:rsid w:val="00DF0EB4"/>
    <w:rsid w:val="00DF111E"/>
    <w:rsid w:val="00E0124F"/>
    <w:rsid w:val="00E21031"/>
    <w:rsid w:val="00E242C1"/>
    <w:rsid w:val="00E317C1"/>
    <w:rsid w:val="00E52766"/>
    <w:rsid w:val="00E55D78"/>
    <w:rsid w:val="00E5762A"/>
    <w:rsid w:val="00E674D3"/>
    <w:rsid w:val="00E70FD0"/>
    <w:rsid w:val="00E712A0"/>
    <w:rsid w:val="00E71B4E"/>
    <w:rsid w:val="00E72B2C"/>
    <w:rsid w:val="00E7309D"/>
    <w:rsid w:val="00E77C4B"/>
    <w:rsid w:val="00E9301F"/>
    <w:rsid w:val="00E94F7E"/>
    <w:rsid w:val="00E9673B"/>
    <w:rsid w:val="00E9690A"/>
    <w:rsid w:val="00E97DC7"/>
    <w:rsid w:val="00EA2028"/>
    <w:rsid w:val="00EC135A"/>
    <w:rsid w:val="00EF099F"/>
    <w:rsid w:val="00F000EF"/>
    <w:rsid w:val="00F0209F"/>
    <w:rsid w:val="00F04C62"/>
    <w:rsid w:val="00F21C9A"/>
    <w:rsid w:val="00F2504E"/>
    <w:rsid w:val="00F2585B"/>
    <w:rsid w:val="00F4053F"/>
    <w:rsid w:val="00F4256F"/>
    <w:rsid w:val="00F42645"/>
    <w:rsid w:val="00F427B7"/>
    <w:rsid w:val="00F516E7"/>
    <w:rsid w:val="00F57BF7"/>
    <w:rsid w:val="00F6263E"/>
    <w:rsid w:val="00F627C2"/>
    <w:rsid w:val="00F736FD"/>
    <w:rsid w:val="00F82068"/>
    <w:rsid w:val="00F84067"/>
    <w:rsid w:val="00FA022D"/>
    <w:rsid w:val="00FA1AA9"/>
    <w:rsid w:val="00FA50B4"/>
    <w:rsid w:val="00FA69C0"/>
    <w:rsid w:val="00FA7127"/>
    <w:rsid w:val="00FB04C0"/>
    <w:rsid w:val="00FB63E9"/>
    <w:rsid w:val="00FB6E83"/>
    <w:rsid w:val="00FB7C84"/>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DD9D38C1-3616-412E-8F2C-7391B5D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C72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066598"/>
    <w:rPr>
      <w:b/>
      <w:bCs/>
    </w:rPr>
  </w:style>
  <w:style w:type="character" w:customStyle="1" w:styleId="ECCParagraph">
    <w:name w:val="ECC Paragraph"/>
    <w:basedOn w:val="DefaultParagraphFont"/>
    <w:uiPriority w:val="1"/>
    <w:qFormat/>
    <w:rsid w:val="00066598"/>
    <w:rPr>
      <w:rFonts w:ascii="Arial" w:hAnsi="Arial"/>
      <w:noProof w:val="0"/>
      <w:sz w:val="20"/>
      <w:bdr w:val="none" w:sz="0" w:space="0" w:color="auto"/>
      <w:lang w:val="en-GB"/>
    </w:rPr>
  </w:style>
  <w:style w:type="character" w:customStyle="1" w:styleId="ListParagraphChar">
    <w:name w:val="List Paragraph Char"/>
    <w:basedOn w:val="DefaultParagraphFont"/>
    <w:link w:val="ListParagraph"/>
    <w:uiPriority w:val="34"/>
    <w:locked/>
    <w:rsid w:val="00A26BB6"/>
    <w:rPr>
      <w:rFonts w:eastAsia="BatangChe"/>
      <w:sz w:val="24"/>
      <w:szCs w:val="24"/>
    </w:rPr>
  </w:style>
  <w:style w:type="character" w:styleId="FollowedHyperlink">
    <w:name w:val="FollowedHyperlink"/>
    <w:basedOn w:val="DefaultParagraphFont"/>
    <w:semiHidden/>
    <w:unhideWhenUsed/>
    <w:rsid w:val="009F3366"/>
    <w:rPr>
      <w:color w:val="800080" w:themeColor="followedHyperlink"/>
      <w:u w:val="single"/>
    </w:rPr>
  </w:style>
  <w:style w:type="paragraph" w:customStyle="1" w:styleId="Methodheading2">
    <w:name w:val="Method_heading2"/>
    <w:basedOn w:val="Heading2"/>
    <w:next w:val="Normal"/>
    <w:qFormat/>
    <w:rsid w:val="00AC72FA"/>
    <w:pPr>
      <w:tabs>
        <w:tab w:val="left" w:pos="1134"/>
        <w:tab w:val="left" w:pos="1871"/>
        <w:tab w:val="left" w:pos="2268"/>
      </w:tabs>
      <w:overflowPunct w:val="0"/>
      <w:autoSpaceDE w:val="0"/>
      <w:autoSpaceDN w:val="0"/>
      <w:adjustRightInd w:val="0"/>
      <w:spacing w:before="200"/>
      <w:ind w:left="1134" w:hanging="1134"/>
      <w:textAlignment w:val="baseline"/>
    </w:pPr>
    <w:rPr>
      <w:rFonts w:ascii="Times New Roman" w:eastAsia="Times New Roman" w:hAnsi="Times New Roman" w:cs="Times New Roman"/>
      <w:b/>
      <w:color w:val="auto"/>
      <w:sz w:val="24"/>
      <w:szCs w:val="20"/>
      <w:lang w:val="en-GB"/>
    </w:rPr>
  </w:style>
  <w:style w:type="paragraph" w:customStyle="1" w:styleId="Proposal">
    <w:name w:val="Proposal"/>
    <w:basedOn w:val="Normal"/>
    <w:next w:val="Normal"/>
    <w:link w:val="ProposalChar"/>
    <w:rsid w:val="00AC72FA"/>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character" w:customStyle="1" w:styleId="NoteChar">
    <w:name w:val="Note Char"/>
    <w:basedOn w:val="DefaultParagraphFont"/>
    <w:link w:val="Note"/>
    <w:locked/>
    <w:rsid w:val="00AC72FA"/>
    <w:rPr>
      <w:rFonts w:eastAsia="BatangChe"/>
      <w:noProof/>
      <w:lang w:eastAsia="ko-KR"/>
    </w:rPr>
  </w:style>
  <w:style w:type="character" w:customStyle="1" w:styleId="ProposalChar">
    <w:name w:val="Proposal Char"/>
    <w:basedOn w:val="DefaultParagraphFont"/>
    <w:link w:val="Proposal"/>
    <w:locked/>
    <w:rsid w:val="00AC72FA"/>
    <w:rPr>
      <w:rFonts w:eastAsia="Times New Roman" w:hAnsi="Times New Roman Bold"/>
      <w:b/>
      <w:sz w:val="24"/>
      <w:lang w:val="en-GB"/>
    </w:rPr>
  </w:style>
  <w:style w:type="character" w:customStyle="1" w:styleId="Heading2Char">
    <w:name w:val="Heading 2 Char"/>
    <w:basedOn w:val="DefaultParagraphFont"/>
    <w:link w:val="Heading2"/>
    <w:semiHidden/>
    <w:rsid w:val="00AC72FA"/>
    <w:rPr>
      <w:rFonts w:asciiTheme="majorHAnsi" w:eastAsiaTheme="majorEastAsia" w:hAnsiTheme="majorHAnsi" w:cstheme="majorBidi"/>
      <w:color w:val="365F91" w:themeColor="accent1" w:themeShade="BF"/>
      <w:sz w:val="26"/>
      <w:szCs w:val="26"/>
    </w:rPr>
  </w:style>
  <w:style w:type="character" w:styleId="LineNumber">
    <w:name w:val="line number"/>
    <w:basedOn w:val="DefaultParagraphFont"/>
    <w:semiHidden/>
    <w:unhideWhenUsed/>
    <w:rsid w:val="00457618"/>
  </w:style>
  <w:style w:type="character" w:customStyle="1" w:styleId="m-7261945747379122049gmail-msoins">
    <w:name w:val="m_-7261945747379122049gmail-msoins"/>
    <w:basedOn w:val="DefaultParagraphFont"/>
    <w:rsid w:val="00717F30"/>
  </w:style>
  <w:style w:type="character" w:customStyle="1" w:styleId="Heading8Char">
    <w:name w:val="Heading 8 Char"/>
    <w:basedOn w:val="DefaultParagraphFont"/>
    <w:link w:val="Heading8"/>
    <w:rsid w:val="002431CF"/>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24566">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Tel-U\APG19\APG19-4%20DG%20Chair\1-Input%20Documents%20AI%201.3\APG19-4-INP-62_4_J_WP4.docx" TargetMode="External"/><Relationship Id="rId18" Type="http://schemas.openxmlformats.org/officeDocument/2006/relationships/hyperlink" Target="file:///C:\DATA\Tel-U\APG19\APG19-4%20DG%20Chair\1-Input%20Documents%20AI%201.3\APG19-4-INP-121_INS4_Preliminary_View_-_WP4.docx" TargetMode="External"/><Relationship Id="rId26" Type="http://schemas.openxmlformats.org/officeDocument/2006/relationships/hyperlink" Target="https://www.itu.int/md/R15-SG07-C-0098/en" TargetMode="External"/><Relationship Id="rId39" Type="http://schemas.openxmlformats.org/officeDocument/2006/relationships/header" Target="header2.xml"/><Relationship Id="rId21" Type="http://schemas.openxmlformats.org/officeDocument/2006/relationships/hyperlink" Target="file:///C:\DATA\Tel-U\APG19\APG19-4%20DG%20Chair\2-Information%20Documents%20AI%201.3\APG19-4-INF-03_IARU.DOCX" TargetMode="External"/><Relationship Id="rId34" Type="http://schemas.openxmlformats.org/officeDocument/2006/relationships/hyperlink" Target="file:///C:\DATA\Tel-U\APG19\APG19-4%20DG%20Chair\2-Information%20Documents%20AI%201.3\APG19-4-INF-02_WMO-Position_20181109.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ATA\Tel-U\APG19\APG19-4%20DG%20Chair\1-Input%20Documents%20AI%201.3\APG19-4-INP-97_China1_Preliminary_views_on_WRC-19_AI_1.2_1.3_1.7_rev.docx" TargetMode="External"/><Relationship Id="rId20" Type="http://schemas.openxmlformats.org/officeDocument/2006/relationships/hyperlink" Target="file:///C:\DATA\Tel-U\APG19\APG19-4%20DG%20Chair\2-Information%20Documents%20AI%201.3\APG19-4-INF-02_WMO-Position_20181109.docx" TargetMode="External"/><Relationship Id="rId29" Type="http://schemas.openxmlformats.org/officeDocument/2006/relationships/hyperlink" Target="file:///C:\DATA\Tel-U\APG19\APG19-3%20DG%20Chair\Information%20Documents%20AI%201.3\APG19-3-INF-06_CEPT_Preparati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Tel-U\APG19\APG19-4%20DG%20Chair\1-Input%20Documents%20AI%201.3\APG19-4-INP-18_AUS4_-_Australian_Contribution_to_APG19-4_Chapter_4.docx" TargetMode="External"/><Relationship Id="rId24" Type="http://schemas.openxmlformats.org/officeDocument/2006/relationships/hyperlink" Target="file:///C:\DATA\Tel-U\APG19\APG19-4%20DG%20Chair\2-Information%20Documents%20AI%201.3\APG19-4-INF-23_CEPT_PPT.pdf" TargetMode="External"/><Relationship Id="rId32" Type="http://schemas.openxmlformats.org/officeDocument/2006/relationships/hyperlink" Target="file:///C:\DATA\Tel-U\APG19\APG19-4%20DG%20Chair\2-Information%20Documents%20AI%201.3\APG19-4-INF-24_RCC.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DATA\Tel-U\APG19\APG19-4%20DG%20Chair\1-Input%20Documents%20AI%201.3\WP4_APG19-4-INP-93_Singapore_1.3_1.7.docx" TargetMode="External"/><Relationship Id="rId23" Type="http://schemas.openxmlformats.org/officeDocument/2006/relationships/hyperlink" Target="file:///C:\DATA\Tel-U\APG19\APG19-4%20DG%20Chair\2-Information%20Documents%20AI%201.3\APG19-4-INF-22_CITEL_PPT.pdf" TargetMode="External"/><Relationship Id="rId28" Type="http://schemas.openxmlformats.org/officeDocument/2006/relationships/hyperlink" Target="file:///C:\DATA\Tel-U\APG19\APG19-4%20DG%20Chair\1-Input%20Documents%20AI%201.3\APG19-4-INP-09Rev.1_Report-second_Inter-regional_Workshop_on_preparations_for_WRC-19.docx" TargetMode="External"/><Relationship Id="rId36" Type="http://schemas.openxmlformats.org/officeDocument/2006/relationships/header" Target="header1.xml"/><Relationship Id="rId10" Type="http://schemas.openxmlformats.org/officeDocument/2006/relationships/hyperlink" Target="https://www.itu.int/md/R15-SG07-C-0098/en" TargetMode="External"/><Relationship Id="rId19" Type="http://schemas.openxmlformats.org/officeDocument/2006/relationships/hyperlink" Target="file:///C:\DATA\Tel-U\APG19\APG19-4%20DG%20Chair\1-Input%20Documents%20AI%201.3\APG19-4-INP-09Rev.1_Report-second_Inter-regional_Workshop_on_preparations_for_WRC-19.docx" TargetMode="External"/><Relationship Id="rId31" Type="http://schemas.openxmlformats.org/officeDocument/2006/relationships/hyperlink" Target="file:///C:\DATA\Tel-U\APG19\APG19-4%20DG%20Chair\2-Information%20Documents%20AI%201.3\APG19-4-INF-23_CEPT_PP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DATA\Tel-U\APG19\APG19-4%20DG%20Chair\1-Input%20Documents%20AI%201.3\APG19-4-INP-78_WP4_kor.docx" TargetMode="External"/><Relationship Id="rId22" Type="http://schemas.openxmlformats.org/officeDocument/2006/relationships/hyperlink" Target="file:///C:\DATA\Tel-U\APG19\APG19-4%20DG%20Chair\2-Information%20Documents%20AI%201.3\APG19-4-INF-04_ICAO_01_WRC-19_ICAO-Pos_for_APG-4_for_WP5.docx" TargetMode="External"/><Relationship Id="rId27" Type="http://schemas.openxmlformats.org/officeDocument/2006/relationships/hyperlink" Target="file:///C:\DATA\Tel-U\APG19\APG19-4%20DG%20Chair\1-Input%20Documents%20AI%201.3\APG19-4-INP-09Rev.1_Report-second_Inter-regional_Workshop_on_preparations_for_WRC-19.docx" TargetMode="External"/><Relationship Id="rId30" Type="http://schemas.openxmlformats.org/officeDocument/2006/relationships/hyperlink" Target="file:///C:\DATA\Tel-U\APG19\APG19-4%20DG%20Chair\2-Information%20Documents%20AI%201.3\APG19-4-INF-23_CEPT_PPT.pdf" TargetMode="External"/><Relationship Id="rId35" Type="http://schemas.openxmlformats.org/officeDocument/2006/relationships/hyperlink" Target="file:///C:\DATA\Tel-U\APG19\APG19-4%20DG%20Chair\2-Information%20Documents%20AI%201.3\APG19-4-INF-03_IARU.DOC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DATA\Tel-U\APG19\APG19-4%20DG%20Chair\1-Input%20Documents%20AI%201.3\APG19-4-INP-45_MLA_THA_WP4_AI_1.3.docx" TargetMode="External"/><Relationship Id="rId17" Type="http://schemas.openxmlformats.org/officeDocument/2006/relationships/hyperlink" Target="file:///C:\DATA\Tel-U\APG19\APG19-4%20DG%20Chair\1-Input%20Documents%20AI%201.3\APG19-4-INP-115_Preliminary_India_views_on_Agenda_item_1.3.docx" TargetMode="External"/><Relationship Id="rId25" Type="http://schemas.openxmlformats.org/officeDocument/2006/relationships/hyperlink" Target="file:///C:\DATA\Tel-U\APG19\APG19-4%20DG%20Chair\2-Information%20Documents%20AI%201.3\APG19-4-INF-24_RCC.pdf" TargetMode="External"/><Relationship Id="rId33" Type="http://schemas.openxmlformats.org/officeDocument/2006/relationships/hyperlink" Target="file:///C:\DATA\Tel-U\APG19\APG19-4%20DG%20Chair\2-Information%20Documents%20AI%201.3\APG19-4-INF-04_ICAO_01_WRC-19_ICAO-Pos_for_APG-4_for_WP5.docx"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tmadji@rf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3009-1B0B-4881-8C5A-13967F5B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2873</Words>
  <Characters>16380</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2015-02-02T05:28:00Z</cp:lastPrinted>
  <dcterms:created xsi:type="dcterms:W3CDTF">2019-01-15T03:07:00Z</dcterms:created>
  <dcterms:modified xsi:type="dcterms:W3CDTF">2019-01-15T03:07:00Z</dcterms:modified>
</cp:coreProperties>
</file>