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B4313E" w:rsidRPr="00891D0B" w14:paraId="6F3AE3C4" w14:textId="77777777" w:rsidTr="007404AF">
        <w:trPr>
          <w:cantSplit/>
          <w:trHeight w:val="288"/>
        </w:trPr>
        <w:tc>
          <w:tcPr>
            <w:tcW w:w="1399" w:type="dxa"/>
            <w:vMerge w:val="restart"/>
          </w:tcPr>
          <w:p w14:paraId="7C5A73F9" w14:textId="77777777" w:rsidR="00B4313E" w:rsidRPr="00891D0B" w:rsidRDefault="00B4313E" w:rsidP="007404A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52B1BB0" wp14:editId="51D1EE7A">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5200022" w14:textId="77777777" w:rsidR="00B4313E" w:rsidRPr="00E86131" w:rsidRDefault="00B4313E" w:rsidP="007404AF">
            <w:r w:rsidRPr="00E86131">
              <w:t>ASIA-PACIFIC TELECOMMUNITY</w:t>
            </w:r>
          </w:p>
        </w:tc>
        <w:tc>
          <w:tcPr>
            <w:tcW w:w="2160" w:type="dxa"/>
          </w:tcPr>
          <w:p w14:paraId="27B1E8C0" w14:textId="77777777" w:rsidR="00B4313E" w:rsidRPr="00723BE9" w:rsidRDefault="00B4313E" w:rsidP="007404AF">
            <w:pPr>
              <w:rPr>
                <w:b/>
                <w:sz w:val="22"/>
                <w:szCs w:val="22"/>
              </w:rPr>
            </w:pPr>
            <w:r w:rsidRPr="00723BE9">
              <w:rPr>
                <w:b/>
              </w:rPr>
              <w:t>Document No:</w:t>
            </w:r>
          </w:p>
        </w:tc>
      </w:tr>
      <w:tr w:rsidR="00B4313E" w:rsidRPr="00C15799" w14:paraId="683CB943" w14:textId="77777777" w:rsidTr="007404AF">
        <w:trPr>
          <w:cantSplit/>
          <w:trHeight w:val="504"/>
        </w:trPr>
        <w:tc>
          <w:tcPr>
            <w:tcW w:w="1399" w:type="dxa"/>
            <w:vMerge/>
          </w:tcPr>
          <w:p w14:paraId="4140C420" w14:textId="77777777" w:rsidR="00B4313E" w:rsidRPr="00891D0B" w:rsidRDefault="00B4313E" w:rsidP="007404AF"/>
        </w:tc>
        <w:tc>
          <w:tcPr>
            <w:tcW w:w="5760" w:type="dxa"/>
          </w:tcPr>
          <w:p w14:paraId="6CB0C515" w14:textId="77777777" w:rsidR="00B4313E" w:rsidRDefault="00B4313E" w:rsidP="007404AF">
            <w:pPr>
              <w:spacing w:line="0" w:lineRule="atLeast"/>
              <w:rPr>
                <w:b/>
              </w:rPr>
            </w:pPr>
            <w:r>
              <w:rPr>
                <w:b/>
              </w:rPr>
              <w:t>The 4th Meeting of the APT Conference Preparatory</w:t>
            </w:r>
          </w:p>
          <w:p w14:paraId="54859F14" w14:textId="77777777" w:rsidR="00B4313E" w:rsidRPr="00891D0B" w:rsidRDefault="00B4313E" w:rsidP="007404AF">
            <w:pPr>
              <w:spacing w:line="0" w:lineRule="atLeast"/>
            </w:pPr>
            <w:r>
              <w:rPr>
                <w:b/>
              </w:rPr>
              <w:t>Group for WRC-19 (APG19-4)</w:t>
            </w:r>
          </w:p>
        </w:tc>
        <w:tc>
          <w:tcPr>
            <w:tcW w:w="2160" w:type="dxa"/>
          </w:tcPr>
          <w:p w14:paraId="2534A433" w14:textId="414DF939" w:rsidR="00B4313E" w:rsidRDefault="00B4313E" w:rsidP="007404AF">
            <w:pPr>
              <w:rPr>
                <w:b/>
                <w:bCs/>
                <w:lang w:val="fr-FR"/>
              </w:rPr>
            </w:pPr>
            <w:r w:rsidRPr="00C96104">
              <w:rPr>
                <w:b/>
                <w:bCs/>
                <w:lang w:val="fr-FR"/>
              </w:rPr>
              <w:t>AP</w:t>
            </w:r>
            <w:r w:rsidR="00E50266">
              <w:rPr>
                <w:b/>
                <w:bCs/>
                <w:lang w:val="fr-FR"/>
              </w:rPr>
              <w:t>G19-4/OUT-20</w:t>
            </w:r>
          </w:p>
          <w:p w14:paraId="6F8BFB83" w14:textId="77777777" w:rsidR="00B4313E" w:rsidRDefault="00B4313E" w:rsidP="007404AF">
            <w:pPr>
              <w:spacing w:line="0" w:lineRule="atLeast"/>
              <w:rPr>
                <w:b/>
              </w:rPr>
            </w:pPr>
          </w:p>
        </w:tc>
      </w:tr>
      <w:tr w:rsidR="00B4313E" w:rsidRPr="00891D0B" w14:paraId="1AE097C5" w14:textId="77777777" w:rsidTr="007404AF">
        <w:trPr>
          <w:cantSplit/>
          <w:trHeight w:val="288"/>
        </w:trPr>
        <w:tc>
          <w:tcPr>
            <w:tcW w:w="1399" w:type="dxa"/>
            <w:vMerge/>
          </w:tcPr>
          <w:p w14:paraId="7C9C3619" w14:textId="77777777" w:rsidR="00B4313E" w:rsidRPr="007E1FDD" w:rsidRDefault="00B4313E" w:rsidP="007404AF">
            <w:pPr>
              <w:rPr>
                <w:lang w:val="en-GB"/>
              </w:rPr>
            </w:pPr>
          </w:p>
        </w:tc>
        <w:tc>
          <w:tcPr>
            <w:tcW w:w="5760" w:type="dxa"/>
            <w:vAlign w:val="bottom"/>
          </w:tcPr>
          <w:p w14:paraId="0FD45977" w14:textId="77777777" w:rsidR="00B4313E" w:rsidRPr="00712451" w:rsidRDefault="00B4313E" w:rsidP="007404AF">
            <w:pPr>
              <w:rPr>
                <w:b/>
              </w:rPr>
            </w:pPr>
            <w:r>
              <w:t>7 – 12 January 2019</w:t>
            </w:r>
            <w:r w:rsidRPr="00891D0B">
              <w:t xml:space="preserve">, </w:t>
            </w:r>
            <w:r>
              <w:t>Busan, Republic of Korea</w:t>
            </w:r>
          </w:p>
        </w:tc>
        <w:tc>
          <w:tcPr>
            <w:tcW w:w="2160" w:type="dxa"/>
            <w:vAlign w:val="bottom"/>
          </w:tcPr>
          <w:p w14:paraId="6078F1C9" w14:textId="7661091B" w:rsidR="00B4313E" w:rsidRDefault="00382A8D" w:rsidP="007404AF">
            <w:r>
              <w:rPr>
                <w:bCs/>
              </w:rPr>
              <w:t>11</w:t>
            </w:r>
            <w:r w:rsidR="000727A9">
              <w:rPr>
                <w:bCs/>
              </w:rPr>
              <w:t xml:space="preserve"> </w:t>
            </w:r>
            <w:r w:rsidR="00B4313E">
              <w:rPr>
                <w:bCs/>
              </w:rPr>
              <w:t xml:space="preserve">January </w:t>
            </w:r>
            <w:r w:rsidR="00B4313E" w:rsidRPr="007E1FDD">
              <w:rPr>
                <w:bCs/>
              </w:rPr>
              <w:t>201</w:t>
            </w:r>
            <w:r w:rsidR="00B4313E">
              <w:rPr>
                <w:bCs/>
              </w:rPr>
              <w:t>9</w:t>
            </w:r>
          </w:p>
        </w:tc>
      </w:tr>
    </w:tbl>
    <w:p w14:paraId="2E0E673C" w14:textId="77777777" w:rsidR="00D13D9D" w:rsidRPr="007673CA" w:rsidRDefault="00D13D9D" w:rsidP="00DA7595">
      <w:pPr>
        <w:rPr>
          <w:lang w:val="en-NZ" w:eastAsia="ko-KR"/>
        </w:rPr>
      </w:pPr>
    </w:p>
    <w:p w14:paraId="61262C7F" w14:textId="5D7F9D1F" w:rsidR="00B4313E" w:rsidRPr="002A0111" w:rsidRDefault="00B4313E" w:rsidP="00B4313E">
      <w:pPr>
        <w:jc w:val="center"/>
        <w:rPr>
          <w:lang w:val="en-NZ" w:eastAsia="ko-KR"/>
        </w:rPr>
      </w:pPr>
      <w:r w:rsidRPr="002A0111">
        <w:rPr>
          <w:lang w:val="en-NZ" w:eastAsia="ko-KR"/>
        </w:rPr>
        <w:t xml:space="preserve">Working Party </w:t>
      </w:r>
      <w:r w:rsidR="00382A8D">
        <w:rPr>
          <w:lang w:val="en-NZ" w:eastAsia="ko-KR"/>
        </w:rPr>
        <w:t>3</w:t>
      </w:r>
    </w:p>
    <w:p w14:paraId="2E0E6744" w14:textId="68FA14A1" w:rsidR="00B64A60" w:rsidRPr="00495A35" w:rsidRDefault="00B64A60" w:rsidP="009E42F8">
      <w:pPr>
        <w:spacing w:after="120"/>
        <w:jc w:val="center"/>
        <w:rPr>
          <w:lang w:val="en-NZ" w:eastAsia="ko-KR"/>
        </w:rPr>
      </w:pPr>
    </w:p>
    <w:p w14:paraId="229DC2FC" w14:textId="53D804D8" w:rsidR="000E2A48" w:rsidRPr="00441526" w:rsidRDefault="00253AFE" w:rsidP="000E2A48">
      <w:pPr>
        <w:jc w:val="center"/>
        <w:rPr>
          <w:b/>
          <w:bCs/>
          <w:caps/>
          <w:lang w:val="en-NZ"/>
        </w:rPr>
      </w:pPr>
      <w:r>
        <w:rPr>
          <w:b/>
          <w:bCs/>
          <w:lang w:val="en-NZ"/>
        </w:rPr>
        <w:t>PRELIMINARY VIEWS ON WRC-19 AGENDA I</w:t>
      </w:r>
      <w:r w:rsidRPr="00441526">
        <w:rPr>
          <w:b/>
          <w:bCs/>
          <w:lang w:val="en-NZ"/>
        </w:rPr>
        <w:t>TEM 1.</w:t>
      </w:r>
      <w:r>
        <w:rPr>
          <w:b/>
          <w:bCs/>
          <w:lang w:val="en-NZ"/>
        </w:rPr>
        <w:t xml:space="preserve">4 </w:t>
      </w:r>
    </w:p>
    <w:p w14:paraId="194DF958" w14:textId="77777777" w:rsidR="000E2A48" w:rsidRPr="00441526" w:rsidRDefault="000E2A48" w:rsidP="000E2A48">
      <w:pPr>
        <w:spacing w:after="120"/>
        <w:rPr>
          <w:lang w:val="en-NZ"/>
        </w:rPr>
      </w:pPr>
    </w:p>
    <w:p w14:paraId="5F63567F" w14:textId="77777777" w:rsidR="000E2A48" w:rsidRPr="00441526" w:rsidRDefault="000E2A48" w:rsidP="000E2A48">
      <w:pPr>
        <w:spacing w:after="120"/>
        <w:jc w:val="both"/>
        <w:rPr>
          <w:lang w:val="en-NZ"/>
        </w:rPr>
      </w:pPr>
      <w:r>
        <w:rPr>
          <w:b/>
          <w:lang w:val="en-NZ"/>
        </w:rPr>
        <w:t>Agenda Item 1.4</w:t>
      </w:r>
      <w:r w:rsidRPr="00441526">
        <w:rPr>
          <w:b/>
          <w:lang w:val="en-NZ"/>
        </w:rPr>
        <w:t xml:space="preserve">: </w:t>
      </w:r>
    </w:p>
    <w:p w14:paraId="00FA2274" w14:textId="77777777" w:rsidR="000E2A48" w:rsidRDefault="000E2A48" w:rsidP="000E2A48">
      <w:pPr>
        <w:ind w:left="90"/>
        <w:rPr>
          <w:i/>
          <w:lang w:val="en-AU"/>
        </w:rPr>
      </w:pPr>
      <w:r>
        <w:rPr>
          <w:i/>
          <w:lang w:val="en-AU"/>
        </w:rPr>
        <w:t>“</w:t>
      </w:r>
      <w:r w:rsidRPr="009E2846">
        <w:rPr>
          <w:i/>
          <w:lang w:val="en-AU"/>
        </w:rPr>
        <w:t xml:space="preserve">to consider the results of studies in accordance with Resolution </w:t>
      </w:r>
      <w:r w:rsidRPr="009E2846">
        <w:rPr>
          <w:b/>
          <w:bCs/>
          <w:i/>
          <w:lang w:val="en-AU"/>
        </w:rPr>
        <w:t>557 (WRC-15)</w:t>
      </w:r>
      <w:r w:rsidRPr="009E2846">
        <w:rPr>
          <w:i/>
          <w:lang w:val="en-AU"/>
        </w:rPr>
        <w:t>, and</w:t>
      </w:r>
      <w:r>
        <w:rPr>
          <w:i/>
          <w:lang w:val="en-AU"/>
        </w:rPr>
        <w:t xml:space="preserve"> </w:t>
      </w:r>
      <w:r w:rsidRPr="009E2846">
        <w:rPr>
          <w:i/>
          <w:lang w:val="en-AU"/>
        </w:rPr>
        <w:t xml:space="preserve">review, and revise if necessary, the limitations mentioned in Annex 7 to Appendix </w:t>
      </w:r>
      <w:r w:rsidRPr="009E2846">
        <w:rPr>
          <w:b/>
          <w:bCs/>
          <w:i/>
          <w:lang w:val="en-AU"/>
        </w:rPr>
        <w:t>30</w:t>
      </w:r>
      <w:r>
        <w:rPr>
          <w:b/>
          <w:bCs/>
          <w:i/>
          <w:lang w:val="en-AU"/>
        </w:rPr>
        <w:t xml:space="preserve"> </w:t>
      </w:r>
      <w:r w:rsidRPr="009E2846">
        <w:rPr>
          <w:b/>
          <w:bCs/>
          <w:i/>
          <w:lang w:val="en-AU"/>
        </w:rPr>
        <w:t>(Rev.WRC-15)</w:t>
      </w:r>
      <w:r w:rsidRPr="009E2846">
        <w:rPr>
          <w:i/>
          <w:lang w:val="en-AU"/>
        </w:rPr>
        <w:t>, while ensuring the protection of, and without imposing additional constraints on,</w:t>
      </w:r>
      <w:r>
        <w:rPr>
          <w:i/>
          <w:lang w:val="en-AU"/>
        </w:rPr>
        <w:t xml:space="preserve"> </w:t>
      </w:r>
      <w:r w:rsidRPr="009E2846">
        <w:rPr>
          <w:i/>
          <w:lang w:val="en-AU"/>
        </w:rPr>
        <w:t>assignments in the Plan and the List and the future development of the broadcasting-satellite service</w:t>
      </w:r>
      <w:r>
        <w:rPr>
          <w:i/>
          <w:lang w:val="en-AU"/>
        </w:rPr>
        <w:t xml:space="preserve"> </w:t>
      </w:r>
      <w:r w:rsidRPr="009E2846">
        <w:rPr>
          <w:i/>
          <w:lang w:val="en-AU"/>
        </w:rPr>
        <w:t>within the Plan, and existing and planned fixed-satellite service networks</w:t>
      </w:r>
      <w:r>
        <w:rPr>
          <w:i/>
          <w:lang w:val="en-AU"/>
        </w:rPr>
        <w:t>”.</w:t>
      </w:r>
    </w:p>
    <w:p w14:paraId="1708673A" w14:textId="77777777" w:rsidR="000E2A48" w:rsidRDefault="000E2A48" w:rsidP="000E2A48">
      <w:pPr>
        <w:ind w:left="90"/>
        <w:jc w:val="both"/>
        <w:rPr>
          <w:i/>
          <w:lang w:eastAsia="ko-KR"/>
        </w:rPr>
      </w:pPr>
    </w:p>
    <w:p w14:paraId="386CE08F" w14:textId="77777777" w:rsidR="000E2A48" w:rsidRPr="00A112CB" w:rsidRDefault="000E2A48" w:rsidP="000E2A48">
      <w:pPr>
        <w:ind w:left="90"/>
        <w:jc w:val="both"/>
        <w:rPr>
          <w:lang w:eastAsia="ko-KR"/>
        </w:rPr>
      </w:pPr>
      <w:r w:rsidRPr="0041509B">
        <w:rPr>
          <w:rFonts w:hint="eastAsia"/>
          <w:i/>
          <w:lang w:eastAsia="ko-KR"/>
        </w:rPr>
        <w:t xml:space="preserve">Resolution </w:t>
      </w:r>
      <w:r w:rsidRPr="0041509B">
        <w:rPr>
          <w:b/>
          <w:i/>
          <w:lang w:eastAsia="ko-KR"/>
        </w:rPr>
        <w:t>557 (WRC-15)</w:t>
      </w:r>
      <w:r w:rsidRPr="0041509B">
        <w:rPr>
          <w:rFonts w:hint="eastAsia"/>
          <w:lang w:eastAsia="ko-KR"/>
        </w:rPr>
        <w:t xml:space="preserve"> -</w:t>
      </w:r>
      <w:r w:rsidRPr="0041509B">
        <w:rPr>
          <w:rFonts w:hint="eastAsia"/>
          <w:i/>
          <w:lang w:eastAsia="ko-KR"/>
        </w:rPr>
        <w:t xml:space="preserve"> </w:t>
      </w:r>
      <w:r w:rsidRPr="0041509B">
        <w:rPr>
          <w:rFonts w:eastAsia="SimSun"/>
          <w:i/>
          <w:iCs/>
        </w:rPr>
        <w:t xml:space="preserve">Consideration of possible revision of Annex 7 to Appendix </w:t>
      </w:r>
      <w:r w:rsidRPr="0041509B">
        <w:rPr>
          <w:rFonts w:eastAsia="SimSun"/>
          <w:b/>
          <w:bCs/>
          <w:i/>
          <w:iCs/>
        </w:rPr>
        <w:t>30</w:t>
      </w:r>
      <w:r w:rsidRPr="0041509B">
        <w:rPr>
          <w:rFonts w:eastAsia="SimSun"/>
          <w:i/>
          <w:iCs/>
        </w:rPr>
        <w:t xml:space="preserve"> of the Radio Regulations</w:t>
      </w:r>
      <w:r>
        <w:rPr>
          <w:rFonts w:eastAsia="SimSun"/>
          <w:i/>
          <w:iCs/>
        </w:rPr>
        <w:t>.</w:t>
      </w:r>
    </w:p>
    <w:p w14:paraId="43EF8DAD" w14:textId="77777777" w:rsidR="000E2A48" w:rsidRPr="00441526" w:rsidRDefault="000E2A48" w:rsidP="000E2A48">
      <w:pPr>
        <w:jc w:val="both"/>
        <w:rPr>
          <w:lang w:val="en-NZ"/>
        </w:rPr>
      </w:pPr>
    </w:p>
    <w:p w14:paraId="581AFF29" w14:textId="77777777" w:rsidR="000E2A48" w:rsidRPr="00441526" w:rsidRDefault="000E2A48" w:rsidP="000E2A48">
      <w:pPr>
        <w:spacing w:after="120"/>
        <w:jc w:val="both"/>
        <w:rPr>
          <w:b/>
          <w:lang w:val="en-NZ" w:eastAsia="ko-KR"/>
        </w:rPr>
      </w:pPr>
      <w:r w:rsidRPr="00441526">
        <w:rPr>
          <w:b/>
          <w:lang w:val="en-NZ" w:eastAsia="ko-KR"/>
        </w:rPr>
        <w:t xml:space="preserve">1. </w:t>
      </w:r>
      <w:r w:rsidRPr="00441526">
        <w:rPr>
          <w:b/>
          <w:lang w:val="en-NZ" w:eastAsia="ko-KR"/>
        </w:rPr>
        <w:tab/>
        <w:t>Background</w:t>
      </w:r>
    </w:p>
    <w:p w14:paraId="1EBBB584" w14:textId="77777777" w:rsidR="000E2A48" w:rsidRPr="00095148" w:rsidRDefault="000E2A48" w:rsidP="000E2A48">
      <w:pPr>
        <w:pStyle w:val="ListParagraph"/>
        <w:tabs>
          <w:tab w:val="left" w:pos="794"/>
          <w:tab w:val="left" w:pos="1191"/>
        </w:tabs>
        <w:ind w:left="0"/>
      </w:pPr>
      <w:r w:rsidRPr="00095148">
        <w:t xml:space="preserve">WRC-15 adopted Resolution (Resolutions </w:t>
      </w:r>
      <w:r w:rsidRPr="00170E28">
        <w:rPr>
          <w:b/>
          <w:bCs/>
        </w:rPr>
        <w:t>557 (WRC-15)</w:t>
      </w:r>
      <w:r w:rsidRPr="00095148">
        <w:t xml:space="preserve">) to study possible revisions of the limitations mentioned in Annex 7 to Appendix </w:t>
      </w:r>
      <w:r w:rsidRPr="00170E28">
        <w:rPr>
          <w:b/>
        </w:rPr>
        <w:t>30 (</w:t>
      </w:r>
      <w:r w:rsidRPr="00C446E1">
        <w:rPr>
          <w:b/>
        </w:rPr>
        <w:t>Rev.WRC-1</w:t>
      </w:r>
      <w:r>
        <w:rPr>
          <w:b/>
        </w:rPr>
        <w:t>5</w:t>
      </w:r>
      <w:r w:rsidRPr="00C446E1">
        <w:rPr>
          <w:b/>
        </w:rPr>
        <w:t>)</w:t>
      </w:r>
      <w:r>
        <w:rPr>
          <w:b/>
        </w:rPr>
        <w:t xml:space="preserve"> </w:t>
      </w:r>
      <w:r w:rsidRPr="00377FE4">
        <w:t>in order to</w:t>
      </w:r>
      <w:r>
        <w:rPr>
          <w:b/>
        </w:rPr>
        <w:t xml:space="preserve"> </w:t>
      </w:r>
      <w:r w:rsidRPr="002951B6">
        <w:t>equitably access</w:t>
      </w:r>
      <w:r w:rsidRPr="00377FE4">
        <w:t xml:space="preserve"> to orbital resources for broadcasting-satellite-services (BSS)</w:t>
      </w:r>
      <w:r w:rsidRPr="00095148">
        <w:t>.</w:t>
      </w:r>
      <w:r>
        <w:t xml:space="preserve">  </w:t>
      </w:r>
      <w:r w:rsidRPr="00095148">
        <w:t>It should be noted that BSS</w:t>
      </w:r>
      <w:r>
        <w:t xml:space="preserve"> is </w:t>
      </w:r>
      <w:r w:rsidRPr="00095148">
        <w:t xml:space="preserve">not subject to Appendix </w:t>
      </w:r>
      <w:r w:rsidRPr="00095148">
        <w:rPr>
          <w:b/>
        </w:rPr>
        <w:t>30</w:t>
      </w:r>
      <w:r w:rsidRPr="00095148">
        <w:t xml:space="preserve"> (12.5-12.7 GHz) in Region 3</w:t>
      </w:r>
      <w:r>
        <w:t xml:space="preserve"> and therefore</w:t>
      </w:r>
      <w:r w:rsidRPr="00095148">
        <w:t xml:space="preserve"> is not the subject of consideration in accordance with Resolution </w:t>
      </w:r>
      <w:r w:rsidRPr="00095148">
        <w:rPr>
          <w:b/>
          <w:bCs/>
        </w:rPr>
        <w:t>557 (WRC-15)</w:t>
      </w:r>
      <w:r w:rsidRPr="00095148">
        <w:t>.</w:t>
      </w:r>
    </w:p>
    <w:p w14:paraId="222F58D4" w14:textId="77777777" w:rsidR="000E2A48" w:rsidRDefault="000E2A48" w:rsidP="000E2A48">
      <w:pPr>
        <w:ind w:left="68"/>
        <w:rPr>
          <w:lang w:val="en-NZ" w:eastAsia="ko-KR"/>
        </w:rPr>
      </w:pPr>
    </w:p>
    <w:p w14:paraId="0D6F889F" w14:textId="77777777" w:rsidR="000E2A48" w:rsidRDefault="000E2A48" w:rsidP="000E2A48">
      <w:pPr>
        <w:rPr>
          <w:iCs/>
        </w:rPr>
      </w:pPr>
      <w:r w:rsidRPr="00095148">
        <w:rPr>
          <w:iCs/>
        </w:rPr>
        <w:t xml:space="preserve">It should be emphasized that studies calling for revision of Annex 7 to Appendix </w:t>
      </w:r>
      <w:r w:rsidRPr="00095148">
        <w:rPr>
          <w:b/>
          <w:iCs/>
        </w:rPr>
        <w:t xml:space="preserve">30 </w:t>
      </w:r>
      <w:r w:rsidRPr="00C446E1">
        <w:rPr>
          <w:b/>
          <w:iCs/>
        </w:rPr>
        <w:t>Rev.WRC-1</w:t>
      </w:r>
      <w:r>
        <w:rPr>
          <w:b/>
          <w:iCs/>
        </w:rPr>
        <w:t xml:space="preserve">5 </w:t>
      </w:r>
      <w:r w:rsidRPr="00095148">
        <w:rPr>
          <w:iCs/>
        </w:rPr>
        <w:t xml:space="preserve">under Resolution </w:t>
      </w:r>
      <w:r w:rsidRPr="00095148">
        <w:rPr>
          <w:b/>
          <w:bCs/>
          <w:iCs/>
        </w:rPr>
        <w:t>557 (WRC-15)</w:t>
      </w:r>
      <w:r w:rsidRPr="00095148">
        <w:rPr>
          <w:iCs/>
        </w:rPr>
        <w:t xml:space="preserve"> in no way was intended to have any impact </w:t>
      </w:r>
      <w:r>
        <w:rPr>
          <w:iCs/>
        </w:rPr>
        <w:t xml:space="preserve">on the other provisions </w:t>
      </w:r>
      <w:r w:rsidRPr="00095148">
        <w:rPr>
          <w:iCs/>
        </w:rPr>
        <w:t xml:space="preserve">of Appendix </w:t>
      </w:r>
      <w:r w:rsidRPr="00095148">
        <w:rPr>
          <w:b/>
          <w:bCs/>
          <w:iCs/>
        </w:rPr>
        <w:t>30</w:t>
      </w:r>
      <w:r w:rsidRPr="00095148">
        <w:rPr>
          <w:iCs/>
        </w:rPr>
        <w:t xml:space="preserve"> for Regions 3.</w:t>
      </w:r>
    </w:p>
    <w:p w14:paraId="0AD8F9CE" w14:textId="77777777" w:rsidR="000E2A48" w:rsidRDefault="000E2A48" w:rsidP="000E2A48">
      <w:pPr>
        <w:rPr>
          <w:iCs/>
        </w:rPr>
      </w:pPr>
    </w:p>
    <w:p w14:paraId="40F41699" w14:textId="77777777" w:rsidR="000E2A48" w:rsidRPr="00A60BB7" w:rsidRDefault="000E2A48" w:rsidP="000E2A48">
      <w:r w:rsidRPr="00095148">
        <w:t xml:space="preserve">The Annex 7 to </w:t>
      </w:r>
      <w:r>
        <w:t>Radio Regulation</w:t>
      </w:r>
      <w:r w:rsidRPr="00095148">
        <w:t xml:space="preserve"> Appendix </w:t>
      </w:r>
      <w:r w:rsidRPr="00095148">
        <w:rPr>
          <w:b/>
        </w:rPr>
        <w:t>30 (</w:t>
      </w:r>
      <w:r w:rsidRPr="00C446E1">
        <w:rPr>
          <w:b/>
        </w:rPr>
        <w:t>Rev.WRC-1</w:t>
      </w:r>
      <w:r>
        <w:rPr>
          <w:b/>
        </w:rPr>
        <w:t>5</w:t>
      </w:r>
      <w:r w:rsidRPr="00095148">
        <w:rPr>
          <w:b/>
        </w:rPr>
        <w:t>)</w:t>
      </w:r>
      <w:r w:rsidRPr="00095148">
        <w:t xml:space="preserve"> contains several orbital position limitations </w:t>
      </w:r>
      <w:r w:rsidRPr="00095148">
        <w:rPr>
          <w:lang w:eastAsia="zh-CN"/>
        </w:rPr>
        <w:t>for proposed modifications to the Region 2 Plan and for proposed new or modified assignments in the Regions 1 and 3 List</w:t>
      </w:r>
      <w:r w:rsidRPr="00095148">
        <w:t xml:space="preserve"> applicable to specific parts of the band 11.7-12.7 GHz.</w:t>
      </w:r>
      <w:r>
        <w:t xml:space="preserve"> </w:t>
      </w:r>
    </w:p>
    <w:p w14:paraId="6F13BF59" w14:textId="77777777" w:rsidR="000E2A48" w:rsidRDefault="000E2A48" w:rsidP="000E2A48"/>
    <w:p w14:paraId="63A0BC61" w14:textId="60750431" w:rsidR="000E2A48" w:rsidRDefault="000E2A48" w:rsidP="000E2A48">
      <w:r w:rsidRPr="00B60CFA">
        <w:rPr>
          <w:lang w:val="en-GB" w:eastAsia="ko-KR"/>
        </w:rPr>
        <w:t xml:space="preserve">ITU-R Working Party </w:t>
      </w:r>
      <w:r>
        <w:rPr>
          <w:lang w:val="en-GB" w:eastAsia="ko-KR"/>
        </w:rPr>
        <w:t>4A (WP-</w:t>
      </w:r>
      <w:r w:rsidRPr="00B60CFA">
        <w:rPr>
          <w:lang w:val="en-GB" w:eastAsia="ko-KR"/>
        </w:rPr>
        <w:t>4A</w:t>
      </w:r>
      <w:r>
        <w:rPr>
          <w:lang w:val="en-GB" w:eastAsia="ko-KR"/>
        </w:rPr>
        <w:t>)</w:t>
      </w:r>
      <w:r w:rsidRPr="00B60CFA">
        <w:rPr>
          <w:lang w:val="en-GB" w:eastAsia="ko-KR"/>
        </w:rPr>
        <w:t xml:space="preserve"> </w:t>
      </w:r>
      <w:r>
        <w:rPr>
          <w:lang w:val="en-GB" w:eastAsia="ko-KR"/>
        </w:rPr>
        <w:t xml:space="preserve">has been </w:t>
      </w:r>
      <w:r w:rsidRPr="00B60CFA">
        <w:rPr>
          <w:lang w:val="en-GB" w:eastAsia="ko-KR"/>
        </w:rPr>
        <w:t xml:space="preserve">assigned </w:t>
      </w:r>
      <w:r>
        <w:rPr>
          <w:lang w:val="en-GB" w:eastAsia="ko-KR"/>
        </w:rPr>
        <w:t>as</w:t>
      </w:r>
      <w:r w:rsidRPr="00B60CFA">
        <w:rPr>
          <w:lang w:val="en-GB" w:eastAsia="ko-KR"/>
        </w:rPr>
        <w:t xml:space="preserve"> the responsible group for this Agenda Item.</w:t>
      </w:r>
      <w:r w:rsidRPr="00B60CFA">
        <w:t xml:space="preserve"> To date, ITU-R WP 4A has had </w:t>
      </w:r>
      <w:r>
        <w:t xml:space="preserve">five </w:t>
      </w:r>
      <w:r w:rsidRPr="00B60CFA">
        <w:t>meetings since WRC-15 to progress the work of WRC-19 Agenda Item 1.</w:t>
      </w:r>
      <w:r w:rsidRPr="00B60CFA">
        <w:rPr>
          <w:lang w:eastAsia="ko-KR"/>
        </w:rPr>
        <w:t>4</w:t>
      </w:r>
      <w:r w:rsidRPr="00B60CFA">
        <w:t xml:space="preserve">. Detailed </w:t>
      </w:r>
      <w:r>
        <w:t xml:space="preserve">of ongoing </w:t>
      </w:r>
      <w:r w:rsidRPr="00B60CFA">
        <w:t>analysis of each study could be fou</w:t>
      </w:r>
      <w:r>
        <w:t>nd in the w</w:t>
      </w:r>
      <w:r w:rsidRPr="00B60CFA">
        <w:t>orking document towards a preliminary draft n</w:t>
      </w:r>
      <w:r>
        <w:t xml:space="preserve">ew Report of ITU-R BO [AP30. Annex 7].  ITU-R </w:t>
      </w:r>
      <w:r>
        <w:rPr>
          <w:lang w:val="en-AU"/>
        </w:rPr>
        <w:t xml:space="preserve">WP-4A summarized the limitations in Annex 7 to Appendix </w:t>
      </w:r>
      <w:r w:rsidRPr="00377FE4">
        <w:rPr>
          <w:b/>
          <w:lang w:val="en-AU"/>
        </w:rPr>
        <w:t>30</w:t>
      </w:r>
      <w:r>
        <w:rPr>
          <w:lang w:val="en-AU"/>
        </w:rPr>
        <w:t xml:space="preserve"> (</w:t>
      </w:r>
      <w:r w:rsidRPr="00377FE4">
        <w:rPr>
          <w:b/>
          <w:lang w:val="en-AU"/>
        </w:rPr>
        <w:t>Rev. WRC-15</w:t>
      </w:r>
      <w:r>
        <w:rPr>
          <w:lang w:val="en-AU"/>
        </w:rPr>
        <w:t xml:space="preserve">) as presented in Table </w:t>
      </w:r>
      <w:r w:rsidRPr="00095148">
        <w:t>3/1.4/1-1</w:t>
      </w:r>
      <w:r>
        <w:t xml:space="preserve"> in the </w:t>
      </w:r>
      <w:r w:rsidRPr="00272F11">
        <w:t>Document 4A/675.</w:t>
      </w:r>
    </w:p>
    <w:p w14:paraId="2867C99B" w14:textId="77777777" w:rsidR="000E2A48" w:rsidRPr="00441526" w:rsidRDefault="000E2A48" w:rsidP="000E2A48">
      <w:pPr>
        <w:ind w:left="348"/>
        <w:jc w:val="both"/>
        <w:rPr>
          <w:i/>
          <w:lang w:val="en-NZ" w:eastAsia="ko-KR"/>
        </w:rPr>
      </w:pPr>
    </w:p>
    <w:p w14:paraId="30ADF628" w14:textId="77777777" w:rsidR="000E2A48" w:rsidRDefault="000E2A48" w:rsidP="000E2A48">
      <w:pPr>
        <w:jc w:val="both"/>
        <w:rPr>
          <w:lang w:val="en-NZ"/>
        </w:rPr>
      </w:pPr>
    </w:p>
    <w:p w14:paraId="6DFE2EC5" w14:textId="77777777" w:rsidR="000E2A48" w:rsidRPr="00441526" w:rsidRDefault="000E2A48" w:rsidP="000E2A48">
      <w:pPr>
        <w:spacing w:after="120"/>
        <w:jc w:val="both"/>
        <w:rPr>
          <w:b/>
          <w:lang w:val="en-NZ" w:eastAsia="ko-KR"/>
        </w:rPr>
      </w:pPr>
      <w:r w:rsidRPr="00441526">
        <w:rPr>
          <w:b/>
          <w:lang w:val="en-NZ" w:eastAsia="ko-KR"/>
        </w:rPr>
        <w:t xml:space="preserve">2. </w:t>
      </w:r>
      <w:r w:rsidRPr="00441526">
        <w:rPr>
          <w:b/>
          <w:lang w:val="en-NZ" w:eastAsia="ko-KR"/>
        </w:rPr>
        <w:tab/>
        <w:t>Documents</w:t>
      </w:r>
    </w:p>
    <w:tbl>
      <w:tblPr>
        <w:tblStyle w:val="TableGrid"/>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302"/>
      </w:tblGrid>
      <w:tr w:rsidR="000E2A48" w14:paraId="6A95AD8D" w14:textId="77777777" w:rsidTr="002951B6">
        <w:tc>
          <w:tcPr>
            <w:tcW w:w="4068" w:type="dxa"/>
          </w:tcPr>
          <w:p w14:paraId="4B551AA6" w14:textId="77777777" w:rsidR="000E2A48" w:rsidRDefault="000E2A48" w:rsidP="002951B6">
            <w:pPr>
              <w:rPr>
                <w:lang w:val="en-NZ"/>
              </w:rPr>
            </w:pPr>
            <w:r>
              <w:rPr>
                <w:lang w:val="en-NZ"/>
              </w:rPr>
              <w:t>Input Documents:</w:t>
            </w:r>
          </w:p>
          <w:p w14:paraId="05BC94AC" w14:textId="19B63944" w:rsidR="00B4313E" w:rsidRPr="00B4313E" w:rsidRDefault="00331494" w:rsidP="000E2A48">
            <w:pPr>
              <w:pStyle w:val="ListParagraph"/>
              <w:numPr>
                <w:ilvl w:val="0"/>
                <w:numId w:val="33"/>
              </w:numPr>
              <w:rPr>
                <w:rStyle w:val="Hyperlink"/>
                <w:color w:val="auto"/>
                <w:u w:val="none"/>
                <w:lang w:val="en-NZ"/>
              </w:rPr>
            </w:pPr>
            <w:hyperlink r:id="rId9" w:history="1">
              <w:r w:rsidR="00B4313E">
                <w:rPr>
                  <w:rStyle w:val="Hyperlink"/>
                  <w:lang w:val="en-GB"/>
                </w:rPr>
                <w:t>INP-17</w:t>
              </w:r>
            </w:hyperlink>
            <w:r w:rsidR="00B4313E" w:rsidRPr="000D7BFD">
              <w:rPr>
                <w:rStyle w:val="Hyperlink"/>
                <w:color w:val="auto"/>
                <w:u w:val="none"/>
                <w:lang w:val="en-GB"/>
              </w:rPr>
              <w:t xml:space="preserve"> </w:t>
            </w:r>
          </w:p>
          <w:p w14:paraId="6B801A58" w14:textId="21369E65" w:rsidR="00B4313E" w:rsidRPr="00B4313E" w:rsidRDefault="00331494" w:rsidP="000E2A48">
            <w:pPr>
              <w:pStyle w:val="ListParagraph"/>
              <w:numPr>
                <w:ilvl w:val="0"/>
                <w:numId w:val="33"/>
              </w:numPr>
              <w:rPr>
                <w:lang w:val="en-NZ"/>
              </w:rPr>
            </w:pPr>
            <w:hyperlink r:id="rId10" w:history="1">
              <w:r w:rsidR="00B4313E" w:rsidRPr="00BE0081">
                <w:rPr>
                  <w:rStyle w:val="Hyperlink"/>
                  <w:lang w:val="en-GB"/>
                </w:rPr>
                <w:t>INP-31</w:t>
              </w:r>
            </w:hyperlink>
            <w:r w:rsidR="00B4313E">
              <w:rPr>
                <w:rFonts w:eastAsiaTheme="minorEastAsia"/>
                <w:lang w:eastAsia="ja-JP"/>
              </w:rPr>
              <w:t xml:space="preserve"> </w:t>
            </w:r>
          </w:p>
          <w:p w14:paraId="55A956E3" w14:textId="64215726" w:rsidR="00B4313E" w:rsidRPr="00B4313E" w:rsidRDefault="00331494" w:rsidP="000E2A48">
            <w:pPr>
              <w:pStyle w:val="ListParagraph"/>
              <w:numPr>
                <w:ilvl w:val="0"/>
                <w:numId w:val="33"/>
              </w:numPr>
              <w:rPr>
                <w:lang w:val="en-NZ"/>
              </w:rPr>
            </w:pPr>
            <w:hyperlink r:id="rId11" w:history="1">
              <w:r w:rsidR="00B4313E" w:rsidRPr="007153E9">
                <w:rPr>
                  <w:rStyle w:val="Hyperlink"/>
                  <w:rFonts w:eastAsiaTheme="minorEastAsia"/>
                  <w:lang w:eastAsia="ja-JP"/>
                </w:rPr>
                <w:t>INP-55</w:t>
              </w:r>
            </w:hyperlink>
            <w:r w:rsidR="00B4313E">
              <w:rPr>
                <w:rFonts w:eastAsiaTheme="minorEastAsia"/>
                <w:lang w:eastAsia="ja-JP"/>
              </w:rPr>
              <w:t xml:space="preserve">  </w:t>
            </w:r>
          </w:p>
          <w:p w14:paraId="6FEFFF0C" w14:textId="52DB8CAF" w:rsidR="00B4313E" w:rsidRPr="00B4313E" w:rsidRDefault="00331494" w:rsidP="000E2A48">
            <w:pPr>
              <w:pStyle w:val="ListParagraph"/>
              <w:numPr>
                <w:ilvl w:val="0"/>
                <w:numId w:val="33"/>
              </w:numPr>
              <w:rPr>
                <w:lang w:val="en-NZ"/>
              </w:rPr>
            </w:pPr>
            <w:hyperlink r:id="rId12" w:history="1">
              <w:r w:rsidR="00B4313E" w:rsidRPr="007153E9">
                <w:rPr>
                  <w:rStyle w:val="Hyperlink"/>
                  <w:rFonts w:eastAsiaTheme="minorEastAsia"/>
                  <w:lang w:eastAsia="ja-JP"/>
                </w:rPr>
                <w:t>INP-61</w:t>
              </w:r>
            </w:hyperlink>
            <w:r w:rsidR="00B4313E">
              <w:rPr>
                <w:rFonts w:eastAsiaTheme="minorEastAsia"/>
                <w:lang w:eastAsia="ja-JP"/>
              </w:rPr>
              <w:t xml:space="preserve">  </w:t>
            </w:r>
          </w:p>
          <w:p w14:paraId="337C4E93" w14:textId="5FDA504A" w:rsidR="00B4313E" w:rsidRPr="00B4313E" w:rsidRDefault="00331494" w:rsidP="000E2A48">
            <w:pPr>
              <w:pStyle w:val="ListParagraph"/>
              <w:numPr>
                <w:ilvl w:val="0"/>
                <w:numId w:val="33"/>
              </w:numPr>
              <w:rPr>
                <w:lang w:val="en-NZ"/>
              </w:rPr>
            </w:pPr>
            <w:hyperlink r:id="rId13" w:history="1">
              <w:r w:rsidR="00B4313E" w:rsidRPr="007153E9">
                <w:rPr>
                  <w:rStyle w:val="Hyperlink"/>
                  <w:rFonts w:eastAsiaTheme="minorEastAsia"/>
                  <w:lang w:eastAsia="ja-JP"/>
                </w:rPr>
                <w:t>INP-77</w:t>
              </w:r>
            </w:hyperlink>
            <w:r w:rsidR="00B4313E">
              <w:rPr>
                <w:rFonts w:eastAsiaTheme="minorEastAsia"/>
                <w:lang w:eastAsia="ja-JP"/>
              </w:rPr>
              <w:t xml:space="preserve"> </w:t>
            </w:r>
            <w:r w:rsidR="009708F8">
              <w:rPr>
                <w:rFonts w:eastAsiaTheme="minorEastAsia"/>
                <w:lang w:eastAsia="ja-JP"/>
              </w:rPr>
              <w:t xml:space="preserve"> </w:t>
            </w:r>
            <w:r w:rsidR="00B4313E">
              <w:rPr>
                <w:rFonts w:eastAsiaTheme="minorEastAsia"/>
                <w:lang w:eastAsia="ja-JP"/>
              </w:rPr>
              <w:t xml:space="preserve"> </w:t>
            </w:r>
          </w:p>
          <w:p w14:paraId="3636717A" w14:textId="1FCE2C90" w:rsidR="00B4313E" w:rsidRPr="00B4313E" w:rsidRDefault="00331494" w:rsidP="000E2A48">
            <w:pPr>
              <w:pStyle w:val="ListParagraph"/>
              <w:numPr>
                <w:ilvl w:val="0"/>
                <w:numId w:val="33"/>
              </w:numPr>
              <w:rPr>
                <w:lang w:val="en-NZ"/>
              </w:rPr>
            </w:pPr>
            <w:hyperlink r:id="rId14" w:history="1">
              <w:r w:rsidR="00B4313E" w:rsidRPr="007153E9">
                <w:rPr>
                  <w:rStyle w:val="Hyperlink"/>
                  <w:rFonts w:eastAsiaTheme="minorEastAsia"/>
                  <w:lang w:eastAsia="ja-JP"/>
                </w:rPr>
                <w:t>INP-92</w:t>
              </w:r>
            </w:hyperlink>
            <w:r w:rsidR="00B4313E">
              <w:rPr>
                <w:rFonts w:eastAsiaTheme="minorEastAsia"/>
                <w:lang w:eastAsia="ja-JP"/>
              </w:rPr>
              <w:t xml:space="preserve"> </w:t>
            </w:r>
            <w:r w:rsidR="009708F8">
              <w:rPr>
                <w:rFonts w:eastAsiaTheme="minorEastAsia"/>
                <w:lang w:eastAsia="ja-JP"/>
              </w:rPr>
              <w:t xml:space="preserve"> </w:t>
            </w:r>
            <w:r w:rsidR="00B4313E">
              <w:rPr>
                <w:rFonts w:eastAsiaTheme="minorEastAsia"/>
                <w:lang w:eastAsia="ja-JP"/>
              </w:rPr>
              <w:t xml:space="preserve"> </w:t>
            </w:r>
          </w:p>
          <w:p w14:paraId="50AED4B6" w14:textId="12BBB495" w:rsidR="000E2A48" w:rsidRPr="00A60BB7" w:rsidRDefault="00331494" w:rsidP="000E2A48">
            <w:pPr>
              <w:pStyle w:val="ListParagraph"/>
              <w:numPr>
                <w:ilvl w:val="0"/>
                <w:numId w:val="33"/>
              </w:numPr>
              <w:rPr>
                <w:lang w:val="en-NZ"/>
              </w:rPr>
            </w:pPr>
            <w:hyperlink r:id="rId15" w:history="1">
              <w:r w:rsidR="00B4313E" w:rsidRPr="007153E9">
                <w:rPr>
                  <w:rStyle w:val="Hyperlink"/>
                  <w:rFonts w:eastAsiaTheme="minorEastAsia"/>
                  <w:lang w:eastAsia="ja-JP"/>
                </w:rPr>
                <w:t>INP-98</w:t>
              </w:r>
            </w:hyperlink>
            <w:r w:rsidR="00B4313E">
              <w:rPr>
                <w:rFonts w:eastAsiaTheme="minorEastAsia"/>
                <w:lang w:eastAsia="ja-JP"/>
              </w:rPr>
              <w:t xml:space="preserve"> </w:t>
            </w:r>
            <w:r w:rsidR="009708F8">
              <w:rPr>
                <w:rFonts w:eastAsiaTheme="minorEastAsia"/>
                <w:lang w:eastAsia="ja-JP"/>
              </w:rPr>
              <w:t xml:space="preserve"> </w:t>
            </w:r>
          </w:p>
        </w:tc>
        <w:tc>
          <w:tcPr>
            <w:tcW w:w="4302" w:type="dxa"/>
          </w:tcPr>
          <w:p w14:paraId="5E2328FA" w14:textId="77777777" w:rsidR="000E2A48" w:rsidRDefault="000E2A48" w:rsidP="002951B6">
            <w:pPr>
              <w:rPr>
                <w:lang w:val="en-NZ"/>
              </w:rPr>
            </w:pPr>
          </w:p>
          <w:p w14:paraId="4E8296B6" w14:textId="77777777" w:rsidR="00B4313E" w:rsidRDefault="00B4313E" w:rsidP="00B4313E">
            <w:pPr>
              <w:rPr>
                <w:lang w:val="en-NZ"/>
              </w:rPr>
            </w:pPr>
            <w:r>
              <w:rPr>
                <w:lang w:val="en-NZ"/>
              </w:rPr>
              <w:t>Australia</w:t>
            </w:r>
            <w:bookmarkStart w:id="0" w:name="_GoBack"/>
            <w:bookmarkEnd w:id="0"/>
          </w:p>
          <w:p w14:paraId="1CDC54F9" w14:textId="4B7CEC3D" w:rsidR="000E2A48" w:rsidRDefault="00B4313E" w:rsidP="002951B6">
            <w:pPr>
              <w:rPr>
                <w:lang w:val="en-NZ"/>
              </w:rPr>
            </w:pPr>
            <w:r>
              <w:rPr>
                <w:lang w:val="en-NZ"/>
              </w:rPr>
              <w:t>Thailand</w:t>
            </w:r>
          </w:p>
          <w:p w14:paraId="4896A91A" w14:textId="28DC9AC9" w:rsidR="00B4313E" w:rsidRDefault="00B4313E" w:rsidP="002951B6">
            <w:pPr>
              <w:rPr>
                <w:lang w:val="en-NZ"/>
              </w:rPr>
            </w:pPr>
            <w:r>
              <w:rPr>
                <w:lang w:val="en-NZ"/>
              </w:rPr>
              <w:t>Malaysia</w:t>
            </w:r>
          </w:p>
          <w:p w14:paraId="310B558E" w14:textId="7315E6F3" w:rsidR="00B4313E" w:rsidRDefault="00B4313E" w:rsidP="002951B6">
            <w:pPr>
              <w:rPr>
                <w:lang w:val="en-NZ"/>
              </w:rPr>
            </w:pPr>
            <w:r>
              <w:rPr>
                <w:lang w:val="en-NZ"/>
              </w:rPr>
              <w:lastRenderedPageBreak/>
              <w:t>Japan</w:t>
            </w:r>
          </w:p>
          <w:p w14:paraId="3C9041B6" w14:textId="41A69FCD" w:rsidR="00B4313E" w:rsidRDefault="009708F8" w:rsidP="002951B6">
            <w:pPr>
              <w:rPr>
                <w:lang w:val="en-NZ"/>
              </w:rPr>
            </w:pPr>
            <w:r>
              <w:rPr>
                <w:lang w:val="en-NZ"/>
              </w:rPr>
              <w:t xml:space="preserve">Republic of </w:t>
            </w:r>
            <w:r w:rsidR="00B4313E">
              <w:rPr>
                <w:lang w:val="en-NZ"/>
              </w:rPr>
              <w:t>Korea</w:t>
            </w:r>
          </w:p>
          <w:p w14:paraId="23AB9F93" w14:textId="77777777" w:rsidR="00B4313E" w:rsidRDefault="00B4313E" w:rsidP="002951B6">
            <w:pPr>
              <w:rPr>
                <w:lang w:val="en-NZ"/>
              </w:rPr>
            </w:pPr>
            <w:r>
              <w:rPr>
                <w:lang w:val="en-NZ"/>
              </w:rPr>
              <w:t>Singapore</w:t>
            </w:r>
          </w:p>
          <w:p w14:paraId="4BB49A71" w14:textId="275DECE2" w:rsidR="000E2A48" w:rsidRPr="005952EF" w:rsidRDefault="000E2A48" w:rsidP="002951B6">
            <w:pPr>
              <w:rPr>
                <w:lang w:val="en-NZ"/>
              </w:rPr>
            </w:pPr>
            <w:r>
              <w:rPr>
                <w:lang w:val="en-NZ"/>
              </w:rPr>
              <w:t>China (Republic of)</w:t>
            </w:r>
          </w:p>
        </w:tc>
      </w:tr>
      <w:tr w:rsidR="000E2A48" w14:paraId="7091E5F3" w14:textId="77777777" w:rsidTr="002951B6">
        <w:tc>
          <w:tcPr>
            <w:tcW w:w="4068" w:type="dxa"/>
          </w:tcPr>
          <w:p w14:paraId="0B2FE586" w14:textId="77777777" w:rsidR="000E2A48" w:rsidRDefault="000E2A48" w:rsidP="002951B6">
            <w:pPr>
              <w:rPr>
                <w:lang w:val="en-NZ"/>
              </w:rPr>
            </w:pPr>
            <w:r w:rsidRPr="00D764B3">
              <w:rPr>
                <w:lang w:val="en-NZ"/>
              </w:rPr>
              <w:lastRenderedPageBreak/>
              <w:t>Information Documents</w:t>
            </w:r>
            <w:r>
              <w:rPr>
                <w:lang w:val="en-NZ"/>
              </w:rPr>
              <w:t>:</w:t>
            </w:r>
          </w:p>
          <w:p w14:paraId="3E5935B5" w14:textId="61C94AB2" w:rsidR="00B4313E" w:rsidRPr="00561303" w:rsidRDefault="00B4313E" w:rsidP="00B4313E">
            <w:pPr>
              <w:ind w:left="720"/>
              <w:jc w:val="both"/>
              <w:rPr>
                <w:lang w:val="en-GB"/>
              </w:rPr>
            </w:pPr>
            <w:r>
              <w:rPr>
                <w:rStyle w:val="Hyperlink"/>
              </w:rPr>
              <w:t xml:space="preserve"> </w:t>
            </w:r>
          </w:p>
          <w:p w14:paraId="7409351D" w14:textId="58949138" w:rsidR="00B4313E" w:rsidRDefault="00331494" w:rsidP="00B4313E">
            <w:pPr>
              <w:ind w:left="720"/>
              <w:jc w:val="both"/>
              <w:rPr>
                <w:lang w:val="en-GB"/>
              </w:rPr>
            </w:pPr>
            <w:hyperlink r:id="rId16" w:history="1">
              <w:r w:rsidR="00B4313E" w:rsidRPr="00BB20DE">
                <w:rPr>
                  <w:rStyle w:val="Hyperlink"/>
                  <w:lang w:val="en-GB"/>
                </w:rPr>
                <w:t>INF-22</w:t>
              </w:r>
            </w:hyperlink>
            <w:r w:rsidR="00B4313E">
              <w:rPr>
                <w:lang w:val="en-GB"/>
              </w:rPr>
              <w:t xml:space="preserve"> </w:t>
            </w:r>
          </w:p>
          <w:p w14:paraId="71D13F26" w14:textId="5693E93C" w:rsidR="00B4313E" w:rsidRDefault="00331494" w:rsidP="00B4313E">
            <w:pPr>
              <w:ind w:left="720"/>
              <w:jc w:val="both"/>
              <w:rPr>
                <w:lang w:val="en-GB"/>
              </w:rPr>
            </w:pPr>
            <w:hyperlink r:id="rId17" w:history="1">
              <w:r w:rsidR="00B4313E" w:rsidRPr="00BB20DE">
                <w:rPr>
                  <w:rStyle w:val="Hyperlink"/>
                  <w:lang w:val="en-GB"/>
                </w:rPr>
                <w:t>INF-23</w:t>
              </w:r>
            </w:hyperlink>
            <w:r w:rsidR="00B4313E">
              <w:rPr>
                <w:lang w:val="en-GB"/>
              </w:rPr>
              <w:t xml:space="preserve"> </w:t>
            </w:r>
          </w:p>
          <w:p w14:paraId="756DDF27" w14:textId="03677F1D" w:rsidR="000E2A48" w:rsidRPr="00B4313E" w:rsidRDefault="00331494" w:rsidP="00B4313E">
            <w:pPr>
              <w:ind w:left="720"/>
              <w:jc w:val="both"/>
              <w:rPr>
                <w:lang w:val="en-GB"/>
              </w:rPr>
            </w:pPr>
            <w:hyperlink r:id="rId18" w:history="1">
              <w:r w:rsidR="00B4313E" w:rsidRPr="00BB20DE">
                <w:rPr>
                  <w:rStyle w:val="Hyperlink"/>
                  <w:lang w:val="en-GB"/>
                </w:rPr>
                <w:t>INF-24</w:t>
              </w:r>
            </w:hyperlink>
            <w:r w:rsidR="00B4313E">
              <w:rPr>
                <w:lang w:val="en-GB"/>
              </w:rPr>
              <w:t xml:space="preserve"> </w:t>
            </w:r>
          </w:p>
        </w:tc>
        <w:tc>
          <w:tcPr>
            <w:tcW w:w="4302" w:type="dxa"/>
          </w:tcPr>
          <w:p w14:paraId="1316E4BD" w14:textId="77777777" w:rsidR="000E2A48" w:rsidRDefault="000E2A48" w:rsidP="002951B6">
            <w:pPr>
              <w:rPr>
                <w:lang w:val="en-NZ"/>
              </w:rPr>
            </w:pPr>
          </w:p>
          <w:p w14:paraId="0EA5BFDF" w14:textId="77777777" w:rsidR="000E2A48" w:rsidRDefault="000E2A48" w:rsidP="002951B6">
            <w:pPr>
              <w:rPr>
                <w:lang w:val="en-NZ"/>
              </w:rPr>
            </w:pPr>
          </w:p>
          <w:p w14:paraId="58F4A393" w14:textId="77777777" w:rsidR="00DF24E7" w:rsidRDefault="00DF24E7" w:rsidP="002951B6">
            <w:pPr>
              <w:rPr>
                <w:lang w:val="en-NZ"/>
              </w:rPr>
            </w:pPr>
            <w:r>
              <w:rPr>
                <w:lang w:val="en-NZ"/>
              </w:rPr>
              <w:t>CITEL</w:t>
            </w:r>
          </w:p>
          <w:p w14:paraId="37C8C20D" w14:textId="77777777" w:rsidR="00DF24E7" w:rsidRDefault="00DF24E7" w:rsidP="002951B6">
            <w:pPr>
              <w:rPr>
                <w:lang w:val="en-NZ"/>
              </w:rPr>
            </w:pPr>
            <w:r>
              <w:rPr>
                <w:lang w:val="en-NZ"/>
              </w:rPr>
              <w:t>CEPT</w:t>
            </w:r>
          </w:p>
          <w:p w14:paraId="11FEA1CD" w14:textId="792796A0" w:rsidR="00DF24E7" w:rsidRPr="00424FF7" w:rsidRDefault="00DF24E7" w:rsidP="002951B6">
            <w:pPr>
              <w:rPr>
                <w:lang w:val="en-NZ"/>
              </w:rPr>
            </w:pPr>
            <w:r>
              <w:rPr>
                <w:lang w:val="en-NZ"/>
              </w:rPr>
              <w:t>RCC</w:t>
            </w:r>
          </w:p>
        </w:tc>
      </w:tr>
    </w:tbl>
    <w:p w14:paraId="282F8920" w14:textId="17EF255C" w:rsidR="000E2A48" w:rsidRDefault="000E2A48" w:rsidP="000E2A48">
      <w:pPr>
        <w:rPr>
          <w:b/>
          <w:lang w:val="en-NZ" w:eastAsia="ko-KR"/>
        </w:rPr>
      </w:pPr>
    </w:p>
    <w:p w14:paraId="42AC4F31" w14:textId="77777777" w:rsidR="000E2A48" w:rsidRDefault="000E2A48" w:rsidP="000E2A48">
      <w:pPr>
        <w:rPr>
          <w:b/>
          <w:lang w:val="en-NZ" w:eastAsia="ko-KR"/>
        </w:rPr>
      </w:pPr>
      <w:r w:rsidRPr="00441526">
        <w:rPr>
          <w:b/>
          <w:lang w:val="en-NZ" w:eastAsia="ko-KR"/>
        </w:rPr>
        <w:t xml:space="preserve">3. </w:t>
      </w:r>
      <w:r w:rsidRPr="00441526">
        <w:rPr>
          <w:b/>
          <w:lang w:val="en-NZ" w:eastAsia="ko-KR"/>
        </w:rPr>
        <w:tab/>
        <w:t>Summary of discussions</w:t>
      </w:r>
    </w:p>
    <w:p w14:paraId="6766D7FA" w14:textId="77777777" w:rsidR="000E2A48" w:rsidRPr="00441526" w:rsidRDefault="000E2A48" w:rsidP="000E2A48">
      <w:pPr>
        <w:rPr>
          <w:b/>
          <w:lang w:val="en-NZ" w:eastAsia="ko-KR"/>
        </w:rPr>
      </w:pPr>
    </w:p>
    <w:p w14:paraId="6F786F1A" w14:textId="77777777" w:rsidR="000E2A48" w:rsidRPr="00441526" w:rsidRDefault="000E2A48" w:rsidP="000E2A48">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644CAA4" w14:textId="6B364E46" w:rsidR="009708F8" w:rsidRPr="009708F8" w:rsidRDefault="000E2A48" w:rsidP="009708F8">
      <w:pPr>
        <w:rPr>
          <w:rStyle w:val="Hyperlink"/>
          <w:color w:val="auto"/>
          <w:u w:val="none"/>
          <w:lang w:val="en-NZ"/>
        </w:rPr>
      </w:pPr>
      <w:r w:rsidRPr="009708F8">
        <w:rPr>
          <w:b/>
          <w:lang w:val="en-NZ" w:eastAsia="ko-KR"/>
        </w:rPr>
        <w:t xml:space="preserve">3.1.1 Australia </w:t>
      </w:r>
      <w:r w:rsidRPr="00441526">
        <w:t xml:space="preserve">- </w:t>
      </w:r>
      <w:r w:rsidRPr="009708F8">
        <w:rPr>
          <w:b/>
          <w:lang w:val="en-NZ" w:eastAsia="ko-KR"/>
        </w:rPr>
        <w:t>Document APG19-</w:t>
      </w:r>
      <w:r w:rsidR="009708F8" w:rsidRPr="009708F8">
        <w:rPr>
          <w:b/>
          <w:lang w:val="en-NZ" w:eastAsia="ko-KR"/>
        </w:rPr>
        <w:t>4</w:t>
      </w:r>
      <w:r w:rsidRPr="009708F8">
        <w:rPr>
          <w:b/>
          <w:lang w:val="en-NZ" w:eastAsia="ko-KR"/>
        </w:rPr>
        <w:t>/</w:t>
      </w:r>
      <w:hyperlink r:id="rId19" w:history="1">
        <w:r w:rsidR="009708F8" w:rsidRPr="009708F8">
          <w:rPr>
            <w:rStyle w:val="Hyperlink"/>
            <w:lang w:val="en-GB"/>
          </w:rPr>
          <w:t>INP-17</w:t>
        </w:r>
      </w:hyperlink>
      <w:r w:rsidR="009708F8" w:rsidRPr="009708F8">
        <w:rPr>
          <w:rStyle w:val="Hyperlink"/>
          <w:color w:val="auto"/>
          <w:u w:val="none"/>
          <w:lang w:val="en-GB"/>
        </w:rPr>
        <w:t xml:space="preserve"> </w:t>
      </w:r>
    </w:p>
    <w:p w14:paraId="7A4B3E1D" w14:textId="2A200554" w:rsidR="000E2A48" w:rsidRDefault="000E2A48" w:rsidP="000E2A48">
      <w:pPr>
        <w:jc w:val="both"/>
        <w:rPr>
          <w:b/>
          <w:lang w:val="en-NZ" w:eastAsia="ko-KR"/>
        </w:rPr>
      </w:pPr>
    </w:p>
    <w:p w14:paraId="5C36ACB8" w14:textId="54DD7256" w:rsidR="00FA442C" w:rsidRPr="00B665A6" w:rsidRDefault="00FA442C" w:rsidP="00FA442C">
      <w:pPr>
        <w:jc w:val="both"/>
        <w:rPr>
          <w:lang w:val="en-AU"/>
        </w:rPr>
      </w:pPr>
      <w:r w:rsidRPr="00B665A6">
        <w:rPr>
          <w:lang w:val="en-AU"/>
        </w:rPr>
        <w:t>Australia does not have a view on the relaxation of orbital restrictions where Australia will not be visible.</w:t>
      </w:r>
    </w:p>
    <w:p w14:paraId="388D077B" w14:textId="77777777" w:rsidR="00FA442C" w:rsidRPr="00B665A6" w:rsidRDefault="00FA442C" w:rsidP="00FA442C">
      <w:pPr>
        <w:jc w:val="both"/>
        <w:rPr>
          <w:b/>
          <w:lang w:val="en-AU"/>
        </w:rPr>
      </w:pPr>
      <w:r w:rsidRPr="00B665A6">
        <w:rPr>
          <w:lang w:val="en-AU"/>
        </w:rPr>
        <w:t>Australia can support any of the three Methods in the Draft CPM Report (Document CPM19-2/1) but prefers Method A or Method C</w:t>
      </w:r>
      <w:r w:rsidRPr="00B665A6">
        <w:rPr>
          <w:b/>
          <w:lang w:val="en-AU"/>
        </w:rPr>
        <w:t>.</w:t>
      </w:r>
    </w:p>
    <w:p w14:paraId="677EC583" w14:textId="1564BE19" w:rsidR="000E2A48" w:rsidRDefault="00B4313E" w:rsidP="000E2A48">
      <w:r>
        <w:rPr>
          <w:rFonts w:eastAsia="Times New Roman"/>
          <w:lang w:bidi="en-US"/>
        </w:rPr>
        <w:t xml:space="preserve"> </w:t>
      </w:r>
    </w:p>
    <w:p w14:paraId="056C2C0D" w14:textId="262EC488" w:rsidR="000E2A48" w:rsidRPr="00902046" w:rsidRDefault="000E2A48" w:rsidP="000E2A48">
      <w:pPr>
        <w:rPr>
          <w:b/>
          <w:iCs/>
          <w:lang w:eastAsia="ko-KR"/>
        </w:rPr>
      </w:pPr>
      <w:r>
        <w:rPr>
          <w:b/>
          <w:iCs/>
          <w:lang w:eastAsia="ko-KR"/>
        </w:rPr>
        <w:t xml:space="preserve">3.1.2 </w:t>
      </w:r>
      <w:r w:rsidR="009708F8">
        <w:rPr>
          <w:b/>
          <w:iCs/>
          <w:lang w:eastAsia="ko-KR"/>
        </w:rPr>
        <w:t>Thailand</w:t>
      </w:r>
      <w:r>
        <w:rPr>
          <w:b/>
          <w:iCs/>
          <w:lang w:eastAsia="ko-KR"/>
        </w:rPr>
        <w:t xml:space="preserve"> </w:t>
      </w:r>
      <w:r w:rsidRPr="00441526">
        <w:t xml:space="preserve">- </w:t>
      </w:r>
      <w:r w:rsidRPr="00441526">
        <w:rPr>
          <w:b/>
          <w:lang w:val="en-NZ" w:eastAsia="ko-KR"/>
        </w:rPr>
        <w:t>Document APG19-</w:t>
      </w:r>
      <w:r w:rsidR="009708F8">
        <w:rPr>
          <w:b/>
          <w:lang w:val="en-NZ" w:eastAsia="ko-KR"/>
        </w:rPr>
        <w:t>4</w:t>
      </w:r>
      <w:r w:rsidRPr="00441526">
        <w:rPr>
          <w:b/>
          <w:lang w:val="en-NZ" w:eastAsia="ko-KR"/>
        </w:rPr>
        <w:t>/</w:t>
      </w:r>
      <w:hyperlink r:id="rId20" w:history="1">
        <w:r w:rsidR="009708F8" w:rsidRPr="00BE0081">
          <w:rPr>
            <w:rStyle w:val="Hyperlink"/>
            <w:lang w:val="en-GB"/>
          </w:rPr>
          <w:t>INP-31</w:t>
        </w:r>
      </w:hyperlink>
    </w:p>
    <w:p w14:paraId="31759F51" w14:textId="0AB1FCB8" w:rsidR="000E2A48" w:rsidRDefault="000E2A48" w:rsidP="000E2A48">
      <w:pPr>
        <w:rPr>
          <w:iCs/>
          <w:lang w:eastAsia="ko-KR"/>
        </w:rPr>
      </w:pPr>
    </w:p>
    <w:p w14:paraId="435F6BAB" w14:textId="5BE05D78" w:rsidR="00D40FC4" w:rsidRPr="00AB0D98" w:rsidRDefault="00D40FC4" w:rsidP="00D40FC4">
      <w:pPr>
        <w:jc w:val="thaiDistribute"/>
        <w:rPr>
          <w:bCs/>
        </w:rPr>
      </w:pPr>
      <w:r w:rsidRPr="00AB0D98">
        <w:t>Thailand supports ITU-R studies and is of the view that any possible revision of the limitations of Annex 7 to Radio Regulations Appendix 30 (Rev.WRC-15) under Resolution 557 (WRC-15) should not impose constraints on current and future FSS/BSS usage in the 11.7 – 12.7 GHz frequency band for Region 3.</w:t>
      </w:r>
    </w:p>
    <w:p w14:paraId="10042953" w14:textId="77777777" w:rsidR="00D40FC4" w:rsidRDefault="00D40FC4" w:rsidP="000E2A48">
      <w:pPr>
        <w:rPr>
          <w:iCs/>
          <w:lang w:eastAsia="ko-KR"/>
        </w:rPr>
      </w:pPr>
    </w:p>
    <w:p w14:paraId="086DBC39" w14:textId="1286E07D" w:rsidR="000E2A48" w:rsidRPr="00902046" w:rsidRDefault="000E2A48" w:rsidP="000E2A48">
      <w:pPr>
        <w:rPr>
          <w:b/>
          <w:iCs/>
          <w:lang w:eastAsia="ko-KR"/>
        </w:rPr>
      </w:pPr>
      <w:r w:rsidRPr="00902046">
        <w:rPr>
          <w:b/>
          <w:iCs/>
          <w:lang w:eastAsia="ko-KR"/>
        </w:rPr>
        <w:t xml:space="preserve">3.1.3 </w:t>
      </w:r>
      <w:r w:rsidR="009708F8">
        <w:rPr>
          <w:b/>
          <w:iCs/>
          <w:lang w:eastAsia="ko-KR"/>
        </w:rPr>
        <w:t>Malaysia</w:t>
      </w:r>
      <w:r>
        <w:rPr>
          <w:b/>
          <w:iCs/>
          <w:lang w:eastAsia="ko-KR"/>
        </w:rPr>
        <w:t xml:space="preserve"> </w:t>
      </w:r>
      <w:r w:rsidRPr="00441526">
        <w:t xml:space="preserve">- </w:t>
      </w:r>
      <w:r w:rsidRPr="00441526">
        <w:rPr>
          <w:b/>
          <w:lang w:val="en-NZ" w:eastAsia="ko-KR"/>
        </w:rPr>
        <w:t>Document APG19-</w:t>
      </w:r>
      <w:r w:rsidR="009708F8">
        <w:rPr>
          <w:b/>
          <w:lang w:val="en-NZ" w:eastAsia="ko-KR"/>
        </w:rPr>
        <w:t>4</w:t>
      </w:r>
      <w:r w:rsidRPr="00441526">
        <w:rPr>
          <w:b/>
          <w:lang w:val="en-NZ" w:eastAsia="ko-KR"/>
        </w:rPr>
        <w:t>/</w:t>
      </w:r>
      <w:hyperlink r:id="rId21" w:history="1">
        <w:r w:rsidR="009708F8" w:rsidRPr="007153E9">
          <w:rPr>
            <w:rStyle w:val="Hyperlink"/>
            <w:rFonts w:eastAsiaTheme="minorEastAsia"/>
            <w:lang w:eastAsia="ja-JP"/>
          </w:rPr>
          <w:t>INP-55</w:t>
        </w:r>
      </w:hyperlink>
    </w:p>
    <w:p w14:paraId="5D010492" w14:textId="77777777" w:rsidR="00D40FC4" w:rsidRDefault="00D40FC4" w:rsidP="00FA442C">
      <w:pPr>
        <w:jc w:val="both"/>
        <w:rPr>
          <w:bCs/>
          <w:lang w:val="en-GB"/>
        </w:rPr>
      </w:pPr>
    </w:p>
    <w:p w14:paraId="76967339" w14:textId="12658DE3" w:rsidR="00FA442C" w:rsidRPr="006E5866" w:rsidRDefault="00FA442C" w:rsidP="00FA442C">
      <w:pPr>
        <w:jc w:val="both"/>
        <w:rPr>
          <w:lang w:val="en-GB"/>
        </w:rPr>
      </w:pPr>
      <w:r w:rsidRPr="006E5866">
        <w:rPr>
          <w:bCs/>
          <w:lang w:val="en-GB"/>
        </w:rPr>
        <w:t xml:space="preserve">Malaysia supports </w:t>
      </w:r>
      <w:r w:rsidRPr="006E5866">
        <w:rPr>
          <w:b/>
          <w:bCs/>
          <w:lang w:val="en-GB"/>
        </w:rPr>
        <w:t>Method C</w:t>
      </w:r>
      <w:r w:rsidRPr="006E5866">
        <w:rPr>
          <w:bCs/>
          <w:lang w:val="en-GB"/>
        </w:rPr>
        <w:t xml:space="preserve"> which proposes the </w:t>
      </w:r>
      <w:r w:rsidRPr="006E5866">
        <w:rPr>
          <w:lang w:val="en-GB"/>
        </w:rPr>
        <w:t>deletion of some limitations of Annex 7 and addition of relevant draft new Resolutions</w:t>
      </w:r>
      <w:r w:rsidRPr="0036017B">
        <w:rPr>
          <w:color w:val="000000"/>
          <w:lang w:val="en-GB"/>
        </w:rPr>
        <w:t>,</w:t>
      </w:r>
      <w:r w:rsidRPr="006E5866">
        <w:rPr>
          <w:b/>
          <w:color w:val="000000"/>
          <w:lang w:val="en-GB"/>
        </w:rPr>
        <w:t xml:space="preserve"> </w:t>
      </w:r>
      <w:r w:rsidRPr="006E5866">
        <w:rPr>
          <w:color w:val="000000"/>
          <w:lang w:val="en-GB"/>
        </w:rPr>
        <w:t>as well as the</w:t>
      </w:r>
      <w:r w:rsidRPr="006E5866">
        <w:rPr>
          <w:b/>
          <w:color w:val="000000"/>
          <w:lang w:val="en-GB"/>
        </w:rPr>
        <w:t xml:space="preserve"> </w:t>
      </w:r>
      <w:r w:rsidRPr="006E5866">
        <w:rPr>
          <w:lang w:val="en-GB"/>
        </w:rPr>
        <w:t>additional</w:t>
      </w:r>
      <w:r w:rsidRPr="006E5866">
        <w:rPr>
          <w:color w:val="000000"/>
          <w:lang w:val="en-GB"/>
        </w:rPr>
        <w:t xml:space="preserve"> </w:t>
      </w:r>
      <w:r w:rsidRPr="006E5866">
        <w:rPr>
          <w:lang w:val="en-GB"/>
        </w:rPr>
        <w:t>application of respective draft new Resolution with revised criteria for protection of future BSS networks with respect to limitations “A1a” and “A2a”.</w:t>
      </w:r>
    </w:p>
    <w:p w14:paraId="347A320E" w14:textId="62530673" w:rsidR="000E2A48" w:rsidRPr="00D40FC4" w:rsidRDefault="000E2A48" w:rsidP="000E2A48">
      <w:pPr>
        <w:rPr>
          <w:iCs/>
          <w:lang w:eastAsia="ko-KR"/>
        </w:rPr>
      </w:pPr>
    </w:p>
    <w:p w14:paraId="4EDF143C" w14:textId="2728D246" w:rsidR="000E2A48" w:rsidRDefault="000E2A48" w:rsidP="000E2A48">
      <w:pPr>
        <w:rPr>
          <w:b/>
          <w:lang w:val="en-NZ" w:eastAsia="ko-KR"/>
        </w:rPr>
      </w:pPr>
      <w:r>
        <w:rPr>
          <w:b/>
          <w:lang w:val="en-NZ" w:eastAsia="ko-KR"/>
        </w:rPr>
        <w:t xml:space="preserve">3.1.4 </w:t>
      </w:r>
      <w:r w:rsidR="009708F8">
        <w:rPr>
          <w:b/>
          <w:lang w:val="en-NZ" w:eastAsia="ko-KR"/>
        </w:rPr>
        <w:t>Japan</w:t>
      </w:r>
      <w:r>
        <w:rPr>
          <w:b/>
          <w:lang w:val="en-NZ" w:eastAsia="ko-KR"/>
        </w:rPr>
        <w:t xml:space="preserve"> </w:t>
      </w:r>
      <w:r w:rsidRPr="00441526">
        <w:t xml:space="preserve">- </w:t>
      </w:r>
      <w:r w:rsidRPr="00441526">
        <w:rPr>
          <w:b/>
          <w:lang w:val="en-NZ" w:eastAsia="ko-KR"/>
        </w:rPr>
        <w:t>Document APG19-</w:t>
      </w:r>
      <w:r w:rsidR="0066379D">
        <w:rPr>
          <w:b/>
          <w:lang w:val="en-NZ" w:eastAsia="ko-KR"/>
        </w:rPr>
        <w:t>4</w:t>
      </w:r>
      <w:r w:rsidRPr="00441526">
        <w:rPr>
          <w:b/>
          <w:lang w:val="en-NZ" w:eastAsia="ko-KR"/>
        </w:rPr>
        <w:t>/</w:t>
      </w:r>
      <w:hyperlink r:id="rId22" w:history="1">
        <w:r w:rsidR="00F0048F" w:rsidRPr="007153E9">
          <w:rPr>
            <w:rStyle w:val="Hyperlink"/>
            <w:rFonts w:eastAsiaTheme="minorEastAsia"/>
            <w:lang w:eastAsia="ja-JP"/>
          </w:rPr>
          <w:t>INP-61</w:t>
        </w:r>
      </w:hyperlink>
    </w:p>
    <w:p w14:paraId="41CBCC44" w14:textId="35200840" w:rsidR="009708F8" w:rsidRDefault="009708F8" w:rsidP="000E2A48">
      <w:pPr>
        <w:rPr>
          <w:b/>
          <w:lang w:val="en-NZ" w:eastAsia="ko-KR"/>
        </w:rPr>
      </w:pPr>
    </w:p>
    <w:p w14:paraId="28E94A08" w14:textId="18C9D306" w:rsidR="00D40FC4" w:rsidRDefault="00D40FC4" w:rsidP="000E2A48">
      <w:pPr>
        <w:rPr>
          <w:b/>
          <w:lang w:val="en-NZ" w:eastAsia="ko-KR"/>
        </w:rPr>
      </w:pPr>
      <w:r>
        <w:rPr>
          <w:lang w:eastAsia="ko-KR"/>
        </w:rPr>
        <w:t xml:space="preserve">Japan </w:t>
      </w:r>
      <w:r>
        <w:t>is</w:t>
      </w:r>
      <w:r w:rsidRPr="00190D73">
        <w:rPr>
          <w:rFonts w:eastAsia="MS Mincho"/>
          <w:lang w:eastAsia="ja-JP"/>
        </w:rPr>
        <w:t xml:space="preserve"> of the view</w:t>
      </w:r>
      <w:r>
        <w:rPr>
          <w:rFonts w:eastAsia="MS Mincho"/>
          <w:lang w:eastAsia="ja-JP"/>
        </w:rPr>
        <w:t xml:space="preserve"> </w:t>
      </w:r>
      <w:r>
        <w:t xml:space="preserve">that any </w:t>
      </w:r>
      <w:r w:rsidRPr="009B011E">
        <w:t xml:space="preserve">possible revision of the limitations </w:t>
      </w:r>
      <w:r>
        <w:t xml:space="preserve">of </w:t>
      </w:r>
      <w:r w:rsidRPr="00F048B3">
        <w:rPr>
          <w:iCs/>
        </w:rPr>
        <w:t xml:space="preserve">Annex 7 to </w:t>
      </w:r>
      <w:r w:rsidRPr="009B011E">
        <w:t xml:space="preserve">Radio Regulations Appendix </w:t>
      </w:r>
      <w:r w:rsidRPr="002C3D97">
        <w:rPr>
          <w:b/>
        </w:rPr>
        <w:t>30</w:t>
      </w:r>
      <w:r w:rsidRPr="00F048B3">
        <w:rPr>
          <w:b/>
          <w:iCs/>
        </w:rPr>
        <w:t xml:space="preserve"> (Rev.WRC-15) </w:t>
      </w:r>
      <w:r w:rsidRPr="00F048B3">
        <w:rPr>
          <w:iCs/>
        </w:rPr>
        <w:t xml:space="preserve">under Resolution </w:t>
      </w:r>
      <w:r w:rsidRPr="00F048B3">
        <w:rPr>
          <w:b/>
          <w:bCs/>
          <w:iCs/>
        </w:rPr>
        <w:t>557 (WRC-15)</w:t>
      </w:r>
      <w:r w:rsidRPr="00F048B3">
        <w:rPr>
          <w:iCs/>
        </w:rPr>
        <w:t xml:space="preserve"> </w:t>
      </w:r>
      <w:r w:rsidRPr="00F048B3">
        <w:rPr>
          <w:iCs/>
          <w:lang w:eastAsia="ko-KR"/>
        </w:rPr>
        <w:t xml:space="preserve">should not impose any constraints on all assignments </w:t>
      </w:r>
      <w:r>
        <w:rPr>
          <w:iCs/>
        </w:rPr>
        <w:t>of</w:t>
      </w:r>
      <w:r w:rsidRPr="00F048B3">
        <w:rPr>
          <w:iCs/>
        </w:rPr>
        <w:t xml:space="preserve"> Appendix </w:t>
      </w:r>
      <w:r w:rsidRPr="00F048B3">
        <w:rPr>
          <w:b/>
          <w:bCs/>
          <w:iCs/>
        </w:rPr>
        <w:t>30</w:t>
      </w:r>
      <w:r w:rsidRPr="00F048B3">
        <w:rPr>
          <w:iCs/>
        </w:rPr>
        <w:t xml:space="preserve"> for Region 3</w:t>
      </w:r>
      <w:r>
        <w:rPr>
          <w:iCs/>
        </w:rPr>
        <w:t xml:space="preserve"> and ensure protection of existing and planned fixed-satellite service networks</w:t>
      </w:r>
      <w:r>
        <w:rPr>
          <w:rFonts w:hint="eastAsia"/>
          <w:iCs/>
          <w:lang w:eastAsia="ko-KR"/>
        </w:rPr>
        <w:t xml:space="preserve">. </w:t>
      </w:r>
      <w:r>
        <w:rPr>
          <w:iCs/>
          <w:lang w:eastAsia="ko-KR"/>
        </w:rPr>
        <w:t xml:space="preserve">Japan is also of the view that all the Methods in the </w:t>
      </w:r>
      <w:r>
        <w:rPr>
          <w:rFonts w:eastAsiaTheme="minorEastAsia" w:hint="eastAsia"/>
          <w:iCs/>
          <w:lang w:eastAsia="ja-JP"/>
        </w:rPr>
        <w:t xml:space="preserve">draft </w:t>
      </w:r>
      <w:r>
        <w:rPr>
          <w:iCs/>
          <w:lang w:eastAsia="ko-KR"/>
        </w:rPr>
        <w:t xml:space="preserve">CPM </w:t>
      </w:r>
      <w:r>
        <w:rPr>
          <w:rFonts w:eastAsiaTheme="minorEastAsia" w:hint="eastAsia"/>
          <w:iCs/>
          <w:lang w:eastAsia="ja-JP"/>
        </w:rPr>
        <w:t>Report</w:t>
      </w:r>
      <w:r>
        <w:rPr>
          <w:iCs/>
          <w:lang w:eastAsia="ko-KR"/>
        </w:rPr>
        <w:t xml:space="preserve"> would not impose any additional constraints on all assignments of Appendix 30 for Region3</w:t>
      </w:r>
      <w:r>
        <w:rPr>
          <w:rFonts w:eastAsiaTheme="minorEastAsia" w:hint="eastAsia"/>
          <w:iCs/>
          <w:lang w:eastAsia="ja-JP"/>
        </w:rPr>
        <w:t xml:space="preserve">, provided </w:t>
      </w:r>
      <w:r>
        <w:rPr>
          <w:rFonts w:eastAsiaTheme="minorEastAsia"/>
          <w:iCs/>
          <w:lang w:eastAsia="ja-JP"/>
        </w:rPr>
        <w:t>appropriate adjustments are incorporated in</w:t>
      </w:r>
      <w:r>
        <w:rPr>
          <w:rFonts w:eastAsiaTheme="minorEastAsia" w:hint="eastAsia"/>
          <w:iCs/>
          <w:lang w:eastAsia="ja-JP"/>
        </w:rPr>
        <w:t xml:space="preserve"> Method B and Method C</w:t>
      </w:r>
      <w:r>
        <w:rPr>
          <w:iCs/>
          <w:lang w:eastAsia="ko-KR"/>
        </w:rPr>
        <w:t>.</w:t>
      </w:r>
    </w:p>
    <w:p w14:paraId="35A2799B" w14:textId="77777777" w:rsidR="00D40FC4" w:rsidRDefault="00D40FC4" w:rsidP="000E2A48">
      <w:pPr>
        <w:rPr>
          <w:b/>
          <w:lang w:val="en-NZ" w:eastAsia="ko-KR"/>
        </w:rPr>
      </w:pPr>
    </w:p>
    <w:p w14:paraId="74DEAA75" w14:textId="674F4057" w:rsidR="009708F8" w:rsidRDefault="009708F8" w:rsidP="009708F8">
      <w:pPr>
        <w:rPr>
          <w:b/>
          <w:lang w:val="en-NZ" w:eastAsia="ko-KR"/>
        </w:rPr>
      </w:pPr>
      <w:r>
        <w:rPr>
          <w:b/>
          <w:lang w:val="en-NZ" w:eastAsia="ko-KR"/>
        </w:rPr>
        <w:t xml:space="preserve">3.1.5 Republic of Korea </w:t>
      </w:r>
      <w:r w:rsidRPr="00441526">
        <w:t xml:space="preserve">- </w:t>
      </w:r>
      <w:r w:rsidRPr="00441526">
        <w:rPr>
          <w:b/>
          <w:lang w:val="en-NZ" w:eastAsia="ko-KR"/>
        </w:rPr>
        <w:t>Document APG19-</w:t>
      </w:r>
      <w:r w:rsidR="0066379D">
        <w:rPr>
          <w:b/>
          <w:lang w:val="en-NZ" w:eastAsia="ko-KR"/>
        </w:rPr>
        <w:t>4</w:t>
      </w:r>
      <w:r w:rsidRPr="00441526">
        <w:rPr>
          <w:b/>
          <w:lang w:val="en-NZ" w:eastAsia="ko-KR"/>
        </w:rPr>
        <w:t>/</w:t>
      </w:r>
      <w:hyperlink r:id="rId23" w:history="1">
        <w:r w:rsidR="00F0048F" w:rsidRPr="007153E9">
          <w:rPr>
            <w:rStyle w:val="Hyperlink"/>
            <w:rFonts w:eastAsiaTheme="minorEastAsia"/>
            <w:lang w:eastAsia="ja-JP"/>
          </w:rPr>
          <w:t>INP-77</w:t>
        </w:r>
      </w:hyperlink>
      <w:r w:rsidR="00F0048F">
        <w:rPr>
          <w:b/>
          <w:lang w:val="en-NZ" w:eastAsia="ko-KR"/>
        </w:rPr>
        <w:t xml:space="preserve"> </w:t>
      </w:r>
    </w:p>
    <w:p w14:paraId="2EE967B3" w14:textId="11B156EA" w:rsidR="009708F8" w:rsidRDefault="009708F8" w:rsidP="000E2A48">
      <w:pPr>
        <w:rPr>
          <w:b/>
          <w:lang w:val="en-NZ" w:eastAsia="ko-KR"/>
        </w:rPr>
      </w:pPr>
    </w:p>
    <w:p w14:paraId="2727CB1B" w14:textId="3340DF0A" w:rsidR="00D40FC4" w:rsidRPr="00D40FC4" w:rsidRDefault="00D40FC4" w:rsidP="00D40FC4">
      <w:pPr>
        <w:spacing w:after="120"/>
        <w:rPr>
          <w:iCs/>
          <w:lang w:eastAsia="ko-KR"/>
        </w:rPr>
      </w:pPr>
      <w:r>
        <w:rPr>
          <w:lang w:eastAsia="ko-KR"/>
        </w:rPr>
        <w:t xml:space="preserve">Republic of Korea </w:t>
      </w:r>
      <w:r>
        <w:t xml:space="preserve">is </w:t>
      </w:r>
      <w:r w:rsidRPr="00190D73">
        <w:rPr>
          <w:rFonts w:eastAsia="MS Mincho"/>
          <w:lang w:eastAsia="ja-JP"/>
        </w:rPr>
        <w:t>of the view</w:t>
      </w:r>
      <w:r>
        <w:rPr>
          <w:rFonts w:eastAsia="MS Mincho"/>
          <w:lang w:eastAsia="ja-JP"/>
        </w:rPr>
        <w:t xml:space="preserve"> </w:t>
      </w:r>
      <w:r>
        <w:t xml:space="preserve">that any </w:t>
      </w:r>
      <w:r w:rsidRPr="009B011E">
        <w:t xml:space="preserve">possible revision of the limitations </w:t>
      </w:r>
      <w:r>
        <w:t xml:space="preserve">of </w:t>
      </w:r>
      <w:r w:rsidRPr="00F048B3">
        <w:rPr>
          <w:iCs/>
        </w:rPr>
        <w:t xml:space="preserve">Annex 7 to </w:t>
      </w:r>
      <w:r w:rsidRPr="009B011E">
        <w:t xml:space="preserve">Radio Regulations Appendix </w:t>
      </w:r>
      <w:r w:rsidRPr="002C3D97">
        <w:rPr>
          <w:b/>
        </w:rPr>
        <w:t>30</w:t>
      </w:r>
      <w:r w:rsidRPr="00F048B3">
        <w:rPr>
          <w:b/>
          <w:iCs/>
        </w:rPr>
        <w:t xml:space="preserve"> (Rev.WRC-15) </w:t>
      </w:r>
      <w:r w:rsidRPr="00F048B3">
        <w:rPr>
          <w:iCs/>
        </w:rPr>
        <w:t xml:space="preserve">under Resolution </w:t>
      </w:r>
      <w:r w:rsidRPr="00F048B3">
        <w:rPr>
          <w:b/>
          <w:bCs/>
          <w:iCs/>
        </w:rPr>
        <w:t>557 (WRC-15)</w:t>
      </w:r>
      <w:r w:rsidRPr="00F048B3">
        <w:rPr>
          <w:iCs/>
        </w:rPr>
        <w:t xml:space="preserve"> </w:t>
      </w:r>
      <w:r w:rsidRPr="00F048B3">
        <w:rPr>
          <w:iCs/>
          <w:lang w:eastAsia="ko-KR"/>
        </w:rPr>
        <w:t xml:space="preserve">should not impose any constraints on all assignments </w:t>
      </w:r>
      <w:r w:rsidRPr="00F048B3">
        <w:rPr>
          <w:iCs/>
        </w:rPr>
        <w:t xml:space="preserve">for Appendix </w:t>
      </w:r>
      <w:r w:rsidRPr="00F048B3">
        <w:rPr>
          <w:b/>
          <w:bCs/>
          <w:iCs/>
        </w:rPr>
        <w:t>30</w:t>
      </w:r>
      <w:r w:rsidRPr="00F048B3">
        <w:rPr>
          <w:iCs/>
        </w:rPr>
        <w:t xml:space="preserve"> for Region 3</w:t>
      </w:r>
      <w:r w:rsidRPr="00F048B3">
        <w:rPr>
          <w:iCs/>
          <w:lang w:eastAsia="ko-KR"/>
        </w:rPr>
        <w:t>.</w:t>
      </w:r>
    </w:p>
    <w:p w14:paraId="32A41C4B" w14:textId="12686851" w:rsidR="009708F8" w:rsidRDefault="009708F8" w:rsidP="009708F8">
      <w:pPr>
        <w:rPr>
          <w:b/>
          <w:lang w:val="en-NZ" w:eastAsia="ko-KR"/>
        </w:rPr>
      </w:pPr>
      <w:r>
        <w:rPr>
          <w:b/>
          <w:lang w:val="en-NZ" w:eastAsia="ko-KR"/>
        </w:rPr>
        <w:t xml:space="preserve">3.1.6 Singapore </w:t>
      </w:r>
      <w:r w:rsidRPr="00441526">
        <w:t xml:space="preserve">- </w:t>
      </w:r>
      <w:r w:rsidRPr="00441526">
        <w:rPr>
          <w:b/>
          <w:lang w:val="en-NZ" w:eastAsia="ko-KR"/>
        </w:rPr>
        <w:t>Document APG19-</w:t>
      </w:r>
      <w:r w:rsidR="0066379D">
        <w:rPr>
          <w:b/>
          <w:lang w:val="en-NZ" w:eastAsia="ko-KR"/>
        </w:rPr>
        <w:t>4</w:t>
      </w:r>
      <w:r w:rsidRPr="00441526">
        <w:rPr>
          <w:b/>
          <w:lang w:val="en-NZ" w:eastAsia="ko-KR"/>
        </w:rPr>
        <w:t>/</w:t>
      </w:r>
      <w:hyperlink r:id="rId24" w:history="1">
        <w:r w:rsidR="00F0048F" w:rsidRPr="007153E9">
          <w:rPr>
            <w:rStyle w:val="Hyperlink"/>
            <w:rFonts w:eastAsiaTheme="minorEastAsia"/>
            <w:lang w:eastAsia="ja-JP"/>
          </w:rPr>
          <w:t>INP-92</w:t>
        </w:r>
      </w:hyperlink>
    </w:p>
    <w:p w14:paraId="6B521A39" w14:textId="383CE91C" w:rsidR="009708F8" w:rsidRDefault="009708F8" w:rsidP="009708F8">
      <w:pPr>
        <w:rPr>
          <w:b/>
          <w:lang w:val="en-NZ" w:eastAsia="ko-KR"/>
        </w:rPr>
      </w:pPr>
    </w:p>
    <w:p w14:paraId="65B379A9" w14:textId="401512C0" w:rsidR="00D40FC4" w:rsidRDefault="00D40FC4" w:rsidP="00D40FC4">
      <w:pPr>
        <w:widowControl w:val="0"/>
        <w:jc w:val="both"/>
        <w:rPr>
          <w:b/>
          <w:bCs/>
        </w:rPr>
      </w:pPr>
      <w:r>
        <w:t>Singapore is of the view</w:t>
      </w:r>
      <w:r w:rsidRPr="00DF7F96">
        <w:t xml:space="preserve"> that Method C includes </w:t>
      </w:r>
      <w:r>
        <w:t xml:space="preserve">the </w:t>
      </w:r>
      <w:r w:rsidRPr="00DF7F96">
        <w:t>necessary regulatory measures</w:t>
      </w:r>
      <w:r>
        <w:t xml:space="preserve"> to</w:t>
      </w:r>
      <w:r w:rsidRPr="00DF7F96">
        <w:t xml:space="preserve"> </w:t>
      </w:r>
      <w:r>
        <w:t xml:space="preserve">still allow the </w:t>
      </w:r>
      <w:r w:rsidRPr="00DF7F96">
        <w:t xml:space="preserve">expansion of the Region 2 and Region 1 BSS </w:t>
      </w:r>
      <w:r>
        <w:t xml:space="preserve">Networks located within new </w:t>
      </w:r>
      <w:r w:rsidRPr="00DF7F96">
        <w:t>arc</w:t>
      </w:r>
      <w:r>
        <w:t>s following the removal</w:t>
      </w:r>
      <w:r w:rsidRPr="00DF7F96">
        <w:t xml:space="preserve"> </w:t>
      </w:r>
      <w:r>
        <w:t xml:space="preserve">of </w:t>
      </w:r>
      <w:r w:rsidR="007A30CF">
        <w:t>l</w:t>
      </w:r>
      <w:r w:rsidRPr="00DF7F96">
        <w:t>imitation A1a and A2a in Annex 7 of Appendix 30</w:t>
      </w:r>
      <w:r>
        <w:t xml:space="preserve"> and without imposing additional constraints to future FSS networks in line with </w:t>
      </w:r>
      <w:r w:rsidRPr="0080368F">
        <w:t xml:space="preserve">Resolution </w:t>
      </w:r>
      <w:r w:rsidRPr="0080368F">
        <w:rPr>
          <w:b/>
          <w:bCs/>
        </w:rPr>
        <w:t>557 (WRC-15)</w:t>
      </w:r>
      <w:r>
        <w:rPr>
          <w:b/>
          <w:bCs/>
        </w:rPr>
        <w:t>.</w:t>
      </w:r>
    </w:p>
    <w:p w14:paraId="46374616" w14:textId="77777777" w:rsidR="007A30CF" w:rsidRDefault="007A30CF" w:rsidP="007A30CF">
      <w:pPr>
        <w:widowControl w:val="0"/>
        <w:jc w:val="both"/>
      </w:pPr>
    </w:p>
    <w:p w14:paraId="7D133FAF" w14:textId="42D1CE8A" w:rsidR="007A30CF" w:rsidRDefault="007A30CF" w:rsidP="007A30CF">
      <w:pPr>
        <w:widowControl w:val="0"/>
        <w:jc w:val="both"/>
      </w:pPr>
      <w:r>
        <w:t>Singapore invite</w:t>
      </w:r>
      <w:r w:rsidR="000D1084">
        <w:t>s</w:t>
      </w:r>
      <w:r>
        <w:t xml:space="preserve"> APT members to </w:t>
      </w:r>
      <w:r w:rsidRPr="00886881">
        <w:t>consider the deletion of Method B and to support Method C which includes the necessary regulatory measures to take into account concerns of all</w:t>
      </w:r>
      <w:r>
        <w:t xml:space="preserve"> interested parties. </w:t>
      </w:r>
    </w:p>
    <w:p w14:paraId="13C7B669" w14:textId="77777777" w:rsidR="00D40FC4" w:rsidRDefault="00D40FC4" w:rsidP="009708F8">
      <w:pPr>
        <w:rPr>
          <w:b/>
          <w:lang w:val="en-NZ" w:eastAsia="ko-KR"/>
        </w:rPr>
      </w:pPr>
    </w:p>
    <w:p w14:paraId="13798701" w14:textId="77777777" w:rsidR="00D40FC4" w:rsidRDefault="00D40FC4" w:rsidP="009708F8">
      <w:pPr>
        <w:rPr>
          <w:b/>
          <w:lang w:val="en-NZ" w:eastAsia="ko-KR"/>
        </w:rPr>
      </w:pPr>
    </w:p>
    <w:p w14:paraId="443572E1" w14:textId="0811DC5E" w:rsidR="009708F8" w:rsidRDefault="009708F8" w:rsidP="009708F8">
      <w:pPr>
        <w:rPr>
          <w:b/>
          <w:lang w:val="en-NZ" w:eastAsia="ko-KR"/>
        </w:rPr>
      </w:pPr>
      <w:r>
        <w:rPr>
          <w:b/>
          <w:lang w:val="en-NZ" w:eastAsia="ko-KR"/>
        </w:rPr>
        <w:t>3.1.</w:t>
      </w:r>
      <w:r w:rsidR="00FA442C">
        <w:rPr>
          <w:b/>
          <w:lang w:val="en-NZ" w:eastAsia="ko-KR"/>
        </w:rPr>
        <w:t>7</w:t>
      </w:r>
      <w:r>
        <w:rPr>
          <w:b/>
          <w:lang w:val="en-NZ" w:eastAsia="ko-KR"/>
        </w:rPr>
        <w:t xml:space="preserve"> China (Republic of) </w:t>
      </w:r>
      <w:r w:rsidRPr="00441526">
        <w:t xml:space="preserve">- </w:t>
      </w:r>
      <w:r w:rsidRPr="00441526">
        <w:rPr>
          <w:b/>
          <w:lang w:val="en-NZ" w:eastAsia="ko-KR"/>
        </w:rPr>
        <w:t>Document APG19-</w:t>
      </w:r>
      <w:r w:rsidR="0066379D">
        <w:rPr>
          <w:b/>
          <w:lang w:val="en-NZ" w:eastAsia="ko-KR"/>
        </w:rPr>
        <w:t>4</w:t>
      </w:r>
      <w:r w:rsidRPr="00441526">
        <w:rPr>
          <w:b/>
          <w:lang w:val="en-NZ" w:eastAsia="ko-KR"/>
        </w:rPr>
        <w:t>/</w:t>
      </w:r>
      <w:hyperlink r:id="rId25" w:history="1">
        <w:r w:rsidR="00F0048F" w:rsidRPr="007153E9">
          <w:rPr>
            <w:rStyle w:val="Hyperlink"/>
            <w:rFonts w:eastAsiaTheme="minorEastAsia"/>
            <w:lang w:eastAsia="ja-JP"/>
          </w:rPr>
          <w:t>INP-98</w:t>
        </w:r>
      </w:hyperlink>
      <w:r w:rsidR="00F0048F">
        <w:rPr>
          <w:b/>
          <w:lang w:val="en-NZ" w:eastAsia="ko-KR"/>
        </w:rPr>
        <w:t xml:space="preserve"> </w:t>
      </w:r>
    </w:p>
    <w:p w14:paraId="66A0DC6F" w14:textId="77777777" w:rsidR="009708F8" w:rsidRDefault="009708F8" w:rsidP="009708F8">
      <w:pPr>
        <w:rPr>
          <w:b/>
          <w:lang w:val="en-NZ" w:eastAsia="ko-KR"/>
        </w:rPr>
      </w:pPr>
    </w:p>
    <w:p w14:paraId="5F1810C5" w14:textId="602CC5FD" w:rsidR="000E2A48" w:rsidRPr="00D21266" w:rsidRDefault="00D40FC4" w:rsidP="000E2A48">
      <w:pPr>
        <w:rPr>
          <w:b/>
          <w:sz w:val="16"/>
          <w:szCs w:val="16"/>
          <w:lang w:val="en-NZ" w:eastAsia="ko-KR"/>
        </w:rPr>
      </w:pPr>
      <w:r>
        <w:rPr>
          <w:rFonts w:eastAsia="SimSun"/>
          <w:lang w:eastAsia="zh-CN"/>
        </w:rPr>
        <w:t>China</w:t>
      </w:r>
      <w:r w:rsidRPr="009B011E">
        <w:t xml:space="preserve"> is </w:t>
      </w:r>
      <w:r>
        <w:rPr>
          <w:rFonts w:eastAsia="SimSun" w:hint="eastAsia"/>
          <w:lang w:eastAsia="zh-CN"/>
        </w:rPr>
        <w:t xml:space="preserve">of the view that any revisions </w:t>
      </w:r>
      <w:r w:rsidRPr="009B011E">
        <w:t xml:space="preserve">of the limitations of Annex 7 of Radio Regulations Appendix </w:t>
      </w:r>
      <w:r w:rsidRPr="00AE4355">
        <w:t>30</w:t>
      </w:r>
      <w:r w:rsidRPr="00AE4355">
        <w:rPr>
          <w:lang w:val="en-AU"/>
        </w:rPr>
        <w:t xml:space="preserve"> (Rev.WRC-15)</w:t>
      </w:r>
      <w:r w:rsidRPr="0014635A">
        <w:rPr>
          <w:rFonts w:eastAsia="SimSun" w:hint="eastAsia"/>
          <w:lang w:eastAsia="zh-CN"/>
        </w:rPr>
        <w:t xml:space="preserve"> should </w:t>
      </w:r>
      <w:r w:rsidRPr="00E10A93">
        <w:rPr>
          <w:rFonts w:eastAsia="SimSun" w:hint="eastAsia"/>
          <w:lang w:eastAsia="zh-CN"/>
        </w:rPr>
        <w:t>base on</w:t>
      </w:r>
      <w:r w:rsidRPr="009B011E">
        <w:t xml:space="preserve"> rigorous study</w:t>
      </w:r>
      <w:r w:rsidRPr="0014635A">
        <w:rPr>
          <w:rFonts w:eastAsia="SimSun" w:hint="eastAsia"/>
          <w:lang w:eastAsia="zh-CN"/>
        </w:rPr>
        <w:t>,</w:t>
      </w:r>
      <w:r w:rsidRPr="009B011E">
        <w:t xml:space="preserve"> and </w:t>
      </w:r>
      <w:r w:rsidRPr="0014635A">
        <w:rPr>
          <w:rFonts w:eastAsia="SimSun" w:hint="eastAsia"/>
          <w:lang w:eastAsia="zh-CN"/>
        </w:rPr>
        <w:t xml:space="preserve">the protection of current and </w:t>
      </w:r>
      <w:r w:rsidRPr="009B011E">
        <w:t xml:space="preserve">future </w:t>
      </w:r>
      <w:r>
        <w:rPr>
          <w:rFonts w:eastAsia="SimSun"/>
          <w:lang w:eastAsia="zh-CN"/>
        </w:rPr>
        <w:t>B</w:t>
      </w:r>
      <w:r w:rsidRPr="009B011E">
        <w:t>SS/</w:t>
      </w:r>
      <w:r>
        <w:rPr>
          <w:rFonts w:eastAsia="SimSun"/>
          <w:lang w:eastAsia="zh-CN"/>
        </w:rPr>
        <w:t>F</w:t>
      </w:r>
      <w:r w:rsidRPr="009B011E">
        <w:t xml:space="preserve">SS </w:t>
      </w:r>
      <w:r>
        <w:rPr>
          <w:rFonts w:eastAsia="SimSun"/>
          <w:lang w:eastAsia="zh-CN"/>
        </w:rPr>
        <w:t>assignments or satellite networks</w:t>
      </w:r>
      <w:r w:rsidRPr="009B011E">
        <w:t xml:space="preserve"> in the</w:t>
      </w:r>
      <w:r>
        <w:rPr>
          <w:rFonts w:eastAsia="SimSun"/>
          <w:lang w:eastAsia="zh-CN"/>
        </w:rPr>
        <w:t xml:space="preserve"> </w:t>
      </w:r>
      <w:r w:rsidRPr="009B011E">
        <w:t xml:space="preserve">11.7-12.75 GHz frequency band </w:t>
      </w:r>
      <w:r>
        <w:rPr>
          <w:rFonts w:eastAsia="SimSun"/>
          <w:lang w:eastAsia="zh-CN"/>
        </w:rPr>
        <w:t>involved</w:t>
      </w:r>
      <w:r>
        <w:rPr>
          <w:rFonts w:eastAsia="SimSun" w:hint="eastAsia"/>
          <w:lang w:eastAsia="zh-CN"/>
        </w:rPr>
        <w:t xml:space="preserve"> should be ensured</w:t>
      </w:r>
      <w:r w:rsidRPr="009B011E">
        <w:t>.</w:t>
      </w:r>
    </w:p>
    <w:p w14:paraId="394840A4" w14:textId="275B9C04" w:rsidR="000E2A48" w:rsidRDefault="00B4313E" w:rsidP="000E2A48">
      <w:pPr>
        <w:rPr>
          <w:iCs/>
          <w:lang w:eastAsia="ko-KR"/>
        </w:rPr>
      </w:pPr>
      <w:r>
        <w:rPr>
          <w:lang w:eastAsia="ko-KR"/>
        </w:rPr>
        <w:t xml:space="preserve"> </w:t>
      </w:r>
    </w:p>
    <w:p w14:paraId="23E49CB6" w14:textId="77777777" w:rsidR="000E2A48" w:rsidRDefault="000E2A48" w:rsidP="000E2A48">
      <w:pPr>
        <w:rPr>
          <w:iCs/>
          <w:lang w:eastAsia="ko-KR"/>
        </w:rPr>
      </w:pPr>
    </w:p>
    <w:p w14:paraId="145CB063" w14:textId="77777777" w:rsidR="000E2A48" w:rsidRPr="00441526" w:rsidRDefault="000E2A48" w:rsidP="000E2A48">
      <w:pPr>
        <w:rPr>
          <w:lang w:val="en-NZ"/>
        </w:rPr>
      </w:pPr>
    </w:p>
    <w:p w14:paraId="42E77745" w14:textId="77777777" w:rsidR="000E2A48" w:rsidRPr="00441526" w:rsidRDefault="000E2A48" w:rsidP="000E2A48">
      <w:pPr>
        <w:spacing w:after="120"/>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4D75979" w14:textId="77777777" w:rsidR="000E2A48" w:rsidRPr="00A12BCE" w:rsidRDefault="000E2A48" w:rsidP="000E2A48">
      <w:pPr>
        <w:rPr>
          <w:sz w:val="16"/>
          <w:szCs w:val="16"/>
          <w:lang w:val="en-NZ"/>
        </w:rPr>
      </w:pPr>
    </w:p>
    <w:p w14:paraId="14AC8B9E" w14:textId="03A7EE2E" w:rsidR="00230799" w:rsidRPr="00230799" w:rsidRDefault="00230799" w:rsidP="00230799">
      <w:pPr>
        <w:pStyle w:val="ListParagraph"/>
        <w:widowControl w:val="0"/>
        <w:numPr>
          <w:ilvl w:val="0"/>
          <w:numId w:val="39"/>
        </w:numPr>
        <w:autoSpaceDE w:val="0"/>
        <w:autoSpaceDN w:val="0"/>
        <w:adjustRightInd w:val="0"/>
        <w:spacing w:afterLines="50" w:after="120"/>
        <w:jc w:val="both"/>
        <w:rPr>
          <w:rFonts w:eastAsiaTheme="minorEastAsia"/>
          <w:lang w:val="en-AU" w:eastAsia="ja-JP"/>
        </w:rPr>
      </w:pPr>
      <w:r w:rsidRPr="00230799">
        <w:rPr>
          <w:iCs/>
          <w:lang w:eastAsia="ko-KR"/>
        </w:rPr>
        <w:t xml:space="preserve">Japan pointed out that </w:t>
      </w:r>
      <w:r w:rsidRPr="00230799">
        <w:rPr>
          <w:rFonts w:eastAsiaTheme="minorEastAsia"/>
          <w:lang w:eastAsia="ja-JP"/>
        </w:rPr>
        <w:t>both Method B and Method C include a proposal to suppress</w:t>
      </w:r>
      <w:r w:rsidRPr="00230799">
        <w:rPr>
          <w:rFonts w:eastAsiaTheme="minorEastAsia" w:hint="eastAsia"/>
          <w:lang w:eastAsia="ja-JP"/>
        </w:rPr>
        <w:t xml:space="preserve"> </w:t>
      </w:r>
      <w:r w:rsidRPr="00230799">
        <w:rPr>
          <w:rFonts w:eastAsiaTheme="minorEastAsia"/>
          <w:lang w:eastAsia="ja-JP"/>
        </w:rPr>
        <w:t xml:space="preserve">A1a with keeping A1b. However, it should be noted that if only A1b is maintained, Region 1 BSS </w:t>
      </w:r>
      <w:r w:rsidRPr="00230799">
        <w:rPr>
          <w:rFonts w:eastAsiaTheme="minorEastAsia" w:hint="eastAsia"/>
          <w:lang w:eastAsia="ja-JP"/>
        </w:rPr>
        <w:t xml:space="preserve">would be </w:t>
      </w:r>
      <w:r w:rsidRPr="00230799">
        <w:rPr>
          <w:rFonts w:eastAsiaTheme="minorEastAsia"/>
          <w:lang w:eastAsia="ja-JP"/>
        </w:rPr>
        <w:t>prohibited at anywhere further east than 146E, that is, in the 360</w:t>
      </w:r>
      <w:r w:rsidR="00235545">
        <w:rPr>
          <w:rFonts w:eastAsiaTheme="minorEastAsia"/>
          <w:lang w:eastAsia="ja-JP"/>
        </w:rPr>
        <w:t xml:space="preserve"> </w:t>
      </w:r>
      <w:r w:rsidRPr="00230799">
        <w:rPr>
          <w:rFonts w:eastAsiaTheme="minorEastAsia"/>
          <w:lang w:eastAsia="ja-JP"/>
        </w:rPr>
        <w:t>deg</w:t>
      </w:r>
      <w:r w:rsidR="00235545">
        <w:rPr>
          <w:rFonts w:eastAsiaTheme="minorEastAsia"/>
          <w:lang w:eastAsia="ja-JP"/>
        </w:rPr>
        <w:t>ree</w:t>
      </w:r>
      <w:r w:rsidRPr="00230799">
        <w:rPr>
          <w:rFonts w:eastAsiaTheme="minorEastAsia" w:hint="eastAsia"/>
          <w:lang w:eastAsia="ja-JP"/>
        </w:rPr>
        <w:t xml:space="preserve"> </w:t>
      </w:r>
      <w:r w:rsidRPr="00230799">
        <w:rPr>
          <w:rFonts w:eastAsiaTheme="minorEastAsia"/>
          <w:lang w:eastAsia="ja-JP"/>
        </w:rPr>
        <w:t>orbit and Region 1 BSS cannot be located anywhere. The other end matching with A1b need to be specified for defining the prohibit arc. The same comment applies to the</w:t>
      </w:r>
      <w:r w:rsidRPr="00230799">
        <w:rPr>
          <w:rFonts w:eastAsiaTheme="minorEastAsia" w:hint="eastAsia"/>
          <w:lang w:eastAsia="ja-JP"/>
        </w:rPr>
        <w:t xml:space="preserve"> </w:t>
      </w:r>
      <w:r w:rsidRPr="00230799">
        <w:rPr>
          <w:rFonts w:eastAsiaTheme="minorEastAsia"/>
          <w:lang w:eastAsia="ja-JP"/>
        </w:rPr>
        <w:t>suppression of A2a/A2b with keeping A2c.</w:t>
      </w:r>
    </w:p>
    <w:p w14:paraId="530ECA55" w14:textId="7EC0C871" w:rsidR="000E2A48" w:rsidRDefault="003A32A9" w:rsidP="00230799">
      <w:pPr>
        <w:pStyle w:val="ListParagraph"/>
        <w:widowControl w:val="0"/>
        <w:numPr>
          <w:ilvl w:val="0"/>
          <w:numId w:val="39"/>
        </w:numPr>
        <w:autoSpaceDE w:val="0"/>
        <w:autoSpaceDN w:val="0"/>
        <w:adjustRightInd w:val="0"/>
        <w:spacing w:afterLines="50" w:after="120"/>
        <w:jc w:val="both"/>
        <w:rPr>
          <w:lang w:val="en-NZ"/>
        </w:rPr>
      </w:pPr>
      <w:r>
        <w:rPr>
          <w:lang w:val="en-NZ"/>
        </w:rPr>
        <w:t xml:space="preserve">However in the Summary </w:t>
      </w:r>
      <w:r w:rsidR="00296C7A">
        <w:rPr>
          <w:lang w:val="en-NZ"/>
        </w:rPr>
        <w:t xml:space="preserve">and Analysis section of the </w:t>
      </w:r>
      <w:hyperlink r:id="rId26" w:history="1">
        <w:r w:rsidR="00296C7A" w:rsidRPr="00296C7A">
          <w:rPr>
            <w:rStyle w:val="Hyperlink"/>
            <w:lang w:val="en-NZ"/>
          </w:rPr>
          <w:t xml:space="preserve">WP4A </w:t>
        </w:r>
        <w:r w:rsidR="00616747">
          <w:rPr>
            <w:rStyle w:val="Hyperlink"/>
            <w:lang w:val="en-NZ"/>
          </w:rPr>
          <w:t xml:space="preserve">Chairman’s Report Document 4A/826 </w:t>
        </w:r>
        <w:r w:rsidR="00296C7A" w:rsidRPr="00296C7A">
          <w:rPr>
            <w:rStyle w:val="Hyperlink"/>
            <w:lang w:val="en-NZ"/>
          </w:rPr>
          <w:t>Annex 27</w:t>
        </w:r>
      </w:hyperlink>
      <w:r w:rsidR="00296C7A">
        <w:rPr>
          <w:lang w:val="en-NZ"/>
        </w:rPr>
        <w:t xml:space="preserve"> </w:t>
      </w:r>
      <w:r w:rsidR="00616747">
        <w:rPr>
          <w:lang w:val="en-NZ"/>
        </w:rPr>
        <w:t>(</w:t>
      </w:r>
      <w:r w:rsidR="00296C7A">
        <w:rPr>
          <w:lang w:val="en-NZ"/>
        </w:rPr>
        <w:t xml:space="preserve">Draft CPM text for </w:t>
      </w:r>
      <w:r w:rsidR="00616747">
        <w:rPr>
          <w:lang w:val="en-NZ"/>
        </w:rPr>
        <w:t xml:space="preserve">WRC-19 </w:t>
      </w:r>
      <w:r w:rsidR="00296C7A">
        <w:rPr>
          <w:lang w:val="en-NZ"/>
        </w:rPr>
        <w:t>Agenda Item 1.4</w:t>
      </w:r>
      <w:r w:rsidR="00616747">
        <w:rPr>
          <w:lang w:val="en-NZ"/>
        </w:rPr>
        <w:t>)</w:t>
      </w:r>
      <w:r>
        <w:rPr>
          <w:lang w:val="en-NZ"/>
        </w:rPr>
        <w:t>, it is mentioned that the limitations are independent and removal of individual limitations are unrelated. In practice it is necessary to define both ends of the prohibited arc which involves coupling of the limitations.</w:t>
      </w:r>
    </w:p>
    <w:p w14:paraId="403EF4D3" w14:textId="5929368B" w:rsidR="00EC114C" w:rsidRPr="00230799" w:rsidRDefault="00EC114C" w:rsidP="00230799">
      <w:pPr>
        <w:pStyle w:val="ListParagraph"/>
        <w:widowControl w:val="0"/>
        <w:numPr>
          <w:ilvl w:val="0"/>
          <w:numId w:val="39"/>
        </w:numPr>
        <w:autoSpaceDE w:val="0"/>
        <w:autoSpaceDN w:val="0"/>
        <w:adjustRightInd w:val="0"/>
        <w:spacing w:afterLines="50" w:after="120"/>
        <w:jc w:val="both"/>
        <w:rPr>
          <w:lang w:val="en-NZ"/>
        </w:rPr>
      </w:pPr>
      <w:r>
        <w:rPr>
          <w:lang w:val="en-NZ"/>
        </w:rPr>
        <w:t xml:space="preserve">Members are encouraged to </w:t>
      </w:r>
      <w:r w:rsidR="00235545">
        <w:rPr>
          <w:lang w:val="en-NZ"/>
        </w:rPr>
        <w:t>raise</w:t>
      </w:r>
      <w:r>
        <w:rPr>
          <w:lang w:val="en-NZ"/>
        </w:rPr>
        <w:t xml:space="preserve"> this issue </w:t>
      </w:r>
      <w:r w:rsidR="00235545">
        <w:rPr>
          <w:lang w:val="en-NZ"/>
        </w:rPr>
        <w:t xml:space="preserve">at the CPM19-2. </w:t>
      </w:r>
    </w:p>
    <w:p w14:paraId="7974FD6F" w14:textId="77777777" w:rsidR="000E2A48" w:rsidRDefault="000E2A48" w:rsidP="000E2A48">
      <w:pPr>
        <w:pStyle w:val="ListParagraph"/>
        <w:ind w:left="360"/>
        <w:rPr>
          <w:lang w:val="en-NZ"/>
        </w:rPr>
      </w:pPr>
    </w:p>
    <w:p w14:paraId="073873D8" w14:textId="57505CC3" w:rsidR="000E2A48" w:rsidRDefault="000E2A48" w:rsidP="000E2A48">
      <w:pPr>
        <w:rPr>
          <w:b/>
          <w:lang w:val="en-NZ" w:eastAsia="ko-KR"/>
        </w:rPr>
      </w:pPr>
    </w:p>
    <w:p w14:paraId="41038619" w14:textId="48B76B1F" w:rsidR="003A32A9" w:rsidRPr="00441526" w:rsidRDefault="003A32A9" w:rsidP="000E2A48">
      <w:pPr>
        <w:rPr>
          <w:b/>
          <w:lang w:val="en-NZ" w:eastAsia="ko-KR"/>
        </w:rPr>
      </w:pPr>
      <w:r>
        <w:rPr>
          <w:b/>
          <w:lang w:val="en-NZ" w:eastAsia="ko-KR"/>
        </w:rPr>
        <w:t xml:space="preserve">4. </w:t>
      </w:r>
      <w:r w:rsidR="00FA3B85">
        <w:rPr>
          <w:b/>
          <w:lang w:val="en-NZ" w:eastAsia="ko-KR"/>
        </w:rPr>
        <w:tab/>
      </w:r>
      <w:r>
        <w:rPr>
          <w:b/>
          <w:lang w:val="en-NZ" w:eastAsia="ko-KR"/>
        </w:rPr>
        <w:t xml:space="preserve">APT Preliminary Views </w:t>
      </w:r>
    </w:p>
    <w:p w14:paraId="1BC0CF0E" w14:textId="78D4F0AB" w:rsidR="000E2A48" w:rsidRDefault="000E2A48" w:rsidP="000E2A48">
      <w:pPr>
        <w:rPr>
          <w:iCs/>
          <w:lang w:eastAsia="ko-KR"/>
        </w:rPr>
      </w:pPr>
      <w:r w:rsidRPr="005630BD">
        <w:rPr>
          <w:lang w:eastAsia="ko-KR"/>
        </w:rPr>
        <w:t xml:space="preserve">APT </w:t>
      </w:r>
      <w:r>
        <w:rPr>
          <w:lang w:eastAsia="ko-KR"/>
        </w:rPr>
        <w:t>M</w:t>
      </w:r>
      <w:r w:rsidRPr="005630BD">
        <w:rPr>
          <w:lang w:eastAsia="ko-KR"/>
        </w:rPr>
        <w:t>embers are of the</w:t>
      </w:r>
      <w:r w:rsidRPr="005630BD">
        <w:t xml:space="preserve"> view to support ITU-R studies and that any possible revision of the limitations of </w:t>
      </w:r>
      <w:r w:rsidRPr="005630BD">
        <w:rPr>
          <w:iCs/>
        </w:rPr>
        <w:t xml:space="preserve">Annex 7 to </w:t>
      </w:r>
      <w:r w:rsidRPr="005630BD">
        <w:t xml:space="preserve">Radio Regulations Appendix </w:t>
      </w:r>
      <w:r w:rsidRPr="005630BD">
        <w:rPr>
          <w:b/>
        </w:rPr>
        <w:t>30</w:t>
      </w:r>
      <w:r w:rsidRPr="005630BD">
        <w:rPr>
          <w:b/>
          <w:iCs/>
        </w:rPr>
        <w:t xml:space="preserve"> (Rev.WRC-15) </w:t>
      </w:r>
      <w:r w:rsidRPr="005630BD">
        <w:rPr>
          <w:iCs/>
        </w:rPr>
        <w:t xml:space="preserve">under Resolution </w:t>
      </w:r>
      <w:r w:rsidRPr="005630BD">
        <w:rPr>
          <w:b/>
          <w:bCs/>
          <w:iCs/>
        </w:rPr>
        <w:t>557 (WRC-15)</w:t>
      </w:r>
      <w:r w:rsidR="003F78D4">
        <w:rPr>
          <w:iCs/>
        </w:rPr>
        <w:t xml:space="preserve"> should not impose undue</w:t>
      </w:r>
      <w:r w:rsidRPr="005630BD">
        <w:rPr>
          <w:iCs/>
        </w:rPr>
        <w:t xml:space="preserve"> constraints on current and future FSS/BSS usage in the 11.7 – 12.7 GHz frequency band for Region 3</w:t>
      </w:r>
      <w:r w:rsidRPr="005630BD">
        <w:rPr>
          <w:iCs/>
          <w:lang w:eastAsia="ko-KR"/>
        </w:rPr>
        <w:t>.</w:t>
      </w:r>
      <w:r w:rsidR="003A32A9">
        <w:rPr>
          <w:iCs/>
          <w:lang w:eastAsia="ko-KR"/>
        </w:rPr>
        <w:t xml:space="preserve"> </w:t>
      </w:r>
    </w:p>
    <w:p w14:paraId="1C21CA08" w14:textId="77B8EA26" w:rsidR="003A32A9" w:rsidRDefault="003A32A9" w:rsidP="000E2A48">
      <w:pPr>
        <w:rPr>
          <w:iCs/>
          <w:lang w:eastAsia="ko-KR"/>
        </w:rPr>
      </w:pPr>
    </w:p>
    <w:p w14:paraId="0BFBA746" w14:textId="42451B89" w:rsidR="003A32A9" w:rsidRPr="003A32A9" w:rsidRDefault="00FA3B85" w:rsidP="000E2A48">
      <w:pPr>
        <w:rPr>
          <w:b/>
          <w:iCs/>
          <w:lang w:eastAsia="ko-KR"/>
        </w:rPr>
      </w:pPr>
      <w:r>
        <w:rPr>
          <w:b/>
          <w:iCs/>
          <w:lang w:eastAsia="ko-KR"/>
        </w:rPr>
        <w:t>5.</w:t>
      </w:r>
      <w:r>
        <w:rPr>
          <w:b/>
          <w:iCs/>
          <w:lang w:eastAsia="ko-KR"/>
        </w:rPr>
        <w:tab/>
      </w:r>
      <w:r w:rsidR="003A32A9">
        <w:rPr>
          <w:b/>
          <w:iCs/>
          <w:lang w:eastAsia="ko-KR"/>
        </w:rPr>
        <w:t>Other Views</w:t>
      </w:r>
      <w:r>
        <w:rPr>
          <w:b/>
          <w:iCs/>
          <w:lang w:eastAsia="ko-KR"/>
        </w:rPr>
        <w:t xml:space="preserve"> from APT Members</w:t>
      </w:r>
    </w:p>
    <w:p w14:paraId="763626DC" w14:textId="0B814230" w:rsidR="003A32A9" w:rsidRPr="00121FBB" w:rsidRDefault="003A32A9" w:rsidP="000E2A48">
      <w:pPr>
        <w:rPr>
          <w:lang w:eastAsia="ko-KR"/>
        </w:rPr>
      </w:pPr>
      <w:r>
        <w:rPr>
          <w:lang w:eastAsia="ko-KR"/>
        </w:rPr>
        <w:t xml:space="preserve">Some APT Members support method C, other members require the outcome of further studies prior to making a decision. </w:t>
      </w:r>
    </w:p>
    <w:p w14:paraId="3FF80578" w14:textId="77777777" w:rsidR="000E2A48" w:rsidRDefault="000E2A48" w:rsidP="000E2A48">
      <w:pPr>
        <w:rPr>
          <w:lang w:val="en-NZ"/>
        </w:rPr>
      </w:pPr>
    </w:p>
    <w:p w14:paraId="18E5E74D" w14:textId="1CECE192" w:rsidR="000E2A48" w:rsidRPr="00441526" w:rsidRDefault="00FA3B85" w:rsidP="000E2A48">
      <w:pPr>
        <w:spacing w:after="120"/>
        <w:jc w:val="both"/>
        <w:rPr>
          <w:b/>
          <w:lang w:val="en-NZ" w:eastAsia="ko-KR"/>
        </w:rPr>
      </w:pPr>
      <w:r>
        <w:rPr>
          <w:b/>
          <w:lang w:val="en-NZ" w:eastAsia="ko-KR"/>
        </w:rPr>
        <w:t>6</w:t>
      </w:r>
      <w:r w:rsidR="000E2A48" w:rsidRPr="00441526">
        <w:rPr>
          <w:b/>
          <w:lang w:val="en-NZ" w:eastAsia="ko-KR"/>
        </w:rPr>
        <w:t xml:space="preserve">. </w:t>
      </w:r>
      <w:r w:rsidR="000E2A48" w:rsidRPr="00441526">
        <w:rPr>
          <w:b/>
          <w:lang w:val="en-NZ" w:eastAsia="ko-KR"/>
        </w:rPr>
        <w:tab/>
        <w:t>Issues for Consideration at Next APG Meeting</w:t>
      </w:r>
    </w:p>
    <w:p w14:paraId="46E73782" w14:textId="2F25F8C0" w:rsidR="000E2A48" w:rsidRDefault="000E2A48" w:rsidP="000E2A48">
      <w:pPr>
        <w:rPr>
          <w:lang w:val="en-NZ"/>
        </w:rPr>
      </w:pPr>
      <w:r>
        <w:rPr>
          <w:lang w:val="en-NZ"/>
        </w:rPr>
        <w:lastRenderedPageBreak/>
        <w:t>APT members are encouraged to consider technical and regulatory matters and</w:t>
      </w:r>
      <w:r w:rsidR="00FA3B85">
        <w:rPr>
          <w:lang w:val="en-NZ"/>
        </w:rPr>
        <w:t xml:space="preserve"> the further developments of the APT Views and also</w:t>
      </w:r>
      <w:r>
        <w:rPr>
          <w:lang w:val="en-NZ"/>
        </w:rPr>
        <w:t xml:space="preserve"> submit contributions</w:t>
      </w:r>
      <w:r w:rsidR="00FA3B85">
        <w:rPr>
          <w:lang w:val="en-NZ"/>
        </w:rPr>
        <w:t xml:space="preserve"> as necessary</w:t>
      </w:r>
      <w:r>
        <w:rPr>
          <w:lang w:val="en-NZ"/>
        </w:rPr>
        <w:t xml:space="preserve"> to ITU-R WP-4A and the next APG meeting. </w:t>
      </w:r>
    </w:p>
    <w:p w14:paraId="2F495B75" w14:textId="77777777" w:rsidR="000E2A48" w:rsidRDefault="000E2A48" w:rsidP="000E2A48">
      <w:pPr>
        <w:rPr>
          <w:lang w:val="en-NZ"/>
        </w:rPr>
      </w:pPr>
    </w:p>
    <w:p w14:paraId="21FED69B" w14:textId="4B0F16DD" w:rsidR="000E2A48" w:rsidRDefault="00FA3B85" w:rsidP="000E2A48">
      <w:pPr>
        <w:jc w:val="both"/>
        <w:rPr>
          <w:lang w:val="en-NZ"/>
        </w:rPr>
      </w:pPr>
      <w:r>
        <w:rPr>
          <w:b/>
          <w:lang w:val="en-NZ"/>
        </w:rPr>
        <w:t>7</w:t>
      </w:r>
      <w:r w:rsidR="000E2A48" w:rsidRPr="00441526">
        <w:rPr>
          <w:b/>
          <w:lang w:val="en-NZ"/>
        </w:rPr>
        <w:t xml:space="preserve">. </w:t>
      </w:r>
      <w:r w:rsidR="000E2A48" w:rsidRPr="00441526">
        <w:rPr>
          <w:b/>
          <w:lang w:val="en-NZ"/>
        </w:rPr>
        <w:tab/>
        <w:t>Views from Other Organisations</w:t>
      </w:r>
      <w:r w:rsidR="000E2A48">
        <w:rPr>
          <w:b/>
          <w:lang w:val="en-NZ"/>
        </w:rPr>
        <w:t xml:space="preserve"> </w:t>
      </w:r>
      <w:r w:rsidR="000E2A48" w:rsidRPr="006F518F">
        <w:rPr>
          <w:lang w:val="en-NZ"/>
        </w:rPr>
        <w:t xml:space="preserve">(as provided in the information documents to </w:t>
      </w:r>
    </w:p>
    <w:p w14:paraId="487BB2C1" w14:textId="14BAAD7C" w:rsidR="000E2A48" w:rsidRPr="006F518F" w:rsidRDefault="000E2A48" w:rsidP="000E2A48">
      <w:pPr>
        <w:ind w:firstLine="720"/>
        <w:jc w:val="both"/>
        <w:rPr>
          <w:lang w:val="en-NZ"/>
        </w:rPr>
      </w:pPr>
      <w:r w:rsidRPr="006F518F">
        <w:rPr>
          <w:lang w:val="en-NZ"/>
        </w:rPr>
        <w:t>APG1</w:t>
      </w:r>
      <w:r>
        <w:rPr>
          <w:lang w:val="en-NZ"/>
        </w:rPr>
        <w:t>9-</w:t>
      </w:r>
      <w:r w:rsidR="0066379D">
        <w:rPr>
          <w:lang w:val="en-NZ"/>
        </w:rPr>
        <w:t>4</w:t>
      </w:r>
      <w:r>
        <w:rPr>
          <w:lang w:val="en-NZ"/>
        </w:rPr>
        <w:t>)</w:t>
      </w:r>
    </w:p>
    <w:p w14:paraId="4C8563AA" w14:textId="77777777" w:rsidR="000E2A48" w:rsidRPr="001A4CE6" w:rsidRDefault="000E2A48" w:rsidP="000E2A48">
      <w:pPr>
        <w:jc w:val="both"/>
        <w:rPr>
          <w:lang w:val="en-NZ"/>
        </w:rPr>
      </w:pPr>
    </w:p>
    <w:p w14:paraId="262D63B5" w14:textId="1EEB2759" w:rsidR="00616747" w:rsidRPr="00441526" w:rsidRDefault="00616747" w:rsidP="00616747">
      <w:pPr>
        <w:spacing w:after="120"/>
        <w:jc w:val="both"/>
        <w:rPr>
          <w:b/>
          <w:lang w:val="en-NZ" w:eastAsia="ko-KR"/>
        </w:rPr>
      </w:pPr>
      <w:r>
        <w:rPr>
          <w:b/>
          <w:lang w:val="en-NZ" w:eastAsia="ko-KR"/>
        </w:rPr>
        <w:t>7.1.</w:t>
      </w:r>
      <w:r w:rsidRPr="00441526">
        <w:rPr>
          <w:b/>
          <w:lang w:val="en-NZ" w:eastAsia="ko-KR"/>
        </w:rPr>
        <w:tab/>
      </w:r>
      <w:r>
        <w:rPr>
          <w:b/>
          <w:lang w:val="en-NZ" w:eastAsia="ko-KR"/>
        </w:rPr>
        <w:t>Regional Groups</w:t>
      </w:r>
    </w:p>
    <w:p w14:paraId="5F0DEA11" w14:textId="08337BB4" w:rsidR="009212DA" w:rsidRPr="00DD0640" w:rsidRDefault="00FA3B85" w:rsidP="009212DA">
      <w:r>
        <w:rPr>
          <w:b/>
          <w:lang w:val="en-NZ"/>
        </w:rPr>
        <w:t>7</w:t>
      </w:r>
      <w:r w:rsidR="000E2A48" w:rsidRPr="001A4CE6">
        <w:rPr>
          <w:b/>
          <w:lang w:val="en-NZ"/>
        </w:rPr>
        <w:t>.1</w:t>
      </w:r>
      <w:r w:rsidR="00CF6B42">
        <w:rPr>
          <w:b/>
          <w:lang w:val="en-NZ"/>
        </w:rPr>
        <w:t>.1</w:t>
      </w:r>
      <w:r w:rsidR="000E2A48" w:rsidRPr="001A4CE6">
        <w:rPr>
          <w:lang w:val="en-NZ"/>
        </w:rPr>
        <w:tab/>
      </w:r>
      <w:r w:rsidR="009212DA">
        <w:rPr>
          <w:b/>
        </w:rPr>
        <w:t xml:space="preserve">CITEL </w:t>
      </w:r>
      <w:r w:rsidR="009212DA" w:rsidRPr="00E6142F">
        <w:rPr>
          <w:b/>
        </w:rPr>
        <w:t xml:space="preserve">- </w:t>
      </w:r>
      <w:r w:rsidR="009212DA" w:rsidRPr="00495675">
        <w:rPr>
          <w:b/>
          <w:lang w:val="en-NZ"/>
        </w:rPr>
        <w:t>APG19-</w:t>
      </w:r>
      <w:r w:rsidR="009212DA">
        <w:rPr>
          <w:b/>
          <w:lang w:val="en-NZ"/>
        </w:rPr>
        <w:t>4</w:t>
      </w:r>
      <w:r w:rsidR="009212DA" w:rsidRPr="00495675">
        <w:rPr>
          <w:b/>
          <w:lang w:val="en-NZ"/>
        </w:rPr>
        <w:t>/</w:t>
      </w:r>
      <w:hyperlink r:id="rId27" w:history="1">
        <w:r w:rsidR="009212DA" w:rsidRPr="00BB20DE">
          <w:rPr>
            <w:rStyle w:val="Hyperlink"/>
            <w:lang w:val="en-GB"/>
          </w:rPr>
          <w:t>INF-22</w:t>
        </w:r>
      </w:hyperlink>
    </w:p>
    <w:p w14:paraId="43B27901" w14:textId="3569E32A" w:rsidR="00314CEB" w:rsidRPr="00314CEB" w:rsidRDefault="00314CEB" w:rsidP="00314CEB">
      <w:pPr>
        <w:pStyle w:val="NormalWeb"/>
        <w:rPr>
          <w:rFonts w:eastAsia="BatangChe"/>
          <w:lang w:val="en-NZ"/>
        </w:rPr>
      </w:pPr>
      <w:r w:rsidRPr="00314CEB">
        <w:rPr>
          <w:rFonts w:eastAsia="BatangChe"/>
          <w:lang w:val="en-NZ"/>
        </w:rPr>
        <w:t xml:space="preserve">DIAP based on Method C deleting some of the orbital separation limitations in section A. No changes are proposed to section B. Regions 1 and 2 BSS test points are used instead of the service area definition for the coordination with FSS through a new Resolution. A new Resolution would also protect BSS networks with antenna diameter that are less than 60 cm with a PFD mask. </w:t>
      </w:r>
    </w:p>
    <w:p w14:paraId="00BCD60A" w14:textId="14B315CE" w:rsidR="000E2A48" w:rsidRDefault="00FA3B85" w:rsidP="000E2A48">
      <w:r>
        <w:rPr>
          <w:b/>
        </w:rPr>
        <w:t>7</w:t>
      </w:r>
      <w:r w:rsidR="000E2A48" w:rsidRPr="004E15DF">
        <w:rPr>
          <w:b/>
        </w:rPr>
        <w:t>.</w:t>
      </w:r>
      <w:r w:rsidR="00CF6B42">
        <w:rPr>
          <w:b/>
        </w:rPr>
        <w:t>1.2</w:t>
      </w:r>
      <w:r w:rsidR="000E2A48" w:rsidRPr="008B3AE6">
        <w:tab/>
      </w:r>
      <w:r w:rsidR="000E2A48" w:rsidRPr="00F717AB">
        <w:rPr>
          <w:b/>
        </w:rPr>
        <w:t>CEPT</w:t>
      </w:r>
      <w:r w:rsidR="000E2A48">
        <w:rPr>
          <w:b/>
        </w:rPr>
        <w:t xml:space="preserve"> </w:t>
      </w:r>
      <w:r w:rsidR="000E2A48" w:rsidRPr="00E6142F">
        <w:rPr>
          <w:b/>
        </w:rPr>
        <w:t xml:space="preserve">- </w:t>
      </w:r>
      <w:r w:rsidR="000E2A48" w:rsidRPr="00495675">
        <w:rPr>
          <w:b/>
          <w:lang w:val="en-NZ"/>
        </w:rPr>
        <w:t>APG19-</w:t>
      </w:r>
      <w:r w:rsidR="0066379D">
        <w:rPr>
          <w:b/>
          <w:lang w:val="en-NZ"/>
        </w:rPr>
        <w:t>4</w:t>
      </w:r>
      <w:r w:rsidR="000E2A48" w:rsidRPr="00495675">
        <w:rPr>
          <w:b/>
          <w:lang w:val="en-NZ"/>
        </w:rPr>
        <w:t>/</w:t>
      </w:r>
      <w:hyperlink r:id="rId28" w:history="1">
        <w:r w:rsidR="0066379D" w:rsidRPr="00BB20DE">
          <w:rPr>
            <w:rStyle w:val="Hyperlink"/>
            <w:lang w:val="en-GB"/>
          </w:rPr>
          <w:t>INF-23</w:t>
        </w:r>
      </w:hyperlink>
    </w:p>
    <w:p w14:paraId="01955019" w14:textId="2D076D7B" w:rsidR="000E2A48" w:rsidRDefault="000E2A48" w:rsidP="009212DA">
      <w:pPr>
        <w:ind w:right="-270"/>
      </w:pPr>
    </w:p>
    <w:p w14:paraId="2A85D0DE" w14:textId="77777777" w:rsidR="00314CEB" w:rsidRDefault="00314CEB" w:rsidP="00314CEB">
      <w:pPr>
        <w:ind w:right="-270"/>
      </w:pPr>
      <w:r>
        <w:t>CEPT does not support method A (No Change) of the draft CPM text.</w:t>
      </w:r>
    </w:p>
    <w:p w14:paraId="10FFD756" w14:textId="791BBA0F" w:rsidR="00314CEB" w:rsidRDefault="00314CEB" w:rsidP="00314CEB">
      <w:pPr>
        <w:ind w:right="-270"/>
      </w:pPr>
      <w:r>
        <w:t>CEPT still continues discussing methods B and C, that only differ on the limitations A1a and A2a.</w:t>
      </w:r>
    </w:p>
    <w:p w14:paraId="0F04AC0F" w14:textId="77777777" w:rsidR="004746E8" w:rsidRDefault="004746E8" w:rsidP="004746E8">
      <w:pPr>
        <w:ind w:right="-270"/>
      </w:pPr>
      <w:r>
        <w:t>CEPT supports the deletions of the limitations:</w:t>
      </w:r>
    </w:p>
    <w:p w14:paraId="414971B3" w14:textId="77777777" w:rsidR="004746E8" w:rsidRDefault="004746E8" w:rsidP="004746E8">
      <w:pPr>
        <w:ind w:right="-270"/>
      </w:pPr>
      <w:r>
        <w:t>• Limitation A1a (No assignments in the Region 1 List further west than 37.2°W)</w:t>
      </w:r>
    </w:p>
    <w:p w14:paraId="399BA6FC" w14:textId="77777777" w:rsidR="004746E8" w:rsidRDefault="004746E8" w:rsidP="004746E8">
      <w:pPr>
        <w:ind w:right="-270"/>
      </w:pPr>
      <w:r>
        <w:t>• Limitation A2a (No modification in the Region 2 Plan further east than 54°W)</w:t>
      </w:r>
    </w:p>
    <w:p w14:paraId="37BDDADE" w14:textId="7EA425BA" w:rsidR="004746E8" w:rsidRDefault="004746E8" w:rsidP="004746E8">
      <w:pPr>
        <w:ind w:right="-270"/>
      </w:pPr>
      <w:r>
        <w:t>CEPT is still considering whether these limitations can be suppressed without any additional regulatory measure (method B of draft CPM text) or if new additional measures, including a new Resolution to not limit future deployment of Region 1 and Region 2 FSS with respect to new BSS assignments (method C of draft CPM text), are necessary.</w:t>
      </w:r>
    </w:p>
    <w:p w14:paraId="19D1CE35" w14:textId="77777777" w:rsidR="004746E8" w:rsidRDefault="004746E8" w:rsidP="004746E8">
      <w:pPr>
        <w:ind w:right="-270"/>
      </w:pPr>
      <w:r>
        <w:t>CEPT also supports the deletions of the limitations:</w:t>
      </w:r>
    </w:p>
    <w:p w14:paraId="20E08034" w14:textId="77777777" w:rsidR="004746E8" w:rsidRDefault="004746E8" w:rsidP="004746E8">
      <w:pPr>
        <w:ind w:right="-270"/>
      </w:pPr>
      <w:r>
        <w:t>• Limitation A2b (No modification in the Region 2 Plan further east than 44°W)</w:t>
      </w:r>
    </w:p>
    <w:p w14:paraId="5FA3002A" w14:textId="77777777" w:rsidR="004746E8" w:rsidRDefault="004746E8" w:rsidP="004746E8">
      <w:pPr>
        <w:ind w:right="-270"/>
      </w:pPr>
      <w:r>
        <w:t>• Limitation A3b (Maximum e.i.r.p. of 56 dBW for assignments in the Regions 1 &amp; 3 List at specific allowable portions of the orbital arc between 37.2°W and 10°E specified in Table 1 of Annex 7 to Appendix 30)</w:t>
      </w:r>
    </w:p>
    <w:p w14:paraId="0B4A2AB8" w14:textId="77777777" w:rsidR="004746E8" w:rsidRDefault="004746E8" w:rsidP="004746E8">
      <w:pPr>
        <w:ind w:right="-270"/>
      </w:pPr>
      <w:r>
        <w:t>• Limitation A3c (Maximum power flux density of -138 dB(W/(m2·27 MHz)) at any point in Region 2 by assignments in the Regions 1 &amp; 3 List located at 4°W and 9°E)</w:t>
      </w:r>
    </w:p>
    <w:p w14:paraId="7A4859D6" w14:textId="333DA1B2" w:rsidR="004746E8" w:rsidRDefault="004746E8" w:rsidP="004746E8">
      <w:pPr>
        <w:ind w:right="-270"/>
      </w:pPr>
      <w:r>
        <w:t>• Limitation A3a (No assignments in the Regions 1 &amp; 3 List outside specific allowable portions of the orbital arc between 37.2°W and 10°E specified in Table 1 of Annex 7 to Appendix 30)</w:t>
      </w:r>
    </w:p>
    <w:p w14:paraId="5E70F50A" w14:textId="2E75767F" w:rsidR="000636A2" w:rsidRDefault="000636A2" w:rsidP="004746E8">
      <w:pPr>
        <w:ind w:right="-270"/>
      </w:pPr>
    </w:p>
    <w:p w14:paraId="1C36A469" w14:textId="77777777" w:rsidR="000636A2" w:rsidRDefault="000636A2" w:rsidP="000636A2">
      <w:pPr>
        <w:ind w:right="-270"/>
      </w:pPr>
      <w:r>
        <w:t>Regarding the A3a limitation, CEPT considers that the protection of the BSS satellite networks implemented in accordance with the current provisions of Annex 7 to Appendix 30 (which includes antennas smaller than 60 cm in the allowable portions of the orbital arc), must be guaranteed. To achieve it, CEPT supports the solution which proposes that in the examination to determine if these implemented satellite networks will be affected by new Region 1 and 3 BSS satellite networks from some specific orbital locations, only the EPM criteria will be applied and the pfd mask criteria will not be considered. This solution implies the deletion of this limitation and the incorporation of a new Res.</w:t>
      </w:r>
    </w:p>
    <w:p w14:paraId="774E1FA4" w14:textId="77777777" w:rsidR="000636A2" w:rsidRDefault="000636A2" w:rsidP="000636A2">
      <w:pPr>
        <w:ind w:right="-270"/>
      </w:pPr>
      <w:r>
        <w:t>CEPT supports the retentions of the limitations:</w:t>
      </w:r>
    </w:p>
    <w:p w14:paraId="0B20CC12" w14:textId="77777777" w:rsidR="000636A2" w:rsidRDefault="000636A2" w:rsidP="000636A2">
      <w:pPr>
        <w:ind w:right="-270"/>
      </w:pPr>
      <w:r>
        <w:t>• Limitation A2c (No modification in the Region 2 Plan further west than 175.2°W)</w:t>
      </w:r>
    </w:p>
    <w:p w14:paraId="6B4FB542" w14:textId="5F11B18A" w:rsidR="000636A2" w:rsidRDefault="000636A2" w:rsidP="000636A2">
      <w:pPr>
        <w:ind w:right="-270"/>
      </w:pPr>
      <w:r>
        <w:t>• Limitation A1b (No assignments in the Region 1 List further east than 146°E)</w:t>
      </w:r>
    </w:p>
    <w:p w14:paraId="44D4E083" w14:textId="35B5D237" w:rsidR="000636A2" w:rsidRDefault="000636A2" w:rsidP="000636A2">
      <w:pPr>
        <w:ind w:right="-270"/>
      </w:pPr>
    </w:p>
    <w:p w14:paraId="2F34BF45" w14:textId="77777777" w:rsidR="000636A2" w:rsidRDefault="000636A2" w:rsidP="000636A2">
      <w:pPr>
        <w:ind w:right="-270"/>
      </w:pPr>
      <w:r>
        <w:lastRenderedPageBreak/>
        <w:t>CEPT is of the view that Limitation B deals with the grouping concept of space stations in the Region 2 Plan and therefore decisions over this limitation are out of the scope of CEPT.</w:t>
      </w:r>
    </w:p>
    <w:p w14:paraId="159A7FD4" w14:textId="77777777" w:rsidR="000636A2" w:rsidRDefault="000636A2" w:rsidP="000636A2">
      <w:pPr>
        <w:ind w:right="-270"/>
      </w:pPr>
      <w:r>
        <w:t>In addition, after the removal of the relevant limitations described above, CEPT supports the application of a new Resolution that would give 90 days priority to submit new satellite networks to those Administrations with national assignments in the Regions 1 and 3 Plan with equivalent downlink protection margin values equal or below -10 dB.</w:t>
      </w:r>
    </w:p>
    <w:p w14:paraId="1B4E4C8B" w14:textId="63269F9C" w:rsidR="000636A2" w:rsidRDefault="000636A2" w:rsidP="000636A2">
      <w:pPr>
        <w:ind w:right="-270"/>
      </w:pPr>
      <w:r>
        <w:t>CEPT supports to apply as of 23 November 2019 the modifications to Annex 7 of Appendix 30, to this effect, a revision of Article 59 and a draft new Resolution are proposed.</w:t>
      </w:r>
    </w:p>
    <w:p w14:paraId="3FFB76C0" w14:textId="77777777" w:rsidR="00314CEB" w:rsidRPr="00DD0640" w:rsidRDefault="00314CEB" w:rsidP="009212DA">
      <w:pPr>
        <w:ind w:right="-270"/>
      </w:pPr>
    </w:p>
    <w:p w14:paraId="2C773599" w14:textId="14450F45" w:rsidR="000E2A48" w:rsidRPr="009212DA" w:rsidRDefault="00FA3B85" w:rsidP="000E2A48">
      <w:r>
        <w:rPr>
          <w:b/>
        </w:rPr>
        <w:t>7</w:t>
      </w:r>
      <w:r w:rsidR="000E2A48" w:rsidRPr="004E15DF">
        <w:rPr>
          <w:b/>
        </w:rPr>
        <w:t>.</w:t>
      </w:r>
      <w:r w:rsidR="00CF6B42">
        <w:rPr>
          <w:b/>
        </w:rPr>
        <w:t>1.3</w:t>
      </w:r>
      <w:r w:rsidR="000E2A48" w:rsidRPr="008B3AE6">
        <w:tab/>
      </w:r>
      <w:r w:rsidR="000E2A48">
        <w:rPr>
          <w:b/>
        </w:rPr>
        <w:t>RCC</w:t>
      </w:r>
      <w:r w:rsidR="0066379D">
        <w:rPr>
          <w:b/>
        </w:rPr>
        <w:t xml:space="preserve"> </w:t>
      </w:r>
      <w:r w:rsidR="0066379D" w:rsidRPr="00E6142F">
        <w:rPr>
          <w:b/>
        </w:rPr>
        <w:t xml:space="preserve">- </w:t>
      </w:r>
      <w:r w:rsidR="0066379D" w:rsidRPr="00495675">
        <w:rPr>
          <w:b/>
          <w:lang w:val="en-NZ"/>
        </w:rPr>
        <w:t>APG19-</w:t>
      </w:r>
      <w:r w:rsidR="0066379D">
        <w:rPr>
          <w:b/>
          <w:lang w:val="en-NZ"/>
        </w:rPr>
        <w:t>4</w:t>
      </w:r>
      <w:r w:rsidR="0066379D" w:rsidRPr="00495675">
        <w:rPr>
          <w:b/>
          <w:lang w:val="en-NZ"/>
        </w:rPr>
        <w:t>/</w:t>
      </w:r>
      <w:hyperlink r:id="rId29" w:history="1">
        <w:r w:rsidR="0066379D" w:rsidRPr="00BB20DE">
          <w:rPr>
            <w:rStyle w:val="Hyperlink"/>
            <w:lang w:val="en-GB"/>
          </w:rPr>
          <w:t>INF-24</w:t>
        </w:r>
      </w:hyperlink>
    </w:p>
    <w:p w14:paraId="7450069F" w14:textId="77777777" w:rsidR="000E2A48" w:rsidRPr="00D21266" w:rsidRDefault="000E2A48" w:rsidP="000E2A48">
      <w:pPr>
        <w:rPr>
          <w:sz w:val="16"/>
          <w:szCs w:val="16"/>
        </w:rPr>
      </w:pPr>
    </w:p>
    <w:p w14:paraId="53E866C4" w14:textId="51A4E154" w:rsidR="00314CEB" w:rsidRPr="00314CEB" w:rsidRDefault="00314CEB" w:rsidP="00314CEB">
      <w:pPr>
        <w:rPr>
          <w:lang w:val="en-NZ"/>
        </w:rPr>
      </w:pPr>
      <w:r w:rsidRPr="00314CEB">
        <w:rPr>
          <w:lang w:val="en-NZ"/>
        </w:rPr>
        <w:t>The RCC Administrations do not oppose the deletion of the following</w:t>
      </w:r>
      <w:r w:rsidR="00563EB5">
        <w:rPr>
          <w:lang w:val="en-NZ"/>
        </w:rPr>
        <w:t xml:space="preserve"> </w:t>
      </w:r>
      <w:r w:rsidRPr="00314CEB">
        <w:rPr>
          <w:lang w:val="en-NZ"/>
        </w:rPr>
        <w:t>limitations (Atlantic Region):</w:t>
      </w:r>
    </w:p>
    <w:p w14:paraId="4C8483F6" w14:textId="717220B9" w:rsidR="00314CEB" w:rsidRPr="00314CEB" w:rsidRDefault="00314CEB" w:rsidP="00563EB5">
      <w:pPr>
        <w:ind w:left="720"/>
        <w:rPr>
          <w:lang w:val="en-NZ"/>
        </w:rPr>
      </w:pPr>
      <w:r w:rsidRPr="00314CEB">
        <w:rPr>
          <w:lang w:val="en-NZ"/>
        </w:rPr>
        <w:t>• Limitation A1a (No assignments in the Region 1 List in the</w:t>
      </w:r>
      <w:r w:rsidR="00563EB5">
        <w:rPr>
          <w:lang w:val="en-NZ"/>
        </w:rPr>
        <w:t xml:space="preserve"> </w:t>
      </w:r>
      <w:r w:rsidRPr="00314CEB">
        <w:rPr>
          <w:lang w:val="en-NZ"/>
        </w:rPr>
        <w:t>frequency band 11.7-12.2 GHz further west than 37.2°W);</w:t>
      </w:r>
    </w:p>
    <w:p w14:paraId="036C14CB" w14:textId="36543D04" w:rsidR="00314CEB" w:rsidRPr="00314CEB" w:rsidRDefault="00314CEB" w:rsidP="00563EB5">
      <w:pPr>
        <w:ind w:left="720"/>
        <w:rPr>
          <w:lang w:val="en-NZ"/>
        </w:rPr>
      </w:pPr>
      <w:r w:rsidRPr="00314CEB">
        <w:rPr>
          <w:lang w:val="en-NZ"/>
        </w:rPr>
        <w:t>• Limitation A2a (No modification in the Region 2 Plan in the</w:t>
      </w:r>
      <w:r w:rsidR="00563EB5">
        <w:rPr>
          <w:lang w:val="en-NZ"/>
        </w:rPr>
        <w:t xml:space="preserve"> </w:t>
      </w:r>
      <w:r w:rsidRPr="00314CEB">
        <w:rPr>
          <w:lang w:val="en-NZ"/>
        </w:rPr>
        <w:t>frequency band 12.5-12.7 GHz further east than 54°W);</w:t>
      </w:r>
    </w:p>
    <w:p w14:paraId="44643120" w14:textId="4756EC16" w:rsidR="00314CEB" w:rsidRDefault="00314CEB" w:rsidP="00563EB5">
      <w:pPr>
        <w:ind w:left="720"/>
        <w:rPr>
          <w:lang w:val="en-NZ"/>
        </w:rPr>
      </w:pPr>
      <w:r w:rsidRPr="00314CEB">
        <w:rPr>
          <w:lang w:val="en-NZ"/>
        </w:rPr>
        <w:t>• Limitation A2b (No modification in the Region 2 Plan in the</w:t>
      </w:r>
      <w:r w:rsidR="00563EB5">
        <w:rPr>
          <w:lang w:val="en-NZ"/>
        </w:rPr>
        <w:t xml:space="preserve"> </w:t>
      </w:r>
      <w:r w:rsidRPr="00314CEB">
        <w:rPr>
          <w:lang w:val="en-NZ"/>
        </w:rPr>
        <w:t>frequency band 12.2-12.5 GHz further east than 44°W).</w:t>
      </w:r>
    </w:p>
    <w:p w14:paraId="6CABE37A" w14:textId="77777777" w:rsidR="00563EB5" w:rsidRPr="00314CEB" w:rsidRDefault="00563EB5" w:rsidP="00314CEB">
      <w:pPr>
        <w:rPr>
          <w:lang w:val="en-NZ"/>
        </w:rPr>
      </w:pPr>
    </w:p>
    <w:p w14:paraId="52BD66C6" w14:textId="2387CECD" w:rsidR="00314CEB" w:rsidRPr="00314CEB" w:rsidRDefault="00314CEB" w:rsidP="00314CEB">
      <w:pPr>
        <w:rPr>
          <w:lang w:val="en-NZ"/>
        </w:rPr>
      </w:pPr>
      <w:r w:rsidRPr="00314CEB">
        <w:rPr>
          <w:lang w:val="en-NZ"/>
        </w:rPr>
        <w:t>The RCC Administrations do not oppose maintaining the following limitation (Pacific Region):</w:t>
      </w:r>
    </w:p>
    <w:p w14:paraId="471CA514" w14:textId="77777777" w:rsidR="00314CEB" w:rsidRPr="00314CEB" w:rsidRDefault="00314CEB" w:rsidP="00563EB5">
      <w:pPr>
        <w:ind w:left="720"/>
        <w:rPr>
          <w:lang w:val="en-NZ"/>
        </w:rPr>
      </w:pPr>
      <w:r w:rsidRPr="00314CEB">
        <w:rPr>
          <w:lang w:val="en-NZ"/>
        </w:rPr>
        <w:t>• Limitation A1b (No assignments in the Region 1 List in the frequency band 11.7-12.2 GHz further east than 146°E).</w:t>
      </w:r>
    </w:p>
    <w:p w14:paraId="0E69654A" w14:textId="4BAE9DFA" w:rsidR="00314CEB" w:rsidRPr="00314CEB" w:rsidRDefault="00314CEB" w:rsidP="00563EB5">
      <w:pPr>
        <w:ind w:left="720"/>
        <w:rPr>
          <w:lang w:val="en-NZ"/>
        </w:rPr>
      </w:pPr>
      <w:r w:rsidRPr="00314CEB">
        <w:rPr>
          <w:lang w:val="en-NZ"/>
        </w:rPr>
        <w:t>The RCC Administrations do not oppose the deletion of the following limitations:</w:t>
      </w:r>
    </w:p>
    <w:p w14:paraId="7C5F8BC4" w14:textId="77777777" w:rsidR="00314CEB" w:rsidRPr="00314CEB" w:rsidRDefault="00314CEB" w:rsidP="00563EB5">
      <w:pPr>
        <w:ind w:left="720"/>
        <w:rPr>
          <w:lang w:val="en-NZ"/>
        </w:rPr>
      </w:pPr>
      <w:r w:rsidRPr="00314CEB">
        <w:rPr>
          <w:lang w:val="en-NZ"/>
        </w:rPr>
        <w:t>• Limitation А3а (No assignments in the Region 1 &amp; 3 List outside specific allowable portions of the orbital arc between 37.2°W and 10°E) provided the existing protection criteria from Annex 1 to RR Appendix 30 are maintained for implemented frequency assignments with an antenna diameter of 40 and 45 cm;</w:t>
      </w:r>
    </w:p>
    <w:p w14:paraId="7881CDC5" w14:textId="77777777" w:rsidR="00314CEB" w:rsidRPr="00314CEB" w:rsidRDefault="00314CEB" w:rsidP="00563EB5">
      <w:pPr>
        <w:ind w:left="720"/>
        <w:rPr>
          <w:lang w:val="en-NZ"/>
        </w:rPr>
      </w:pPr>
      <w:r w:rsidRPr="00314CEB">
        <w:rPr>
          <w:lang w:val="en-NZ"/>
        </w:rPr>
        <w:t>• Limitation A3b (Max. e.i.r.p. of 56 dBW for assignments in the Regions 1 &amp; 3 List at specific allowable portions of the orbital arc between 37.2°W and 10°E),</w:t>
      </w:r>
    </w:p>
    <w:p w14:paraId="26BFEA3E" w14:textId="77777777" w:rsidR="00314CEB" w:rsidRPr="00314CEB" w:rsidRDefault="00314CEB" w:rsidP="00563EB5">
      <w:pPr>
        <w:ind w:left="720"/>
        <w:rPr>
          <w:lang w:val="en-NZ"/>
        </w:rPr>
      </w:pPr>
      <w:r w:rsidRPr="00314CEB">
        <w:rPr>
          <w:lang w:val="en-NZ"/>
        </w:rPr>
        <w:t>• Limitation A3c (Max. power flux density of -138 dB(W/(m2∙27 MHz)) at any point in Region 2 by assignments in List located at 4°W and 9°E),</w:t>
      </w:r>
    </w:p>
    <w:p w14:paraId="2B8A00C0" w14:textId="04EF59D0" w:rsidR="00314CEB" w:rsidRPr="00314CEB" w:rsidRDefault="00314CEB" w:rsidP="00314CEB">
      <w:pPr>
        <w:rPr>
          <w:lang w:val="en-NZ"/>
        </w:rPr>
      </w:pPr>
      <w:r w:rsidRPr="00314CEB">
        <w:rPr>
          <w:lang w:val="en-NZ"/>
        </w:rPr>
        <w:t>The RCC Administrations support maintaining the following limitation (Pacific Region):</w:t>
      </w:r>
    </w:p>
    <w:p w14:paraId="35EEAFC8" w14:textId="16DE6861" w:rsidR="00314CEB" w:rsidRPr="00314CEB" w:rsidRDefault="00314CEB" w:rsidP="00563EB5">
      <w:pPr>
        <w:ind w:left="720"/>
        <w:rPr>
          <w:lang w:val="en-NZ"/>
        </w:rPr>
      </w:pPr>
      <w:r w:rsidRPr="00314CEB">
        <w:rPr>
          <w:lang w:val="en-NZ"/>
        </w:rPr>
        <w:t>• Limitation A2c (No modification in the Region 2 Plan in the frequency band 12.2-12.7 GHz further west than 175.2°W).</w:t>
      </w:r>
    </w:p>
    <w:p w14:paraId="7446B863" w14:textId="3375BE67" w:rsidR="00314CEB" w:rsidRPr="00314CEB" w:rsidRDefault="00314CEB" w:rsidP="00314CEB">
      <w:pPr>
        <w:rPr>
          <w:lang w:val="en-NZ"/>
        </w:rPr>
      </w:pPr>
      <w:r w:rsidRPr="00314CEB">
        <w:rPr>
          <w:lang w:val="en-NZ"/>
        </w:rPr>
        <w:t>The RCC Administrations do not oppose maintaining the limitation B associated with the concept of the space stations grouping which the Region 2 Plan is based on.</w:t>
      </w:r>
    </w:p>
    <w:p w14:paraId="581C9211" w14:textId="47165181" w:rsidR="00314CEB" w:rsidRPr="00314CEB" w:rsidRDefault="00314CEB" w:rsidP="00314CEB">
      <w:pPr>
        <w:rPr>
          <w:lang w:val="en-NZ"/>
        </w:rPr>
      </w:pPr>
      <w:r w:rsidRPr="00314CEB">
        <w:rPr>
          <w:lang w:val="en-NZ"/>
        </w:rPr>
        <w:t>In case of deletion of appropriate limitations, the RCC Administrations support the application of the specific procedure (see AI 1.4, CPM Report Chapter 3) during a limited period of time within which the priority right to submit applications for new orbital positions is provided to the administrations of Regions 1 &amp; 3, national assignments of which have a negative equivalent protection margin on the downlink.</w:t>
      </w:r>
    </w:p>
    <w:p w14:paraId="54340095" w14:textId="775AEA69" w:rsidR="000E2A48" w:rsidRDefault="00314CEB" w:rsidP="00314CEB">
      <w:pPr>
        <w:rPr>
          <w:lang w:val="en-NZ"/>
        </w:rPr>
      </w:pPr>
      <w:r w:rsidRPr="00314CEB">
        <w:rPr>
          <w:lang w:val="en-NZ"/>
        </w:rPr>
        <w:t>The RCC Administrations consider that the proposals on revisions of criteria and provisions of Appendix 30 (Rev. WRC-15), other than of Annex 7, are beyond the scope of the studies in accordance with Resolution 557 (WRC-15).</w:t>
      </w:r>
    </w:p>
    <w:p w14:paraId="443918C9" w14:textId="77777777" w:rsidR="00314CEB" w:rsidRPr="00441526" w:rsidRDefault="00314CEB" w:rsidP="000E2A48">
      <w:pPr>
        <w:rPr>
          <w:lang w:val="en-NZ"/>
        </w:rPr>
      </w:pPr>
    </w:p>
    <w:p w14:paraId="371EFFD7" w14:textId="1250EF24" w:rsidR="009C5918" w:rsidRDefault="00FA3B85" w:rsidP="000E2A48">
      <w:pPr>
        <w:spacing w:after="120"/>
        <w:jc w:val="both"/>
        <w:rPr>
          <w:b/>
          <w:lang w:val="en-NZ" w:eastAsia="ko-KR"/>
        </w:rPr>
      </w:pPr>
      <w:r>
        <w:rPr>
          <w:b/>
          <w:lang w:val="en-NZ" w:eastAsia="ko-KR"/>
        </w:rPr>
        <w:t>7</w:t>
      </w:r>
      <w:r w:rsidR="009C5918">
        <w:rPr>
          <w:b/>
          <w:lang w:val="en-NZ" w:eastAsia="ko-KR"/>
        </w:rPr>
        <w:t>.1.4</w:t>
      </w:r>
      <w:r w:rsidR="00780FC3" w:rsidRPr="00780FC3">
        <w:t xml:space="preserve"> </w:t>
      </w:r>
      <w:r w:rsidR="00780FC3" w:rsidRPr="008B3AE6">
        <w:tab/>
      </w:r>
      <w:r w:rsidR="009C5918">
        <w:rPr>
          <w:b/>
          <w:lang w:val="en-NZ" w:eastAsia="ko-KR"/>
        </w:rPr>
        <w:t xml:space="preserve">ASMG - </w:t>
      </w:r>
      <w:hyperlink r:id="rId30" w:history="1">
        <w:r w:rsidR="00780FC3" w:rsidRPr="003F2AFA">
          <w:rPr>
            <w:rStyle w:val="Hyperlink"/>
          </w:rPr>
          <w:t>Document WRC-19-IRWSP-18/18</w:t>
        </w:r>
      </w:hyperlink>
      <w:r w:rsidR="00616747">
        <w:rPr>
          <w:rStyle w:val="Hyperlink"/>
        </w:rPr>
        <w:t xml:space="preserve"> </w:t>
      </w:r>
      <w:r w:rsidR="00616747" w:rsidRPr="005A382B">
        <w:rPr>
          <w:b/>
          <w:lang w:val="en-NZ" w:eastAsia="ko-KR"/>
        </w:rPr>
        <w:t xml:space="preserve">within </w:t>
      </w:r>
      <w:r w:rsidR="00616747" w:rsidRPr="005A382B">
        <w:rPr>
          <w:b/>
          <w:lang w:val="en-NZ"/>
        </w:rPr>
        <w:t>APG19-4/INP-09</w:t>
      </w:r>
      <w:r w:rsidR="00616747">
        <w:rPr>
          <w:b/>
          <w:lang w:val="en-NZ"/>
        </w:rPr>
        <w:t>(</w:t>
      </w:r>
      <w:r w:rsidR="00616747" w:rsidRPr="005A382B">
        <w:rPr>
          <w:rFonts w:eastAsiaTheme="minorEastAsia"/>
          <w:b/>
          <w:lang w:val="en-NZ" w:eastAsia="zh-CN"/>
        </w:rPr>
        <w:t>R</w:t>
      </w:r>
      <w:r w:rsidR="00616747">
        <w:rPr>
          <w:rFonts w:eastAsiaTheme="minorEastAsia"/>
          <w:b/>
          <w:lang w:val="en-NZ" w:eastAsia="zh-CN"/>
        </w:rPr>
        <w:t>ev.</w:t>
      </w:r>
      <w:r w:rsidR="00616747" w:rsidRPr="005A382B">
        <w:rPr>
          <w:rFonts w:eastAsiaTheme="minorEastAsia"/>
          <w:b/>
          <w:lang w:val="en-NZ" w:eastAsia="zh-CN"/>
        </w:rPr>
        <w:t>1</w:t>
      </w:r>
      <w:r w:rsidR="00616747">
        <w:rPr>
          <w:rFonts w:eastAsiaTheme="minorEastAsia"/>
          <w:b/>
          <w:lang w:val="en-NZ" w:eastAsia="zh-CN"/>
        </w:rPr>
        <w:t>)</w:t>
      </w:r>
    </w:p>
    <w:p w14:paraId="34DACEFD" w14:textId="77777777" w:rsidR="00780FC3" w:rsidRPr="00780FC3" w:rsidRDefault="00780FC3" w:rsidP="00780FC3">
      <w:pPr>
        <w:spacing w:after="120"/>
        <w:jc w:val="both"/>
        <w:rPr>
          <w:lang w:val="en-NZ" w:eastAsia="ko-KR"/>
        </w:rPr>
      </w:pPr>
      <w:r w:rsidRPr="00780FC3">
        <w:rPr>
          <w:lang w:val="en-NZ" w:eastAsia="ko-KR"/>
        </w:rPr>
        <w:t>ASMG Preliminary Position:</w:t>
      </w:r>
    </w:p>
    <w:p w14:paraId="49438A77" w14:textId="0875FD96" w:rsidR="00780FC3" w:rsidRPr="00780FC3" w:rsidRDefault="00780FC3" w:rsidP="00780FC3">
      <w:pPr>
        <w:spacing w:after="120"/>
        <w:ind w:left="720"/>
        <w:jc w:val="both"/>
        <w:rPr>
          <w:lang w:val="en-NZ" w:eastAsia="ko-KR"/>
        </w:rPr>
      </w:pPr>
      <w:r w:rsidRPr="00780FC3">
        <w:rPr>
          <w:lang w:val="en-NZ" w:eastAsia="ko-KR"/>
        </w:rPr>
        <w:t>• Support</w:t>
      </w:r>
      <w:r>
        <w:rPr>
          <w:lang w:val="en-NZ" w:eastAsia="ko-KR"/>
        </w:rPr>
        <w:t xml:space="preserve"> </w:t>
      </w:r>
      <w:r w:rsidRPr="00780FC3">
        <w:rPr>
          <w:lang w:val="en-NZ" w:eastAsia="ko-KR"/>
        </w:rPr>
        <w:t>no</w:t>
      </w:r>
      <w:r>
        <w:rPr>
          <w:lang w:val="en-NZ" w:eastAsia="ko-KR"/>
        </w:rPr>
        <w:t xml:space="preserve"> </w:t>
      </w:r>
      <w:r w:rsidRPr="00780FC3">
        <w:rPr>
          <w:lang w:val="en-NZ" w:eastAsia="ko-KR"/>
        </w:rPr>
        <w:t>change</w:t>
      </w:r>
      <w:r>
        <w:rPr>
          <w:lang w:val="en-NZ" w:eastAsia="ko-KR"/>
        </w:rPr>
        <w:t xml:space="preserve"> </w:t>
      </w:r>
      <w:r w:rsidRPr="00780FC3">
        <w:rPr>
          <w:lang w:val="en-NZ" w:eastAsia="ko-KR"/>
        </w:rPr>
        <w:t>to</w:t>
      </w:r>
      <w:r>
        <w:rPr>
          <w:lang w:val="en-NZ" w:eastAsia="ko-KR"/>
        </w:rPr>
        <w:t xml:space="preserve"> </w:t>
      </w:r>
      <w:r w:rsidRPr="00780FC3">
        <w:rPr>
          <w:lang w:val="en-NZ" w:eastAsia="ko-KR"/>
        </w:rPr>
        <w:t>Annex</w:t>
      </w:r>
      <w:r>
        <w:rPr>
          <w:lang w:val="en-NZ" w:eastAsia="ko-KR"/>
        </w:rPr>
        <w:t xml:space="preserve"> </w:t>
      </w:r>
      <w:r w:rsidRPr="00780FC3">
        <w:rPr>
          <w:lang w:val="en-NZ" w:eastAsia="ko-KR"/>
        </w:rPr>
        <w:t>7</w:t>
      </w:r>
      <w:r>
        <w:rPr>
          <w:lang w:val="en-NZ" w:eastAsia="ko-KR"/>
        </w:rPr>
        <w:t xml:space="preserve"> </w:t>
      </w:r>
      <w:r w:rsidRPr="00780FC3">
        <w:rPr>
          <w:lang w:val="en-NZ" w:eastAsia="ko-KR"/>
        </w:rPr>
        <w:t>limitations</w:t>
      </w:r>
    </w:p>
    <w:p w14:paraId="3759E16A" w14:textId="55A18364" w:rsidR="00780FC3" w:rsidRDefault="00780FC3" w:rsidP="00780FC3">
      <w:pPr>
        <w:spacing w:after="120"/>
        <w:ind w:left="720"/>
        <w:jc w:val="both"/>
        <w:rPr>
          <w:lang w:val="en-NZ" w:eastAsia="ko-KR"/>
        </w:rPr>
      </w:pPr>
      <w:r w:rsidRPr="00780FC3">
        <w:rPr>
          <w:lang w:val="en-NZ" w:eastAsia="ko-KR"/>
        </w:rPr>
        <w:lastRenderedPageBreak/>
        <w:t>• Support</w:t>
      </w:r>
      <w:r>
        <w:rPr>
          <w:lang w:val="en-NZ" w:eastAsia="ko-KR"/>
        </w:rPr>
        <w:t xml:space="preserve"> </w:t>
      </w:r>
      <w:r w:rsidRPr="00780FC3">
        <w:rPr>
          <w:lang w:val="en-NZ" w:eastAsia="ko-KR"/>
        </w:rPr>
        <w:t>no</w:t>
      </w:r>
      <w:r>
        <w:rPr>
          <w:lang w:val="en-NZ" w:eastAsia="ko-KR"/>
        </w:rPr>
        <w:t xml:space="preserve"> </w:t>
      </w:r>
      <w:r w:rsidRPr="00780FC3">
        <w:rPr>
          <w:lang w:val="en-NZ" w:eastAsia="ko-KR"/>
        </w:rPr>
        <w:t>change</w:t>
      </w:r>
      <w:r>
        <w:rPr>
          <w:lang w:val="en-NZ" w:eastAsia="ko-KR"/>
        </w:rPr>
        <w:t xml:space="preserve"> </w:t>
      </w:r>
      <w:r w:rsidRPr="00780FC3">
        <w:rPr>
          <w:lang w:val="en-NZ" w:eastAsia="ko-KR"/>
        </w:rPr>
        <w:t>Annex</w:t>
      </w:r>
      <w:r>
        <w:rPr>
          <w:lang w:val="en-NZ" w:eastAsia="ko-KR"/>
        </w:rPr>
        <w:t xml:space="preserve"> </w:t>
      </w:r>
      <w:r w:rsidRPr="00780FC3">
        <w:rPr>
          <w:lang w:val="en-NZ" w:eastAsia="ko-KR"/>
        </w:rPr>
        <w:t>1</w:t>
      </w:r>
      <w:r>
        <w:rPr>
          <w:lang w:val="en-NZ" w:eastAsia="ko-KR"/>
        </w:rPr>
        <w:t xml:space="preserve"> </w:t>
      </w:r>
      <w:r w:rsidRPr="00780FC3">
        <w:rPr>
          <w:lang w:val="en-NZ" w:eastAsia="ko-KR"/>
        </w:rPr>
        <w:t>to</w:t>
      </w:r>
      <w:r>
        <w:rPr>
          <w:lang w:val="en-NZ" w:eastAsia="ko-KR"/>
        </w:rPr>
        <w:t xml:space="preserve"> </w:t>
      </w:r>
      <w:r w:rsidRPr="00780FC3">
        <w:rPr>
          <w:lang w:val="en-NZ" w:eastAsia="ko-KR"/>
        </w:rPr>
        <w:t>4</w:t>
      </w:r>
      <w:r>
        <w:rPr>
          <w:lang w:val="en-NZ" w:eastAsia="ko-KR"/>
        </w:rPr>
        <w:t xml:space="preserve"> </w:t>
      </w:r>
      <w:r w:rsidRPr="00780FC3">
        <w:rPr>
          <w:lang w:val="en-NZ" w:eastAsia="ko-KR"/>
        </w:rPr>
        <w:t>of</w:t>
      </w:r>
      <w:r>
        <w:rPr>
          <w:lang w:val="en-NZ" w:eastAsia="ko-KR"/>
        </w:rPr>
        <w:t xml:space="preserve"> </w:t>
      </w:r>
      <w:r w:rsidRPr="00780FC3">
        <w:rPr>
          <w:lang w:val="en-NZ" w:eastAsia="ko-KR"/>
        </w:rPr>
        <w:t>Appendix</w:t>
      </w:r>
      <w:r>
        <w:rPr>
          <w:lang w:val="en-NZ" w:eastAsia="ko-KR"/>
        </w:rPr>
        <w:t xml:space="preserve"> </w:t>
      </w:r>
      <w:r w:rsidRPr="00780FC3">
        <w:rPr>
          <w:lang w:val="en-NZ" w:eastAsia="ko-KR"/>
        </w:rPr>
        <w:t>30</w:t>
      </w:r>
      <w:r>
        <w:rPr>
          <w:lang w:val="en-NZ" w:eastAsia="ko-KR"/>
        </w:rPr>
        <w:t xml:space="preserve"> </w:t>
      </w:r>
      <w:r w:rsidRPr="00780FC3">
        <w:rPr>
          <w:lang w:val="en-NZ" w:eastAsia="ko-KR"/>
        </w:rPr>
        <w:t>as</w:t>
      </w:r>
      <w:r>
        <w:rPr>
          <w:lang w:val="en-NZ" w:eastAsia="ko-KR"/>
        </w:rPr>
        <w:t xml:space="preserve"> </w:t>
      </w:r>
      <w:r w:rsidRPr="00780FC3">
        <w:rPr>
          <w:lang w:val="en-NZ" w:eastAsia="ko-KR"/>
        </w:rPr>
        <w:t>it</w:t>
      </w:r>
      <w:r>
        <w:rPr>
          <w:lang w:val="en-NZ" w:eastAsia="ko-KR"/>
        </w:rPr>
        <w:t xml:space="preserve"> </w:t>
      </w:r>
      <w:r w:rsidRPr="00780FC3">
        <w:rPr>
          <w:lang w:val="en-NZ" w:eastAsia="ko-KR"/>
        </w:rPr>
        <w:t>is</w:t>
      </w:r>
      <w:r>
        <w:rPr>
          <w:lang w:val="en-NZ" w:eastAsia="ko-KR"/>
        </w:rPr>
        <w:t xml:space="preserve"> </w:t>
      </w:r>
      <w:r w:rsidRPr="00780FC3">
        <w:rPr>
          <w:lang w:val="en-NZ" w:eastAsia="ko-KR"/>
        </w:rPr>
        <w:t>outside</w:t>
      </w:r>
      <w:r>
        <w:rPr>
          <w:lang w:val="en-NZ" w:eastAsia="ko-KR"/>
        </w:rPr>
        <w:t xml:space="preserve"> </w:t>
      </w:r>
      <w:r w:rsidRPr="00780FC3">
        <w:rPr>
          <w:lang w:val="en-NZ" w:eastAsia="ko-KR"/>
        </w:rPr>
        <w:t>the</w:t>
      </w:r>
      <w:r>
        <w:rPr>
          <w:lang w:val="en-NZ" w:eastAsia="ko-KR"/>
        </w:rPr>
        <w:t xml:space="preserve"> </w:t>
      </w:r>
      <w:r w:rsidRPr="00780FC3">
        <w:rPr>
          <w:lang w:val="en-NZ" w:eastAsia="ko-KR"/>
        </w:rPr>
        <w:t>scope</w:t>
      </w:r>
      <w:r>
        <w:rPr>
          <w:lang w:val="en-NZ" w:eastAsia="ko-KR"/>
        </w:rPr>
        <w:t xml:space="preserve"> </w:t>
      </w:r>
      <w:r w:rsidRPr="00780FC3">
        <w:rPr>
          <w:lang w:val="en-NZ" w:eastAsia="ko-KR"/>
        </w:rPr>
        <w:t>of</w:t>
      </w:r>
      <w:r>
        <w:rPr>
          <w:lang w:val="en-NZ" w:eastAsia="ko-KR"/>
        </w:rPr>
        <w:t xml:space="preserve"> </w:t>
      </w:r>
      <w:r w:rsidRPr="00780FC3">
        <w:rPr>
          <w:lang w:val="en-NZ" w:eastAsia="ko-KR"/>
        </w:rPr>
        <w:t>1.4.</w:t>
      </w:r>
    </w:p>
    <w:p w14:paraId="6444497D" w14:textId="05CF6846" w:rsidR="00780FC3" w:rsidRPr="00780FC3" w:rsidRDefault="00FA3B85" w:rsidP="000E2A48">
      <w:pPr>
        <w:spacing w:after="120"/>
        <w:jc w:val="both"/>
        <w:rPr>
          <w:b/>
          <w:lang w:val="en-NZ" w:eastAsia="ko-KR"/>
        </w:rPr>
      </w:pPr>
      <w:r>
        <w:rPr>
          <w:b/>
          <w:lang w:val="en-NZ" w:eastAsia="ko-KR"/>
        </w:rPr>
        <w:t>7</w:t>
      </w:r>
      <w:r w:rsidR="00780FC3" w:rsidRPr="00780FC3">
        <w:rPr>
          <w:b/>
          <w:lang w:val="en-NZ" w:eastAsia="ko-KR"/>
        </w:rPr>
        <w:t>.1.5</w:t>
      </w:r>
      <w:r w:rsidR="00780FC3" w:rsidRPr="00780FC3">
        <w:t xml:space="preserve"> </w:t>
      </w:r>
      <w:r w:rsidR="00780FC3" w:rsidRPr="008B3AE6">
        <w:tab/>
      </w:r>
      <w:r w:rsidR="00780FC3" w:rsidRPr="00780FC3">
        <w:rPr>
          <w:b/>
        </w:rPr>
        <w:t>ATU</w:t>
      </w:r>
      <w:r w:rsidR="00780FC3">
        <w:rPr>
          <w:b/>
        </w:rPr>
        <w:t xml:space="preserve"> - </w:t>
      </w:r>
      <w:hyperlink r:id="rId31" w:history="1">
        <w:r w:rsidR="00780FC3" w:rsidRPr="003F2AFA">
          <w:rPr>
            <w:rStyle w:val="Hyperlink"/>
          </w:rPr>
          <w:t>Document WRC-19-IRWSP-18/6</w:t>
        </w:r>
      </w:hyperlink>
      <w:r w:rsidR="00616747" w:rsidRPr="00616747">
        <w:rPr>
          <w:b/>
          <w:lang w:val="en-NZ" w:eastAsia="ko-KR"/>
        </w:rPr>
        <w:t xml:space="preserve"> </w:t>
      </w:r>
      <w:r w:rsidR="00616747" w:rsidRPr="005A382B">
        <w:rPr>
          <w:b/>
          <w:lang w:val="en-NZ" w:eastAsia="ko-KR"/>
        </w:rPr>
        <w:t xml:space="preserve">within </w:t>
      </w:r>
      <w:r w:rsidR="00616747" w:rsidRPr="005A382B">
        <w:rPr>
          <w:b/>
          <w:lang w:val="en-NZ"/>
        </w:rPr>
        <w:t>APG19-4/INP-09</w:t>
      </w:r>
      <w:r w:rsidR="00616747">
        <w:rPr>
          <w:b/>
          <w:lang w:val="en-NZ"/>
        </w:rPr>
        <w:t>(</w:t>
      </w:r>
      <w:r w:rsidR="00616747" w:rsidRPr="005A382B">
        <w:rPr>
          <w:rFonts w:eastAsiaTheme="minorEastAsia"/>
          <w:b/>
          <w:lang w:val="en-NZ" w:eastAsia="zh-CN"/>
        </w:rPr>
        <w:t>R</w:t>
      </w:r>
      <w:r w:rsidR="00616747">
        <w:rPr>
          <w:rFonts w:eastAsiaTheme="minorEastAsia"/>
          <w:b/>
          <w:lang w:val="en-NZ" w:eastAsia="zh-CN"/>
        </w:rPr>
        <w:t>ev.</w:t>
      </w:r>
      <w:r w:rsidR="00616747" w:rsidRPr="005A382B">
        <w:rPr>
          <w:rFonts w:eastAsiaTheme="minorEastAsia"/>
          <w:b/>
          <w:lang w:val="en-NZ" w:eastAsia="zh-CN"/>
        </w:rPr>
        <w:t>1</w:t>
      </w:r>
      <w:r w:rsidR="00616747">
        <w:rPr>
          <w:rFonts w:eastAsiaTheme="minorEastAsia"/>
          <w:b/>
          <w:lang w:val="en-NZ" w:eastAsia="zh-CN"/>
        </w:rPr>
        <w:t>)</w:t>
      </w:r>
    </w:p>
    <w:p w14:paraId="7886DEB0" w14:textId="079197D7" w:rsidR="00780FC3" w:rsidRDefault="00780FC3" w:rsidP="00780FC3">
      <w:pPr>
        <w:spacing w:after="120"/>
        <w:jc w:val="both"/>
        <w:rPr>
          <w:lang w:val="en-NZ" w:eastAsia="ko-KR"/>
        </w:rPr>
      </w:pPr>
      <w:r>
        <w:rPr>
          <w:lang w:val="en-NZ" w:eastAsia="ko-KR"/>
        </w:rPr>
        <w:t>ATU Preliminary Position are as follows:</w:t>
      </w:r>
    </w:p>
    <w:p w14:paraId="4F443C5C" w14:textId="1FD2E423" w:rsidR="00780FC3" w:rsidRPr="00780FC3" w:rsidRDefault="00780FC3" w:rsidP="00780FC3">
      <w:pPr>
        <w:spacing w:after="120"/>
        <w:ind w:left="720"/>
        <w:jc w:val="both"/>
        <w:rPr>
          <w:lang w:val="en-NZ" w:eastAsia="ko-KR"/>
        </w:rPr>
      </w:pPr>
      <w:r w:rsidRPr="00780FC3">
        <w:rPr>
          <w:lang w:val="en-NZ" w:eastAsia="ko-KR"/>
        </w:rPr>
        <w:t>1.</w:t>
      </w:r>
      <w:r w:rsidRPr="00780FC3">
        <w:rPr>
          <w:lang w:val="en-NZ" w:eastAsia="ko-KR"/>
        </w:rPr>
        <w:tab/>
        <w:t>Method C, which include the new Resolution [B14-PRIORITY] (WRC-19) which was proposed by African countries to give priority to Administrations with very bad reference situation in the Appendix 30, 30A (below -10 dB) to submit their filings for a period of 90 days, should WRC-19 approve the removal of the limitations.</w:t>
      </w:r>
    </w:p>
    <w:p w14:paraId="07CC6ED1" w14:textId="77777777" w:rsidR="00780FC3" w:rsidRPr="00780FC3" w:rsidRDefault="00780FC3" w:rsidP="00780FC3">
      <w:pPr>
        <w:spacing w:after="120"/>
        <w:ind w:left="720"/>
        <w:jc w:val="both"/>
        <w:rPr>
          <w:lang w:val="en-NZ" w:eastAsia="ko-KR"/>
        </w:rPr>
      </w:pPr>
      <w:r w:rsidRPr="00780FC3">
        <w:rPr>
          <w:lang w:val="en-NZ" w:eastAsia="ko-KR"/>
        </w:rPr>
        <w:t>2.</w:t>
      </w:r>
      <w:r w:rsidRPr="00780FC3">
        <w:rPr>
          <w:lang w:val="en-NZ" w:eastAsia="ko-KR"/>
        </w:rPr>
        <w:tab/>
        <w:t>Support, as a matter of principle, the removal of limits in Annex 7 if the countries with very bad reference situation are given first opportunity to improve their allotted satellite networks in Appendix 30.</w:t>
      </w:r>
    </w:p>
    <w:p w14:paraId="17BA1CF1" w14:textId="48C3EFCA" w:rsidR="00780FC3" w:rsidRPr="00780FC3" w:rsidRDefault="00780FC3" w:rsidP="00780FC3">
      <w:pPr>
        <w:spacing w:after="120"/>
        <w:ind w:left="720"/>
        <w:jc w:val="both"/>
        <w:rPr>
          <w:lang w:val="en-NZ" w:eastAsia="ko-KR"/>
        </w:rPr>
      </w:pPr>
      <w:r w:rsidRPr="00780FC3">
        <w:rPr>
          <w:lang w:val="en-NZ" w:eastAsia="ko-KR"/>
        </w:rPr>
        <w:t>3.</w:t>
      </w:r>
      <w:r w:rsidRPr="00780FC3">
        <w:rPr>
          <w:lang w:val="en-NZ" w:eastAsia="ko-KR"/>
        </w:rPr>
        <w:tab/>
        <w:t>Support the study of each limitation under Annex 7 to Appendix 30; these studies seek to explore ways of allowing better utilization of the orbit spectrum resource.</w:t>
      </w:r>
    </w:p>
    <w:p w14:paraId="6A0745CB" w14:textId="34659A95" w:rsidR="000E2A48" w:rsidRPr="00441526" w:rsidRDefault="005142EC" w:rsidP="000E2A48">
      <w:pPr>
        <w:spacing w:after="120"/>
        <w:jc w:val="both"/>
        <w:rPr>
          <w:b/>
          <w:lang w:val="en-NZ" w:eastAsia="ko-KR"/>
        </w:rPr>
      </w:pPr>
      <w:r>
        <w:rPr>
          <w:b/>
          <w:lang w:val="en-NZ" w:eastAsia="ko-KR"/>
        </w:rPr>
        <w:t>7.2</w:t>
      </w:r>
      <w:r w:rsidR="00FA3B85">
        <w:rPr>
          <w:b/>
          <w:lang w:val="en-NZ" w:eastAsia="ko-KR"/>
        </w:rPr>
        <w:t>.</w:t>
      </w:r>
      <w:r w:rsidR="000E2A48" w:rsidRPr="00441526">
        <w:rPr>
          <w:b/>
          <w:lang w:val="en-NZ" w:eastAsia="ko-KR"/>
        </w:rPr>
        <w:tab/>
        <w:t>International Organisations</w:t>
      </w:r>
    </w:p>
    <w:p w14:paraId="340D6BA4" w14:textId="0BF801FA" w:rsidR="000E2A48" w:rsidRPr="00441526" w:rsidRDefault="005142EC" w:rsidP="000E2A48">
      <w:pPr>
        <w:spacing w:after="120"/>
        <w:jc w:val="both"/>
        <w:rPr>
          <w:b/>
          <w:lang w:val="en-NZ" w:eastAsia="ko-KR"/>
        </w:rPr>
      </w:pPr>
      <w:r>
        <w:rPr>
          <w:b/>
          <w:lang w:val="en-NZ" w:eastAsia="ko-KR"/>
        </w:rPr>
        <w:t>7.2</w:t>
      </w:r>
      <w:r w:rsidR="00CF6B42">
        <w:rPr>
          <w:b/>
          <w:lang w:val="en-NZ" w:eastAsia="ko-KR"/>
        </w:rPr>
        <w:t>.</w:t>
      </w:r>
      <w:r w:rsidR="00382A8D">
        <w:rPr>
          <w:b/>
          <w:lang w:val="en-NZ" w:eastAsia="ko-KR"/>
        </w:rPr>
        <w:t xml:space="preserve">1 </w:t>
      </w:r>
      <w:r w:rsidR="00382A8D">
        <w:rPr>
          <w:b/>
          <w:lang w:val="en-NZ" w:eastAsia="ko-KR"/>
        </w:rPr>
        <w:tab/>
        <w:t>ICAO</w:t>
      </w:r>
      <w:r w:rsidR="000E2A48" w:rsidRPr="00441526">
        <w:rPr>
          <w:b/>
          <w:lang w:val="en-NZ" w:eastAsia="ko-KR"/>
        </w:rPr>
        <w:t xml:space="preserve"> </w:t>
      </w:r>
    </w:p>
    <w:p w14:paraId="01E745D4" w14:textId="790DDB49" w:rsidR="000E2A48" w:rsidRDefault="000E2A48" w:rsidP="000E2A48">
      <w:pPr>
        <w:rPr>
          <w:lang w:val="en-NZ"/>
        </w:rPr>
      </w:pPr>
      <w:r>
        <w:rPr>
          <w:lang w:val="en-NZ"/>
        </w:rPr>
        <w:t xml:space="preserve">No view on this agenda </w:t>
      </w:r>
      <w:r w:rsidR="00382A8D">
        <w:rPr>
          <w:lang w:val="en-NZ"/>
        </w:rPr>
        <w:t>item has been received from ICAO</w:t>
      </w:r>
      <w:r>
        <w:rPr>
          <w:lang w:val="en-NZ"/>
        </w:rPr>
        <w:t>.</w:t>
      </w:r>
    </w:p>
    <w:p w14:paraId="206E81ED" w14:textId="77777777" w:rsidR="000E2A48" w:rsidRPr="00441526" w:rsidRDefault="000E2A48" w:rsidP="000E2A48">
      <w:pPr>
        <w:rPr>
          <w:lang w:val="en-NZ"/>
        </w:rPr>
      </w:pPr>
    </w:p>
    <w:p w14:paraId="4A7B2582" w14:textId="2A14D687" w:rsidR="000E2A48" w:rsidRPr="00441526" w:rsidRDefault="005142EC" w:rsidP="000E2A48">
      <w:pPr>
        <w:spacing w:after="120"/>
        <w:jc w:val="both"/>
        <w:rPr>
          <w:b/>
          <w:lang w:val="en-NZ" w:eastAsia="ko-KR"/>
        </w:rPr>
      </w:pPr>
      <w:r>
        <w:rPr>
          <w:b/>
          <w:lang w:val="en-NZ" w:eastAsia="ko-KR"/>
        </w:rPr>
        <w:t>7</w:t>
      </w:r>
      <w:r w:rsidR="00CF6B42">
        <w:rPr>
          <w:b/>
          <w:lang w:val="en-NZ" w:eastAsia="ko-KR"/>
        </w:rPr>
        <w:t>.2</w:t>
      </w:r>
      <w:r>
        <w:rPr>
          <w:b/>
          <w:lang w:val="en-NZ" w:eastAsia="ko-KR"/>
        </w:rPr>
        <w:t>.2</w:t>
      </w:r>
      <w:r w:rsidR="00382A8D">
        <w:rPr>
          <w:b/>
          <w:lang w:val="en-NZ" w:eastAsia="ko-KR"/>
        </w:rPr>
        <w:t xml:space="preserve"> </w:t>
      </w:r>
      <w:r w:rsidR="00382A8D">
        <w:rPr>
          <w:b/>
          <w:lang w:val="en-NZ" w:eastAsia="ko-KR"/>
        </w:rPr>
        <w:tab/>
        <w:t>WMO</w:t>
      </w:r>
      <w:r w:rsidR="000E2A48" w:rsidRPr="00441526">
        <w:rPr>
          <w:b/>
          <w:lang w:val="en-NZ" w:eastAsia="ko-KR"/>
        </w:rPr>
        <w:t xml:space="preserve"> </w:t>
      </w:r>
    </w:p>
    <w:p w14:paraId="715AD6D9" w14:textId="29478DC5" w:rsidR="000E2A48" w:rsidRPr="00441526" w:rsidRDefault="000E2A48" w:rsidP="000E2A48">
      <w:pPr>
        <w:rPr>
          <w:lang w:val="en-NZ"/>
        </w:rPr>
      </w:pPr>
      <w:r>
        <w:rPr>
          <w:lang w:val="en-NZ"/>
        </w:rPr>
        <w:t xml:space="preserve">No view on this agenda </w:t>
      </w:r>
      <w:r w:rsidR="00382A8D">
        <w:rPr>
          <w:lang w:val="en-NZ"/>
        </w:rPr>
        <w:t>item has been received from WMO</w:t>
      </w:r>
      <w:r>
        <w:rPr>
          <w:lang w:val="en-NZ"/>
        </w:rPr>
        <w:t>.</w:t>
      </w:r>
    </w:p>
    <w:p w14:paraId="44F12EE1" w14:textId="77777777" w:rsidR="000E2A48" w:rsidRPr="00441526" w:rsidRDefault="000E2A48" w:rsidP="000E2A48">
      <w:pPr>
        <w:jc w:val="both"/>
        <w:rPr>
          <w:lang w:val="en-NZ"/>
        </w:rPr>
      </w:pPr>
    </w:p>
    <w:p w14:paraId="73A044E1" w14:textId="2DF10BC3" w:rsidR="000E2A48" w:rsidRPr="00382A8D" w:rsidRDefault="00382A8D" w:rsidP="000E2A48">
      <w:pPr>
        <w:rPr>
          <w:rFonts w:eastAsia="MS Mincho"/>
          <w:b/>
          <w:lang w:val="en-NZ" w:eastAsia="ja-JP"/>
        </w:rPr>
      </w:pPr>
      <w:r>
        <w:rPr>
          <w:rFonts w:eastAsia="MS Mincho" w:hint="eastAsia"/>
          <w:b/>
          <w:lang w:val="en-NZ" w:eastAsia="ja-JP"/>
        </w:rPr>
        <w:t>7.2.3</w:t>
      </w:r>
      <w:r>
        <w:rPr>
          <w:rFonts w:eastAsia="MS Mincho" w:hint="eastAsia"/>
          <w:b/>
          <w:lang w:val="en-NZ" w:eastAsia="ja-JP"/>
        </w:rPr>
        <w:tab/>
        <w:t>IARU</w:t>
      </w:r>
    </w:p>
    <w:p w14:paraId="27C5B5C1" w14:textId="6DB29BA8" w:rsidR="00424ACC" w:rsidRDefault="00382A8D" w:rsidP="00CD4C1F">
      <w:pPr>
        <w:rPr>
          <w:rFonts w:eastAsia="MS Mincho"/>
          <w:lang w:eastAsia="ja-JP"/>
        </w:rPr>
      </w:pPr>
      <w:r>
        <w:rPr>
          <w:lang w:val="en-NZ"/>
        </w:rPr>
        <w:t>No view on this agenda item has been received from IARU</w:t>
      </w:r>
    </w:p>
    <w:p w14:paraId="135CF19D" w14:textId="77777777" w:rsidR="00382A8D" w:rsidRDefault="00382A8D" w:rsidP="00CD4C1F">
      <w:pPr>
        <w:rPr>
          <w:rFonts w:eastAsia="MS Mincho"/>
          <w:lang w:eastAsia="ja-JP"/>
        </w:rPr>
      </w:pPr>
    </w:p>
    <w:p w14:paraId="2E0E6770" w14:textId="63BE2BC8" w:rsidR="00B64A60" w:rsidRDefault="00B64A60" w:rsidP="00CD4C1F">
      <w:pPr>
        <w:jc w:val="center"/>
        <w:rPr>
          <w:lang w:val="en-NZ"/>
        </w:rPr>
      </w:pPr>
      <w:r w:rsidRPr="00710333">
        <w:rPr>
          <w:lang w:val="en-NZ"/>
        </w:rPr>
        <w:t>____________</w:t>
      </w:r>
      <w:r w:rsidR="00424ACC" w:rsidRPr="00424ACC">
        <w:rPr>
          <w:u w:val="single"/>
          <w:lang w:val="en-NZ"/>
        </w:rPr>
        <w:tab/>
      </w:r>
    </w:p>
    <w:sectPr w:rsidR="00B64A60" w:rsidSect="00D26ACC">
      <w:headerReference w:type="default" r:id="rId32"/>
      <w:footerReference w:type="even" r:id="rId33"/>
      <w:footerReference w:type="default" r:id="rId34"/>
      <w:footerReference w:type="first" r:id="rId3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9818F" w14:textId="77777777" w:rsidR="00331494" w:rsidRDefault="00331494">
      <w:r>
        <w:separator/>
      </w:r>
    </w:p>
  </w:endnote>
  <w:endnote w:type="continuationSeparator" w:id="0">
    <w:p w14:paraId="3AC898E5" w14:textId="77777777" w:rsidR="00331494" w:rsidRDefault="0033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189F790F" w:rsidR="0097693B" w:rsidRDefault="009E42F8" w:rsidP="009E42F8">
    <w:pPr>
      <w:pStyle w:val="Footer"/>
      <w:tabs>
        <w:tab w:val="left" w:pos="540"/>
        <w:tab w:val="right" w:pos="8957"/>
      </w:tabs>
      <w:ind w:right="360"/>
    </w:pPr>
    <w:r>
      <w:rPr>
        <w:rFonts w:hint="eastAsia"/>
        <w:lang w:eastAsia="ko-KR"/>
      </w:rPr>
      <w:t>A</w:t>
    </w:r>
    <w:r w:rsidR="004F4F4E">
      <w:rPr>
        <w:lang w:eastAsia="ko-KR"/>
      </w:rPr>
      <w:t>PG19-</w:t>
    </w:r>
    <w:r w:rsidR="003F05B3">
      <w:rPr>
        <w:lang w:eastAsia="ko-KR"/>
      </w:rPr>
      <w:t>4</w:t>
    </w:r>
    <w:r w:rsidR="00737039">
      <w:rPr>
        <w:lang w:eastAsia="ko-KR"/>
      </w:rPr>
      <w:t>/OUT-20</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D26ACC">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D26ACC">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233"/>
      <w:gridCol w:w="4073"/>
    </w:tblGrid>
    <w:tr w:rsidR="00F23B6D" w14:paraId="6AE067A2" w14:textId="77777777" w:rsidTr="000802E4">
      <w:trPr>
        <w:cantSplit/>
        <w:trHeight w:val="204"/>
        <w:jc w:val="center"/>
      </w:trPr>
      <w:tc>
        <w:tcPr>
          <w:tcW w:w="1617" w:type="dxa"/>
          <w:tcBorders>
            <w:top w:val="single" w:sz="12" w:space="0" w:color="auto"/>
          </w:tcBorders>
        </w:tcPr>
        <w:p w14:paraId="07249E6E" w14:textId="77777777" w:rsidR="00F23B6D" w:rsidRDefault="00F23B6D" w:rsidP="00F23B6D">
          <w:pPr>
            <w:rPr>
              <w:b/>
              <w:bCs/>
            </w:rPr>
          </w:pPr>
          <w:r>
            <w:rPr>
              <w:b/>
              <w:bCs/>
            </w:rPr>
            <w:t xml:space="preserve">Contact: </w:t>
          </w:r>
        </w:p>
      </w:tc>
      <w:tc>
        <w:tcPr>
          <w:tcW w:w="4233" w:type="dxa"/>
          <w:tcBorders>
            <w:top w:val="single" w:sz="12" w:space="0" w:color="auto"/>
          </w:tcBorders>
        </w:tcPr>
        <w:p w14:paraId="22DEA194" w14:textId="77777777" w:rsidR="00F23B6D" w:rsidRDefault="00F23B6D" w:rsidP="00F23B6D">
          <w:pPr>
            <w:rPr>
              <w:rFonts w:eastAsia="Batang"/>
            </w:rPr>
          </w:pPr>
          <w:r>
            <w:rPr>
              <w:rFonts w:eastAsia="Batang"/>
            </w:rPr>
            <w:t>MR. MUNEO ABE</w:t>
          </w:r>
        </w:p>
        <w:p w14:paraId="51E96668" w14:textId="62AF1C0D" w:rsidR="00F23B6D" w:rsidRDefault="00F23B6D" w:rsidP="00F23B6D">
          <w:pPr>
            <w:rPr>
              <w:rFonts w:eastAsia="Batang"/>
            </w:rPr>
          </w:pPr>
          <w:r>
            <w:rPr>
              <w:rFonts w:eastAsia="Batang"/>
            </w:rPr>
            <w:t>Chairman, WP3</w:t>
          </w:r>
        </w:p>
      </w:tc>
      <w:tc>
        <w:tcPr>
          <w:tcW w:w="4073" w:type="dxa"/>
          <w:tcBorders>
            <w:top w:val="single" w:sz="12" w:space="0" w:color="auto"/>
          </w:tcBorders>
        </w:tcPr>
        <w:p w14:paraId="020A941A" w14:textId="77777777" w:rsidR="00F23B6D" w:rsidRDefault="00F23B6D" w:rsidP="00F23B6D">
          <w:pPr>
            <w:rPr>
              <w:lang w:eastAsia="ja-JP"/>
            </w:rPr>
          </w:pPr>
          <w:r>
            <w:rPr>
              <w:lang w:eastAsia="ja-JP"/>
            </w:rPr>
            <w:t xml:space="preserve">Email: </w:t>
          </w:r>
          <w:hyperlink r:id="rId1" w:history="1">
            <w:r w:rsidRPr="001C68DD">
              <w:rPr>
                <w:rStyle w:val="Hyperlink"/>
                <w:lang w:eastAsia="ja-JP"/>
              </w:rPr>
              <w:t>Abe.Muneo@cj.MitsubishiElectric.co.jp</w:t>
            </w:r>
          </w:hyperlink>
          <w:r>
            <w:rPr>
              <w:lang w:eastAsia="ja-JP"/>
            </w:rPr>
            <w:t xml:space="preserve"> </w:t>
          </w:r>
        </w:p>
      </w:tc>
    </w:tr>
  </w:tbl>
  <w:p w14:paraId="2E0E6781" w14:textId="77777777" w:rsidR="0097693B" w:rsidRDefault="0097693B" w:rsidP="00F2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AC909" w14:textId="77777777" w:rsidR="00331494" w:rsidRDefault="00331494">
      <w:r>
        <w:separator/>
      </w:r>
    </w:p>
  </w:footnote>
  <w:footnote w:type="continuationSeparator" w:id="0">
    <w:p w14:paraId="7294886A" w14:textId="77777777" w:rsidR="00331494" w:rsidRDefault="00331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DBD5BDB"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5367147"/>
    <w:multiLevelType w:val="hybridMultilevel"/>
    <w:tmpl w:val="1E9A70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F96786B"/>
    <w:multiLevelType w:val="multilevel"/>
    <w:tmpl w:val="CADAB6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ED7C99"/>
    <w:multiLevelType w:val="multilevel"/>
    <w:tmpl w:val="AECE85F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5056106"/>
    <w:multiLevelType w:val="hybridMultilevel"/>
    <w:tmpl w:val="FCC0F9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0536B"/>
    <w:multiLevelType w:val="hybridMultilevel"/>
    <w:tmpl w:val="E6B4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19E2EB0"/>
    <w:multiLevelType w:val="hybridMultilevel"/>
    <w:tmpl w:val="6A7A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9890163"/>
    <w:multiLevelType w:val="hybridMultilevel"/>
    <w:tmpl w:val="CD48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E1A4D"/>
    <w:multiLevelType w:val="hybridMultilevel"/>
    <w:tmpl w:val="8DB00EA8"/>
    <w:lvl w:ilvl="0" w:tplc="A114EBFA">
      <w:start w:val="1"/>
      <w:numFmt w:val="bullet"/>
      <w:lvlText w:val="-"/>
      <w:lvlJc w:val="left"/>
      <w:pPr>
        <w:ind w:left="3338"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15:restartNumberingAfterBreak="0">
    <w:nsid w:val="40B46B16"/>
    <w:multiLevelType w:val="hybridMultilevel"/>
    <w:tmpl w:val="FC76D0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CE035C"/>
    <w:multiLevelType w:val="hybridMultilevel"/>
    <w:tmpl w:val="23FAB1BC"/>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1A6D56"/>
    <w:multiLevelType w:val="hybridMultilevel"/>
    <w:tmpl w:val="8BCC9862"/>
    <w:lvl w:ilvl="0" w:tplc="8A0A331C">
      <w:start w:val="1"/>
      <w:numFmt w:val="bullet"/>
      <w:lvlText w:val="-"/>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CEA763B"/>
    <w:multiLevelType w:val="hybridMultilevel"/>
    <w:tmpl w:val="A8FE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A0917"/>
    <w:multiLevelType w:val="multilevel"/>
    <w:tmpl w:val="EF309FB4"/>
    <w:lvl w:ilvl="0">
      <w:numFmt w:val="bullet"/>
      <w:lvlText w:val="-"/>
      <w:lvlJc w:val="left"/>
      <w:pPr>
        <w:ind w:left="720" w:hanging="360"/>
      </w:pPr>
      <w:rPr>
        <w:rFonts w:ascii="Times New Roman" w:eastAsia="GulimCh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0477784"/>
    <w:multiLevelType w:val="hybridMultilevel"/>
    <w:tmpl w:val="3710E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E5BBB"/>
    <w:multiLevelType w:val="multilevel"/>
    <w:tmpl w:val="D6563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2E74C4"/>
    <w:multiLevelType w:val="hybridMultilevel"/>
    <w:tmpl w:val="844E0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7462D4"/>
    <w:multiLevelType w:val="hybridMultilevel"/>
    <w:tmpl w:val="3A705D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1D7A78"/>
    <w:multiLevelType w:val="hybridMultilevel"/>
    <w:tmpl w:val="6A7A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5755024"/>
    <w:multiLevelType w:val="hybridMultilevel"/>
    <w:tmpl w:val="E51AD7FC"/>
    <w:lvl w:ilvl="0" w:tplc="637ABA4E">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5" w15:restartNumberingAfterBreak="0">
    <w:nsid w:val="78DB330F"/>
    <w:multiLevelType w:val="hybridMultilevel"/>
    <w:tmpl w:val="DD687926"/>
    <w:lvl w:ilvl="0" w:tplc="3A0A0A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32"/>
  </w:num>
  <w:num w:numId="5">
    <w:abstractNumId w:val="13"/>
  </w:num>
  <w:num w:numId="6">
    <w:abstractNumId w:val="16"/>
  </w:num>
  <w:num w:numId="7">
    <w:abstractNumId w:val="3"/>
  </w:num>
  <w:num w:numId="8">
    <w:abstractNumId w:val="1"/>
  </w:num>
  <w:num w:numId="9">
    <w:abstractNumId w:val="36"/>
  </w:num>
  <w:num w:numId="10">
    <w:abstractNumId w:val="27"/>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0"/>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7"/>
  </w:num>
  <w:num w:numId="17">
    <w:abstractNumId w:val="26"/>
  </w:num>
  <w:num w:numId="18">
    <w:abstractNumId w:val="18"/>
  </w:num>
  <w:num w:numId="19">
    <w:abstractNumId w:val="33"/>
  </w:num>
  <w:num w:numId="20">
    <w:abstractNumId w:val="12"/>
  </w:num>
  <w:num w:numId="21">
    <w:abstractNumId w:val="20"/>
  </w:num>
  <w:num w:numId="22">
    <w:abstractNumId w:val="23"/>
  </w:num>
  <w:num w:numId="23">
    <w:abstractNumId w:val="19"/>
  </w:num>
  <w:num w:numId="24">
    <w:abstractNumId w:val="28"/>
  </w:num>
  <w:num w:numId="25">
    <w:abstractNumId w:val="5"/>
  </w:num>
  <w:num w:numId="26">
    <w:abstractNumId w:val="24"/>
  </w:num>
  <w:num w:numId="27">
    <w:abstractNumId w:val="6"/>
  </w:num>
  <w:num w:numId="28">
    <w:abstractNumId w:val="34"/>
  </w:num>
  <w:num w:numId="29">
    <w:abstractNumId w:val="21"/>
  </w:num>
  <w:num w:numId="30">
    <w:abstractNumId w:val="9"/>
  </w:num>
  <w:num w:numId="31">
    <w:abstractNumId w:val="30"/>
  </w:num>
  <w:num w:numId="32">
    <w:abstractNumId w:val="29"/>
  </w:num>
  <w:num w:numId="33">
    <w:abstractNumId w:val="14"/>
  </w:num>
  <w:num w:numId="34">
    <w:abstractNumId w:val="11"/>
  </w:num>
  <w:num w:numId="35">
    <w:abstractNumId w:val="17"/>
  </w:num>
  <w:num w:numId="36">
    <w:abstractNumId w:val="22"/>
  </w:num>
  <w:num w:numId="37">
    <w:abstractNumId w:val="2"/>
  </w:num>
  <w:num w:numId="38">
    <w:abstractNumId w:val="3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611F"/>
    <w:rsid w:val="00007FC0"/>
    <w:rsid w:val="000103ED"/>
    <w:rsid w:val="00010C8E"/>
    <w:rsid w:val="000172F2"/>
    <w:rsid w:val="00020E68"/>
    <w:rsid w:val="00031463"/>
    <w:rsid w:val="0003595B"/>
    <w:rsid w:val="00036517"/>
    <w:rsid w:val="00036CC9"/>
    <w:rsid w:val="00050D08"/>
    <w:rsid w:val="000636A2"/>
    <w:rsid w:val="00070642"/>
    <w:rsid w:val="000713CF"/>
    <w:rsid w:val="000727A9"/>
    <w:rsid w:val="000734FA"/>
    <w:rsid w:val="00075C14"/>
    <w:rsid w:val="000822B5"/>
    <w:rsid w:val="00094B87"/>
    <w:rsid w:val="000A012B"/>
    <w:rsid w:val="000A5418"/>
    <w:rsid w:val="000B3623"/>
    <w:rsid w:val="000C6DD4"/>
    <w:rsid w:val="000D1084"/>
    <w:rsid w:val="000D4155"/>
    <w:rsid w:val="000E2A48"/>
    <w:rsid w:val="000F074E"/>
    <w:rsid w:val="000F345F"/>
    <w:rsid w:val="000F517C"/>
    <w:rsid w:val="000F5540"/>
    <w:rsid w:val="00101B58"/>
    <w:rsid w:val="001057E4"/>
    <w:rsid w:val="00105F1A"/>
    <w:rsid w:val="00111146"/>
    <w:rsid w:val="00120C56"/>
    <w:rsid w:val="001409B2"/>
    <w:rsid w:val="00141399"/>
    <w:rsid w:val="00152636"/>
    <w:rsid w:val="001539DD"/>
    <w:rsid w:val="00155761"/>
    <w:rsid w:val="00156782"/>
    <w:rsid w:val="0016326A"/>
    <w:rsid w:val="001731F4"/>
    <w:rsid w:val="00180A4E"/>
    <w:rsid w:val="001816FF"/>
    <w:rsid w:val="001911F4"/>
    <w:rsid w:val="00196568"/>
    <w:rsid w:val="00197806"/>
    <w:rsid w:val="00197878"/>
    <w:rsid w:val="00197C18"/>
    <w:rsid w:val="001A0B5C"/>
    <w:rsid w:val="001A2F16"/>
    <w:rsid w:val="001A764B"/>
    <w:rsid w:val="001B1804"/>
    <w:rsid w:val="001B18C2"/>
    <w:rsid w:val="001B5016"/>
    <w:rsid w:val="001C1C58"/>
    <w:rsid w:val="001C4FF8"/>
    <w:rsid w:val="001C61A5"/>
    <w:rsid w:val="001C6707"/>
    <w:rsid w:val="001C7CEE"/>
    <w:rsid w:val="001D5D7E"/>
    <w:rsid w:val="001E067B"/>
    <w:rsid w:val="001F00A1"/>
    <w:rsid w:val="001F5947"/>
    <w:rsid w:val="001F71A2"/>
    <w:rsid w:val="00201B98"/>
    <w:rsid w:val="00202410"/>
    <w:rsid w:val="00204433"/>
    <w:rsid w:val="0020463A"/>
    <w:rsid w:val="00204D05"/>
    <w:rsid w:val="002103F7"/>
    <w:rsid w:val="00210ED7"/>
    <w:rsid w:val="002111B1"/>
    <w:rsid w:val="0021498B"/>
    <w:rsid w:val="00214A0C"/>
    <w:rsid w:val="0021588B"/>
    <w:rsid w:val="002216AC"/>
    <w:rsid w:val="00227127"/>
    <w:rsid w:val="00230799"/>
    <w:rsid w:val="00230BBA"/>
    <w:rsid w:val="00232D82"/>
    <w:rsid w:val="00235545"/>
    <w:rsid w:val="002444AD"/>
    <w:rsid w:val="00245F0F"/>
    <w:rsid w:val="002506D2"/>
    <w:rsid w:val="00250DE2"/>
    <w:rsid w:val="00253AFE"/>
    <w:rsid w:val="00254A1B"/>
    <w:rsid w:val="0026064A"/>
    <w:rsid w:val="00265A7A"/>
    <w:rsid w:val="0028454D"/>
    <w:rsid w:val="00287988"/>
    <w:rsid w:val="00291C9E"/>
    <w:rsid w:val="002926D4"/>
    <w:rsid w:val="00296C7A"/>
    <w:rsid w:val="002A62A6"/>
    <w:rsid w:val="002B06A3"/>
    <w:rsid w:val="002B435C"/>
    <w:rsid w:val="002B447F"/>
    <w:rsid w:val="002C07DA"/>
    <w:rsid w:val="002C295F"/>
    <w:rsid w:val="002C45D2"/>
    <w:rsid w:val="002C7EA9"/>
    <w:rsid w:val="002E1735"/>
    <w:rsid w:val="002F2A53"/>
    <w:rsid w:val="002F575D"/>
    <w:rsid w:val="002F68F0"/>
    <w:rsid w:val="00300DC1"/>
    <w:rsid w:val="003066AB"/>
    <w:rsid w:val="0030715F"/>
    <w:rsid w:val="003113D7"/>
    <w:rsid w:val="00311E8A"/>
    <w:rsid w:val="00312FEA"/>
    <w:rsid w:val="00314CEB"/>
    <w:rsid w:val="00331494"/>
    <w:rsid w:val="00342F20"/>
    <w:rsid w:val="00346242"/>
    <w:rsid w:val="003479C0"/>
    <w:rsid w:val="003561D7"/>
    <w:rsid w:val="00360377"/>
    <w:rsid w:val="00362B4D"/>
    <w:rsid w:val="00366548"/>
    <w:rsid w:val="003772CC"/>
    <w:rsid w:val="003809C7"/>
    <w:rsid w:val="0038236C"/>
    <w:rsid w:val="00382A8D"/>
    <w:rsid w:val="00395B40"/>
    <w:rsid w:val="003A0FDA"/>
    <w:rsid w:val="003A1ABB"/>
    <w:rsid w:val="003A22D6"/>
    <w:rsid w:val="003A32A9"/>
    <w:rsid w:val="003A6568"/>
    <w:rsid w:val="003B6263"/>
    <w:rsid w:val="003C29E6"/>
    <w:rsid w:val="003C64A7"/>
    <w:rsid w:val="003D1671"/>
    <w:rsid w:val="003D3FDA"/>
    <w:rsid w:val="003D6D00"/>
    <w:rsid w:val="003E166F"/>
    <w:rsid w:val="003F05B3"/>
    <w:rsid w:val="003F6C79"/>
    <w:rsid w:val="003F78D4"/>
    <w:rsid w:val="004001E5"/>
    <w:rsid w:val="0040574E"/>
    <w:rsid w:val="00411797"/>
    <w:rsid w:val="00414C58"/>
    <w:rsid w:val="00420822"/>
    <w:rsid w:val="00420C74"/>
    <w:rsid w:val="00424ACC"/>
    <w:rsid w:val="00433A59"/>
    <w:rsid w:val="004465AA"/>
    <w:rsid w:val="0045458F"/>
    <w:rsid w:val="00462166"/>
    <w:rsid w:val="004633B4"/>
    <w:rsid w:val="004746E8"/>
    <w:rsid w:val="00495A35"/>
    <w:rsid w:val="004A2F96"/>
    <w:rsid w:val="004B0E2F"/>
    <w:rsid w:val="004B2F3A"/>
    <w:rsid w:val="004B3553"/>
    <w:rsid w:val="004B3F4B"/>
    <w:rsid w:val="004C15A4"/>
    <w:rsid w:val="004C2B2A"/>
    <w:rsid w:val="004C4E7F"/>
    <w:rsid w:val="004C5410"/>
    <w:rsid w:val="004D586B"/>
    <w:rsid w:val="004F4F4E"/>
    <w:rsid w:val="00500DBB"/>
    <w:rsid w:val="00503189"/>
    <w:rsid w:val="005033E8"/>
    <w:rsid w:val="00511577"/>
    <w:rsid w:val="005142EC"/>
    <w:rsid w:val="00515508"/>
    <w:rsid w:val="005163DE"/>
    <w:rsid w:val="00526D01"/>
    <w:rsid w:val="0053050A"/>
    <w:rsid w:val="00530E8C"/>
    <w:rsid w:val="00545933"/>
    <w:rsid w:val="00547745"/>
    <w:rsid w:val="0055013E"/>
    <w:rsid w:val="00552105"/>
    <w:rsid w:val="00552364"/>
    <w:rsid w:val="005562F2"/>
    <w:rsid w:val="00557544"/>
    <w:rsid w:val="00563EB5"/>
    <w:rsid w:val="00564A74"/>
    <w:rsid w:val="00565BBB"/>
    <w:rsid w:val="005676E1"/>
    <w:rsid w:val="005800DF"/>
    <w:rsid w:val="00585F3C"/>
    <w:rsid w:val="00586CA0"/>
    <w:rsid w:val="00587445"/>
    <w:rsid w:val="00587875"/>
    <w:rsid w:val="00592AE9"/>
    <w:rsid w:val="00593133"/>
    <w:rsid w:val="005A02D6"/>
    <w:rsid w:val="005A18F2"/>
    <w:rsid w:val="005A63EB"/>
    <w:rsid w:val="005B0861"/>
    <w:rsid w:val="005C1EDE"/>
    <w:rsid w:val="005C33B6"/>
    <w:rsid w:val="005C5499"/>
    <w:rsid w:val="005D6097"/>
    <w:rsid w:val="005D6202"/>
    <w:rsid w:val="005D6E98"/>
    <w:rsid w:val="005E701A"/>
    <w:rsid w:val="005E717A"/>
    <w:rsid w:val="005F77EC"/>
    <w:rsid w:val="00604DDD"/>
    <w:rsid w:val="00607E2B"/>
    <w:rsid w:val="006139D6"/>
    <w:rsid w:val="00616747"/>
    <w:rsid w:val="00616D1B"/>
    <w:rsid w:val="00621C19"/>
    <w:rsid w:val="00623CE1"/>
    <w:rsid w:val="0063062B"/>
    <w:rsid w:val="00637351"/>
    <w:rsid w:val="00640D42"/>
    <w:rsid w:val="00641D40"/>
    <w:rsid w:val="00643A33"/>
    <w:rsid w:val="00646166"/>
    <w:rsid w:val="00652970"/>
    <w:rsid w:val="00654896"/>
    <w:rsid w:val="006621F0"/>
    <w:rsid w:val="0066379D"/>
    <w:rsid w:val="006647BA"/>
    <w:rsid w:val="00667229"/>
    <w:rsid w:val="006707A1"/>
    <w:rsid w:val="00671D5A"/>
    <w:rsid w:val="00674E92"/>
    <w:rsid w:val="00682BE5"/>
    <w:rsid w:val="00690382"/>
    <w:rsid w:val="00690FED"/>
    <w:rsid w:val="006939A5"/>
    <w:rsid w:val="00697582"/>
    <w:rsid w:val="00697B5C"/>
    <w:rsid w:val="006A2E69"/>
    <w:rsid w:val="006C2744"/>
    <w:rsid w:val="006D5223"/>
    <w:rsid w:val="006E12FC"/>
    <w:rsid w:val="006E61B6"/>
    <w:rsid w:val="006E7427"/>
    <w:rsid w:val="006F2B2E"/>
    <w:rsid w:val="006F4471"/>
    <w:rsid w:val="00705962"/>
    <w:rsid w:val="00707C21"/>
    <w:rsid w:val="00712451"/>
    <w:rsid w:val="00717DE9"/>
    <w:rsid w:val="0072518B"/>
    <w:rsid w:val="00726117"/>
    <w:rsid w:val="00726D27"/>
    <w:rsid w:val="00731041"/>
    <w:rsid w:val="007329E4"/>
    <w:rsid w:val="00732A2C"/>
    <w:rsid w:val="00732F08"/>
    <w:rsid w:val="007342F0"/>
    <w:rsid w:val="00736E38"/>
    <w:rsid w:val="00737039"/>
    <w:rsid w:val="00737DF5"/>
    <w:rsid w:val="0074190C"/>
    <w:rsid w:val="00751A10"/>
    <w:rsid w:val="00752C06"/>
    <w:rsid w:val="00753090"/>
    <w:rsid w:val="00753260"/>
    <w:rsid w:val="00755BF3"/>
    <w:rsid w:val="00762576"/>
    <w:rsid w:val="007673CA"/>
    <w:rsid w:val="00770750"/>
    <w:rsid w:val="007765E4"/>
    <w:rsid w:val="00777339"/>
    <w:rsid w:val="007800CB"/>
    <w:rsid w:val="00780BD3"/>
    <w:rsid w:val="00780FC3"/>
    <w:rsid w:val="00791060"/>
    <w:rsid w:val="00795D7D"/>
    <w:rsid w:val="007A2B2D"/>
    <w:rsid w:val="007A30CF"/>
    <w:rsid w:val="007A3F59"/>
    <w:rsid w:val="007A5390"/>
    <w:rsid w:val="007B5626"/>
    <w:rsid w:val="007B6124"/>
    <w:rsid w:val="007B6735"/>
    <w:rsid w:val="007C0F4A"/>
    <w:rsid w:val="007C5525"/>
    <w:rsid w:val="007D3C53"/>
    <w:rsid w:val="007D5B15"/>
    <w:rsid w:val="007F2628"/>
    <w:rsid w:val="007F2FBA"/>
    <w:rsid w:val="007F3573"/>
    <w:rsid w:val="00800C3A"/>
    <w:rsid w:val="0080570B"/>
    <w:rsid w:val="00805D8F"/>
    <w:rsid w:val="008111E0"/>
    <w:rsid w:val="00813A71"/>
    <w:rsid w:val="008148E1"/>
    <w:rsid w:val="00827F92"/>
    <w:rsid w:val="008319BF"/>
    <w:rsid w:val="00842C61"/>
    <w:rsid w:val="008433C2"/>
    <w:rsid w:val="00844457"/>
    <w:rsid w:val="008454C8"/>
    <w:rsid w:val="00845E4D"/>
    <w:rsid w:val="00851D78"/>
    <w:rsid w:val="00853C40"/>
    <w:rsid w:val="008543B5"/>
    <w:rsid w:val="00872B9D"/>
    <w:rsid w:val="00875D6B"/>
    <w:rsid w:val="00881A2A"/>
    <w:rsid w:val="008A1A0D"/>
    <w:rsid w:val="008A5155"/>
    <w:rsid w:val="008A76ED"/>
    <w:rsid w:val="008B3C72"/>
    <w:rsid w:val="008C5BFA"/>
    <w:rsid w:val="008D0E09"/>
    <w:rsid w:val="008D31F9"/>
    <w:rsid w:val="008E7E97"/>
    <w:rsid w:val="00903007"/>
    <w:rsid w:val="00905DC7"/>
    <w:rsid w:val="009212DA"/>
    <w:rsid w:val="00923816"/>
    <w:rsid w:val="0093074B"/>
    <w:rsid w:val="00930E64"/>
    <w:rsid w:val="009321B7"/>
    <w:rsid w:val="0094157C"/>
    <w:rsid w:val="00956F8C"/>
    <w:rsid w:val="0095753F"/>
    <w:rsid w:val="00961D57"/>
    <w:rsid w:val="009708F8"/>
    <w:rsid w:val="00976716"/>
    <w:rsid w:val="0097693B"/>
    <w:rsid w:val="0097736E"/>
    <w:rsid w:val="0099049F"/>
    <w:rsid w:val="00991532"/>
    <w:rsid w:val="00991E83"/>
    <w:rsid w:val="00993355"/>
    <w:rsid w:val="00993ED9"/>
    <w:rsid w:val="009963F7"/>
    <w:rsid w:val="009A133E"/>
    <w:rsid w:val="009A4A6D"/>
    <w:rsid w:val="009A78BB"/>
    <w:rsid w:val="009B1081"/>
    <w:rsid w:val="009B5802"/>
    <w:rsid w:val="009B7E42"/>
    <w:rsid w:val="009C5918"/>
    <w:rsid w:val="009D76AA"/>
    <w:rsid w:val="009E13DD"/>
    <w:rsid w:val="009E42F8"/>
    <w:rsid w:val="009E46E0"/>
    <w:rsid w:val="00A0503B"/>
    <w:rsid w:val="00A111D4"/>
    <w:rsid w:val="00A13265"/>
    <w:rsid w:val="00A1482F"/>
    <w:rsid w:val="00A14900"/>
    <w:rsid w:val="00A2159F"/>
    <w:rsid w:val="00A421A0"/>
    <w:rsid w:val="00A529BC"/>
    <w:rsid w:val="00A5346C"/>
    <w:rsid w:val="00A562F0"/>
    <w:rsid w:val="00A564B5"/>
    <w:rsid w:val="00A564FB"/>
    <w:rsid w:val="00A614C1"/>
    <w:rsid w:val="00A61EA6"/>
    <w:rsid w:val="00A71136"/>
    <w:rsid w:val="00A76002"/>
    <w:rsid w:val="00A83D7A"/>
    <w:rsid w:val="00A83ECB"/>
    <w:rsid w:val="00AA474C"/>
    <w:rsid w:val="00AC35EF"/>
    <w:rsid w:val="00AD2697"/>
    <w:rsid w:val="00AD7E5F"/>
    <w:rsid w:val="00AE1D9B"/>
    <w:rsid w:val="00AE3066"/>
    <w:rsid w:val="00AF68E4"/>
    <w:rsid w:val="00B0082E"/>
    <w:rsid w:val="00B01AA1"/>
    <w:rsid w:val="00B13455"/>
    <w:rsid w:val="00B14463"/>
    <w:rsid w:val="00B25E16"/>
    <w:rsid w:val="00B30C81"/>
    <w:rsid w:val="00B34241"/>
    <w:rsid w:val="00B36080"/>
    <w:rsid w:val="00B4313E"/>
    <w:rsid w:val="00B447D0"/>
    <w:rsid w:val="00B4793B"/>
    <w:rsid w:val="00B64A60"/>
    <w:rsid w:val="00B70590"/>
    <w:rsid w:val="00B715B9"/>
    <w:rsid w:val="00B83EDF"/>
    <w:rsid w:val="00B86C70"/>
    <w:rsid w:val="00B9307A"/>
    <w:rsid w:val="00B937D7"/>
    <w:rsid w:val="00B96B67"/>
    <w:rsid w:val="00BB67B0"/>
    <w:rsid w:val="00BC57EF"/>
    <w:rsid w:val="00BD5540"/>
    <w:rsid w:val="00BD665F"/>
    <w:rsid w:val="00BF25F9"/>
    <w:rsid w:val="00C11620"/>
    <w:rsid w:val="00C13FD5"/>
    <w:rsid w:val="00C15633"/>
    <w:rsid w:val="00C15799"/>
    <w:rsid w:val="00C226E5"/>
    <w:rsid w:val="00C23B83"/>
    <w:rsid w:val="00C32E84"/>
    <w:rsid w:val="00C32F8A"/>
    <w:rsid w:val="00C35415"/>
    <w:rsid w:val="00C357AD"/>
    <w:rsid w:val="00C46B6F"/>
    <w:rsid w:val="00C47734"/>
    <w:rsid w:val="00C554CC"/>
    <w:rsid w:val="00C6069C"/>
    <w:rsid w:val="00C74745"/>
    <w:rsid w:val="00C81C84"/>
    <w:rsid w:val="00C831BD"/>
    <w:rsid w:val="00C84A6B"/>
    <w:rsid w:val="00C85119"/>
    <w:rsid w:val="00C8675B"/>
    <w:rsid w:val="00CA488B"/>
    <w:rsid w:val="00CA63B9"/>
    <w:rsid w:val="00CC574F"/>
    <w:rsid w:val="00CC6D57"/>
    <w:rsid w:val="00CD320B"/>
    <w:rsid w:val="00CD3F37"/>
    <w:rsid w:val="00CD4C1F"/>
    <w:rsid w:val="00CD5431"/>
    <w:rsid w:val="00CD5D71"/>
    <w:rsid w:val="00CE02B0"/>
    <w:rsid w:val="00CE4B93"/>
    <w:rsid w:val="00CF2491"/>
    <w:rsid w:val="00CF3963"/>
    <w:rsid w:val="00CF4D8B"/>
    <w:rsid w:val="00CF6B42"/>
    <w:rsid w:val="00D07C04"/>
    <w:rsid w:val="00D1252E"/>
    <w:rsid w:val="00D13D9D"/>
    <w:rsid w:val="00D26ACC"/>
    <w:rsid w:val="00D3283A"/>
    <w:rsid w:val="00D373CF"/>
    <w:rsid w:val="00D40FC4"/>
    <w:rsid w:val="00D459A2"/>
    <w:rsid w:val="00D530FF"/>
    <w:rsid w:val="00D53688"/>
    <w:rsid w:val="00D5407A"/>
    <w:rsid w:val="00D55656"/>
    <w:rsid w:val="00D57772"/>
    <w:rsid w:val="00D62128"/>
    <w:rsid w:val="00D70472"/>
    <w:rsid w:val="00D72AE3"/>
    <w:rsid w:val="00D75A4D"/>
    <w:rsid w:val="00D8478B"/>
    <w:rsid w:val="00D86151"/>
    <w:rsid w:val="00D9172D"/>
    <w:rsid w:val="00DA7595"/>
    <w:rsid w:val="00DB0A68"/>
    <w:rsid w:val="00DB3715"/>
    <w:rsid w:val="00DC24F3"/>
    <w:rsid w:val="00DC43A3"/>
    <w:rsid w:val="00DC4CF3"/>
    <w:rsid w:val="00DC5C01"/>
    <w:rsid w:val="00DD383E"/>
    <w:rsid w:val="00DD66E3"/>
    <w:rsid w:val="00DD7C09"/>
    <w:rsid w:val="00DE790D"/>
    <w:rsid w:val="00DF24E7"/>
    <w:rsid w:val="00DF6DE8"/>
    <w:rsid w:val="00E0124F"/>
    <w:rsid w:val="00E03542"/>
    <w:rsid w:val="00E131D0"/>
    <w:rsid w:val="00E15F4E"/>
    <w:rsid w:val="00E25084"/>
    <w:rsid w:val="00E25E60"/>
    <w:rsid w:val="00E47E8D"/>
    <w:rsid w:val="00E50266"/>
    <w:rsid w:val="00E561A3"/>
    <w:rsid w:val="00E62A0E"/>
    <w:rsid w:val="00E6417B"/>
    <w:rsid w:val="00E674D3"/>
    <w:rsid w:val="00E70FD0"/>
    <w:rsid w:val="00E727DD"/>
    <w:rsid w:val="00E77C4B"/>
    <w:rsid w:val="00E84028"/>
    <w:rsid w:val="00E871AA"/>
    <w:rsid w:val="00E87D7E"/>
    <w:rsid w:val="00E9301F"/>
    <w:rsid w:val="00E9690A"/>
    <w:rsid w:val="00E97DC7"/>
    <w:rsid w:val="00EA0C18"/>
    <w:rsid w:val="00EA1B75"/>
    <w:rsid w:val="00EA2355"/>
    <w:rsid w:val="00EA26A3"/>
    <w:rsid w:val="00EB72B4"/>
    <w:rsid w:val="00EC114C"/>
    <w:rsid w:val="00EF0A25"/>
    <w:rsid w:val="00EF1D71"/>
    <w:rsid w:val="00F000EF"/>
    <w:rsid w:val="00F0048F"/>
    <w:rsid w:val="00F23B6D"/>
    <w:rsid w:val="00F2504E"/>
    <w:rsid w:val="00F2585B"/>
    <w:rsid w:val="00F4053F"/>
    <w:rsid w:val="00F4162C"/>
    <w:rsid w:val="00F516E7"/>
    <w:rsid w:val="00F52657"/>
    <w:rsid w:val="00F539EA"/>
    <w:rsid w:val="00F5673C"/>
    <w:rsid w:val="00F57BF7"/>
    <w:rsid w:val="00F6263E"/>
    <w:rsid w:val="00F627C2"/>
    <w:rsid w:val="00F63759"/>
    <w:rsid w:val="00F84067"/>
    <w:rsid w:val="00F9328C"/>
    <w:rsid w:val="00FA0834"/>
    <w:rsid w:val="00FA3B85"/>
    <w:rsid w:val="00FA442C"/>
    <w:rsid w:val="00FA4E70"/>
    <w:rsid w:val="00FA50B4"/>
    <w:rsid w:val="00FB680B"/>
    <w:rsid w:val="00FC1253"/>
    <w:rsid w:val="00FC156A"/>
    <w:rsid w:val="00FD3CD4"/>
    <w:rsid w:val="00FD6235"/>
    <w:rsid w:val="00FE3DE5"/>
    <w:rsid w:val="00FE4812"/>
    <w:rsid w:val="00FF48C6"/>
    <w:rsid w:val="00FF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B5470BAE-8BD5-4440-9172-9D1D5884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iPriority w:val="99"/>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Date">
    <w:name w:val="Date"/>
    <w:basedOn w:val="Normal"/>
    <w:next w:val="Normal"/>
    <w:link w:val="DateChar"/>
    <w:rsid w:val="00007FC0"/>
  </w:style>
  <w:style w:type="character" w:customStyle="1" w:styleId="DateChar">
    <w:name w:val="Date Char"/>
    <w:basedOn w:val="DefaultParagraphFont"/>
    <w:link w:val="Date"/>
    <w:rsid w:val="00007FC0"/>
    <w:rPr>
      <w:rFonts w:eastAsia="BatangChe"/>
      <w:sz w:val="24"/>
      <w:szCs w:val="24"/>
    </w:rPr>
  </w:style>
  <w:style w:type="paragraph" w:styleId="PlainText">
    <w:name w:val="Plain Text"/>
    <w:basedOn w:val="Normal"/>
    <w:link w:val="PlainTextChar"/>
    <w:uiPriority w:val="99"/>
    <w:unhideWhenUsed/>
    <w:rsid w:val="00726D27"/>
    <w:rPr>
      <w:rFonts w:ascii="Calibri" w:eastAsiaTheme="minorEastAsia" w:hAnsi="Calibri"/>
      <w:sz w:val="22"/>
      <w:szCs w:val="22"/>
    </w:rPr>
  </w:style>
  <w:style w:type="character" w:customStyle="1" w:styleId="PlainTextChar">
    <w:name w:val="Plain Text Char"/>
    <w:basedOn w:val="DefaultParagraphFont"/>
    <w:link w:val="PlainText"/>
    <w:uiPriority w:val="99"/>
    <w:rsid w:val="00726D27"/>
    <w:rPr>
      <w:rFonts w:ascii="Calibri" w:eastAsiaTheme="minorEastAsia" w:hAnsi="Calibri"/>
      <w:sz w:val="22"/>
      <w:szCs w:val="22"/>
    </w:rPr>
  </w:style>
  <w:style w:type="paragraph" w:customStyle="1" w:styleId="Default">
    <w:name w:val="Default"/>
    <w:rsid w:val="00FF74C4"/>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0E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4313E"/>
    <w:rPr>
      <w:color w:val="800080" w:themeColor="followedHyperlink"/>
      <w:u w:val="single"/>
    </w:rPr>
  </w:style>
  <w:style w:type="paragraph" w:styleId="NormalWeb">
    <w:name w:val="Normal (Web)"/>
    <w:basedOn w:val="Normal"/>
    <w:uiPriority w:val="99"/>
    <w:unhideWhenUsed/>
    <w:rsid w:val="00314CEB"/>
    <w:pPr>
      <w:spacing w:before="100" w:beforeAutospacing="1" w:after="100" w:afterAutospacing="1"/>
    </w:pPr>
    <w:rPr>
      <w:rFonts w:eastAsia="Times New Roman"/>
      <w:lang w:val="en-ID"/>
    </w:rPr>
  </w:style>
  <w:style w:type="character" w:customStyle="1" w:styleId="UnresolvedMention">
    <w:name w:val="Unresolved Mention"/>
    <w:basedOn w:val="DefaultParagraphFont"/>
    <w:uiPriority w:val="99"/>
    <w:semiHidden/>
    <w:unhideWhenUsed/>
    <w:rsid w:val="0029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0073">
      <w:bodyDiv w:val="1"/>
      <w:marLeft w:val="0"/>
      <w:marRight w:val="0"/>
      <w:marTop w:val="0"/>
      <w:marBottom w:val="0"/>
      <w:divBdr>
        <w:top w:val="none" w:sz="0" w:space="0" w:color="auto"/>
        <w:left w:val="none" w:sz="0" w:space="0" w:color="auto"/>
        <w:bottom w:val="none" w:sz="0" w:space="0" w:color="auto"/>
        <w:right w:val="none" w:sz="0" w:space="0" w:color="auto"/>
      </w:divBdr>
    </w:div>
    <w:div w:id="867839454">
      <w:bodyDiv w:val="1"/>
      <w:marLeft w:val="0"/>
      <w:marRight w:val="0"/>
      <w:marTop w:val="0"/>
      <w:marBottom w:val="0"/>
      <w:divBdr>
        <w:top w:val="none" w:sz="0" w:space="0" w:color="auto"/>
        <w:left w:val="none" w:sz="0" w:space="0" w:color="auto"/>
        <w:bottom w:val="none" w:sz="0" w:space="0" w:color="auto"/>
        <w:right w:val="none" w:sz="0" w:space="0" w:color="auto"/>
      </w:divBdr>
    </w:div>
    <w:div w:id="930577601">
      <w:bodyDiv w:val="1"/>
      <w:marLeft w:val="0"/>
      <w:marRight w:val="0"/>
      <w:marTop w:val="0"/>
      <w:marBottom w:val="0"/>
      <w:divBdr>
        <w:top w:val="none" w:sz="0" w:space="0" w:color="auto"/>
        <w:left w:val="none" w:sz="0" w:space="0" w:color="auto"/>
        <w:bottom w:val="none" w:sz="0" w:space="0" w:color="auto"/>
        <w:right w:val="none" w:sz="0" w:space="0" w:color="auto"/>
      </w:divBdr>
    </w:div>
    <w:div w:id="935596345">
      <w:bodyDiv w:val="1"/>
      <w:marLeft w:val="0"/>
      <w:marRight w:val="0"/>
      <w:marTop w:val="0"/>
      <w:marBottom w:val="0"/>
      <w:divBdr>
        <w:top w:val="none" w:sz="0" w:space="0" w:color="auto"/>
        <w:left w:val="none" w:sz="0" w:space="0" w:color="auto"/>
        <w:bottom w:val="none" w:sz="0" w:space="0" w:color="auto"/>
        <w:right w:val="none" w:sz="0" w:space="0" w:color="auto"/>
      </w:divBdr>
      <w:divsChild>
        <w:div w:id="802891506">
          <w:marLeft w:val="0"/>
          <w:marRight w:val="0"/>
          <w:marTop w:val="0"/>
          <w:marBottom w:val="0"/>
          <w:divBdr>
            <w:top w:val="none" w:sz="0" w:space="0" w:color="auto"/>
            <w:left w:val="none" w:sz="0" w:space="0" w:color="auto"/>
            <w:bottom w:val="none" w:sz="0" w:space="0" w:color="auto"/>
            <w:right w:val="none" w:sz="0" w:space="0" w:color="auto"/>
          </w:divBdr>
          <w:divsChild>
            <w:div w:id="72898060">
              <w:marLeft w:val="0"/>
              <w:marRight w:val="0"/>
              <w:marTop w:val="0"/>
              <w:marBottom w:val="0"/>
              <w:divBdr>
                <w:top w:val="none" w:sz="0" w:space="0" w:color="auto"/>
                <w:left w:val="none" w:sz="0" w:space="0" w:color="auto"/>
                <w:bottom w:val="none" w:sz="0" w:space="0" w:color="auto"/>
                <w:right w:val="none" w:sz="0" w:space="0" w:color="auto"/>
              </w:divBdr>
              <w:divsChild>
                <w:div w:id="1946771723">
                  <w:marLeft w:val="0"/>
                  <w:marRight w:val="0"/>
                  <w:marTop w:val="0"/>
                  <w:marBottom w:val="0"/>
                  <w:divBdr>
                    <w:top w:val="none" w:sz="0" w:space="0" w:color="auto"/>
                    <w:left w:val="none" w:sz="0" w:space="0" w:color="auto"/>
                    <w:bottom w:val="none" w:sz="0" w:space="0" w:color="auto"/>
                    <w:right w:val="none" w:sz="0" w:space="0" w:color="auto"/>
                  </w:divBdr>
                  <w:divsChild>
                    <w:div w:id="4261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81865">
      <w:bodyDiv w:val="1"/>
      <w:marLeft w:val="0"/>
      <w:marRight w:val="0"/>
      <w:marTop w:val="0"/>
      <w:marBottom w:val="0"/>
      <w:divBdr>
        <w:top w:val="none" w:sz="0" w:space="0" w:color="auto"/>
        <w:left w:val="none" w:sz="0" w:space="0" w:color="auto"/>
        <w:bottom w:val="none" w:sz="0" w:space="0" w:color="auto"/>
        <w:right w:val="none" w:sz="0" w:space="0" w:color="auto"/>
      </w:divBdr>
    </w:div>
    <w:div w:id="1326393741">
      <w:bodyDiv w:val="1"/>
      <w:marLeft w:val="0"/>
      <w:marRight w:val="0"/>
      <w:marTop w:val="0"/>
      <w:marBottom w:val="0"/>
      <w:divBdr>
        <w:top w:val="none" w:sz="0" w:space="0" w:color="auto"/>
        <w:left w:val="none" w:sz="0" w:space="0" w:color="auto"/>
        <w:bottom w:val="none" w:sz="0" w:space="0" w:color="auto"/>
        <w:right w:val="none" w:sz="0" w:space="0" w:color="auto"/>
      </w:divBdr>
    </w:div>
    <w:div w:id="148539304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00331965">
      <w:bodyDiv w:val="1"/>
      <w:marLeft w:val="0"/>
      <w:marRight w:val="0"/>
      <w:marTop w:val="0"/>
      <w:marBottom w:val="0"/>
      <w:divBdr>
        <w:top w:val="none" w:sz="0" w:space="0" w:color="auto"/>
        <w:left w:val="none" w:sz="0" w:space="0" w:color="auto"/>
        <w:bottom w:val="none" w:sz="0" w:space="0" w:color="auto"/>
        <w:right w:val="none" w:sz="0" w:space="0" w:color="auto"/>
      </w:divBdr>
    </w:div>
    <w:div w:id="1699042635">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990">
      <w:bodyDiv w:val="1"/>
      <w:marLeft w:val="0"/>
      <w:marRight w:val="0"/>
      <w:marTop w:val="0"/>
      <w:marBottom w:val="0"/>
      <w:divBdr>
        <w:top w:val="none" w:sz="0" w:space="0" w:color="auto"/>
        <w:left w:val="none" w:sz="0" w:space="0" w:color="auto"/>
        <w:bottom w:val="none" w:sz="0" w:space="0" w:color="auto"/>
        <w:right w:val="none" w:sz="0" w:space="0" w:color="auto"/>
      </w:divBdr>
    </w:div>
    <w:div w:id="2000301727">
      <w:bodyDiv w:val="1"/>
      <w:marLeft w:val="0"/>
      <w:marRight w:val="0"/>
      <w:marTop w:val="0"/>
      <w:marBottom w:val="0"/>
      <w:divBdr>
        <w:top w:val="none" w:sz="0" w:space="0" w:color="auto"/>
        <w:left w:val="none" w:sz="0" w:space="0" w:color="auto"/>
        <w:bottom w:val="none" w:sz="0" w:space="0" w:color="auto"/>
        <w:right w:val="none" w:sz="0" w:space="0" w:color="auto"/>
      </w:divBdr>
      <w:divsChild>
        <w:div w:id="948508303">
          <w:marLeft w:val="0"/>
          <w:marRight w:val="0"/>
          <w:marTop w:val="0"/>
          <w:marBottom w:val="0"/>
          <w:divBdr>
            <w:top w:val="none" w:sz="0" w:space="0" w:color="auto"/>
            <w:left w:val="none" w:sz="0" w:space="0" w:color="auto"/>
            <w:bottom w:val="none" w:sz="0" w:space="0" w:color="auto"/>
            <w:right w:val="none" w:sz="0" w:space="0" w:color="auto"/>
          </w:divBdr>
          <w:divsChild>
            <w:div w:id="524289159">
              <w:marLeft w:val="0"/>
              <w:marRight w:val="0"/>
              <w:marTop w:val="0"/>
              <w:marBottom w:val="0"/>
              <w:divBdr>
                <w:top w:val="none" w:sz="0" w:space="0" w:color="auto"/>
                <w:left w:val="none" w:sz="0" w:space="0" w:color="auto"/>
                <w:bottom w:val="none" w:sz="0" w:space="0" w:color="auto"/>
                <w:right w:val="none" w:sz="0" w:space="0" w:color="auto"/>
              </w:divBdr>
              <w:divsChild>
                <w:div w:id="629015463">
                  <w:marLeft w:val="0"/>
                  <w:marRight w:val="0"/>
                  <w:marTop w:val="0"/>
                  <w:marBottom w:val="0"/>
                  <w:divBdr>
                    <w:top w:val="none" w:sz="0" w:space="0" w:color="auto"/>
                    <w:left w:val="none" w:sz="0" w:space="0" w:color="auto"/>
                    <w:bottom w:val="none" w:sz="0" w:space="0" w:color="auto"/>
                    <w:right w:val="none" w:sz="0" w:space="0" w:color="auto"/>
                  </w:divBdr>
                  <w:divsChild>
                    <w:div w:id="14340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18/12/APG19-4-INP-77_WP3_kor.docx" TargetMode="External"/><Relationship Id="rId18" Type="http://schemas.openxmlformats.org/officeDocument/2006/relationships/hyperlink" Target="https://www.apt.int/sites/default/files/2019/01/APG19-4-INF-24_RCC.pdf" TargetMode="External"/><Relationship Id="rId26" Type="http://schemas.openxmlformats.org/officeDocument/2006/relationships/hyperlink" Target="https://www.itu.int/dms_ties/itu-r/md/15/wp4a/c/R15-WP4A-C-0826!N27!MSW-E.docx" TargetMode="External"/><Relationship Id="rId21" Type="http://schemas.openxmlformats.org/officeDocument/2006/relationships/hyperlink" Target="https://www.apt.int/sites/default/files/2018/12/APG19-4-INP-55_Malaysia_WP3_AI1_4_7E_7I_Final.doc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pt.int/sites/default/files/2018/12/APG19-4-INP-61_3_J_WP3.docx" TargetMode="External"/><Relationship Id="rId17" Type="http://schemas.openxmlformats.org/officeDocument/2006/relationships/hyperlink" Target="https://www.apt.int/sites/default/files/2019/01/APG19-4-INF-23_CEPT_PPT.pdf" TargetMode="External"/><Relationship Id="rId25" Type="http://schemas.openxmlformats.org/officeDocument/2006/relationships/hyperlink" Target="https://www.apt.int/sites/default/files/2018/12/APG19-4-INP-98_China2_Preliminary_views_on_WRC-19_AI_1.4_1.5_1.6_7_9.1_issues_9.1.2_9.1.3_9.1.9.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pt.int/sites/default/files/2019/01/APG19-4-INF-22_CITEL_PPT.pdf" TargetMode="External"/><Relationship Id="rId20" Type="http://schemas.openxmlformats.org/officeDocument/2006/relationships/hyperlink" Target="https://www.apt.int/sites/default/files/2018/12/APG19-4-INP-31_THA3_WP3_AI_1.4_9.1.2_and_9.1.9.doc" TargetMode="External"/><Relationship Id="rId29" Type="http://schemas.openxmlformats.org/officeDocument/2006/relationships/hyperlink" Target="https://www.apt.int/sites/default/files/2019/01/APG19-4-INF-24_RC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18/12/APG19-4-INP-55_Malaysia_WP3_AI1_4_7E_7I_Final.docx" TargetMode="External"/><Relationship Id="rId24" Type="http://schemas.openxmlformats.org/officeDocument/2006/relationships/hyperlink" Target="https://www.apt.int/sites/default/files/2019/01/APG19-4-INP-92_WP3_Singapore_1.4_1.5_1.6_7.docx"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pt.int/sites/default/files/2018/12/APG19-4-INP-98_China2_Preliminary_views_on_WRC-19_AI_1.4_1.5_1.6_7_9.1_issues_9.1.2_9.1.3_9.1.9.docx" TargetMode="External"/><Relationship Id="rId23" Type="http://schemas.openxmlformats.org/officeDocument/2006/relationships/hyperlink" Target="https://www.apt.int/sites/default/files/2018/12/APG19-4-INP-77_WP3_kor.docx" TargetMode="External"/><Relationship Id="rId28" Type="http://schemas.openxmlformats.org/officeDocument/2006/relationships/hyperlink" Target="https://www.apt.int/sites/default/files/2019/01/APG19-4-INF-23_CEPT_PPT.pdf" TargetMode="External"/><Relationship Id="rId36" Type="http://schemas.openxmlformats.org/officeDocument/2006/relationships/fontTable" Target="fontTable.xml"/><Relationship Id="rId10" Type="http://schemas.openxmlformats.org/officeDocument/2006/relationships/hyperlink" Target="https://www.apt.int/sites/default/files/2018/12/APG19-4-INP-31_THA3_WP3_AI_1.4_9.1.2_and_9.1.9.doc" TargetMode="External"/><Relationship Id="rId19" Type="http://schemas.openxmlformats.org/officeDocument/2006/relationships/hyperlink" Target="https://www.apt.int/sites/default/files/2019/01/APG19-4-INP-17_AUS3_-_Australian_Contribution_to_APG19-4_Chapter_3.docx" TargetMode="External"/><Relationship Id="rId31" Type="http://schemas.openxmlformats.org/officeDocument/2006/relationships/hyperlink" Target="https://www.itu.int/md/R15-2NDWRC19PREPWORK-C-0006/en" TargetMode="External"/><Relationship Id="rId4" Type="http://schemas.openxmlformats.org/officeDocument/2006/relationships/settings" Target="settings.xml"/><Relationship Id="rId9" Type="http://schemas.openxmlformats.org/officeDocument/2006/relationships/hyperlink" Target="https://www.apt.int/sites/default/files/2019/01/APG19-4-INP-17_AUS3_-_Australian_Contribution_to_APG19-4_Chapter_3.docx" TargetMode="External"/><Relationship Id="rId14" Type="http://schemas.openxmlformats.org/officeDocument/2006/relationships/hyperlink" Target="https://www.apt.int/sites/default/files/2019/01/APG19-4-INP-92_WP3_Singapore_1.4_1.5_1.6_7.docx" TargetMode="External"/><Relationship Id="rId22" Type="http://schemas.openxmlformats.org/officeDocument/2006/relationships/hyperlink" Target="https://www.apt.int/sites/default/files/2018/12/APG19-4-INP-61_3_J_WP3.docx" TargetMode="External"/><Relationship Id="rId27" Type="http://schemas.openxmlformats.org/officeDocument/2006/relationships/hyperlink" Target="https://www.apt.int/sites/default/files/2019/01/APG19-4-INF-22_CITEL_PPT.pdf" TargetMode="External"/><Relationship Id="rId30" Type="http://schemas.openxmlformats.org/officeDocument/2006/relationships/hyperlink" Target="https://www.itu.int/md/R15-2NDWRC19PREPWORK-C-0018/en" TargetMode="Externa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mailto:Abe.Muneo@cj.MitsubishiElectri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F766-2DE1-4A0B-8CE5-71B081CD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2502</Words>
  <Characters>14263</Characters>
  <Application>Microsoft Office Word</Application>
  <DocSecurity>0</DocSecurity>
  <Lines>118</Lines>
  <Paragraphs>33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2015-02-02T07:28:00Z</cp:lastPrinted>
  <dcterms:created xsi:type="dcterms:W3CDTF">2019-01-15T02:29:00Z</dcterms:created>
  <dcterms:modified xsi:type="dcterms:W3CDTF">2019-01-15T02:29:00Z</dcterms:modified>
</cp:coreProperties>
</file>