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693F41" w:rsidRPr="00891D0B" w14:paraId="1A0F2089" w14:textId="77777777" w:rsidTr="00214505">
        <w:trPr>
          <w:cantSplit/>
          <w:trHeight w:val="288"/>
        </w:trPr>
        <w:tc>
          <w:tcPr>
            <w:tcW w:w="1399" w:type="dxa"/>
            <w:vMerge w:val="restart"/>
          </w:tcPr>
          <w:p w14:paraId="18D0248B" w14:textId="77777777" w:rsidR="00693F41" w:rsidRPr="00891D0B" w:rsidRDefault="00693F41" w:rsidP="0021450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2A2B6DB6" wp14:editId="5F1C9DC1">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04169921" w14:textId="77777777" w:rsidR="00693F41" w:rsidRPr="00891D0B" w:rsidRDefault="00693F41" w:rsidP="00214505">
            <w:pPr>
              <w:spacing w:before="40"/>
              <w:rPr>
                <w:sz w:val="22"/>
                <w:szCs w:val="22"/>
              </w:rPr>
            </w:pPr>
            <w:r w:rsidRPr="00891D0B">
              <w:rPr>
                <w:sz w:val="22"/>
                <w:szCs w:val="22"/>
              </w:rPr>
              <w:t>ASIA-PACIFIC TELECOMMUNITY</w:t>
            </w:r>
          </w:p>
        </w:tc>
        <w:tc>
          <w:tcPr>
            <w:tcW w:w="2160" w:type="dxa"/>
          </w:tcPr>
          <w:p w14:paraId="71FD360A" w14:textId="77777777" w:rsidR="00693F41" w:rsidRPr="00891D0B" w:rsidRDefault="00693F41" w:rsidP="00214505">
            <w:pPr>
              <w:pStyle w:val="Heading8"/>
              <w:spacing w:before="40"/>
              <w:rPr>
                <w:sz w:val="24"/>
                <w:szCs w:val="24"/>
              </w:rPr>
            </w:pPr>
            <w:r>
              <w:rPr>
                <w:sz w:val="24"/>
                <w:szCs w:val="24"/>
              </w:rPr>
              <w:t>Document No:</w:t>
            </w:r>
          </w:p>
        </w:tc>
      </w:tr>
      <w:tr w:rsidR="00693F41" w:rsidRPr="00C15799" w14:paraId="1F0A1A9D" w14:textId="77777777" w:rsidTr="00214505">
        <w:trPr>
          <w:cantSplit/>
          <w:trHeight w:val="504"/>
        </w:trPr>
        <w:tc>
          <w:tcPr>
            <w:tcW w:w="1399" w:type="dxa"/>
            <w:vMerge/>
          </w:tcPr>
          <w:p w14:paraId="515FE7D5" w14:textId="77777777" w:rsidR="00693F41" w:rsidRPr="00891D0B" w:rsidRDefault="00693F41" w:rsidP="00214505"/>
        </w:tc>
        <w:tc>
          <w:tcPr>
            <w:tcW w:w="5760" w:type="dxa"/>
            <w:vAlign w:val="center"/>
          </w:tcPr>
          <w:p w14:paraId="674DBBD4" w14:textId="77777777" w:rsidR="00693F41" w:rsidRDefault="00693F41" w:rsidP="00214505">
            <w:pPr>
              <w:spacing w:before="40"/>
              <w:rPr>
                <w:b/>
              </w:rPr>
            </w:pPr>
            <w:r>
              <w:rPr>
                <w:b/>
              </w:rPr>
              <w:t>The 4th Meeting of the APT Conference Preparatory</w:t>
            </w:r>
          </w:p>
          <w:p w14:paraId="2C2BB1F9" w14:textId="77777777" w:rsidR="00693F41" w:rsidRPr="00891D0B" w:rsidRDefault="00693F41" w:rsidP="00214505">
            <w:pPr>
              <w:spacing w:line="0" w:lineRule="atLeast"/>
            </w:pPr>
            <w:r>
              <w:rPr>
                <w:b/>
              </w:rPr>
              <w:t>Group for WRC-19 (APG19-4)</w:t>
            </w:r>
          </w:p>
        </w:tc>
        <w:tc>
          <w:tcPr>
            <w:tcW w:w="2160" w:type="dxa"/>
          </w:tcPr>
          <w:p w14:paraId="23575DE6" w14:textId="00407EC7" w:rsidR="00693F41" w:rsidRDefault="00693F41" w:rsidP="00214505">
            <w:pPr>
              <w:spacing w:before="40"/>
              <w:rPr>
                <w:b/>
                <w:bCs/>
                <w:lang w:val="fr-FR"/>
              </w:rPr>
            </w:pPr>
            <w:r w:rsidRPr="00C96104">
              <w:rPr>
                <w:b/>
                <w:bCs/>
                <w:lang w:val="fr-FR"/>
              </w:rPr>
              <w:t>AP</w:t>
            </w:r>
            <w:r>
              <w:rPr>
                <w:b/>
                <w:bCs/>
                <w:lang w:val="fr-FR"/>
              </w:rPr>
              <w:t>G19-4/</w:t>
            </w:r>
            <w:r>
              <w:rPr>
                <w:b/>
                <w:bCs/>
                <w:lang w:val="fr-FR"/>
              </w:rPr>
              <w:t>OUT-23</w:t>
            </w:r>
          </w:p>
          <w:p w14:paraId="69B9FC1F" w14:textId="77777777" w:rsidR="00693F41" w:rsidRPr="007E1FDD" w:rsidRDefault="00693F41" w:rsidP="00214505">
            <w:pPr>
              <w:rPr>
                <w:b/>
                <w:bCs/>
                <w:lang w:val="en-GB"/>
              </w:rPr>
            </w:pPr>
          </w:p>
        </w:tc>
      </w:tr>
      <w:tr w:rsidR="00693F41" w:rsidRPr="00891D0B" w14:paraId="3E4CFA4F" w14:textId="77777777" w:rsidTr="00214505">
        <w:trPr>
          <w:cantSplit/>
          <w:trHeight w:val="288"/>
        </w:trPr>
        <w:tc>
          <w:tcPr>
            <w:tcW w:w="1399" w:type="dxa"/>
            <w:vMerge/>
          </w:tcPr>
          <w:p w14:paraId="61ABBB58" w14:textId="77777777" w:rsidR="00693F41" w:rsidRPr="007E1FDD" w:rsidRDefault="00693F41" w:rsidP="00214505">
            <w:pPr>
              <w:rPr>
                <w:lang w:val="en-GB"/>
              </w:rPr>
            </w:pPr>
          </w:p>
        </w:tc>
        <w:tc>
          <w:tcPr>
            <w:tcW w:w="5760" w:type="dxa"/>
            <w:vAlign w:val="bottom"/>
          </w:tcPr>
          <w:p w14:paraId="143F15A8" w14:textId="77777777" w:rsidR="00693F41" w:rsidRPr="00712451" w:rsidRDefault="00693F41" w:rsidP="00214505">
            <w:pPr>
              <w:spacing w:before="40"/>
              <w:rPr>
                <w:b/>
              </w:rPr>
            </w:pPr>
            <w:r>
              <w:t>7 – 12 January 2019</w:t>
            </w:r>
            <w:r w:rsidRPr="00891D0B">
              <w:t xml:space="preserve">, </w:t>
            </w:r>
            <w:r>
              <w:t>Busan, Republic of Korea</w:t>
            </w:r>
          </w:p>
        </w:tc>
        <w:tc>
          <w:tcPr>
            <w:tcW w:w="2160" w:type="dxa"/>
            <w:vAlign w:val="bottom"/>
          </w:tcPr>
          <w:p w14:paraId="532E9D14" w14:textId="352DA874" w:rsidR="00693F41" w:rsidRPr="007E1FDD" w:rsidRDefault="00693F41" w:rsidP="00693F41">
            <w:pPr>
              <w:spacing w:before="40"/>
              <w:rPr>
                <w:bCs/>
              </w:rPr>
            </w:pPr>
            <w:r>
              <w:rPr>
                <w:bCs/>
              </w:rPr>
              <w:t>12 January</w:t>
            </w:r>
            <w:r w:rsidRPr="007E1FDD">
              <w:rPr>
                <w:bCs/>
              </w:rPr>
              <w:t xml:space="preserve"> 201</w:t>
            </w:r>
            <w:r>
              <w:rPr>
                <w:bCs/>
              </w:rPr>
              <w:t>9</w:t>
            </w:r>
          </w:p>
        </w:tc>
      </w:tr>
    </w:tbl>
    <w:p w14:paraId="2E0E673C" w14:textId="77777777" w:rsidR="00D13D9D" w:rsidRPr="00441526" w:rsidRDefault="00D13D9D" w:rsidP="00DA7595">
      <w:pPr>
        <w:rPr>
          <w:lang w:val="en-NZ" w:eastAsia="ko-KR"/>
        </w:rPr>
      </w:pPr>
    </w:p>
    <w:p w14:paraId="2E0E6743" w14:textId="77777777" w:rsidR="00930E64" w:rsidRPr="00441526" w:rsidRDefault="00930E64" w:rsidP="0084673B">
      <w:pPr>
        <w:rPr>
          <w:lang w:val="en-NZ"/>
        </w:rPr>
      </w:pPr>
    </w:p>
    <w:p w14:paraId="6B87D6B9" w14:textId="5C64140A" w:rsidR="00676CB6" w:rsidRPr="00E86890" w:rsidRDefault="008E7A62" w:rsidP="00676CB6">
      <w:pPr>
        <w:jc w:val="center"/>
        <w:rPr>
          <w:lang w:val="id-ID" w:eastAsia="ko-KR"/>
        </w:rPr>
      </w:pPr>
      <w:r>
        <w:rPr>
          <w:lang w:val="id-ID" w:eastAsia="ko-KR"/>
        </w:rPr>
        <w:t>Working Party 2</w:t>
      </w:r>
    </w:p>
    <w:p w14:paraId="55456A5F" w14:textId="77777777" w:rsidR="00676CB6" w:rsidRPr="00441526" w:rsidRDefault="00676CB6" w:rsidP="00676CB6">
      <w:pPr>
        <w:jc w:val="center"/>
        <w:rPr>
          <w:b/>
          <w:bCs/>
          <w:caps/>
          <w:lang w:val="en-NZ"/>
        </w:rPr>
      </w:pPr>
    </w:p>
    <w:p w14:paraId="2E0E6746" w14:textId="3CB1A9CF" w:rsidR="00B64A60" w:rsidRPr="00441526" w:rsidRDefault="00676CB6" w:rsidP="00676CB6">
      <w:pPr>
        <w:jc w:val="center"/>
        <w:rPr>
          <w:b/>
          <w:bCs/>
          <w:caps/>
          <w:lang w:val="en-NZ"/>
        </w:rPr>
      </w:pPr>
      <w:r w:rsidRPr="00441526">
        <w:rPr>
          <w:b/>
          <w:bCs/>
          <w:caps/>
          <w:lang w:val="en-NZ"/>
        </w:rPr>
        <w:t xml:space="preserve">PRELIMINARY VIEWs on WRC-19 agenda item </w:t>
      </w:r>
      <w:r>
        <w:rPr>
          <w:b/>
          <w:bCs/>
          <w:caps/>
          <w:lang w:val="en-NZ"/>
        </w:rPr>
        <w:t xml:space="preserve">9.1 </w:t>
      </w:r>
      <w:r w:rsidR="00693F41">
        <w:rPr>
          <w:b/>
          <w:bCs/>
          <w:caps/>
          <w:lang w:val="en-NZ"/>
        </w:rPr>
        <w:t>(</w:t>
      </w:r>
      <w:r>
        <w:rPr>
          <w:b/>
          <w:bCs/>
          <w:caps/>
          <w:lang w:val="en-NZ"/>
        </w:rPr>
        <w:t>ISSUE 9.1.8</w:t>
      </w:r>
      <w:r w:rsidR="00693F41">
        <w:rPr>
          <w:b/>
          <w:bCs/>
          <w:caps/>
          <w:lang w:val="en-NZ"/>
        </w:rPr>
        <w:t>)</w:t>
      </w:r>
    </w:p>
    <w:p w14:paraId="2E0E6747" w14:textId="77777777" w:rsidR="00B64A60" w:rsidRPr="00441526" w:rsidRDefault="00B64A60" w:rsidP="00264566">
      <w:pPr>
        <w:spacing w:after="120"/>
        <w:rPr>
          <w:lang w:val="en-NZ"/>
        </w:rPr>
      </w:pPr>
    </w:p>
    <w:p w14:paraId="4679A988" w14:textId="77777777" w:rsidR="00676CB6" w:rsidRDefault="00676CB6" w:rsidP="00E86890">
      <w:pPr>
        <w:spacing w:after="240"/>
        <w:jc w:val="both"/>
      </w:pPr>
      <w:r>
        <w:rPr>
          <w:b/>
        </w:rPr>
        <w:t xml:space="preserve">Agenda Item </w:t>
      </w:r>
      <w:r>
        <w:rPr>
          <w:rFonts w:hint="eastAsia"/>
          <w:b/>
          <w:lang w:eastAsia="ko-KR"/>
        </w:rPr>
        <w:t>9</w:t>
      </w:r>
      <w:r>
        <w:rPr>
          <w:b/>
        </w:rPr>
        <w:t>.1</w:t>
      </w:r>
      <w:r>
        <w:rPr>
          <w:rFonts w:hint="eastAsia"/>
          <w:b/>
          <w:lang w:eastAsia="ko-KR"/>
        </w:rPr>
        <w:t xml:space="preserve"> </w:t>
      </w:r>
      <w:r>
        <w:rPr>
          <w:b/>
        </w:rPr>
        <w:t>Issue</w:t>
      </w:r>
      <w:r w:rsidRPr="00A858A8">
        <w:rPr>
          <w:b/>
        </w:rPr>
        <w:t xml:space="preserve"> </w:t>
      </w:r>
      <w:r w:rsidRPr="00A858A8">
        <w:rPr>
          <w:rFonts w:eastAsia="MS Mincho"/>
          <w:b/>
          <w:lang w:eastAsia="ja-JP"/>
        </w:rPr>
        <w:t>9.1.8</w:t>
      </w:r>
      <w:r w:rsidRPr="00A858A8">
        <w:rPr>
          <w:b/>
        </w:rPr>
        <w:t>:</w:t>
      </w:r>
      <w:r>
        <w:rPr>
          <w:b/>
        </w:rPr>
        <w:t xml:space="preserve"> </w:t>
      </w:r>
    </w:p>
    <w:p w14:paraId="2E0E6749" w14:textId="4469978E" w:rsidR="00B64A60" w:rsidRPr="00441526" w:rsidRDefault="00676CB6" w:rsidP="00676CB6">
      <w:pPr>
        <w:spacing w:after="120"/>
        <w:jc w:val="both"/>
        <w:rPr>
          <w:i/>
          <w:lang w:val="en-NZ"/>
        </w:rPr>
      </w:pPr>
      <w:r w:rsidRPr="00386262">
        <w:rPr>
          <w:i/>
          <w:iCs/>
          <w:lang w:val="id-ID"/>
        </w:rPr>
        <w:t>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Radiocommunication Sector (ITU-R) scope of work</w:t>
      </w:r>
      <w:r w:rsidRPr="00C113B6">
        <w:rPr>
          <w:i/>
        </w:rPr>
        <w:t xml:space="preserve">, in accordance with </w:t>
      </w:r>
      <w:r w:rsidRPr="0085248E">
        <w:rPr>
          <w:i/>
        </w:rPr>
        <w:t>Resolution</w:t>
      </w:r>
      <w:r w:rsidRPr="009B046A">
        <w:rPr>
          <w:i/>
          <w:iCs/>
        </w:rPr>
        <w:t xml:space="preserve"> </w:t>
      </w:r>
      <w:r w:rsidRPr="009B046A">
        <w:rPr>
          <w:b/>
          <w:i/>
          <w:iCs/>
        </w:rPr>
        <w:t>958 (WRC-15)</w:t>
      </w:r>
    </w:p>
    <w:p w14:paraId="2E0E674A" w14:textId="77777777" w:rsidR="00B64A60" w:rsidRPr="00441526" w:rsidRDefault="00B64A60" w:rsidP="00B64A60">
      <w:pPr>
        <w:jc w:val="both"/>
        <w:rPr>
          <w:lang w:val="en-NZ"/>
        </w:rPr>
      </w:pPr>
    </w:p>
    <w:p w14:paraId="2E0E674B" w14:textId="0B9C1E33" w:rsidR="00B64A60" w:rsidRPr="00441526" w:rsidRDefault="00B64A60" w:rsidP="00B64A60">
      <w:pPr>
        <w:spacing w:after="120"/>
        <w:jc w:val="both"/>
        <w:rPr>
          <w:b/>
          <w:lang w:val="en-NZ" w:eastAsia="ko-KR"/>
        </w:rPr>
      </w:pPr>
      <w:r w:rsidRPr="00441526">
        <w:rPr>
          <w:b/>
          <w:lang w:val="en-NZ" w:eastAsia="ko-KR"/>
        </w:rPr>
        <w:t xml:space="preserve">1. </w:t>
      </w:r>
      <w:r w:rsidRPr="00441526">
        <w:rPr>
          <w:b/>
          <w:lang w:val="en-NZ" w:eastAsia="ko-KR"/>
        </w:rPr>
        <w:tab/>
        <w:t>Background</w:t>
      </w:r>
    </w:p>
    <w:p w14:paraId="1107E0A8" w14:textId="77777777" w:rsidR="00331A35" w:rsidRDefault="00331A35" w:rsidP="00331A35">
      <w:pPr>
        <w:spacing w:afterLines="60" w:after="144"/>
        <w:jc w:val="both"/>
        <w:rPr>
          <w:lang w:eastAsia="ko-KR"/>
        </w:rPr>
      </w:pPr>
      <w:r w:rsidRPr="00BA6E4B">
        <w:rPr>
          <w:rFonts w:hint="eastAsia"/>
          <w:lang w:eastAsia="ko-KR"/>
        </w:rPr>
        <w:t xml:space="preserve">Resolution </w:t>
      </w:r>
      <w:r w:rsidRPr="00BA6E4B">
        <w:rPr>
          <w:rFonts w:hint="eastAsia"/>
          <w:b/>
          <w:lang w:eastAsia="ko-KR"/>
        </w:rPr>
        <w:t>958 (WRC-15)</w:t>
      </w:r>
      <w:r w:rsidRPr="00BA6E4B">
        <w:rPr>
          <w:rFonts w:hint="eastAsia"/>
          <w:lang w:eastAsia="ko-KR"/>
        </w:rPr>
        <w:t xml:space="preserve"> calls for </w:t>
      </w:r>
      <w:r w:rsidRPr="00BA6E4B">
        <w:rPr>
          <w:lang w:eastAsia="ko-KR"/>
        </w:rPr>
        <w:t>ITU-R to study technical and operational aspects of radio networks and systems, as well as spectrum needed, including</w:t>
      </w:r>
      <w:r w:rsidRPr="00BA6E4B">
        <w:rPr>
          <w:rFonts w:hint="eastAsia"/>
          <w:lang w:eastAsia="ko-KR"/>
        </w:rPr>
        <w:t xml:space="preserve"> </w:t>
      </w:r>
      <w:r w:rsidRPr="00BA6E4B">
        <w:rPr>
          <w:lang w:eastAsia="ko-KR"/>
        </w:rPr>
        <w:t>possible harmonized use of spectrum for narrowband and broadband machine-type communication (MTC)</w:t>
      </w:r>
      <w:r>
        <w:rPr>
          <w:lang w:eastAsia="ko-KR"/>
        </w:rPr>
        <w:t xml:space="preserve"> </w:t>
      </w:r>
      <w:r>
        <w:rPr>
          <w:lang w:val="id-ID" w:eastAsia="ko-KR"/>
        </w:rPr>
        <w:t>infrastructure</w:t>
      </w:r>
      <w:r w:rsidRPr="00BA6E4B">
        <w:rPr>
          <w:lang w:eastAsia="ko-KR"/>
        </w:rPr>
        <w:t xml:space="preserve"> in order to develop Recommendations, Reports and/or Handbooks, as appropriate</w:t>
      </w:r>
      <w:r w:rsidRPr="00BA6E4B">
        <w:rPr>
          <w:rFonts w:hint="eastAsia"/>
          <w:lang w:eastAsia="ko-KR"/>
        </w:rPr>
        <w:t xml:space="preserve">. </w:t>
      </w:r>
    </w:p>
    <w:p w14:paraId="4F65D36C" w14:textId="240AFA07" w:rsidR="00B564E1" w:rsidRDefault="00331A35" w:rsidP="00D67F7F">
      <w:pPr>
        <w:spacing w:afterLines="60" w:after="144"/>
        <w:jc w:val="both"/>
        <w:rPr>
          <w:lang w:val="id-ID"/>
        </w:rPr>
      </w:pPr>
      <w:r w:rsidRPr="006844DA">
        <w:rPr>
          <w:rFonts w:hint="eastAsia"/>
          <w:lang w:eastAsia="ko-KR"/>
        </w:rPr>
        <w:t>ITU</w:t>
      </w:r>
      <w:r w:rsidRPr="006D1A57">
        <w:rPr>
          <w:rFonts w:hint="eastAsia"/>
          <w:lang w:eastAsia="zh-CN"/>
        </w:rPr>
        <w:t>-R Working Party 5D (WP 5D)</w:t>
      </w:r>
      <w:r w:rsidRPr="006D1A57">
        <w:rPr>
          <w:rFonts w:hint="eastAsia"/>
          <w:lang w:eastAsia="ko-KR"/>
        </w:rPr>
        <w:t>,</w:t>
      </w:r>
      <w:r w:rsidRPr="006D1A57">
        <w:rPr>
          <w:rFonts w:hint="eastAsia"/>
          <w:lang w:eastAsia="zh-CN"/>
        </w:rPr>
        <w:t xml:space="preserve"> </w:t>
      </w:r>
      <w:r w:rsidRPr="006D1A57">
        <w:rPr>
          <w:rFonts w:hint="eastAsia"/>
          <w:lang w:eastAsia="ko-KR"/>
        </w:rPr>
        <w:t xml:space="preserve">which </w:t>
      </w:r>
      <w:r w:rsidRPr="00D8201F">
        <w:rPr>
          <w:lang w:eastAsia="zh-CN"/>
        </w:rPr>
        <w:t xml:space="preserve">is the responsible group </w:t>
      </w:r>
      <w:r w:rsidRPr="00D8201F">
        <w:rPr>
          <w:rFonts w:hint="eastAsia"/>
          <w:lang w:eastAsia="zh-CN"/>
        </w:rPr>
        <w:t>on</w:t>
      </w:r>
      <w:r w:rsidRPr="00D8201F">
        <w:rPr>
          <w:lang w:eastAsia="zh-CN"/>
        </w:rPr>
        <w:t xml:space="preserve"> Agenda Item </w:t>
      </w:r>
      <w:r w:rsidRPr="00D8201F">
        <w:rPr>
          <w:rFonts w:hint="eastAsia"/>
          <w:lang w:eastAsia="zh-CN"/>
        </w:rPr>
        <w:t>9.1 (Issue 9.1.8)</w:t>
      </w:r>
      <w:r w:rsidRPr="00D8201F">
        <w:rPr>
          <w:rFonts w:hint="eastAsia"/>
          <w:lang w:eastAsia="ko-KR"/>
        </w:rPr>
        <w:t xml:space="preserve">, </w:t>
      </w:r>
      <w:r w:rsidR="008104CC">
        <w:rPr>
          <w:lang w:val="id-ID" w:eastAsia="ko-KR"/>
        </w:rPr>
        <w:t xml:space="preserve"> has developed </w:t>
      </w:r>
      <w:r w:rsidR="0006349B">
        <w:rPr>
          <w:rStyle w:val="Hyperlink"/>
          <w:lang w:val="id-ID" w:eastAsia="ko-KR"/>
        </w:rPr>
        <w:fldChar w:fldCharType="begin"/>
      </w:r>
      <w:r w:rsidR="0006349B">
        <w:rPr>
          <w:rStyle w:val="Hyperlink"/>
          <w:lang w:val="id-ID" w:eastAsia="ko-KR"/>
        </w:rPr>
        <w:instrText xml:space="preserve"> HYPERLINK "https://www.itu.int/dms_pub/itu-r/opb/rep/R-REP-M.2440-2018-PDF-E.pdf" </w:instrText>
      </w:r>
      <w:r w:rsidR="0006349B">
        <w:rPr>
          <w:rStyle w:val="Hyperlink"/>
          <w:lang w:val="id-ID" w:eastAsia="ko-KR"/>
        </w:rPr>
        <w:fldChar w:fldCharType="separate"/>
      </w:r>
      <w:r w:rsidR="008104CC" w:rsidRPr="008104CC">
        <w:rPr>
          <w:rStyle w:val="Hyperlink"/>
          <w:lang w:val="id-ID" w:eastAsia="ko-KR"/>
        </w:rPr>
        <w:t>report ITU-R M.2440</w:t>
      </w:r>
      <w:r w:rsidR="0006349B">
        <w:rPr>
          <w:rStyle w:val="Hyperlink"/>
          <w:lang w:val="id-ID" w:eastAsia="ko-KR"/>
        </w:rPr>
        <w:fldChar w:fldCharType="end"/>
      </w:r>
      <w:r w:rsidRPr="006D1A57">
        <w:rPr>
          <w:lang w:val="id-ID"/>
        </w:rPr>
        <w:t xml:space="preserve">, </w:t>
      </w:r>
      <w:r w:rsidRPr="006D1A57">
        <w:rPr>
          <w:rFonts w:hint="eastAsia"/>
          <w:lang w:eastAsia="ko-KR"/>
        </w:rPr>
        <w:t>and the draft CPM text</w:t>
      </w:r>
      <w:r w:rsidRPr="00D8201F">
        <w:rPr>
          <w:lang w:val="id-ID" w:eastAsia="ko-KR"/>
        </w:rPr>
        <w:t xml:space="preserve"> </w:t>
      </w:r>
      <w:r w:rsidRPr="00D8201F">
        <w:t>in</w:t>
      </w:r>
      <w:r w:rsidR="004E5BEC">
        <w:rPr>
          <w:lang w:val="id-ID"/>
        </w:rPr>
        <w:t xml:space="preserve"> </w:t>
      </w:r>
      <w:hyperlink r:id="rId9" w:history="1">
        <w:r w:rsidR="004E5BEC" w:rsidRPr="004E5BEC">
          <w:rPr>
            <w:rStyle w:val="Hyperlink"/>
            <w:lang w:val="id-ID"/>
          </w:rPr>
          <w:t>Document CPM19-2/1-E</w:t>
        </w:r>
      </w:hyperlink>
      <w:r w:rsidR="00C70F04">
        <w:t xml:space="preserve">, </w:t>
      </w:r>
      <w:r w:rsidRPr="004E5BEC">
        <w:rPr>
          <w:iCs/>
        </w:rPr>
        <w:t xml:space="preserve">Chapter </w:t>
      </w:r>
      <w:r w:rsidR="00A82728" w:rsidRPr="004E5BEC">
        <w:rPr>
          <w:iCs/>
          <w:lang w:val="id-ID"/>
        </w:rPr>
        <w:t>2 (Agenda Item 9.1 (9.1.8))</w:t>
      </w:r>
      <w:r w:rsidRPr="006844DA">
        <w:rPr>
          <w:rFonts w:hint="eastAsia"/>
          <w:lang w:eastAsia="ko-KR"/>
        </w:rPr>
        <w:t>.</w:t>
      </w:r>
      <w:r w:rsidRPr="006D1A57">
        <w:rPr>
          <w:lang w:val="id-ID" w:eastAsia="ko-KR"/>
        </w:rPr>
        <w:t xml:space="preserve"> </w:t>
      </w:r>
      <w:r w:rsidRPr="00D67F7F">
        <w:rPr>
          <w:lang w:val="id-ID" w:eastAsia="ko-KR"/>
        </w:rPr>
        <w:t xml:space="preserve">ITU-R </w:t>
      </w:r>
      <w:r w:rsidRPr="00D67F7F">
        <w:rPr>
          <w:lang w:val="en-NZ"/>
        </w:rPr>
        <w:t>WPs 1B</w:t>
      </w:r>
      <w:r w:rsidR="005F0487">
        <w:rPr>
          <w:lang w:val="en-NZ"/>
        </w:rPr>
        <w:t xml:space="preserve">, </w:t>
      </w:r>
      <w:r w:rsidR="00662620">
        <w:rPr>
          <w:lang w:val="en-NZ"/>
        </w:rPr>
        <w:t xml:space="preserve">and </w:t>
      </w:r>
      <w:r w:rsidR="005F0487">
        <w:rPr>
          <w:lang w:val="en-NZ"/>
        </w:rPr>
        <w:t>5A</w:t>
      </w:r>
      <w:r w:rsidRPr="00D67F7F">
        <w:rPr>
          <w:lang w:val="en-NZ"/>
        </w:rPr>
        <w:t xml:space="preserve"> as the concerned groups, have </w:t>
      </w:r>
      <w:r w:rsidRPr="00D67F7F">
        <w:rPr>
          <w:lang w:val="id-ID"/>
        </w:rPr>
        <w:t xml:space="preserve">also </w:t>
      </w:r>
      <w:r w:rsidRPr="00D67F7F">
        <w:rPr>
          <w:lang w:val="en-NZ"/>
        </w:rPr>
        <w:t xml:space="preserve">developed </w:t>
      </w:r>
      <w:r w:rsidR="00D67F7F" w:rsidRPr="00D67F7F">
        <w:rPr>
          <w:lang w:val="id-ID"/>
        </w:rPr>
        <w:t>New Report ITU-R SM.2423-0 (LPWAN.MTC)</w:t>
      </w:r>
      <w:r w:rsidRPr="00D67F7F">
        <w:rPr>
          <w:lang w:val="en-NZ"/>
        </w:rPr>
        <w:t xml:space="preserve">, as explained in </w:t>
      </w:r>
      <w:hyperlink r:id="rId10" w:history="1">
        <w:r w:rsidR="00D67F7F" w:rsidRPr="00D67F7F">
          <w:rPr>
            <w:rStyle w:val="Hyperlink"/>
            <w:iCs/>
          </w:rPr>
          <w:t>Revision 1 to Document 1/135-E</w:t>
        </w:r>
      </w:hyperlink>
      <w:r w:rsidR="009F7772">
        <w:rPr>
          <w:rStyle w:val="Hyperlink"/>
          <w:iCs/>
          <w:u w:val="none"/>
        </w:rPr>
        <w:t xml:space="preserve"> </w:t>
      </w:r>
      <w:r w:rsidRPr="00B27DF5">
        <w:rPr>
          <w:lang w:val="id-ID"/>
        </w:rPr>
        <w:t>and</w:t>
      </w:r>
      <w:r w:rsidR="009F7772">
        <w:rPr>
          <w:lang w:val="id-ID"/>
        </w:rPr>
        <w:t xml:space="preserve"> </w:t>
      </w:r>
      <w:r w:rsidRPr="00B27DF5">
        <w:rPr>
          <w:lang w:val="id-ID"/>
        </w:rPr>
        <w:t>working</w:t>
      </w:r>
      <w:r w:rsidRPr="00B27DF5">
        <w:rPr>
          <w:lang w:val="en-NZ"/>
        </w:rPr>
        <w:t xml:space="preserve"> document towards a preliminary draft new Report ITU-R M.[NON_IMT.</w:t>
      </w:r>
      <w:r w:rsidR="00B564E1">
        <w:rPr>
          <w:lang w:val="en-NZ"/>
        </w:rPr>
        <w:t>MTC</w:t>
      </w:r>
      <w:r w:rsidRPr="00B27DF5">
        <w:rPr>
          <w:lang w:val="en-NZ"/>
        </w:rPr>
        <w:t xml:space="preserve">_USAGE], as explained in Document </w:t>
      </w:r>
      <w:hyperlink r:id="rId11" w:history="1">
        <w:r w:rsidRPr="0060225D">
          <w:rPr>
            <w:rStyle w:val="Hyperlink"/>
            <w:color w:val="auto"/>
            <w:u w:val="none"/>
            <w:lang w:val="en-NZ"/>
          </w:rPr>
          <w:t>5A/650 Annex 33</w:t>
        </w:r>
      </w:hyperlink>
      <w:r w:rsidR="00B27DF5" w:rsidRPr="00B27DF5">
        <w:rPr>
          <w:rStyle w:val="Hyperlink"/>
          <w:color w:val="auto"/>
          <w:u w:val="none"/>
          <w:lang w:val="id-ID"/>
        </w:rPr>
        <w:t>;</w:t>
      </w:r>
      <w:r w:rsidR="00B27DF5">
        <w:rPr>
          <w:rStyle w:val="Hyperlink"/>
          <w:color w:val="FF0000"/>
          <w:u w:val="none"/>
          <w:lang w:val="id-ID"/>
        </w:rPr>
        <w:t xml:space="preserve"> </w:t>
      </w:r>
      <w:hyperlink r:id="rId12" w:history="1">
        <w:r w:rsidR="00B27DF5" w:rsidRPr="00B27DF5">
          <w:rPr>
            <w:rStyle w:val="Hyperlink"/>
            <w:lang w:val="en-CA"/>
          </w:rPr>
          <w:t>663</w:t>
        </w:r>
      </w:hyperlink>
      <w:r w:rsidR="00B27DF5" w:rsidRPr="00B27DF5">
        <w:rPr>
          <w:color w:val="FF0000"/>
          <w:lang w:val="en-CA"/>
        </w:rPr>
        <w:t xml:space="preserve"> </w:t>
      </w:r>
      <w:r w:rsidR="00B27DF5" w:rsidRPr="00B27DF5">
        <w:rPr>
          <w:lang w:val="en-CA"/>
        </w:rPr>
        <w:t xml:space="preserve">(WP 1B); </w:t>
      </w:r>
      <w:hyperlink r:id="rId13" w:history="1">
        <w:r w:rsidR="00B27DF5" w:rsidRPr="00B27DF5">
          <w:rPr>
            <w:rStyle w:val="Hyperlink"/>
            <w:lang w:val="en-CA"/>
          </w:rPr>
          <w:t>675</w:t>
        </w:r>
      </w:hyperlink>
      <w:r w:rsidR="00B27DF5" w:rsidRPr="00B27DF5">
        <w:rPr>
          <w:color w:val="FF0000"/>
          <w:lang w:val="en-CA"/>
        </w:rPr>
        <w:t xml:space="preserve"> </w:t>
      </w:r>
      <w:r w:rsidR="00B27DF5" w:rsidRPr="00B27DF5">
        <w:rPr>
          <w:lang w:val="en-CA"/>
        </w:rPr>
        <w:t>(WP 5D);</w:t>
      </w:r>
      <w:r w:rsidR="00B27DF5" w:rsidRPr="00B27DF5">
        <w:rPr>
          <w:color w:val="FF0000"/>
          <w:lang w:val="en-CA"/>
        </w:rPr>
        <w:t xml:space="preserve"> </w:t>
      </w:r>
      <w:hyperlink r:id="rId14" w:history="1">
        <w:r w:rsidR="00B27DF5" w:rsidRPr="00B27DF5">
          <w:rPr>
            <w:rStyle w:val="Hyperlink"/>
            <w:lang w:val="en-CA"/>
          </w:rPr>
          <w:t>707</w:t>
        </w:r>
      </w:hyperlink>
      <w:r w:rsidR="00B27DF5" w:rsidRPr="00B27DF5">
        <w:rPr>
          <w:color w:val="FF0000"/>
          <w:lang w:val="en-CA"/>
        </w:rPr>
        <w:t> </w:t>
      </w:r>
      <w:r w:rsidR="00B27DF5" w:rsidRPr="00B27DF5">
        <w:rPr>
          <w:lang w:val="en-CA"/>
        </w:rPr>
        <w:t>(Germany)</w:t>
      </w:r>
      <w:proofErr w:type="gramStart"/>
      <w:r w:rsidR="00B27DF5" w:rsidRPr="00B27DF5">
        <w:rPr>
          <w:lang w:val="en-CA"/>
        </w:rPr>
        <w:t>;</w:t>
      </w:r>
      <w:r w:rsidR="00B27DF5" w:rsidRPr="00B27DF5">
        <w:rPr>
          <w:color w:val="FF0000"/>
          <w:lang w:val="en-CA"/>
        </w:rPr>
        <w:t xml:space="preserve"> </w:t>
      </w:r>
      <w:r w:rsidR="005F0487">
        <w:rPr>
          <w:color w:val="FF0000"/>
          <w:lang w:val="en-CA"/>
        </w:rPr>
        <w:t xml:space="preserve"> </w:t>
      </w:r>
      <w:r w:rsidR="005F0487" w:rsidRPr="005F0487">
        <w:rPr>
          <w:lang w:val="en-CA"/>
        </w:rPr>
        <w:t>and</w:t>
      </w:r>
      <w:proofErr w:type="gramEnd"/>
      <w:r w:rsidR="005F0487">
        <w:rPr>
          <w:color w:val="FF0000"/>
          <w:lang w:val="en-CA"/>
        </w:rPr>
        <w:t xml:space="preserve"> </w:t>
      </w:r>
      <w:hyperlink r:id="rId15" w:history="1">
        <w:r w:rsidR="00B27DF5" w:rsidRPr="00B27DF5">
          <w:rPr>
            <w:rStyle w:val="Hyperlink"/>
            <w:lang w:val="en-CA"/>
          </w:rPr>
          <w:t>708</w:t>
        </w:r>
      </w:hyperlink>
      <w:r w:rsidR="00B27DF5" w:rsidRPr="00B27DF5">
        <w:rPr>
          <w:color w:val="FF0000"/>
          <w:lang w:val="en-CA"/>
        </w:rPr>
        <w:t xml:space="preserve"> </w:t>
      </w:r>
      <w:r w:rsidR="00B27DF5" w:rsidRPr="00B27DF5">
        <w:rPr>
          <w:lang w:val="en-CA"/>
        </w:rPr>
        <w:t>(Germany)</w:t>
      </w:r>
      <w:r w:rsidRPr="00B27DF5">
        <w:rPr>
          <w:lang w:val="id-ID"/>
        </w:rPr>
        <w:t>.</w:t>
      </w:r>
      <w:r w:rsidR="00137DB5">
        <w:rPr>
          <w:lang w:val="id-ID"/>
        </w:rPr>
        <w:t xml:space="preserve"> </w:t>
      </w:r>
    </w:p>
    <w:p w14:paraId="76424719" w14:textId="34F536C5" w:rsidR="00331A35" w:rsidRPr="00940B6C" w:rsidRDefault="00137DB5" w:rsidP="00D67F7F">
      <w:pPr>
        <w:spacing w:afterLines="60" w:after="144"/>
        <w:jc w:val="both"/>
        <w:rPr>
          <w:lang w:val="id-ID" w:eastAsia="ko-KR"/>
        </w:rPr>
      </w:pPr>
      <w:r>
        <w:rPr>
          <w:rFonts w:eastAsiaTheme="minorEastAsia"/>
          <w:lang w:val="id-ID" w:eastAsia="ja-JP"/>
        </w:rPr>
        <w:t>In accordance with APG-19 Liaison statement</w:t>
      </w:r>
      <w:r>
        <w:rPr>
          <w:rFonts w:eastAsiaTheme="minorEastAsia" w:hint="eastAsia"/>
          <w:lang w:eastAsia="ja-JP"/>
        </w:rPr>
        <w:t xml:space="preserve">, </w:t>
      </w:r>
      <w:r w:rsidRPr="00643226">
        <w:rPr>
          <w:rFonts w:eastAsiaTheme="minorEastAsia" w:hint="eastAsia"/>
          <w:lang w:eastAsia="ja-JP"/>
        </w:rPr>
        <w:t>AWG</w:t>
      </w:r>
      <w:r>
        <w:rPr>
          <w:rFonts w:eastAsiaTheme="minorEastAsia"/>
          <w:lang w:val="id-ID" w:eastAsia="ja-JP"/>
        </w:rPr>
        <w:t xml:space="preserve"> (APT Wireless Group)</w:t>
      </w:r>
      <w:r w:rsidRPr="00643226">
        <w:rPr>
          <w:rFonts w:eastAsiaTheme="minorEastAsia" w:hint="eastAsia"/>
          <w:lang w:eastAsia="ja-JP"/>
        </w:rPr>
        <w:t xml:space="preserve"> </w:t>
      </w:r>
      <w:r w:rsidR="00940B6C">
        <w:rPr>
          <w:rFonts w:eastAsiaTheme="minorEastAsia"/>
          <w:lang w:val="id-ID" w:eastAsia="ja-JP"/>
        </w:rPr>
        <w:t>provide</w:t>
      </w:r>
      <w:r>
        <w:rPr>
          <w:rFonts w:eastAsiaTheme="minorEastAsia"/>
          <w:lang w:val="id-ID" w:eastAsia="ja-JP"/>
        </w:rPr>
        <w:t xml:space="preserve"> </w:t>
      </w:r>
      <w:r>
        <w:rPr>
          <w:rFonts w:eastAsia="SimSun"/>
        </w:rPr>
        <w:t xml:space="preserve">the </w:t>
      </w:r>
      <w:r>
        <w:rPr>
          <w:szCs w:val="20"/>
          <w:lang w:val="en-GB"/>
        </w:rPr>
        <w:t>APT Report on "</w:t>
      </w:r>
      <w:r w:rsidRPr="00FA03DC">
        <w:rPr>
          <w:i/>
          <w:szCs w:val="20"/>
          <w:lang w:val="en-GB"/>
        </w:rPr>
        <w:t>Current Status and Future Plan of Implementation a</w:t>
      </w:r>
      <w:r>
        <w:rPr>
          <w:i/>
          <w:szCs w:val="20"/>
          <w:lang w:val="en-GB"/>
        </w:rPr>
        <w:t>nd</w:t>
      </w:r>
      <w:r w:rsidRPr="00FA03DC">
        <w:rPr>
          <w:i/>
          <w:szCs w:val="20"/>
          <w:lang w:val="en-GB"/>
        </w:rPr>
        <w:t xml:space="preserve"> Development of </w:t>
      </w:r>
      <w:proofErr w:type="spellStart"/>
      <w:r w:rsidRPr="00FA03DC">
        <w:rPr>
          <w:i/>
          <w:szCs w:val="20"/>
          <w:lang w:val="en-GB"/>
        </w:rPr>
        <w:t>IoT</w:t>
      </w:r>
      <w:proofErr w:type="spellEnd"/>
      <w:r w:rsidRPr="00FA03DC">
        <w:rPr>
          <w:i/>
          <w:szCs w:val="20"/>
          <w:lang w:val="en-GB"/>
        </w:rPr>
        <w:t xml:space="preserve"> in Asia Pacific Countrie</w:t>
      </w:r>
      <w:r>
        <w:rPr>
          <w:i/>
          <w:szCs w:val="20"/>
          <w:lang w:val="en-GB"/>
        </w:rPr>
        <w:t>s</w:t>
      </w:r>
      <w:r w:rsidRPr="00123DB9">
        <w:rPr>
          <w:iCs/>
          <w:szCs w:val="20"/>
          <w:lang w:val="en-GB"/>
        </w:rPr>
        <w:t>"</w:t>
      </w:r>
      <w:r w:rsidR="00940B6C">
        <w:rPr>
          <w:iCs/>
          <w:szCs w:val="20"/>
          <w:lang w:val="id-ID"/>
        </w:rPr>
        <w:t>, as explained in</w:t>
      </w:r>
      <w:r w:rsidR="000A541C">
        <w:rPr>
          <w:iCs/>
          <w:szCs w:val="20"/>
          <w:lang w:val="id-ID"/>
        </w:rPr>
        <w:t xml:space="preserve"> </w:t>
      </w:r>
      <w:hyperlink r:id="rId16" w:history="1">
        <w:r w:rsidR="000A541C" w:rsidRPr="00FD5834">
          <w:rPr>
            <w:rStyle w:val="Hyperlink"/>
            <w:lang w:val="en-NZ" w:eastAsia="ko-KR"/>
          </w:rPr>
          <w:t>APG19-4/INP-06</w:t>
        </w:r>
      </w:hyperlink>
      <w:r w:rsidR="000A541C">
        <w:rPr>
          <w:rStyle w:val="Hyperlink"/>
          <w:b/>
          <w:lang w:val="en-NZ" w:eastAsia="ko-KR"/>
        </w:rPr>
        <w:t xml:space="preserve"> </w:t>
      </w:r>
      <w:r w:rsidR="000A541C" w:rsidRPr="005F6DA1">
        <w:rPr>
          <w:rStyle w:val="Hyperlink"/>
          <w:color w:val="auto"/>
          <w:u w:val="none"/>
          <w:lang w:val="en-NZ" w:eastAsia="ko-KR"/>
        </w:rPr>
        <w:t>and</w:t>
      </w:r>
      <w:r>
        <w:rPr>
          <w:iCs/>
          <w:szCs w:val="20"/>
          <w:lang w:val="en-GB"/>
        </w:rPr>
        <w:t xml:space="preserve"> </w:t>
      </w:r>
      <w:hyperlink r:id="rId17" w:history="1">
        <w:r w:rsidR="00940B6C" w:rsidRPr="00940B6C">
          <w:rPr>
            <w:rStyle w:val="Hyperlink"/>
            <w:iCs/>
            <w:szCs w:val="20"/>
            <w:lang w:val="en-GB"/>
          </w:rPr>
          <w:t>Report No. APT/AWG/REP-86</w:t>
        </w:r>
      </w:hyperlink>
      <w:r w:rsidR="00940B6C">
        <w:rPr>
          <w:iCs/>
          <w:szCs w:val="20"/>
          <w:lang w:val="id-ID"/>
        </w:rPr>
        <w:t>.</w:t>
      </w:r>
    </w:p>
    <w:p w14:paraId="095BB5D5" w14:textId="337335FA" w:rsidR="00157660" w:rsidRPr="00265951" w:rsidRDefault="00AF560B" w:rsidP="00CF484A">
      <w:pPr>
        <w:jc w:val="both"/>
      </w:pPr>
      <w:r>
        <w:rPr>
          <w:lang w:val="id-ID" w:eastAsia="ko-KR"/>
        </w:rPr>
        <w:t xml:space="preserve">According to </w:t>
      </w:r>
      <w:r w:rsidR="00157660">
        <w:rPr>
          <w:lang w:eastAsia="zh-CN"/>
        </w:rPr>
        <w:t xml:space="preserve">draft CPM </w:t>
      </w:r>
      <w:r w:rsidR="00463D8C">
        <w:rPr>
          <w:lang w:eastAsia="zh-CN"/>
        </w:rPr>
        <w:t>R</w:t>
      </w:r>
      <w:r w:rsidR="00157660">
        <w:rPr>
          <w:lang w:eastAsia="zh-CN"/>
        </w:rPr>
        <w:t>eport</w:t>
      </w:r>
      <w:r>
        <w:rPr>
          <w:lang w:eastAsia="ko-KR"/>
        </w:rPr>
        <w:t xml:space="preserve">, </w:t>
      </w:r>
      <w:r w:rsidR="00157660">
        <w:t>t</w:t>
      </w:r>
      <w:r w:rsidR="00157660" w:rsidRPr="00265951">
        <w:t>he results of ITU-R studies of the current and future spectrum use for narrowband and broadband MTC performed, as expressed in Resolution </w:t>
      </w:r>
      <w:r w:rsidR="00157660" w:rsidRPr="00265951">
        <w:rPr>
          <w:b/>
          <w:bCs/>
        </w:rPr>
        <w:t>958 (WRC-15)</w:t>
      </w:r>
      <w:r w:rsidR="00157660" w:rsidRPr="00265951">
        <w:t>, concluded that there is no need for any regulatory action in the Radio Regulations with regard to specific spectrum intended for use by those applications. Nonetheless, there are other mechanisms</w:t>
      </w:r>
      <w:r w:rsidR="00157660" w:rsidRPr="00265951">
        <w:rPr>
          <w:iCs/>
        </w:rPr>
        <w:t>,</w:t>
      </w:r>
      <w:r w:rsidR="00157660" w:rsidRPr="00265951">
        <w:t xml:space="preserve"> which could facilitate the harmonized use of spectrum to support the implementation of narrowband and broadband MTC infrastructures</w:t>
      </w:r>
      <w:r w:rsidR="00157660" w:rsidRPr="00265951">
        <w:rPr>
          <w:iCs/>
        </w:rPr>
        <w:t>,</w:t>
      </w:r>
      <w:bookmarkStart w:id="0" w:name="_GoBack"/>
      <w:bookmarkEnd w:id="0"/>
      <w:r w:rsidR="00157660" w:rsidRPr="00265951">
        <w:t xml:space="preserve"> including ITU-R Recommendations or Reports.</w:t>
      </w:r>
      <w:r w:rsidR="00157660">
        <w:t xml:space="preserve"> </w:t>
      </w:r>
      <w:r w:rsidR="00157660" w:rsidRPr="00D76E23">
        <w:t>(</w:t>
      </w:r>
      <w:hyperlink r:id="rId18" w:history="1">
        <w:r w:rsidR="00157660" w:rsidRPr="004E5BEC">
          <w:rPr>
            <w:rStyle w:val="Hyperlink"/>
            <w:lang w:val="id-ID"/>
          </w:rPr>
          <w:t>Document CPM19-2/1-E</w:t>
        </w:r>
      </w:hyperlink>
      <w:r w:rsidR="00157660" w:rsidRPr="00D76E23">
        <w:rPr>
          <w:lang w:eastAsia="zh-CN"/>
        </w:rPr>
        <w:t>)</w:t>
      </w:r>
    </w:p>
    <w:p w14:paraId="6F573909" w14:textId="5A9459F7" w:rsidR="00782260" w:rsidRPr="00782260" w:rsidRDefault="00782260" w:rsidP="00782260">
      <w:pPr>
        <w:rPr>
          <w:lang w:val="id-ID"/>
        </w:rPr>
      </w:pPr>
    </w:p>
    <w:p w14:paraId="2E0E6752" w14:textId="77777777" w:rsidR="00B64A60" w:rsidRPr="00441526" w:rsidRDefault="00B64A60" w:rsidP="00B64A60">
      <w:pPr>
        <w:spacing w:after="120"/>
        <w:jc w:val="both"/>
        <w:rPr>
          <w:b/>
          <w:lang w:val="en-NZ" w:eastAsia="ko-KR"/>
        </w:rPr>
      </w:pPr>
      <w:r w:rsidRPr="00441526">
        <w:rPr>
          <w:b/>
          <w:lang w:val="en-NZ" w:eastAsia="ko-KR"/>
        </w:rPr>
        <w:t xml:space="preserve">2. </w:t>
      </w:r>
      <w:r w:rsidRPr="00441526">
        <w:rPr>
          <w:b/>
          <w:lang w:val="en-NZ" w:eastAsia="ko-KR"/>
        </w:rPr>
        <w:tab/>
        <w:t>Documents</w:t>
      </w:r>
    </w:p>
    <w:p w14:paraId="26203C5E" w14:textId="5E5F0D65" w:rsidR="00EF3069" w:rsidRDefault="00A27076" w:rsidP="005014B1">
      <w:pPr>
        <w:spacing w:after="120"/>
        <w:jc w:val="both"/>
        <w:rPr>
          <w:b/>
          <w:lang w:eastAsia="ko-KR"/>
        </w:rPr>
      </w:pPr>
      <w:r w:rsidRPr="00986E7C">
        <w:rPr>
          <w:b/>
          <w:lang w:eastAsia="ko-KR"/>
        </w:rPr>
        <w:t xml:space="preserve">2.1 Input </w:t>
      </w:r>
      <w:r w:rsidRPr="00806C55">
        <w:rPr>
          <w:b/>
          <w:lang w:eastAsia="ko-KR"/>
        </w:rPr>
        <w:t>Documents</w:t>
      </w:r>
      <w:r w:rsidRPr="00986E7C">
        <w:rPr>
          <w:b/>
          <w:lang w:eastAsia="ko-KR"/>
        </w:rPr>
        <w:t>:</w:t>
      </w:r>
      <w:r w:rsidR="005014B1">
        <w:rPr>
          <w:b/>
          <w:lang w:eastAsia="ko-KR"/>
        </w:rPr>
        <w:t xml:space="preserve"> </w:t>
      </w:r>
    </w:p>
    <w:p w14:paraId="17FB63B7" w14:textId="65BE5827" w:rsidR="005014B1" w:rsidRDefault="0006349B" w:rsidP="005014B1">
      <w:pPr>
        <w:rPr>
          <w:rFonts w:eastAsia="Times New Roman"/>
        </w:rPr>
      </w:pPr>
      <w:hyperlink r:id="rId19" w:tgtFrame="_blank" w:history="1">
        <w:r w:rsidR="000F3BC8" w:rsidRPr="000F3BC8">
          <w:rPr>
            <w:rStyle w:val="Hyperlink"/>
          </w:rPr>
          <w:t>APG19-4/INP-06</w:t>
        </w:r>
      </w:hyperlink>
      <w:r w:rsidR="00597DB4" w:rsidRPr="00670A31">
        <w:rPr>
          <w:rFonts w:eastAsia="Times New Roman"/>
          <w:bCs/>
          <w:color w:val="000000"/>
        </w:rPr>
        <w:t xml:space="preserve"> ( Chairman of AWG),  </w:t>
      </w:r>
      <w:hyperlink r:id="rId20" w:tgtFrame="_blank" w:history="1">
        <w:r w:rsidR="000F3BC8" w:rsidRPr="000F3BC8">
          <w:rPr>
            <w:rStyle w:val="Hyperlink"/>
          </w:rPr>
          <w:t>APG19-4/INP-16</w:t>
        </w:r>
      </w:hyperlink>
      <w:r w:rsidR="00EF3069" w:rsidRPr="00670A31">
        <w:rPr>
          <w:rFonts w:eastAsia="Times New Roman"/>
          <w:bCs/>
          <w:color w:val="000000"/>
        </w:rPr>
        <w:t xml:space="preserve"> ( AUS), </w:t>
      </w:r>
      <w:hyperlink r:id="rId21" w:tgtFrame="_blank" w:history="1">
        <w:r w:rsidR="000F3BC8" w:rsidRPr="000F3BC8">
          <w:rPr>
            <w:rStyle w:val="Hyperlink"/>
          </w:rPr>
          <w:t>APG19-4/INP-23</w:t>
        </w:r>
      </w:hyperlink>
      <w:r w:rsidR="00EF3069" w:rsidRPr="00670A31">
        <w:rPr>
          <w:rFonts w:eastAsia="Times New Roman"/>
          <w:bCs/>
          <w:color w:val="000000"/>
        </w:rPr>
        <w:t xml:space="preserve">  (NZL), </w:t>
      </w:r>
      <w:hyperlink r:id="rId22" w:tgtFrame="_blank" w:history="1">
        <w:r w:rsidR="000F3BC8" w:rsidRPr="000F3BC8">
          <w:rPr>
            <w:rStyle w:val="Hyperlink"/>
          </w:rPr>
          <w:t>APG19-4/INP-42</w:t>
        </w:r>
      </w:hyperlink>
      <w:r w:rsidR="00597DB4" w:rsidRPr="00670A31">
        <w:rPr>
          <w:rFonts w:eastAsia="Times New Roman"/>
          <w:bCs/>
          <w:color w:val="000000"/>
        </w:rPr>
        <w:t xml:space="preserve"> (MLA, SNG, THA)</w:t>
      </w:r>
      <w:r w:rsidR="00595F74" w:rsidRPr="00670A31">
        <w:rPr>
          <w:rFonts w:eastAsia="Times New Roman"/>
          <w:bCs/>
          <w:color w:val="000000"/>
        </w:rPr>
        <w:t xml:space="preserve">, </w:t>
      </w:r>
      <w:hyperlink r:id="rId23" w:tgtFrame="_blank" w:history="1">
        <w:r w:rsidR="000F3BC8" w:rsidRPr="000F3BC8">
          <w:rPr>
            <w:rStyle w:val="Hyperlink"/>
          </w:rPr>
          <w:t>APG19-4/INP-60</w:t>
        </w:r>
      </w:hyperlink>
      <w:r w:rsidR="00595F74" w:rsidRPr="00670A31">
        <w:rPr>
          <w:rFonts w:eastAsia="Times New Roman"/>
          <w:bCs/>
          <w:color w:val="000000"/>
        </w:rPr>
        <w:t xml:space="preserve"> (J), </w:t>
      </w:r>
      <w:r w:rsidR="00597DB4" w:rsidRPr="00670A31">
        <w:rPr>
          <w:rFonts w:eastAsia="Times New Roman"/>
        </w:rPr>
        <w:t xml:space="preserve"> </w:t>
      </w:r>
      <w:hyperlink r:id="rId24" w:tgtFrame="_blank" w:history="1">
        <w:r w:rsidR="000F3BC8" w:rsidRPr="000F3BC8">
          <w:rPr>
            <w:rStyle w:val="Hyperlink"/>
          </w:rPr>
          <w:t>APG19-4/INP-75(Rev.1)</w:t>
        </w:r>
      </w:hyperlink>
      <w:r w:rsidR="005014B1" w:rsidRPr="00670A31">
        <w:rPr>
          <w:rFonts w:eastAsia="Times New Roman"/>
        </w:rPr>
        <w:t xml:space="preserve"> (KOR),  </w:t>
      </w:r>
      <w:hyperlink r:id="rId25" w:tgtFrame="_blank" w:history="1">
        <w:r w:rsidR="000F3BC8" w:rsidRPr="000F3BC8">
          <w:rPr>
            <w:rStyle w:val="Hyperlink"/>
          </w:rPr>
          <w:t>APG19-4/INP-84</w:t>
        </w:r>
      </w:hyperlink>
      <w:r w:rsidR="005014B1" w:rsidRPr="00670A31">
        <w:rPr>
          <w:rFonts w:eastAsia="Times New Roman"/>
        </w:rPr>
        <w:t xml:space="preserve"> (IRN), </w:t>
      </w:r>
      <w:hyperlink r:id="rId26" w:tgtFrame="_blank" w:history="1">
        <w:r w:rsidR="000F3BC8" w:rsidRPr="000F3BC8">
          <w:rPr>
            <w:rStyle w:val="Hyperlink"/>
          </w:rPr>
          <w:t>APG19-4/INP-101</w:t>
        </w:r>
      </w:hyperlink>
      <w:r w:rsidR="005014B1" w:rsidRPr="00670A31">
        <w:rPr>
          <w:rFonts w:eastAsia="Times New Roman"/>
        </w:rPr>
        <w:t xml:space="preserve"> (CHN), </w:t>
      </w:r>
      <w:hyperlink r:id="rId27" w:tgtFrame="_blank" w:history="1">
        <w:r w:rsidR="000F3BC8" w:rsidRPr="000F3BC8">
          <w:rPr>
            <w:rStyle w:val="Hyperlink"/>
          </w:rPr>
          <w:t>APG19-4/INP-109</w:t>
        </w:r>
      </w:hyperlink>
      <w:r w:rsidR="005014B1" w:rsidRPr="00670A31">
        <w:rPr>
          <w:lang w:eastAsia="ko-KR"/>
        </w:rPr>
        <w:t xml:space="preserve"> (BGD),  </w:t>
      </w:r>
      <w:hyperlink r:id="rId28" w:tgtFrame="_blank" w:history="1">
        <w:r w:rsidR="000F3BC8" w:rsidRPr="000F3BC8">
          <w:rPr>
            <w:rStyle w:val="Hyperlink"/>
          </w:rPr>
          <w:t>APG19-4/INP-114</w:t>
        </w:r>
      </w:hyperlink>
      <w:r w:rsidR="005014B1" w:rsidRPr="00670A31">
        <w:rPr>
          <w:rFonts w:eastAsia="Times New Roman"/>
          <w:bCs/>
          <w:color w:val="000000"/>
        </w:rPr>
        <w:t xml:space="preserve"> ( IND), </w:t>
      </w:r>
      <w:hyperlink r:id="rId29" w:tgtFrame="_blank" w:history="1">
        <w:r w:rsidR="000F3BC8" w:rsidRPr="000F3BC8">
          <w:rPr>
            <w:rStyle w:val="Hyperlink"/>
          </w:rPr>
          <w:t>APG19-4/INP-119</w:t>
        </w:r>
      </w:hyperlink>
      <w:r w:rsidR="005014B1">
        <w:rPr>
          <w:rFonts w:ascii="Arial" w:eastAsia="Times New Roman" w:hAnsi="Arial" w:cs="Arial"/>
          <w:b/>
          <w:bCs/>
          <w:color w:val="000000"/>
          <w:sz w:val="18"/>
          <w:szCs w:val="18"/>
        </w:rPr>
        <w:t xml:space="preserve"> </w:t>
      </w:r>
      <w:r w:rsidR="005014B1" w:rsidRPr="00963557">
        <w:rPr>
          <w:rFonts w:eastAsia="Times New Roman"/>
          <w:bCs/>
          <w:color w:val="000000"/>
        </w:rPr>
        <w:t>(INS)</w:t>
      </w:r>
    </w:p>
    <w:p w14:paraId="6DFDBDD3" w14:textId="56A4CF8A" w:rsidR="00EF3069" w:rsidRPr="005014B1" w:rsidRDefault="00EF3069" w:rsidP="005014B1">
      <w:pPr>
        <w:rPr>
          <w:rFonts w:ascii="Arial" w:eastAsia="Times New Roman" w:hAnsi="Arial" w:cs="Arial"/>
          <w:b/>
          <w:bCs/>
          <w:color w:val="000000"/>
          <w:sz w:val="18"/>
          <w:szCs w:val="18"/>
        </w:rPr>
      </w:pPr>
    </w:p>
    <w:p w14:paraId="2D0AAE78" w14:textId="77777777" w:rsidR="00A27076" w:rsidRPr="00986E7C" w:rsidRDefault="00A27076" w:rsidP="00A27076">
      <w:pPr>
        <w:spacing w:after="120"/>
        <w:jc w:val="both"/>
        <w:rPr>
          <w:b/>
          <w:lang w:eastAsia="ko-KR"/>
        </w:rPr>
      </w:pPr>
      <w:r w:rsidRPr="00986E7C">
        <w:rPr>
          <w:b/>
          <w:lang w:eastAsia="ko-KR"/>
        </w:rPr>
        <w:t>2.2 Information Documents:</w:t>
      </w:r>
    </w:p>
    <w:p w14:paraId="25D3AC72" w14:textId="76F3D08E" w:rsidR="00A27076" w:rsidRPr="00107087" w:rsidRDefault="0006349B" w:rsidP="00A27076">
      <w:pPr>
        <w:rPr>
          <w:rFonts w:ascii="Times" w:eastAsia="Times New Roman" w:hAnsi="Times"/>
          <w:sz w:val="20"/>
          <w:szCs w:val="20"/>
          <w:lang w:val="id-ID"/>
        </w:rPr>
      </w:pPr>
      <w:hyperlink r:id="rId30" w:tgtFrame="_blank" w:history="1">
        <w:r w:rsidR="00F20130" w:rsidRPr="00F20130">
          <w:rPr>
            <w:rStyle w:val="Hyperlink"/>
          </w:rPr>
          <w:t>APG19-4/INP-09(Rev.1)</w:t>
        </w:r>
      </w:hyperlink>
      <w:r w:rsidR="00F20130">
        <w:rPr>
          <w:lang w:val="id-ID"/>
        </w:rPr>
        <w:t xml:space="preserve"> (Chairman APG19), </w:t>
      </w:r>
      <w:r>
        <w:rPr>
          <w:rStyle w:val="Hyperlink"/>
        </w:rPr>
        <w:fldChar w:fldCharType="begin"/>
      </w:r>
      <w:r>
        <w:rPr>
          <w:rStyle w:val="Hyperlink"/>
        </w:rPr>
        <w:instrText xml:space="preserve"> HYPERLINK "https://www.apt.int/sites/default/file</w:instrText>
      </w:r>
      <w:r>
        <w:rPr>
          <w:rStyle w:val="Hyperlink"/>
        </w:rPr>
        <w:instrText xml:space="preserve">s/2018/12/APG19-4-INF-03_IARU.DOCX" \t "_blank" </w:instrText>
      </w:r>
      <w:r>
        <w:rPr>
          <w:rStyle w:val="Hyperlink"/>
        </w:rPr>
        <w:fldChar w:fldCharType="separate"/>
      </w:r>
      <w:r w:rsidR="000F3BC8" w:rsidRPr="000F3BC8">
        <w:rPr>
          <w:rStyle w:val="Hyperlink"/>
        </w:rPr>
        <w:t>APG19-4/INF-03</w:t>
      </w:r>
      <w:r>
        <w:rPr>
          <w:rStyle w:val="Hyperlink"/>
        </w:rPr>
        <w:fldChar w:fldCharType="end"/>
      </w:r>
      <w:r w:rsidR="00BD7538">
        <w:rPr>
          <w:lang w:val="en-NZ"/>
        </w:rPr>
        <w:t xml:space="preserve"> </w:t>
      </w:r>
      <w:r w:rsidR="00BD7538" w:rsidRPr="00912284">
        <w:rPr>
          <w:lang w:val="en-NZ"/>
        </w:rPr>
        <w:t>(</w:t>
      </w:r>
      <w:r w:rsidR="00BD7538" w:rsidRPr="00912284">
        <w:rPr>
          <w:rFonts w:eastAsia="Times New Roman"/>
          <w:color w:val="000000"/>
          <w:shd w:val="clear" w:color="auto" w:fill="FFFFFF"/>
        </w:rPr>
        <w:t>IARU R3</w:t>
      </w:r>
      <w:r w:rsidR="00BD7538" w:rsidRPr="00912284">
        <w:rPr>
          <w:rFonts w:eastAsia="Times New Roman"/>
        </w:rPr>
        <w:t>),</w:t>
      </w:r>
      <w:r w:rsidR="000F3BC8" w:rsidRPr="000F3BC8">
        <w:rPr>
          <w:rFonts w:ascii="Arial" w:hAnsi="Arial" w:cs="Arial"/>
          <w:b/>
          <w:bCs/>
          <w:color w:val="000000"/>
          <w:sz w:val="18"/>
          <w:szCs w:val="18"/>
        </w:rPr>
        <w:t xml:space="preserve"> </w:t>
      </w:r>
      <w:hyperlink r:id="rId31" w:tgtFrame="_blank" w:history="1">
        <w:r w:rsidR="000F3BC8" w:rsidRPr="000F3BC8">
          <w:rPr>
            <w:rStyle w:val="Hyperlink"/>
            <w:rFonts w:eastAsia="Times New Roman"/>
          </w:rPr>
          <w:t>APG19-4/INF-22</w:t>
        </w:r>
      </w:hyperlink>
      <w:r w:rsidR="000F3BC8">
        <w:rPr>
          <w:rFonts w:eastAsia="Times New Roman"/>
          <w:lang w:val="id-ID"/>
        </w:rPr>
        <w:t xml:space="preserve"> (CITEL), </w:t>
      </w:r>
      <w:r w:rsidR="00912284">
        <w:rPr>
          <w:rFonts w:ascii="Times" w:eastAsia="Times New Roman" w:hAnsi="Times"/>
          <w:sz w:val="20"/>
          <w:szCs w:val="20"/>
        </w:rPr>
        <w:t xml:space="preserve"> </w:t>
      </w:r>
      <w:hyperlink r:id="rId32" w:tgtFrame="_blank" w:history="1">
        <w:r w:rsidR="000F3BC8" w:rsidRPr="000F3BC8">
          <w:rPr>
            <w:rStyle w:val="Hyperlink"/>
          </w:rPr>
          <w:t>APG19-4/INF-23</w:t>
        </w:r>
      </w:hyperlink>
      <w:r w:rsidR="000F3BC8" w:rsidRPr="000F3BC8">
        <w:t xml:space="preserve"> </w:t>
      </w:r>
      <w:r w:rsidR="00342651">
        <w:rPr>
          <w:rStyle w:val="Hyperlink"/>
          <w:color w:val="auto"/>
          <w:u w:val="none"/>
          <w:lang w:eastAsia="ko-KR"/>
        </w:rPr>
        <w:t xml:space="preserve">(CEPT), </w:t>
      </w:r>
      <w:hyperlink r:id="rId33" w:tgtFrame="_blank" w:history="1">
        <w:r w:rsidR="000F3BC8" w:rsidRPr="000F3BC8">
          <w:rPr>
            <w:rStyle w:val="Hyperlink"/>
          </w:rPr>
          <w:t>APG19-4/INF-24</w:t>
        </w:r>
      </w:hyperlink>
      <w:r w:rsidR="000F3BC8" w:rsidRPr="000F3BC8">
        <w:t xml:space="preserve"> </w:t>
      </w:r>
      <w:r w:rsidR="00342651">
        <w:rPr>
          <w:rStyle w:val="Hyperlink"/>
          <w:color w:val="auto"/>
          <w:u w:val="none"/>
          <w:lang w:eastAsia="ko-KR"/>
        </w:rPr>
        <w:t>(RCC)</w:t>
      </w:r>
      <w:r w:rsidR="00107087">
        <w:rPr>
          <w:rStyle w:val="Hyperlink"/>
          <w:color w:val="auto"/>
          <w:u w:val="none"/>
          <w:lang w:val="id-ID" w:eastAsia="ko-KR"/>
        </w:rPr>
        <w:t xml:space="preserve">, </w:t>
      </w:r>
      <w:r>
        <w:rPr>
          <w:rStyle w:val="Hyperlink"/>
          <w:lang w:eastAsia="ko-KR"/>
        </w:rPr>
        <w:fldChar w:fldCharType="begin"/>
      </w:r>
      <w:r>
        <w:rPr>
          <w:rStyle w:val="Hyperlink"/>
          <w:lang w:eastAsia="ko-KR"/>
        </w:rPr>
        <w:instrText xml:space="preserve"> HYPERLI</w:instrText>
      </w:r>
      <w:r>
        <w:rPr>
          <w:rStyle w:val="Hyperlink"/>
          <w:lang w:eastAsia="ko-KR"/>
        </w:rPr>
        <w:instrText xml:space="preserve">NK "https://www.apt.int/sites/default/files/2018/12/APG19-4-INF-02_WMO-Position_20181109.docx" \t "_blank" </w:instrText>
      </w:r>
      <w:r>
        <w:rPr>
          <w:rStyle w:val="Hyperlink"/>
          <w:lang w:eastAsia="ko-KR"/>
        </w:rPr>
        <w:fldChar w:fldCharType="separate"/>
      </w:r>
      <w:r w:rsidR="00107087" w:rsidRPr="00107087">
        <w:rPr>
          <w:rStyle w:val="Hyperlink"/>
          <w:lang w:eastAsia="ko-KR"/>
        </w:rPr>
        <w:t>APG19-4/INF-02</w:t>
      </w:r>
      <w:r>
        <w:rPr>
          <w:rStyle w:val="Hyperlink"/>
          <w:lang w:eastAsia="ko-KR"/>
        </w:rPr>
        <w:fldChar w:fldCharType="end"/>
      </w:r>
      <w:r w:rsidR="00107087">
        <w:rPr>
          <w:lang w:val="id-ID" w:eastAsia="ko-KR"/>
        </w:rPr>
        <w:t xml:space="preserve"> (WMO)</w:t>
      </w:r>
    </w:p>
    <w:p w14:paraId="5C115C72" w14:textId="2587EA62" w:rsidR="00B56099" w:rsidRDefault="00B56099">
      <w:pPr>
        <w:rPr>
          <w:b/>
          <w:lang w:val="en-NZ" w:eastAsia="ko-KR"/>
        </w:rPr>
      </w:pPr>
    </w:p>
    <w:p w14:paraId="2E0E6757" w14:textId="5B217097" w:rsidR="00B64A60" w:rsidRPr="00441526" w:rsidRDefault="00B64A60" w:rsidP="00B64A60">
      <w:pPr>
        <w:spacing w:after="120"/>
        <w:jc w:val="both"/>
        <w:rPr>
          <w:b/>
          <w:lang w:val="en-NZ" w:eastAsia="ko-KR"/>
        </w:rPr>
      </w:pPr>
      <w:r w:rsidRPr="00441526">
        <w:rPr>
          <w:b/>
          <w:lang w:val="en-NZ" w:eastAsia="ko-KR"/>
        </w:rPr>
        <w:t xml:space="preserve">3. </w:t>
      </w:r>
      <w:r w:rsidRPr="00441526">
        <w:rPr>
          <w:b/>
          <w:lang w:val="en-NZ" w:eastAsia="ko-KR"/>
        </w:rPr>
        <w:tab/>
        <w:t xml:space="preserve">Summary of </w:t>
      </w:r>
      <w:r w:rsidR="00DF0EB4" w:rsidRPr="00441526">
        <w:rPr>
          <w:b/>
          <w:lang w:val="en-NZ" w:eastAsia="ko-KR"/>
        </w:rPr>
        <w:t>d</w:t>
      </w:r>
      <w:r w:rsidRPr="00441526">
        <w:rPr>
          <w:b/>
          <w:lang w:val="en-NZ" w:eastAsia="ko-KR"/>
        </w:rPr>
        <w:t>iscussions</w:t>
      </w:r>
    </w:p>
    <w:p w14:paraId="30F0C444" w14:textId="5F3AEED7" w:rsidR="00197C18" w:rsidRPr="00923E35" w:rsidRDefault="004A2F96" w:rsidP="00923E35">
      <w:pPr>
        <w:spacing w:after="120"/>
        <w:jc w:val="both"/>
        <w:rPr>
          <w:b/>
          <w:lang w:val="en-NZ" w:eastAsia="ko-KR"/>
        </w:rPr>
      </w:pPr>
      <w:r w:rsidRPr="00441526">
        <w:rPr>
          <w:b/>
          <w:lang w:val="en-NZ" w:eastAsia="ko-KR"/>
        </w:rPr>
        <w:t>3.1</w:t>
      </w:r>
      <w:r w:rsidRPr="00441526">
        <w:rPr>
          <w:b/>
          <w:lang w:val="en-NZ" w:eastAsia="ko-KR"/>
        </w:rPr>
        <w:tab/>
      </w:r>
      <w:r w:rsidRPr="00923E35">
        <w:rPr>
          <w:b/>
          <w:lang w:val="en-NZ" w:eastAsia="ko-KR"/>
        </w:rPr>
        <w:t>S</w:t>
      </w:r>
      <w:r w:rsidRPr="00923E35">
        <w:rPr>
          <w:rFonts w:hint="eastAsia"/>
          <w:b/>
          <w:lang w:val="en-NZ" w:eastAsia="ko-KR"/>
        </w:rPr>
        <w:t xml:space="preserve">ummary </w:t>
      </w:r>
      <w:r w:rsidRPr="00923E35">
        <w:rPr>
          <w:b/>
          <w:lang w:val="en-NZ" w:eastAsia="ko-KR"/>
        </w:rPr>
        <w:t xml:space="preserve">of </w:t>
      </w:r>
      <w:r w:rsidR="00393DCD" w:rsidRPr="00923E35">
        <w:rPr>
          <w:b/>
          <w:lang w:val="en-NZ" w:eastAsia="ko-KR"/>
        </w:rPr>
        <w:t xml:space="preserve">APT </w:t>
      </w:r>
      <w:r w:rsidRPr="00923E35">
        <w:rPr>
          <w:b/>
          <w:lang w:val="en-NZ" w:eastAsia="ko-KR"/>
        </w:rPr>
        <w:t>Members’ view</w:t>
      </w:r>
      <w:r w:rsidR="00BC69DB" w:rsidRPr="00923E35">
        <w:rPr>
          <w:b/>
          <w:lang w:val="en-NZ" w:eastAsia="ko-KR"/>
        </w:rPr>
        <w:t>s</w:t>
      </w:r>
    </w:p>
    <w:p w14:paraId="443DB2EE" w14:textId="513D20E6" w:rsidR="00490D70" w:rsidRPr="00441526" w:rsidRDefault="00490D70" w:rsidP="00490D70">
      <w:pPr>
        <w:spacing w:after="120"/>
        <w:jc w:val="both"/>
        <w:rPr>
          <w:b/>
          <w:lang w:val="en-NZ" w:eastAsia="ko-KR"/>
        </w:rPr>
      </w:pPr>
      <w:r>
        <w:rPr>
          <w:b/>
          <w:lang w:val="en-NZ" w:eastAsia="ko-KR"/>
        </w:rPr>
        <w:t xml:space="preserve">3.1.1 </w:t>
      </w:r>
      <w:r>
        <w:rPr>
          <w:b/>
          <w:lang w:val="en-NZ" w:eastAsia="ko-KR"/>
        </w:rPr>
        <w:tab/>
        <w:t>Chairman of AWG</w:t>
      </w:r>
      <w:r w:rsidRPr="00441526">
        <w:rPr>
          <w:b/>
          <w:lang w:val="en-NZ" w:eastAsia="ko-KR"/>
        </w:rPr>
        <w:t xml:space="preserve"> </w:t>
      </w:r>
      <w:r w:rsidRPr="00441526">
        <w:t xml:space="preserve">- </w:t>
      </w:r>
      <w:r w:rsidRPr="00441526">
        <w:rPr>
          <w:b/>
          <w:lang w:val="en-NZ" w:eastAsia="ko-KR"/>
        </w:rPr>
        <w:t xml:space="preserve">Document </w:t>
      </w:r>
      <w:hyperlink r:id="rId34" w:history="1">
        <w:r w:rsidRPr="00490D70">
          <w:rPr>
            <w:rStyle w:val="Hyperlink"/>
            <w:b/>
            <w:lang w:val="en-NZ" w:eastAsia="ko-KR"/>
          </w:rPr>
          <w:t>APG19-4/INP-06</w:t>
        </w:r>
      </w:hyperlink>
    </w:p>
    <w:p w14:paraId="6FF92642" w14:textId="75253274" w:rsidR="00490D70" w:rsidRDefault="00DC3EC7" w:rsidP="00B56099">
      <w:pPr>
        <w:spacing w:after="120"/>
        <w:jc w:val="both"/>
        <w:rPr>
          <w:rFonts w:eastAsiaTheme="minorEastAsia"/>
          <w:lang w:eastAsia="zh-CN"/>
        </w:rPr>
      </w:pPr>
      <w:r w:rsidRPr="009B57C2">
        <w:rPr>
          <w:lang w:val="en-SG"/>
        </w:rPr>
        <w:t>At AWG-2</w:t>
      </w:r>
      <w:r>
        <w:rPr>
          <w:lang w:val="en-SG"/>
        </w:rPr>
        <w:t>2</w:t>
      </w:r>
      <w:r w:rsidRPr="009B57C2">
        <w:rPr>
          <w:lang w:val="en-SG"/>
        </w:rPr>
        <w:t xml:space="preserve">, </w:t>
      </w:r>
      <w:r>
        <w:rPr>
          <w:lang w:val="en-SG"/>
        </w:rPr>
        <w:t xml:space="preserve">the Task Group on Short Range Devices (TG SRD) was renamed to Task Group on </w:t>
      </w:r>
      <w:proofErr w:type="spellStart"/>
      <w:r>
        <w:rPr>
          <w:lang w:val="en-SG"/>
        </w:rPr>
        <w:t>IoT</w:t>
      </w:r>
      <w:proofErr w:type="spellEnd"/>
      <w:r>
        <w:rPr>
          <w:lang w:val="en-SG"/>
        </w:rPr>
        <w:t xml:space="preserve"> (TG </w:t>
      </w:r>
      <w:proofErr w:type="spellStart"/>
      <w:r>
        <w:rPr>
          <w:lang w:val="en-SG"/>
        </w:rPr>
        <w:t>IoT</w:t>
      </w:r>
      <w:proofErr w:type="spellEnd"/>
      <w:r>
        <w:rPr>
          <w:lang w:val="en-SG"/>
        </w:rPr>
        <w:t xml:space="preserve">) to study and </w:t>
      </w:r>
      <w:r w:rsidRPr="009B57C2">
        <w:rPr>
          <w:lang w:val="en-SG"/>
        </w:rPr>
        <w:t xml:space="preserve">discuss </w:t>
      </w:r>
      <w:r>
        <w:rPr>
          <w:lang w:val="en-SG"/>
        </w:rPr>
        <w:t>topics relating to Internet of Things (</w:t>
      </w:r>
      <w:proofErr w:type="spellStart"/>
      <w:r>
        <w:rPr>
          <w:lang w:val="en-SG"/>
        </w:rPr>
        <w:t>IoT</w:t>
      </w:r>
      <w:proofErr w:type="spellEnd"/>
      <w:r>
        <w:rPr>
          <w:lang w:val="en-SG"/>
        </w:rPr>
        <w:t xml:space="preserve">). </w:t>
      </w:r>
      <w:r>
        <w:rPr>
          <w:rFonts w:eastAsia="SimSun"/>
          <w:lang w:eastAsia="zh-CN"/>
        </w:rPr>
        <w:t>A q</w:t>
      </w:r>
      <w:r w:rsidRPr="00501D88">
        <w:rPr>
          <w:rFonts w:eastAsia="SimSun" w:hint="eastAsia"/>
          <w:lang w:eastAsia="zh-CN"/>
        </w:rPr>
        <w:t xml:space="preserve">uestionnaire </w:t>
      </w:r>
      <w:r>
        <w:rPr>
          <w:rFonts w:eastAsia="SimSun"/>
          <w:lang w:eastAsia="zh-CN"/>
        </w:rPr>
        <w:t xml:space="preserve">was developed </w:t>
      </w:r>
      <w:r w:rsidRPr="00501D88">
        <w:rPr>
          <w:rFonts w:eastAsia="SimSun" w:hint="eastAsia"/>
          <w:lang w:eastAsia="zh-CN"/>
        </w:rPr>
        <w:t>to</w:t>
      </w:r>
      <w:r>
        <w:rPr>
          <w:rFonts w:eastAsia="SimSun"/>
          <w:lang w:eastAsia="zh-CN"/>
        </w:rPr>
        <w:t xml:space="preserve"> </w:t>
      </w:r>
      <w:r>
        <w:rPr>
          <w:rFonts w:eastAsia="SimSun" w:hint="eastAsia"/>
          <w:lang w:eastAsia="zh-CN"/>
        </w:rPr>
        <w:t xml:space="preserve">collect </w:t>
      </w:r>
      <w:r w:rsidRPr="00501D88">
        <w:rPr>
          <w:rFonts w:eastAsia="SimSun" w:hint="eastAsia"/>
          <w:lang w:eastAsia="zh-CN"/>
        </w:rPr>
        <w:t xml:space="preserve">information on </w:t>
      </w:r>
      <w:r w:rsidRPr="00501D88">
        <w:rPr>
          <w:rFonts w:eastAsia="SimSun"/>
          <w:lang w:eastAsia="zh-CN"/>
        </w:rPr>
        <w:t>current status and future plan o</w:t>
      </w:r>
      <w:r>
        <w:rPr>
          <w:rFonts w:eastAsia="SimSun"/>
          <w:lang w:eastAsia="zh-CN"/>
        </w:rPr>
        <w:t xml:space="preserve">f implementation and deployment of </w:t>
      </w:r>
      <w:proofErr w:type="spellStart"/>
      <w:r>
        <w:rPr>
          <w:rFonts w:eastAsia="SimSun"/>
          <w:lang w:eastAsia="zh-CN"/>
        </w:rPr>
        <w:t>IoT</w:t>
      </w:r>
      <w:proofErr w:type="spellEnd"/>
      <w:r>
        <w:rPr>
          <w:rFonts w:eastAsia="SimSun" w:hint="eastAsia"/>
          <w:lang w:eastAsia="zh-CN"/>
        </w:rPr>
        <w:t xml:space="preserve"> </w:t>
      </w:r>
      <w:r>
        <w:rPr>
          <w:rFonts w:eastAsia="SimSun"/>
          <w:lang w:eastAsia="zh-CN"/>
        </w:rPr>
        <w:t xml:space="preserve">in APT Member countries. </w:t>
      </w:r>
      <w:r>
        <w:rPr>
          <w:rFonts w:eastAsia="SimSun"/>
        </w:rPr>
        <w:t xml:space="preserve">Based on the </w:t>
      </w:r>
      <w:r>
        <w:rPr>
          <w:rFonts w:eastAsia="SimSun"/>
          <w:lang w:eastAsia="zh-CN"/>
        </w:rPr>
        <w:t>replies to the questionnaire</w:t>
      </w:r>
      <w:r>
        <w:rPr>
          <w:rFonts w:eastAsia="SimSun"/>
        </w:rPr>
        <w:t xml:space="preserve"> and the input contributions received at the AWG-23 and AWG-24, AWG approved the </w:t>
      </w:r>
      <w:r>
        <w:rPr>
          <w:szCs w:val="20"/>
          <w:lang w:val="en-GB"/>
        </w:rPr>
        <w:t>APT Report on "</w:t>
      </w:r>
      <w:r w:rsidRPr="00FA03DC">
        <w:rPr>
          <w:i/>
          <w:szCs w:val="20"/>
          <w:lang w:val="en-GB"/>
        </w:rPr>
        <w:t>Current Status and Future Plan of Implementation a</w:t>
      </w:r>
      <w:r>
        <w:rPr>
          <w:i/>
          <w:szCs w:val="20"/>
          <w:lang w:val="en-GB"/>
        </w:rPr>
        <w:t>nd</w:t>
      </w:r>
      <w:r w:rsidRPr="00FA03DC">
        <w:rPr>
          <w:i/>
          <w:szCs w:val="20"/>
          <w:lang w:val="en-GB"/>
        </w:rPr>
        <w:t xml:space="preserve"> Development of </w:t>
      </w:r>
      <w:proofErr w:type="spellStart"/>
      <w:r w:rsidRPr="00FA03DC">
        <w:rPr>
          <w:i/>
          <w:szCs w:val="20"/>
          <w:lang w:val="en-GB"/>
        </w:rPr>
        <w:t>IoT</w:t>
      </w:r>
      <w:proofErr w:type="spellEnd"/>
      <w:r w:rsidRPr="00FA03DC">
        <w:rPr>
          <w:i/>
          <w:szCs w:val="20"/>
          <w:lang w:val="en-GB"/>
        </w:rPr>
        <w:t xml:space="preserve"> in Asia Pacific Countrie</w:t>
      </w:r>
      <w:r>
        <w:rPr>
          <w:i/>
          <w:szCs w:val="20"/>
          <w:lang w:val="en-GB"/>
        </w:rPr>
        <w:t>s</w:t>
      </w:r>
      <w:r w:rsidRPr="00123DB9">
        <w:rPr>
          <w:iCs/>
          <w:szCs w:val="20"/>
          <w:lang w:val="en-GB"/>
        </w:rPr>
        <w:t>"</w:t>
      </w:r>
      <w:r>
        <w:rPr>
          <w:iCs/>
          <w:szCs w:val="20"/>
          <w:lang w:val="en-GB"/>
        </w:rPr>
        <w:t xml:space="preserve"> (Report No. APT/AWG/REP-86)</w:t>
      </w:r>
      <w:r w:rsidRPr="00123DB9">
        <w:rPr>
          <w:iCs/>
        </w:rPr>
        <w:t>.</w:t>
      </w:r>
      <w:r>
        <w:t xml:space="preserve"> </w:t>
      </w:r>
      <w:r>
        <w:rPr>
          <w:rFonts w:eastAsiaTheme="minorEastAsia"/>
          <w:lang w:eastAsia="zh-CN"/>
        </w:rPr>
        <w:t>The Report is attached in the Annex</w:t>
      </w:r>
      <w:r w:rsidRPr="007A729E">
        <w:t xml:space="preserve"> </w:t>
      </w:r>
      <w:r>
        <w:t>of this Liaison Statement</w:t>
      </w:r>
      <w:r>
        <w:rPr>
          <w:rFonts w:eastAsiaTheme="minorEastAsia"/>
          <w:lang w:eastAsia="zh-CN"/>
        </w:rPr>
        <w:t>.</w:t>
      </w:r>
    </w:p>
    <w:p w14:paraId="7E863D57" w14:textId="2F281A64" w:rsidR="00B56099" w:rsidRPr="00441526" w:rsidRDefault="00C56E4E" w:rsidP="00B56099">
      <w:pPr>
        <w:spacing w:after="120"/>
        <w:jc w:val="both"/>
        <w:rPr>
          <w:b/>
          <w:lang w:val="en-NZ" w:eastAsia="ko-KR"/>
        </w:rPr>
      </w:pPr>
      <w:r>
        <w:rPr>
          <w:b/>
          <w:lang w:val="en-NZ" w:eastAsia="ko-KR"/>
        </w:rPr>
        <w:t>3.1.2</w:t>
      </w:r>
      <w:r w:rsidR="009A7CF0">
        <w:rPr>
          <w:b/>
          <w:lang w:val="en-NZ" w:eastAsia="ko-KR"/>
        </w:rPr>
        <w:t xml:space="preserve"> </w:t>
      </w:r>
      <w:r w:rsidR="009A7CF0">
        <w:rPr>
          <w:b/>
          <w:lang w:val="en-NZ" w:eastAsia="ko-KR"/>
        </w:rPr>
        <w:tab/>
        <w:t>Australia</w:t>
      </w:r>
      <w:r w:rsidR="00D416A3" w:rsidRPr="00441526">
        <w:rPr>
          <w:b/>
          <w:lang w:val="en-NZ" w:eastAsia="ko-KR"/>
        </w:rPr>
        <w:t xml:space="preserve"> </w:t>
      </w:r>
      <w:r w:rsidR="00D416A3" w:rsidRPr="00441526">
        <w:t xml:space="preserve">- </w:t>
      </w:r>
      <w:r w:rsidR="00D416A3" w:rsidRPr="00441526">
        <w:rPr>
          <w:b/>
          <w:lang w:val="en-NZ" w:eastAsia="ko-KR"/>
        </w:rPr>
        <w:t xml:space="preserve">Document </w:t>
      </w:r>
      <w:hyperlink r:id="rId35" w:history="1">
        <w:r w:rsidR="009A7CF0" w:rsidRPr="009A7CF0">
          <w:rPr>
            <w:rStyle w:val="Hyperlink"/>
            <w:b/>
            <w:lang w:val="en-NZ" w:eastAsia="ko-KR"/>
          </w:rPr>
          <w:t>APG19-4/INP-16</w:t>
        </w:r>
      </w:hyperlink>
    </w:p>
    <w:p w14:paraId="18242106" w14:textId="77777777" w:rsidR="00F95319" w:rsidRPr="00422744" w:rsidRDefault="00F95319" w:rsidP="00A47BAE">
      <w:pPr>
        <w:spacing w:after="120"/>
        <w:jc w:val="both"/>
        <w:rPr>
          <w:lang w:val="en-AU"/>
        </w:rPr>
      </w:pPr>
      <w:r w:rsidRPr="00422744">
        <w:rPr>
          <w:lang w:val="en-AU"/>
        </w:rPr>
        <w:t xml:space="preserve">Australia is of the view that there is no need to take any regulatory action in the Radio Regulations with respect to specific spectrum for the use of narrowband and broadband machine-type communication applications in the Radio Regulations, </w:t>
      </w:r>
      <w:r w:rsidRPr="00BA01C8">
        <w:rPr>
          <w:lang w:val="en-AU"/>
        </w:rPr>
        <w:t>consistent with the current Draft CPM Report conclusion.</w:t>
      </w:r>
      <w:r w:rsidRPr="00422744">
        <w:rPr>
          <w:lang w:val="en-AU"/>
        </w:rPr>
        <w:t xml:space="preserve"> </w:t>
      </w:r>
    </w:p>
    <w:p w14:paraId="355EE77F" w14:textId="77777777" w:rsidR="00F95319" w:rsidRPr="00422744" w:rsidRDefault="00F95319" w:rsidP="00A47BAE">
      <w:pPr>
        <w:spacing w:after="120"/>
        <w:jc w:val="both"/>
        <w:rPr>
          <w:lang w:val="en-AU"/>
        </w:rPr>
      </w:pPr>
      <w:r w:rsidRPr="00422744">
        <w:rPr>
          <w:lang w:val="en-AU"/>
        </w:rPr>
        <w:t>Australia supports the development of appropriate ITU-R Recommendations, Reports and/or Handbooks on technical and operational aspects of using different radio networks and systems for the implementation of narrowband and broadband machine-type communication infrastructures.</w:t>
      </w:r>
    </w:p>
    <w:p w14:paraId="7E9DCE22" w14:textId="77777777" w:rsidR="00F95319" w:rsidRPr="00422744" w:rsidRDefault="00F95319" w:rsidP="00A47BAE">
      <w:pPr>
        <w:spacing w:after="120"/>
        <w:jc w:val="both"/>
        <w:rPr>
          <w:lang w:val="en-AU"/>
        </w:rPr>
      </w:pPr>
      <w:r w:rsidRPr="00422744">
        <w:rPr>
          <w:lang w:val="en-AU"/>
        </w:rPr>
        <w:t>Any future study can be accommodated in the scope of work of the ITU Radiocommunication Sector (ITU-R).</w:t>
      </w:r>
    </w:p>
    <w:p w14:paraId="3AD4AB45" w14:textId="06077847" w:rsidR="00F95319" w:rsidRDefault="00A47BAE" w:rsidP="00A47BAE">
      <w:pPr>
        <w:spacing w:after="120"/>
        <w:jc w:val="both"/>
        <w:rPr>
          <w:lang w:val="en-AU"/>
        </w:rPr>
      </w:pPr>
      <w:r w:rsidRPr="00422744">
        <w:rPr>
          <w:lang w:val="en-AU"/>
        </w:rPr>
        <w:t>Accordingly,</w:t>
      </w:r>
      <w:r w:rsidR="00F95319" w:rsidRPr="00422744">
        <w:rPr>
          <w:lang w:val="en-AU"/>
        </w:rPr>
        <w:t xml:space="preserve"> number 3) of the Annex to Resolution </w:t>
      </w:r>
      <w:r w:rsidR="00F95319" w:rsidRPr="00422744">
        <w:rPr>
          <w:b/>
          <w:lang w:val="en-AU"/>
        </w:rPr>
        <w:t>958 (WRC-15</w:t>
      </w:r>
      <w:r w:rsidR="00F95319" w:rsidRPr="00402CBF">
        <w:rPr>
          <w:b/>
          <w:lang w:val="en-AU"/>
        </w:rPr>
        <w:t>)</w:t>
      </w:r>
      <w:r w:rsidR="00F95319" w:rsidRPr="0062463B">
        <w:rPr>
          <w:lang w:val="en-AU"/>
        </w:rPr>
        <w:t xml:space="preserve"> </w:t>
      </w:r>
      <w:r w:rsidR="00F95319" w:rsidRPr="00BA01C8">
        <w:rPr>
          <w:lang w:val="en-AU"/>
        </w:rPr>
        <w:t>can be suppressed.</w:t>
      </w:r>
    </w:p>
    <w:p w14:paraId="2E8DEA31" w14:textId="12FB7477" w:rsidR="003D1128" w:rsidRPr="00E71183" w:rsidRDefault="00F95319" w:rsidP="00A47BAE">
      <w:pPr>
        <w:spacing w:after="120"/>
        <w:jc w:val="both"/>
        <w:rPr>
          <w:lang w:val="id-ID"/>
        </w:rPr>
      </w:pPr>
      <w:r w:rsidRPr="00422744">
        <w:rPr>
          <w:lang w:val="en-AU"/>
        </w:rPr>
        <w:t>Australia supports the APT Preliminary View from the APG19-3 meeting</w:t>
      </w:r>
      <w:r w:rsidR="00E71183">
        <w:rPr>
          <w:lang w:val="id-ID"/>
        </w:rPr>
        <w:t>.</w:t>
      </w:r>
    </w:p>
    <w:p w14:paraId="7EEC36C7" w14:textId="29F8D535" w:rsidR="00B56099" w:rsidRPr="00441526" w:rsidRDefault="00C56E4E" w:rsidP="00B56099">
      <w:pPr>
        <w:spacing w:after="120"/>
        <w:jc w:val="both"/>
        <w:rPr>
          <w:b/>
          <w:lang w:val="en-NZ" w:eastAsia="ko-KR"/>
        </w:rPr>
      </w:pPr>
      <w:r>
        <w:rPr>
          <w:b/>
          <w:lang w:val="en-NZ" w:eastAsia="ko-KR"/>
        </w:rPr>
        <w:t>3.1.3</w:t>
      </w:r>
      <w:r w:rsidR="00B56099" w:rsidRPr="00441526">
        <w:rPr>
          <w:b/>
          <w:lang w:val="en-NZ" w:eastAsia="ko-KR"/>
        </w:rPr>
        <w:t xml:space="preserve"> </w:t>
      </w:r>
      <w:r w:rsidR="00B56099" w:rsidRPr="00441526">
        <w:rPr>
          <w:b/>
          <w:lang w:val="en-NZ" w:eastAsia="ko-KR"/>
        </w:rPr>
        <w:tab/>
      </w:r>
      <w:r w:rsidR="003A7487">
        <w:rPr>
          <w:b/>
          <w:lang w:val="en-NZ" w:eastAsia="ko-KR"/>
        </w:rPr>
        <w:t>New Zealand</w:t>
      </w:r>
      <w:r w:rsidR="00D416A3" w:rsidRPr="00441526">
        <w:rPr>
          <w:b/>
          <w:lang w:val="en-NZ" w:eastAsia="ko-KR"/>
        </w:rPr>
        <w:t xml:space="preserve"> </w:t>
      </w:r>
      <w:r w:rsidR="00D416A3" w:rsidRPr="00441526">
        <w:t xml:space="preserve">- </w:t>
      </w:r>
      <w:r w:rsidR="00D416A3" w:rsidRPr="00441526">
        <w:rPr>
          <w:b/>
          <w:lang w:val="en-NZ" w:eastAsia="ko-KR"/>
        </w:rPr>
        <w:t xml:space="preserve">Document </w:t>
      </w:r>
      <w:hyperlink r:id="rId36" w:history="1">
        <w:r w:rsidR="003A7487" w:rsidRPr="003A7487">
          <w:rPr>
            <w:rStyle w:val="Hyperlink"/>
            <w:b/>
            <w:lang w:val="en-NZ" w:eastAsia="ko-KR"/>
          </w:rPr>
          <w:t>APG19-4/INP-23</w:t>
        </w:r>
      </w:hyperlink>
    </w:p>
    <w:p w14:paraId="1E680694" w14:textId="48AB9770" w:rsidR="00E8108D" w:rsidRDefault="00E8108D" w:rsidP="00A47BAE">
      <w:pPr>
        <w:spacing w:after="120"/>
        <w:jc w:val="both"/>
        <w:rPr>
          <w:lang w:val="en-NZ"/>
        </w:rPr>
      </w:pPr>
      <w:r w:rsidRPr="00D9340E">
        <w:rPr>
          <w:lang w:val="en-NZ"/>
        </w:rPr>
        <w:t>New Zealand</w:t>
      </w:r>
      <w:r w:rsidRPr="00D2642E">
        <w:t xml:space="preserve"> </w:t>
      </w:r>
      <w:r w:rsidRPr="00D2642E">
        <w:rPr>
          <w:lang w:val="en-NZ"/>
        </w:rPr>
        <w:t xml:space="preserve">supports </w:t>
      </w:r>
      <w:r w:rsidRPr="00A47BAE">
        <w:rPr>
          <w:lang w:val="en-AU"/>
        </w:rPr>
        <w:t>no</w:t>
      </w:r>
      <w:r w:rsidRPr="00D2642E">
        <w:rPr>
          <w:lang w:val="en-NZ"/>
        </w:rPr>
        <w:t xml:space="preserve"> change to the Radio Regulations</w:t>
      </w:r>
      <w:r>
        <w:rPr>
          <w:lang w:val="en-NZ"/>
        </w:rPr>
        <w:t>. New Zealand</w:t>
      </w:r>
      <w:r w:rsidRPr="00D9340E">
        <w:rPr>
          <w:lang w:val="en-NZ"/>
        </w:rPr>
        <w:t xml:space="preserve"> is of the view that there is no need to identify dedicated spectrum for Internet of Things (</w:t>
      </w:r>
      <w:proofErr w:type="spellStart"/>
      <w:r w:rsidRPr="00D9340E">
        <w:rPr>
          <w:lang w:val="en-NZ"/>
        </w:rPr>
        <w:t>IoT</w:t>
      </w:r>
      <w:proofErr w:type="spellEnd"/>
      <w:r w:rsidRPr="00D9340E">
        <w:rPr>
          <w:lang w:val="en-NZ"/>
        </w:rPr>
        <w:t xml:space="preserve">) or Machine-type communication (MTC) in the Radio Regulations. </w:t>
      </w:r>
      <w:proofErr w:type="spellStart"/>
      <w:r w:rsidRPr="00D9340E">
        <w:rPr>
          <w:lang w:val="en-NZ"/>
        </w:rPr>
        <w:t>IoT</w:t>
      </w:r>
      <w:proofErr w:type="spellEnd"/>
      <w:r w:rsidRPr="00D9340E">
        <w:rPr>
          <w:lang w:val="en-NZ"/>
        </w:rPr>
        <w:t>/MTC could be deployed in frequency bands already allocated to Mobile Service, or already identified for IMT use. Such applications can be clarified through development of appropriate ITU-R Recommendations, Reports and/or Handbooks.</w:t>
      </w:r>
    </w:p>
    <w:p w14:paraId="46FE5A04" w14:textId="15869576" w:rsidR="00B56099" w:rsidRDefault="00B56099" w:rsidP="00A47BAE">
      <w:pPr>
        <w:spacing w:after="120"/>
        <w:jc w:val="both"/>
        <w:rPr>
          <w:b/>
          <w:lang w:val="en-NZ" w:eastAsia="ko-KR"/>
        </w:rPr>
      </w:pPr>
      <w:r w:rsidRPr="00441526">
        <w:rPr>
          <w:b/>
          <w:lang w:val="en-NZ" w:eastAsia="ko-KR"/>
        </w:rPr>
        <w:t>3.1</w:t>
      </w:r>
      <w:r w:rsidR="00C56E4E">
        <w:rPr>
          <w:b/>
          <w:lang w:val="en-NZ" w:eastAsia="ko-KR"/>
        </w:rPr>
        <w:t>.4</w:t>
      </w:r>
      <w:r w:rsidR="002F4719">
        <w:rPr>
          <w:b/>
          <w:lang w:val="en-NZ" w:eastAsia="ko-KR"/>
        </w:rPr>
        <w:tab/>
        <w:t>Malaysia, Singapore, Thailand</w:t>
      </w:r>
      <w:r w:rsidR="00D416A3" w:rsidRPr="00441526">
        <w:rPr>
          <w:b/>
          <w:lang w:val="en-NZ" w:eastAsia="ko-KR"/>
        </w:rPr>
        <w:t xml:space="preserve"> </w:t>
      </w:r>
      <w:r w:rsidR="00D416A3" w:rsidRPr="00441526">
        <w:t xml:space="preserve">- </w:t>
      </w:r>
      <w:r w:rsidR="00D416A3" w:rsidRPr="00441526">
        <w:rPr>
          <w:b/>
          <w:lang w:val="en-NZ" w:eastAsia="ko-KR"/>
        </w:rPr>
        <w:t xml:space="preserve">Document </w:t>
      </w:r>
      <w:hyperlink r:id="rId37" w:history="1">
        <w:r w:rsidR="002F4719" w:rsidRPr="002F4719">
          <w:rPr>
            <w:rStyle w:val="Hyperlink"/>
            <w:b/>
            <w:lang w:val="en-NZ" w:eastAsia="ko-KR"/>
          </w:rPr>
          <w:t>APG19-4/INP-42</w:t>
        </w:r>
      </w:hyperlink>
      <w:r w:rsidR="002F4719">
        <w:rPr>
          <w:b/>
          <w:lang w:val="en-NZ" w:eastAsia="ko-KR"/>
        </w:rPr>
        <w:t xml:space="preserve"> </w:t>
      </w:r>
    </w:p>
    <w:p w14:paraId="1C02FB05" w14:textId="77777777" w:rsidR="00652644" w:rsidRPr="002E72C6" w:rsidRDefault="00652644" w:rsidP="00A47BAE">
      <w:pPr>
        <w:spacing w:after="120"/>
        <w:jc w:val="both"/>
        <w:rPr>
          <w:lang w:val="en-MY"/>
        </w:rPr>
      </w:pPr>
      <w:r>
        <w:t>Malaysia,</w:t>
      </w:r>
      <w:r w:rsidRPr="002E72C6">
        <w:t xml:space="preserve"> Singapore and Thailand’s view remain unchanged in that IMT-based MTC/</w:t>
      </w:r>
      <w:proofErr w:type="spellStart"/>
      <w:r w:rsidRPr="002E72C6">
        <w:t>IoT</w:t>
      </w:r>
      <w:proofErr w:type="spellEnd"/>
      <w:r w:rsidRPr="002E72C6">
        <w:t xml:space="preserve"> applications should be able to use existing frequency bands allocated to MOBILE service that could </w:t>
      </w:r>
      <w:r w:rsidRPr="00A47BAE">
        <w:rPr>
          <w:lang w:val="en-NZ"/>
        </w:rPr>
        <w:t>support</w:t>
      </w:r>
      <w:r w:rsidRPr="002E72C6">
        <w:t xml:space="preserve"> mobile broadband deployment, including those already identified for IMT.</w:t>
      </w:r>
    </w:p>
    <w:p w14:paraId="3964A3A4" w14:textId="77777777" w:rsidR="00652644" w:rsidRDefault="00652644" w:rsidP="00652644">
      <w:pPr>
        <w:tabs>
          <w:tab w:val="left" w:pos="600"/>
        </w:tabs>
        <w:jc w:val="thaiDistribute"/>
        <w:rPr>
          <w:lang w:val="en-MY"/>
        </w:rPr>
      </w:pPr>
      <w:r w:rsidRPr="002E72C6">
        <w:t xml:space="preserve">As concluded in the </w:t>
      </w:r>
      <w:r>
        <w:t xml:space="preserve">draft </w:t>
      </w:r>
      <w:r w:rsidRPr="002E72C6">
        <w:t>CPM text:</w:t>
      </w:r>
    </w:p>
    <w:p w14:paraId="64E6A697" w14:textId="77777777" w:rsidR="00652644" w:rsidRPr="002E72C6" w:rsidRDefault="00652644" w:rsidP="00652644">
      <w:pPr>
        <w:pStyle w:val="ListParagraph"/>
        <w:numPr>
          <w:ilvl w:val="0"/>
          <w:numId w:val="23"/>
        </w:numPr>
        <w:tabs>
          <w:tab w:val="left" w:pos="709"/>
        </w:tabs>
        <w:contextualSpacing/>
        <w:jc w:val="thaiDistribute"/>
        <w:rPr>
          <w:lang w:val="en-MY"/>
        </w:rPr>
      </w:pPr>
      <w:r>
        <w:t>T</w:t>
      </w:r>
      <w:r w:rsidRPr="002E72C6">
        <w:t>here is no need to identify specific spectrum for those applica</w:t>
      </w:r>
      <w:r>
        <w:t>tions in the Radio Regulations.</w:t>
      </w:r>
    </w:p>
    <w:p w14:paraId="7F91CACA" w14:textId="77777777" w:rsidR="00652644" w:rsidRPr="002E72C6" w:rsidRDefault="00652644" w:rsidP="00652644">
      <w:pPr>
        <w:pStyle w:val="ListParagraph"/>
        <w:numPr>
          <w:ilvl w:val="0"/>
          <w:numId w:val="23"/>
        </w:numPr>
        <w:tabs>
          <w:tab w:val="left" w:pos="709"/>
        </w:tabs>
        <w:contextualSpacing/>
        <w:jc w:val="thaiDistribute"/>
        <w:rPr>
          <w:lang w:val="en-MY"/>
        </w:rPr>
      </w:pPr>
      <w:r>
        <w:lastRenderedPageBreak/>
        <w:t>T</w:t>
      </w:r>
      <w:r w:rsidRPr="002E72C6">
        <w:t>here may be other ways to address the harmonized use of spectrum to support the implementation of narrowband and broadband MTC.</w:t>
      </w:r>
    </w:p>
    <w:p w14:paraId="171DA2B8" w14:textId="77777777" w:rsidR="00652644" w:rsidRPr="002E72C6" w:rsidRDefault="00652644" w:rsidP="00652644">
      <w:pPr>
        <w:pStyle w:val="ListParagraph"/>
        <w:numPr>
          <w:ilvl w:val="0"/>
          <w:numId w:val="23"/>
        </w:numPr>
        <w:tabs>
          <w:tab w:val="left" w:pos="709"/>
        </w:tabs>
        <w:contextualSpacing/>
        <w:jc w:val="thaiDistribute"/>
        <w:rPr>
          <w:lang w:val="en-MY"/>
        </w:rPr>
      </w:pPr>
      <w:r w:rsidRPr="002E72C6">
        <w:t xml:space="preserve">The study of technical and operational aspects including the potential harmonized spectrum usage to support the implementation of narrowband and broadband MTC infrastructures could be further accomplished through the course of the work in ITU-R Study Groups including the development of ITU-R Recommendations, Reports and/or Handbooks, as appropriate. </w:t>
      </w:r>
    </w:p>
    <w:p w14:paraId="66F81FB8" w14:textId="77777777" w:rsidR="00652644" w:rsidRPr="002E72C6" w:rsidRDefault="00652644" w:rsidP="00652644">
      <w:pPr>
        <w:pStyle w:val="ListParagraph"/>
        <w:numPr>
          <w:ilvl w:val="0"/>
          <w:numId w:val="23"/>
        </w:numPr>
        <w:tabs>
          <w:tab w:val="left" w:pos="709"/>
        </w:tabs>
        <w:contextualSpacing/>
        <w:jc w:val="thaiDistribute"/>
        <w:rPr>
          <w:lang w:val="en-MY"/>
        </w:rPr>
      </w:pPr>
      <w:r w:rsidRPr="00BA01C8">
        <w:t>Possible example(s) of the potential harmonized use of IMT-based MTC, based on IMT frequency arrangements provided by Recommendation ITU-R M.1036</w:t>
      </w:r>
      <w:r w:rsidRPr="00402CBF">
        <w:t>,</w:t>
      </w:r>
      <w:r w:rsidRPr="002E72C6">
        <w:t xml:space="preserve"> can be found in PDN Report ITU-R M.[IMT.MTC] and for non-IMT technologies in PDN Report ITU-R M.[NON_IMT.MTC_USAGE]</w:t>
      </w:r>
    </w:p>
    <w:p w14:paraId="621584B8" w14:textId="77777777" w:rsidR="003D1128" w:rsidRPr="00441526" w:rsidRDefault="003D1128" w:rsidP="003D1128">
      <w:pPr>
        <w:rPr>
          <w:lang w:val="en-NZ"/>
        </w:rPr>
      </w:pPr>
    </w:p>
    <w:p w14:paraId="225D1837" w14:textId="6C89556D" w:rsidR="002F4719" w:rsidRDefault="002F4719" w:rsidP="00A47BAE">
      <w:pPr>
        <w:spacing w:after="120"/>
        <w:jc w:val="both"/>
        <w:rPr>
          <w:b/>
          <w:lang w:val="en-NZ" w:eastAsia="ko-KR"/>
        </w:rPr>
      </w:pPr>
      <w:r w:rsidRPr="00441526">
        <w:rPr>
          <w:b/>
          <w:lang w:val="en-NZ" w:eastAsia="ko-KR"/>
        </w:rPr>
        <w:t>3.1</w:t>
      </w:r>
      <w:r w:rsidR="00C56E4E">
        <w:rPr>
          <w:b/>
          <w:lang w:val="en-NZ" w:eastAsia="ko-KR"/>
        </w:rPr>
        <w:t>.5</w:t>
      </w:r>
      <w:r>
        <w:rPr>
          <w:b/>
          <w:lang w:val="en-NZ" w:eastAsia="ko-KR"/>
        </w:rPr>
        <w:tab/>
      </w:r>
      <w:r w:rsidR="0075480D">
        <w:rPr>
          <w:b/>
          <w:lang w:val="en-NZ" w:eastAsia="ko-KR"/>
        </w:rPr>
        <w:t>Japan</w:t>
      </w:r>
      <w:r w:rsidRPr="00441526">
        <w:rPr>
          <w:b/>
          <w:lang w:val="en-NZ" w:eastAsia="ko-KR"/>
        </w:rPr>
        <w:t xml:space="preserve"> </w:t>
      </w:r>
      <w:r w:rsidRPr="00441526">
        <w:t xml:space="preserve">- </w:t>
      </w:r>
      <w:r w:rsidRPr="00441526">
        <w:rPr>
          <w:b/>
          <w:lang w:val="en-NZ" w:eastAsia="ko-KR"/>
        </w:rPr>
        <w:t xml:space="preserve">Document </w:t>
      </w:r>
      <w:hyperlink r:id="rId38" w:history="1">
        <w:r w:rsidR="0075480D" w:rsidRPr="0075480D">
          <w:rPr>
            <w:rStyle w:val="Hyperlink"/>
            <w:b/>
            <w:lang w:val="en-NZ" w:eastAsia="ko-KR"/>
          </w:rPr>
          <w:t>APG19-4/INP-60</w:t>
        </w:r>
      </w:hyperlink>
    </w:p>
    <w:p w14:paraId="5176D9B7" w14:textId="77777777" w:rsidR="001B2FC3" w:rsidRPr="001B2FC3" w:rsidRDefault="001B2FC3" w:rsidP="001B2FC3">
      <w:pPr>
        <w:spacing w:after="120"/>
        <w:jc w:val="both"/>
        <w:rPr>
          <w:rFonts w:eastAsiaTheme="minorEastAsia"/>
          <w:lang w:val="en-GB" w:eastAsia="ja-JP"/>
        </w:rPr>
      </w:pPr>
      <w:r w:rsidRPr="001B2FC3">
        <w:rPr>
          <w:rFonts w:eastAsiaTheme="minorEastAsia" w:hint="eastAsia"/>
          <w:lang w:val="en-GB" w:eastAsia="ja-JP"/>
        </w:rPr>
        <w:t>Japan</w:t>
      </w:r>
      <w:r w:rsidRPr="001B2FC3">
        <w:rPr>
          <w:rFonts w:eastAsiaTheme="minorEastAsia"/>
          <w:lang w:val="en-GB" w:eastAsia="ja-JP"/>
        </w:rPr>
        <w:t xml:space="preserve"> supports </w:t>
      </w:r>
      <w:r w:rsidRPr="001B2FC3">
        <w:rPr>
          <w:rFonts w:eastAsiaTheme="minorEastAsia" w:hint="eastAsia"/>
          <w:lang w:val="en-GB" w:eastAsia="ja-JP"/>
        </w:rPr>
        <w:t xml:space="preserve">the ITU-R </w:t>
      </w:r>
      <w:r w:rsidRPr="001B2FC3">
        <w:rPr>
          <w:rFonts w:eastAsiaTheme="minorEastAsia"/>
          <w:lang w:val="en-GB" w:eastAsia="ja-JP"/>
        </w:rPr>
        <w:t xml:space="preserve">studies on the technical and operational aspects of radio networks and systems, as well as needed spectrums, including possible harmonized use of spectrum to support the </w:t>
      </w:r>
      <w:r w:rsidRPr="001B2FC3">
        <w:rPr>
          <w:rFonts w:eastAsiaTheme="minorEastAsia"/>
          <w:lang w:eastAsia="ja-JP"/>
        </w:rPr>
        <w:t>implementation</w:t>
      </w:r>
      <w:r w:rsidRPr="001B2FC3">
        <w:rPr>
          <w:rFonts w:eastAsiaTheme="minorEastAsia"/>
          <w:lang w:val="en-GB" w:eastAsia="ja-JP"/>
        </w:rPr>
        <w:t xml:space="preserve"> of narrowband and broadband machine-type communication infrastructures, </w:t>
      </w:r>
      <w:r w:rsidRPr="001B2FC3">
        <w:rPr>
          <w:rFonts w:eastAsiaTheme="minorEastAsia" w:hint="eastAsia"/>
          <w:lang w:val="en-GB" w:eastAsia="ja-JP"/>
        </w:rPr>
        <w:t xml:space="preserve">in accordance with </w:t>
      </w:r>
      <w:r w:rsidRPr="001B2FC3">
        <w:rPr>
          <w:rFonts w:eastAsiaTheme="minorEastAsia"/>
          <w:lang w:val="en-GB" w:eastAsia="ja-JP"/>
        </w:rPr>
        <w:t xml:space="preserve">Resolution </w:t>
      </w:r>
      <w:r w:rsidRPr="001B2FC3">
        <w:rPr>
          <w:rFonts w:eastAsiaTheme="minorEastAsia"/>
          <w:b/>
          <w:lang w:val="en-GB" w:eastAsia="ja-JP"/>
        </w:rPr>
        <w:t>958 (WRC-15)</w:t>
      </w:r>
      <w:r w:rsidRPr="001B2FC3">
        <w:rPr>
          <w:rFonts w:eastAsiaTheme="minorEastAsia"/>
          <w:lang w:val="en-GB" w:eastAsia="ja-JP"/>
        </w:rPr>
        <w:t xml:space="preserve">, from the viewpoint of IMT and non-IMT technologies. </w:t>
      </w:r>
    </w:p>
    <w:p w14:paraId="113BEC97" w14:textId="77777777" w:rsidR="001B2FC3" w:rsidRPr="001B2FC3" w:rsidRDefault="001B2FC3" w:rsidP="001B2FC3">
      <w:pPr>
        <w:spacing w:after="120"/>
        <w:jc w:val="both"/>
        <w:rPr>
          <w:rFonts w:eastAsiaTheme="minorEastAsia"/>
          <w:lang w:val="en-GB" w:eastAsia="ja-JP"/>
        </w:rPr>
      </w:pPr>
      <w:r w:rsidRPr="001B2FC3">
        <w:rPr>
          <w:rFonts w:eastAsiaTheme="minorEastAsia" w:hint="eastAsia"/>
          <w:lang w:val="en-GB" w:eastAsia="ja-JP"/>
        </w:rPr>
        <w:t xml:space="preserve">Japan is of the view that </w:t>
      </w:r>
      <w:r w:rsidRPr="001B2FC3">
        <w:rPr>
          <w:rFonts w:eastAsiaTheme="minorEastAsia"/>
          <w:lang w:val="en-GB" w:eastAsia="ja-JP"/>
        </w:rPr>
        <w:t xml:space="preserve">there is no need to identify specific spectrums for MTC applications according to the </w:t>
      </w:r>
      <w:r w:rsidRPr="001B2FC3">
        <w:rPr>
          <w:rFonts w:eastAsiaTheme="minorEastAsia" w:hint="eastAsia"/>
          <w:lang w:val="en-GB" w:eastAsia="ja-JP"/>
        </w:rPr>
        <w:t xml:space="preserve">ITU </w:t>
      </w:r>
      <w:r w:rsidRPr="001B2FC3">
        <w:rPr>
          <w:rFonts w:eastAsiaTheme="minorEastAsia"/>
          <w:lang w:val="en-GB" w:eastAsia="ja-JP"/>
        </w:rPr>
        <w:t>Radio Regulations. Because, at least for MTC using IMT, it is available flexibly in the allocated frequency bands identified for IMT.</w:t>
      </w:r>
    </w:p>
    <w:p w14:paraId="240BA398" w14:textId="19AE249B" w:rsidR="002F4719" w:rsidRPr="002F4719" w:rsidRDefault="002F4719" w:rsidP="00A47BAE">
      <w:pPr>
        <w:spacing w:after="120"/>
        <w:jc w:val="both"/>
        <w:rPr>
          <w:rFonts w:eastAsia="Times New Roman"/>
        </w:rPr>
      </w:pPr>
      <w:r w:rsidRPr="00441526">
        <w:rPr>
          <w:b/>
          <w:lang w:val="en-NZ" w:eastAsia="ko-KR"/>
        </w:rPr>
        <w:t>3.1</w:t>
      </w:r>
      <w:r w:rsidR="00C56E4E">
        <w:rPr>
          <w:b/>
          <w:lang w:val="en-NZ" w:eastAsia="ko-KR"/>
        </w:rPr>
        <w:t>.6</w:t>
      </w:r>
      <w:r>
        <w:rPr>
          <w:b/>
          <w:lang w:val="en-NZ" w:eastAsia="ko-KR"/>
        </w:rPr>
        <w:tab/>
      </w:r>
      <w:r w:rsidR="00AB55E3">
        <w:rPr>
          <w:b/>
          <w:lang w:val="en-NZ" w:eastAsia="ko-KR"/>
        </w:rPr>
        <w:t>Korea</w:t>
      </w:r>
      <w:r w:rsidRPr="00441526">
        <w:rPr>
          <w:b/>
          <w:lang w:val="en-NZ" w:eastAsia="ko-KR"/>
        </w:rPr>
        <w:t xml:space="preserve"> </w:t>
      </w:r>
      <w:r w:rsidRPr="00441526">
        <w:t xml:space="preserve">- </w:t>
      </w:r>
      <w:r w:rsidRPr="00441526">
        <w:rPr>
          <w:b/>
          <w:lang w:val="en-NZ" w:eastAsia="ko-KR"/>
        </w:rPr>
        <w:t xml:space="preserve">Document </w:t>
      </w:r>
      <w:hyperlink r:id="rId39" w:history="1">
        <w:r w:rsidR="00AB55E3" w:rsidRPr="00AB55E3">
          <w:rPr>
            <w:rStyle w:val="Hyperlink"/>
            <w:b/>
            <w:lang w:val="en-NZ" w:eastAsia="ko-KR"/>
          </w:rPr>
          <w:t>APG19-4/INP-75(Rev.1)</w:t>
        </w:r>
      </w:hyperlink>
    </w:p>
    <w:p w14:paraId="247C9815" w14:textId="77777777" w:rsidR="00535A28" w:rsidRDefault="00535A28" w:rsidP="00A47BAE">
      <w:pPr>
        <w:spacing w:after="120"/>
        <w:jc w:val="both"/>
        <w:rPr>
          <w:rFonts w:eastAsia="Times New Roman"/>
          <w:noProof/>
          <w:lang w:eastAsia="ja-JP"/>
        </w:rPr>
      </w:pPr>
      <w:r>
        <w:rPr>
          <w:lang w:val="en-NZ" w:eastAsia="ko-KR"/>
        </w:rPr>
        <w:t xml:space="preserve">The </w:t>
      </w:r>
      <w:r>
        <w:rPr>
          <w:lang w:val="en-NZ"/>
        </w:rPr>
        <w:t>Republic</w:t>
      </w:r>
      <w:r>
        <w:rPr>
          <w:lang w:val="en-NZ" w:eastAsia="ko-KR"/>
        </w:rPr>
        <w:t xml:space="preserve"> of </w:t>
      </w:r>
      <w:r>
        <w:rPr>
          <w:rFonts w:hint="eastAsia"/>
          <w:lang w:val="en-NZ" w:eastAsia="ko-KR"/>
        </w:rPr>
        <w:t xml:space="preserve">Korea is </w:t>
      </w:r>
      <w:r>
        <w:rPr>
          <w:rFonts w:eastAsiaTheme="minorEastAsia"/>
          <w:lang w:eastAsia="ja-JP"/>
        </w:rPr>
        <w:t>of the view that</w:t>
      </w:r>
      <w:r>
        <w:rPr>
          <w:color w:val="000000" w:themeColor="text1"/>
          <w:lang w:eastAsia="ko-KR"/>
        </w:rPr>
        <w:t xml:space="preserve"> there is no need to take any regulatory action in the Radio Regulations with respect to specific spectrum for the use of those applications in the Radio Regulations. </w:t>
      </w:r>
    </w:p>
    <w:p w14:paraId="3B0CD2EB" w14:textId="7FB71010" w:rsidR="00FC0130" w:rsidRPr="002F4719" w:rsidRDefault="00FC0130" w:rsidP="00A47BAE">
      <w:pPr>
        <w:spacing w:after="120"/>
        <w:jc w:val="both"/>
        <w:rPr>
          <w:rFonts w:eastAsia="Times New Roman"/>
        </w:rPr>
      </w:pPr>
      <w:r w:rsidRPr="00441526">
        <w:rPr>
          <w:b/>
          <w:lang w:val="en-NZ" w:eastAsia="ko-KR"/>
        </w:rPr>
        <w:t>3.1</w:t>
      </w:r>
      <w:r w:rsidR="00C56E4E">
        <w:rPr>
          <w:b/>
          <w:lang w:val="en-NZ" w:eastAsia="ko-KR"/>
        </w:rPr>
        <w:t>.7</w:t>
      </w:r>
      <w:r>
        <w:rPr>
          <w:b/>
          <w:lang w:val="en-NZ" w:eastAsia="ko-KR"/>
        </w:rPr>
        <w:tab/>
      </w:r>
      <w:r w:rsidR="00680BB0">
        <w:rPr>
          <w:b/>
          <w:lang w:val="en-NZ" w:eastAsia="ko-KR"/>
        </w:rPr>
        <w:t>Iran (Islamic Republic of)</w:t>
      </w:r>
      <w:r w:rsidRPr="00441526">
        <w:rPr>
          <w:b/>
          <w:lang w:val="en-NZ" w:eastAsia="ko-KR"/>
        </w:rPr>
        <w:t xml:space="preserve"> </w:t>
      </w:r>
      <w:r w:rsidRPr="00441526">
        <w:t xml:space="preserve">- </w:t>
      </w:r>
      <w:r w:rsidRPr="00441526">
        <w:rPr>
          <w:b/>
          <w:lang w:val="en-NZ" w:eastAsia="ko-KR"/>
        </w:rPr>
        <w:t xml:space="preserve">Document </w:t>
      </w:r>
      <w:hyperlink r:id="rId40" w:history="1">
        <w:r w:rsidR="00680BB0" w:rsidRPr="00680BB0">
          <w:rPr>
            <w:rStyle w:val="Hyperlink"/>
            <w:b/>
            <w:lang w:val="en-NZ" w:eastAsia="ko-KR"/>
          </w:rPr>
          <w:t>APG19-4/INP-84</w:t>
        </w:r>
      </w:hyperlink>
    </w:p>
    <w:p w14:paraId="24A7C8AC" w14:textId="77777777" w:rsidR="00597418" w:rsidRDefault="00597418" w:rsidP="00597418">
      <w:pPr>
        <w:jc w:val="both"/>
      </w:pPr>
      <w:r>
        <w:t xml:space="preserve">Identical to APT Preliminary View provided in the </w:t>
      </w:r>
      <w:r w:rsidRPr="00BA01C8">
        <w:t>Document APG19-3/OUT-12</w:t>
      </w:r>
    </w:p>
    <w:p w14:paraId="54F8600B" w14:textId="77777777" w:rsidR="00FC0130" w:rsidRPr="00441526" w:rsidRDefault="00FC0130" w:rsidP="00FC0130">
      <w:pPr>
        <w:ind w:left="708"/>
        <w:rPr>
          <w:lang w:val="en-NZ"/>
        </w:rPr>
      </w:pPr>
    </w:p>
    <w:p w14:paraId="218AA883" w14:textId="4D36FBD5" w:rsidR="00FC0130" w:rsidRPr="002F4719" w:rsidRDefault="00FC0130" w:rsidP="00A47BAE">
      <w:pPr>
        <w:spacing w:after="120"/>
        <w:jc w:val="both"/>
        <w:rPr>
          <w:rFonts w:eastAsia="Times New Roman"/>
        </w:rPr>
      </w:pPr>
      <w:r w:rsidRPr="00441526">
        <w:rPr>
          <w:b/>
          <w:lang w:val="en-NZ" w:eastAsia="ko-KR"/>
        </w:rPr>
        <w:t>3.1</w:t>
      </w:r>
      <w:r w:rsidR="00C56E4E">
        <w:rPr>
          <w:b/>
          <w:lang w:val="en-NZ" w:eastAsia="ko-KR"/>
        </w:rPr>
        <w:t>.8</w:t>
      </w:r>
      <w:r>
        <w:rPr>
          <w:b/>
          <w:lang w:val="en-NZ" w:eastAsia="ko-KR"/>
        </w:rPr>
        <w:tab/>
      </w:r>
      <w:r w:rsidR="00510665">
        <w:rPr>
          <w:b/>
          <w:lang w:val="en-NZ" w:eastAsia="ko-KR"/>
        </w:rPr>
        <w:t>China (People’s Republic of)</w:t>
      </w:r>
      <w:r w:rsidRPr="00441526">
        <w:rPr>
          <w:b/>
          <w:lang w:val="en-NZ" w:eastAsia="ko-KR"/>
        </w:rPr>
        <w:t xml:space="preserve"> </w:t>
      </w:r>
      <w:r w:rsidRPr="00441526">
        <w:t xml:space="preserve">- </w:t>
      </w:r>
      <w:r w:rsidRPr="00441526">
        <w:rPr>
          <w:b/>
          <w:lang w:val="en-NZ" w:eastAsia="ko-KR"/>
        </w:rPr>
        <w:t xml:space="preserve">Document </w:t>
      </w:r>
      <w:hyperlink r:id="rId41" w:history="1">
        <w:r w:rsidR="00680BB0" w:rsidRPr="00680BB0">
          <w:rPr>
            <w:rStyle w:val="Hyperlink"/>
            <w:b/>
            <w:lang w:val="en-NZ" w:eastAsia="ko-KR"/>
          </w:rPr>
          <w:t>APG19-4/INP-101</w:t>
        </w:r>
      </w:hyperlink>
    </w:p>
    <w:p w14:paraId="57FD79D4" w14:textId="77777777" w:rsidR="009661DA" w:rsidRPr="00186D7B" w:rsidRDefault="009661DA" w:rsidP="009661DA">
      <w:pPr>
        <w:jc w:val="both"/>
        <w:rPr>
          <w:rFonts w:eastAsia="SimSun"/>
          <w:lang w:eastAsia="zh-CN"/>
        </w:rPr>
      </w:pPr>
      <w:r w:rsidRPr="00186D7B">
        <w:rPr>
          <w:rFonts w:eastAsia="SimSun"/>
          <w:lang w:eastAsia="zh-CN"/>
        </w:rPr>
        <w:t>China's preliminary views are as follows:</w:t>
      </w:r>
    </w:p>
    <w:p w14:paraId="3237A89C" w14:textId="77777777" w:rsidR="009661DA" w:rsidRDefault="009661DA" w:rsidP="009661DA">
      <w:pPr>
        <w:pStyle w:val="ListParagraph1"/>
        <w:numPr>
          <w:ilvl w:val="0"/>
          <w:numId w:val="25"/>
        </w:numPr>
        <w:spacing w:beforeLines="50" w:before="120" w:afterLines="50" w:after="120"/>
        <w:ind w:firstLineChars="0"/>
        <w:jc w:val="both"/>
        <w:rPr>
          <w:rFonts w:eastAsia="SimSun"/>
          <w:lang w:eastAsia="zh-CN"/>
        </w:rPr>
      </w:pPr>
      <w:r w:rsidRPr="00BA01C8">
        <w:rPr>
          <w:rFonts w:eastAsia="SimSun"/>
          <w:lang w:eastAsia="zh-CN"/>
        </w:rPr>
        <w:t>China is of the view that the existing frequency arrangements for IMT, detailed in Rec. ITU-R M.1036</w:t>
      </w:r>
      <w:r w:rsidRPr="00B85927">
        <w:rPr>
          <w:rFonts w:eastAsia="SimSun"/>
          <w:lang w:eastAsia="zh-CN"/>
        </w:rPr>
        <w:t xml:space="preserve">, can help enable a wide range of narrowband and broadband MTC applications and devices. </w:t>
      </w:r>
    </w:p>
    <w:p w14:paraId="1C4C4669" w14:textId="77777777" w:rsidR="009661DA" w:rsidRPr="004A734E" w:rsidRDefault="009661DA" w:rsidP="009661DA">
      <w:pPr>
        <w:pStyle w:val="ListParagraph1"/>
        <w:numPr>
          <w:ilvl w:val="0"/>
          <w:numId w:val="25"/>
        </w:numPr>
        <w:spacing w:beforeLines="50" w:before="120" w:afterLines="50" w:after="120"/>
        <w:ind w:firstLineChars="0"/>
        <w:jc w:val="both"/>
        <w:rPr>
          <w:rFonts w:eastAsiaTheme="minorEastAsia"/>
          <w:lang w:eastAsia="zh-CN"/>
        </w:rPr>
      </w:pPr>
      <w:r w:rsidRPr="00BA01C8">
        <w:rPr>
          <w:rFonts w:eastAsia="SimSun"/>
          <w:lang w:eastAsia="zh-CN"/>
        </w:rPr>
        <w:t>China supports the conclusion of ITU-R studies and contents in CPM texts for this agenda item</w:t>
      </w:r>
      <w:r w:rsidRPr="00402CBF">
        <w:rPr>
          <w:rFonts w:eastAsia="SimSun"/>
          <w:lang w:eastAsia="zh-CN"/>
        </w:rPr>
        <w:t>.</w:t>
      </w:r>
      <w:r w:rsidRPr="00B85927">
        <w:rPr>
          <w:rFonts w:eastAsia="SimSun"/>
          <w:lang w:eastAsia="zh-CN"/>
        </w:rPr>
        <w:t xml:space="preserve"> </w:t>
      </w:r>
      <w:r w:rsidRPr="00186D7B">
        <w:rPr>
          <w:rFonts w:eastAsia="SimSun"/>
          <w:lang w:eastAsia="zh-CN"/>
        </w:rPr>
        <w:t xml:space="preserve">China </w:t>
      </w:r>
      <w:r>
        <w:rPr>
          <w:rFonts w:eastAsia="SimSun"/>
          <w:lang w:eastAsia="zh-CN"/>
        </w:rPr>
        <w:t xml:space="preserve">also </w:t>
      </w:r>
      <w:r w:rsidRPr="00186D7B">
        <w:rPr>
          <w:rFonts w:eastAsia="SimSun"/>
          <w:lang w:eastAsia="zh-CN"/>
        </w:rPr>
        <w:t>support</w:t>
      </w:r>
      <w:r w:rsidRPr="00186D7B">
        <w:rPr>
          <w:rFonts w:eastAsia="SimSun" w:hint="eastAsia"/>
          <w:lang w:eastAsia="zh-CN"/>
        </w:rPr>
        <w:t>s</w:t>
      </w:r>
      <w:r w:rsidRPr="00186D7B">
        <w:rPr>
          <w:rFonts w:eastAsia="SimSun"/>
          <w:lang w:eastAsia="zh-CN"/>
        </w:rPr>
        <w:t xml:space="preserve"> APT to formulate preliminary common views</w:t>
      </w:r>
      <w:r>
        <w:rPr>
          <w:rFonts w:eastAsia="SimSun"/>
          <w:lang w:eastAsia="zh-CN"/>
        </w:rPr>
        <w:t xml:space="preserve"> that </w:t>
      </w:r>
      <w:r w:rsidRPr="00FD1828">
        <w:rPr>
          <w:i/>
          <w:iCs/>
        </w:rPr>
        <w:t xml:space="preserve">there is no need </w:t>
      </w:r>
      <w:r w:rsidRPr="00FD1828">
        <w:rPr>
          <w:i/>
          <w:iCs/>
          <w:spacing w:val="-2"/>
        </w:rPr>
        <w:t xml:space="preserve">to take </w:t>
      </w:r>
      <w:r w:rsidRPr="00FD1828">
        <w:rPr>
          <w:i/>
          <w:iCs/>
        </w:rPr>
        <w:t xml:space="preserve">any regulatory action in the Radio Regulations with </w:t>
      </w:r>
      <w:r w:rsidRPr="00FD1828">
        <w:rPr>
          <w:i/>
          <w:iCs/>
          <w:spacing w:val="-2"/>
        </w:rPr>
        <w:t xml:space="preserve">respect </w:t>
      </w:r>
      <w:r w:rsidRPr="00FD1828">
        <w:rPr>
          <w:i/>
          <w:iCs/>
        </w:rPr>
        <w:t xml:space="preserve">to specific spectrum for </w:t>
      </w:r>
      <w:r w:rsidRPr="00FD1828">
        <w:rPr>
          <w:i/>
          <w:iCs/>
          <w:spacing w:val="-2"/>
        </w:rPr>
        <w:t xml:space="preserve">the use of </w:t>
      </w:r>
      <w:r w:rsidRPr="00FD1828">
        <w:rPr>
          <w:i/>
          <w:iCs/>
        </w:rPr>
        <w:t>those applications in the Radio Regulations</w:t>
      </w:r>
      <w:r w:rsidRPr="00186D7B">
        <w:rPr>
          <w:rFonts w:eastAsia="SimSun"/>
          <w:lang w:eastAsia="zh-CN"/>
        </w:rPr>
        <w:t xml:space="preserve"> </w:t>
      </w:r>
      <w:r w:rsidRPr="00186D7B">
        <w:rPr>
          <w:rFonts w:eastAsia="SimSun" w:hint="eastAsia"/>
          <w:lang w:eastAsia="zh-CN"/>
        </w:rPr>
        <w:t>subject to discussion and agreement</w:t>
      </w:r>
      <w:r w:rsidRPr="00186D7B">
        <w:rPr>
          <w:rFonts w:eastAsia="SimSun"/>
          <w:lang w:eastAsia="zh-CN"/>
        </w:rPr>
        <w:t>, and to actively harmonize with other region</w:t>
      </w:r>
      <w:r>
        <w:rPr>
          <w:rFonts w:eastAsia="SimSun"/>
          <w:lang w:eastAsia="zh-CN"/>
        </w:rPr>
        <w:t>al groups</w:t>
      </w:r>
      <w:r w:rsidRPr="00186D7B">
        <w:rPr>
          <w:rFonts w:eastAsia="SimSun"/>
          <w:lang w:eastAsia="zh-CN"/>
        </w:rPr>
        <w:t>.</w:t>
      </w:r>
    </w:p>
    <w:p w14:paraId="53656C64" w14:textId="21451058" w:rsidR="00FC0130" w:rsidRDefault="00FC0130" w:rsidP="00A47BAE">
      <w:pPr>
        <w:spacing w:after="120"/>
        <w:jc w:val="both"/>
        <w:rPr>
          <w:b/>
          <w:lang w:val="en-NZ" w:eastAsia="ko-KR"/>
        </w:rPr>
      </w:pPr>
      <w:r w:rsidRPr="00441526">
        <w:rPr>
          <w:b/>
          <w:lang w:val="en-NZ" w:eastAsia="ko-KR"/>
        </w:rPr>
        <w:t>3.1</w:t>
      </w:r>
      <w:r w:rsidR="00C56E4E">
        <w:rPr>
          <w:b/>
          <w:lang w:val="en-NZ" w:eastAsia="ko-KR"/>
        </w:rPr>
        <w:t>.9</w:t>
      </w:r>
      <w:r>
        <w:rPr>
          <w:b/>
          <w:lang w:val="en-NZ" w:eastAsia="ko-KR"/>
        </w:rPr>
        <w:tab/>
      </w:r>
      <w:r w:rsidR="009411AD">
        <w:rPr>
          <w:b/>
          <w:lang w:val="en-NZ" w:eastAsia="ko-KR"/>
        </w:rPr>
        <w:t>Bangladesh</w:t>
      </w:r>
      <w:r w:rsidR="009411AD" w:rsidRPr="00441526">
        <w:t xml:space="preserve"> </w:t>
      </w:r>
      <w:r w:rsidRPr="00441526">
        <w:t xml:space="preserve">- </w:t>
      </w:r>
      <w:r w:rsidRPr="00441526">
        <w:rPr>
          <w:b/>
          <w:lang w:val="en-NZ" w:eastAsia="ko-KR"/>
        </w:rPr>
        <w:t xml:space="preserve">Document </w:t>
      </w:r>
      <w:hyperlink r:id="rId42" w:history="1">
        <w:r w:rsidR="00966B8E" w:rsidRPr="00966B8E">
          <w:rPr>
            <w:rStyle w:val="Hyperlink"/>
            <w:b/>
            <w:lang w:val="en-NZ" w:eastAsia="ko-KR"/>
          </w:rPr>
          <w:t>APG19-4/INP-109</w:t>
        </w:r>
      </w:hyperlink>
    </w:p>
    <w:p w14:paraId="23E2E7B9" w14:textId="77777777" w:rsidR="00191BE4" w:rsidRDefault="00191BE4" w:rsidP="00787E73">
      <w:pPr>
        <w:spacing w:after="120"/>
        <w:jc w:val="both"/>
        <w:rPr>
          <w:lang w:val="en-NZ"/>
        </w:rPr>
      </w:pPr>
      <w:r>
        <w:rPr>
          <w:lang w:val="en-NZ"/>
        </w:rPr>
        <w:t>Bangladesh</w:t>
      </w:r>
      <w:r w:rsidRPr="00D2642E">
        <w:t xml:space="preserve"> </w:t>
      </w:r>
      <w:r w:rsidRPr="00787E73">
        <w:rPr>
          <w:rFonts w:eastAsiaTheme="minorEastAsia"/>
          <w:lang w:eastAsia="ja-JP"/>
        </w:rPr>
        <w:t>supports</w:t>
      </w:r>
      <w:r w:rsidRPr="00D2642E">
        <w:rPr>
          <w:lang w:val="en-NZ"/>
        </w:rPr>
        <w:t xml:space="preserve"> no change to the Radio Regulations</w:t>
      </w:r>
      <w:r>
        <w:rPr>
          <w:lang w:val="en-NZ"/>
        </w:rPr>
        <w:t xml:space="preserve">. Bangladesh </w:t>
      </w:r>
      <w:r w:rsidRPr="00D9340E">
        <w:rPr>
          <w:lang w:val="en-NZ"/>
        </w:rPr>
        <w:t xml:space="preserve">is of the view that there is no need to identify </w:t>
      </w:r>
      <w:r>
        <w:rPr>
          <w:lang w:val="en-NZ"/>
        </w:rPr>
        <w:t>specific</w:t>
      </w:r>
      <w:r w:rsidRPr="00D9340E">
        <w:rPr>
          <w:lang w:val="en-NZ"/>
        </w:rPr>
        <w:t xml:space="preserve"> spectrum for </w:t>
      </w:r>
      <w:r>
        <w:rPr>
          <w:lang w:val="en-NZ"/>
        </w:rPr>
        <w:t>the use of narrowband and broadband MTC applications in the Radio Regulations.</w:t>
      </w:r>
      <w:r w:rsidRPr="00D9340E">
        <w:rPr>
          <w:lang w:val="en-NZ"/>
        </w:rPr>
        <w:t xml:space="preserve"> MTC could be deployed in frequency bands already allocated to Mobile Service, or already identified for IMT use. </w:t>
      </w:r>
    </w:p>
    <w:p w14:paraId="52E058F5" w14:textId="77777777" w:rsidR="00191BE4" w:rsidRDefault="00191BE4" w:rsidP="00787E73">
      <w:pPr>
        <w:spacing w:after="120"/>
        <w:jc w:val="both"/>
        <w:rPr>
          <w:lang w:val="en-NZ"/>
        </w:rPr>
      </w:pPr>
      <w:r w:rsidRPr="00787E73">
        <w:rPr>
          <w:rFonts w:eastAsiaTheme="minorEastAsia"/>
          <w:lang w:eastAsia="ja-JP"/>
        </w:rPr>
        <w:t>Bangladesh</w:t>
      </w:r>
      <w:r>
        <w:rPr>
          <w:lang w:val="en-NZ"/>
        </w:rPr>
        <w:t xml:space="preserve"> supports that</w:t>
      </w:r>
      <w:r w:rsidRPr="00D9340E">
        <w:rPr>
          <w:lang w:val="en-NZ"/>
        </w:rPr>
        <w:t xml:space="preserve"> development of appropriate ITU-R Recommendations, Reports and/or Handbooks</w:t>
      </w:r>
      <w:r>
        <w:rPr>
          <w:lang w:val="en-NZ"/>
        </w:rPr>
        <w:t xml:space="preserve"> for such kind of applications</w:t>
      </w:r>
      <w:r w:rsidRPr="00D9340E">
        <w:rPr>
          <w:lang w:val="en-NZ"/>
        </w:rPr>
        <w:t>.</w:t>
      </w:r>
    </w:p>
    <w:p w14:paraId="0E1EE0ED" w14:textId="77777777" w:rsidR="00360328" w:rsidRPr="000F100D" w:rsidRDefault="00360328" w:rsidP="00787E73">
      <w:pPr>
        <w:spacing w:after="120"/>
        <w:jc w:val="both"/>
        <w:rPr>
          <w:lang w:val="en-NZ"/>
        </w:rPr>
      </w:pPr>
    </w:p>
    <w:p w14:paraId="07CFF096" w14:textId="0A4921F7" w:rsidR="00FC0130" w:rsidRDefault="00FC0130" w:rsidP="00A47BAE">
      <w:pPr>
        <w:spacing w:after="120"/>
        <w:jc w:val="both"/>
        <w:rPr>
          <w:b/>
          <w:lang w:val="en-NZ" w:eastAsia="ko-KR"/>
        </w:rPr>
      </w:pPr>
      <w:r w:rsidRPr="00441526">
        <w:rPr>
          <w:b/>
          <w:lang w:val="en-NZ" w:eastAsia="ko-KR"/>
        </w:rPr>
        <w:t>3.1</w:t>
      </w:r>
      <w:r w:rsidR="00C56E4E">
        <w:rPr>
          <w:b/>
          <w:lang w:val="en-NZ" w:eastAsia="ko-KR"/>
        </w:rPr>
        <w:t>.10</w:t>
      </w:r>
      <w:r>
        <w:rPr>
          <w:b/>
          <w:lang w:val="en-NZ" w:eastAsia="ko-KR"/>
        </w:rPr>
        <w:tab/>
      </w:r>
      <w:r w:rsidR="001642D5">
        <w:rPr>
          <w:b/>
          <w:lang w:val="en-NZ" w:eastAsia="ko-KR"/>
        </w:rPr>
        <w:t>India (Republic of)</w:t>
      </w:r>
      <w:r w:rsidRPr="00441526">
        <w:rPr>
          <w:b/>
          <w:lang w:val="en-NZ" w:eastAsia="ko-KR"/>
        </w:rPr>
        <w:t xml:space="preserve"> </w:t>
      </w:r>
      <w:r w:rsidRPr="00441526">
        <w:t xml:space="preserve">- </w:t>
      </w:r>
      <w:r w:rsidRPr="00441526">
        <w:rPr>
          <w:b/>
          <w:lang w:val="en-NZ" w:eastAsia="ko-KR"/>
        </w:rPr>
        <w:t xml:space="preserve">Document </w:t>
      </w:r>
      <w:hyperlink r:id="rId43" w:history="1">
        <w:r w:rsidR="001642D5" w:rsidRPr="001642D5">
          <w:rPr>
            <w:rStyle w:val="Hyperlink"/>
            <w:b/>
            <w:lang w:val="en-NZ" w:eastAsia="ko-KR"/>
          </w:rPr>
          <w:t>APG19-4/INP-114</w:t>
        </w:r>
      </w:hyperlink>
    </w:p>
    <w:p w14:paraId="6A2D5550" w14:textId="00C309BC" w:rsidR="00D12E2D" w:rsidRDefault="00A47BAE" w:rsidP="00787E73">
      <w:pPr>
        <w:spacing w:after="120"/>
        <w:jc w:val="both"/>
      </w:pPr>
      <w:r>
        <w:t>India</w:t>
      </w:r>
      <w:r w:rsidR="00D12E2D">
        <w:t xml:space="preserve"> is of the view that narrowband and broadband machine-type communication infrastructures </w:t>
      </w:r>
      <w:r w:rsidR="00D12E2D" w:rsidRPr="00787E73">
        <w:rPr>
          <w:rFonts w:eastAsiaTheme="minorEastAsia"/>
          <w:lang w:eastAsia="ja-JP"/>
        </w:rPr>
        <w:t>should</w:t>
      </w:r>
      <w:r w:rsidR="00D12E2D">
        <w:t xml:space="preserve"> be able to use existing frequency bands allocated to MOBILE service. This includes frequency bands identified for IMT.</w:t>
      </w:r>
    </w:p>
    <w:p w14:paraId="682EE0F6" w14:textId="77777777" w:rsidR="00D12E2D" w:rsidRDefault="00D12E2D" w:rsidP="00D12E2D">
      <w:pPr>
        <w:jc w:val="both"/>
      </w:pPr>
      <w:r>
        <w:t>As concluded in the CPM text:</w:t>
      </w:r>
    </w:p>
    <w:p w14:paraId="675C2854" w14:textId="77777777" w:rsidR="00D12E2D" w:rsidRDefault="00D12E2D" w:rsidP="00D12E2D">
      <w:pPr>
        <w:pStyle w:val="ListParagraph"/>
        <w:numPr>
          <w:ilvl w:val="0"/>
          <w:numId w:val="26"/>
        </w:numPr>
        <w:contextualSpacing/>
        <w:jc w:val="both"/>
      </w:pPr>
      <w:proofErr w:type="gramStart"/>
      <w:r>
        <w:t>there</w:t>
      </w:r>
      <w:proofErr w:type="gramEnd"/>
      <w:r>
        <w:t xml:space="preserve"> is no need to identify specific spectrum for those applications in the Radio Regulations. </w:t>
      </w:r>
    </w:p>
    <w:p w14:paraId="5583FA3A" w14:textId="77777777" w:rsidR="00D12E2D" w:rsidRDefault="00D12E2D" w:rsidP="00D12E2D">
      <w:pPr>
        <w:pStyle w:val="ListParagraph"/>
        <w:numPr>
          <w:ilvl w:val="0"/>
          <w:numId w:val="26"/>
        </w:numPr>
        <w:contextualSpacing/>
        <w:jc w:val="both"/>
      </w:pPr>
      <w:r>
        <w:t>There is no need for any regulatory action in the Radio Regulations with regard to specific spectrum requirement for MTC.</w:t>
      </w:r>
    </w:p>
    <w:p w14:paraId="4323697F" w14:textId="77777777" w:rsidR="00D12E2D" w:rsidRDefault="00D12E2D" w:rsidP="00D12E2D">
      <w:pPr>
        <w:pStyle w:val="ListParagraph"/>
        <w:numPr>
          <w:ilvl w:val="0"/>
          <w:numId w:val="26"/>
        </w:numPr>
        <w:contextualSpacing/>
        <w:jc w:val="both"/>
      </w:pPr>
      <w:proofErr w:type="gramStart"/>
      <w:r>
        <w:t>there</w:t>
      </w:r>
      <w:proofErr w:type="gramEnd"/>
      <w:r>
        <w:t xml:space="preserve"> may be other ways to address the harmonized use of spectrum to support the implementation of narrowband and broadband MTC.</w:t>
      </w:r>
    </w:p>
    <w:p w14:paraId="40931297" w14:textId="77777777" w:rsidR="00D12E2D" w:rsidRDefault="00D12E2D" w:rsidP="00D12E2D">
      <w:pPr>
        <w:pStyle w:val="ListParagraph"/>
        <w:numPr>
          <w:ilvl w:val="0"/>
          <w:numId w:val="26"/>
        </w:numPr>
        <w:contextualSpacing/>
        <w:jc w:val="both"/>
      </w:pPr>
      <w:r>
        <w:t xml:space="preserve">The study of technical and operational aspects including the potential harmonized spectrum usage to support the implementation of narrowband and broadband MTC infrastructures could be further accomplished through the course of the work in ITU-R Study Groups including the development of ITU-R Recommendations, Reports and/or Handbooks, as appropriate. </w:t>
      </w:r>
    </w:p>
    <w:p w14:paraId="396714B6" w14:textId="77777777" w:rsidR="00C14FCD" w:rsidRDefault="00C14FCD" w:rsidP="00C14FCD">
      <w:pPr>
        <w:pStyle w:val="ListParagraph"/>
        <w:contextualSpacing/>
        <w:jc w:val="both"/>
      </w:pPr>
    </w:p>
    <w:p w14:paraId="66E9BB74" w14:textId="6FC42217" w:rsidR="00FC0130" w:rsidRDefault="00FC0130" w:rsidP="00787E73">
      <w:pPr>
        <w:spacing w:after="120"/>
        <w:jc w:val="both"/>
        <w:rPr>
          <w:b/>
          <w:lang w:val="en-NZ" w:eastAsia="ko-KR"/>
        </w:rPr>
      </w:pPr>
      <w:r w:rsidRPr="00441526">
        <w:rPr>
          <w:b/>
          <w:lang w:val="en-NZ" w:eastAsia="ko-KR"/>
        </w:rPr>
        <w:t>3.1</w:t>
      </w:r>
      <w:r w:rsidR="00C56E4E">
        <w:rPr>
          <w:b/>
          <w:lang w:val="en-NZ" w:eastAsia="ko-KR"/>
        </w:rPr>
        <w:t>.11</w:t>
      </w:r>
      <w:r>
        <w:rPr>
          <w:b/>
          <w:lang w:val="en-NZ" w:eastAsia="ko-KR"/>
        </w:rPr>
        <w:tab/>
      </w:r>
      <w:r w:rsidR="002543FA">
        <w:rPr>
          <w:b/>
          <w:lang w:val="en-NZ" w:eastAsia="ko-KR"/>
        </w:rPr>
        <w:t>Indonesia (Republic of)</w:t>
      </w:r>
      <w:r w:rsidRPr="00441526">
        <w:rPr>
          <w:b/>
          <w:lang w:val="en-NZ" w:eastAsia="ko-KR"/>
        </w:rPr>
        <w:t xml:space="preserve"> </w:t>
      </w:r>
      <w:r w:rsidRPr="00441526">
        <w:t xml:space="preserve">- </w:t>
      </w:r>
      <w:r w:rsidRPr="00441526">
        <w:rPr>
          <w:b/>
          <w:lang w:val="en-NZ" w:eastAsia="ko-KR"/>
        </w:rPr>
        <w:t xml:space="preserve">Document </w:t>
      </w:r>
      <w:hyperlink r:id="rId44" w:history="1">
        <w:r w:rsidR="002543FA" w:rsidRPr="002543FA">
          <w:rPr>
            <w:rStyle w:val="Hyperlink"/>
            <w:b/>
            <w:lang w:val="en-NZ" w:eastAsia="ko-KR"/>
          </w:rPr>
          <w:t>APG19-4/INP-119</w:t>
        </w:r>
      </w:hyperlink>
    </w:p>
    <w:p w14:paraId="65983222" w14:textId="77777777" w:rsidR="00C14FCD" w:rsidRDefault="00C14FCD" w:rsidP="00787E73">
      <w:pPr>
        <w:spacing w:after="120"/>
        <w:jc w:val="both"/>
        <w:rPr>
          <w:iCs/>
          <w:color w:val="000000" w:themeColor="text1"/>
        </w:rPr>
      </w:pPr>
      <w:r>
        <w:t xml:space="preserve">Indonesia supports studies on the technical and operational aspects </w:t>
      </w:r>
      <w:r w:rsidRPr="004C6145">
        <w:rPr>
          <w:iCs/>
          <w:color w:val="000000" w:themeColor="text1"/>
          <w:lang w:val="id-ID"/>
        </w:rPr>
        <w:t xml:space="preserve">of radio networks and systems, as well as spectrum needed, including possible harmonized use of spectrum to support the implementation of narrowband and broadband </w:t>
      </w:r>
      <w:r>
        <w:rPr>
          <w:iCs/>
          <w:color w:val="000000" w:themeColor="text1"/>
        </w:rPr>
        <w:t>M</w:t>
      </w:r>
      <w:r w:rsidRPr="004C6145">
        <w:rPr>
          <w:iCs/>
          <w:color w:val="000000" w:themeColor="text1"/>
          <w:lang w:val="id-ID"/>
        </w:rPr>
        <w:t>achine-</w:t>
      </w:r>
      <w:r>
        <w:rPr>
          <w:iCs/>
          <w:color w:val="000000" w:themeColor="text1"/>
        </w:rPr>
        <w:t>T</w:t>
      </w:r>
      <w:r w:rsidRPr="004C6145">
        <w:rPr>
          <w:iCs/>
          <w:color w:val="000000" w:themeColor="text1"/>
          <w:lang w:val="id-ID"/>
        </w:rPr>
        <w:t xml:space="preserve">ype </w:t>
      </w:r>
      <w:r>
        <w:rPr>
          <w:iCs/>
          <w:color w:val="000000" w:themeColor="text1"/>
        </w:rPr>
        <w:t>C</w:t>
      </w:r>
      <w:r w:rsidRPr="004C6145">
        <w:rPr>
          <w:iCs/>
          <w:color w:val="000000" w:themeColor="text1"/>
          <w:lang w:val="id-ID"/>
        </w:rPr>
        <w:t xml:space="preserve">ommunication </w:t>
      </w:r>
      <w:r>
        <w:rPr>
          <w:iCs/>
          <w:color w:val="000000" w:themeColor="text1"/>
        </w:rPr>
        <w:t xml:space="preserve">(MTC) </w:t>
      </w:r>
      <w:r w:rsidRPr="00787E73">
        <w:t>infrastructures</w:t>
      </w:r>
      <w:r>
        <w:rPr>
          <w:iCs/>
          <w:color w:val="000000" w:themeColor="text1"/>
        </w:rPr>
        <w:t xml:space="preserve">. The potential harmonized spectrum usage of MTC </w:t>
      </w:r>
      <w:r w:rsidRPr="00D61D6A">
        <w:rPr>
          <w:iCs/>
          <w:color w:val="000000" w:themeColor="text1"/>
        </w:rPr>
        <w:t>could be further accomplished through the course of the work in ITU-R Study Groups including the development of ITU-R Recommendations, Reports and/or Handbooks, as appropriate</w:t>
      </w:r>
      <w:r>
        <w:rPr>
          <w:iCs/>
          <w:color w:val="000000" w:themeColor="text1"/>
        </w:rPr>
        <w:t xml:space="preserve">. </w:t>
      </w:r>
    </w:p>
    <w:p w14:paraId="0C86579A" w14:textId="32429FCB" w:rsidR="00C14FCD" w:rsidRDefault="00C14FCD" w:rsidP="00787E73">
      <w:pPr>
        <w:spacing w:after="120"/>
        <w:jc w:val="both"/>
        <w:rPr>
          <w:iCs/>
          <w:color w:val="000000" w:themeColor="text1"/>
        </w:rPr>
      </w:pPr>
      <w:r w:rsidRPr="00787E73">
        <w:t>Indonesia</w:t>
      </w:r>
      <w:r>
        <w:rPr>
          <w:iCs/>
          <w:color w:val="000000" w:themeColor="text1"/>
        </w:rPr>
        <w:t xml:space="preserve"> is of the view that IMT-based MTC could use the frequency bands that are already identified to IMT. </w:t>
      </w:r>
      <w:r w:rsidRPr="00D61D6A">
        <w:rPr>
          <w:iCs/>
          <w:color w:val="000000" w:themeColor="text1"/>
        </w:rPr>
        <w:t>For non-IMT technologies</w:t>
      </w:r>
      <w:r>
        <w:rPr>
          <w:iCs/>
          <w:color w:val="000000" w:themeColor="text1"/>
        </w:rPr>
        <w:t xml:space="preserve">, it can be considered to use Radio Local Area Network (RLAN) technologies to support MTC applications. </w:t>
      </w:r>
      <w:r w:rsidRPr="00D61D6A">
        <w:rPr>
          <w:iCs/>
          <w:color w:val="000000" w:themeColor="text1"/>
        </w:rPr>
        <w:t>The harmonized use of existing spectrum used by RLAN systems at suitable power levels provides economies of scale to facilitate the deployment of non-IMT MTC ecosystems in a timely and cost-effective manner</w:t>
      </w:r>
      <w:r>
        <w:rPr>
          <w:iCs/>
          <w:color w:val="000000" w:themeColor="text1"/>
        </w:rPr>
        <w:t>.</w:t>
      </w:r>
    </w:p>
    <w:p w14:paraId="40F8F361" w14:textId="77777777" w:rsidR="00CF484A" w:rsidRPr="00EC0919" w:rsidRDefault="00CF484A" w:rsidP="00787E73">
      <w:pPr>
        <w:spacing w:after="120"/>
        <w:jc w:val="both"/>
        <w:rPr>
          <w:iCs/>
          <w:color w:val="000000" w:themeColor="text1"/>
        </w:rPr>
      </w:pPr>
    </w:p>
    <w:p w14:paraId="7E81F481" w14:textId="6B946CE1" w:rsidR="008454C8" w:rsidRPr="00441526" w:rsidRDefault="008454C8" w:rsidP="008454C8">
      <w:pPr>
        <w:spacing w:after="120"/>
        <w:jc w:val="both"/>
        <w:rPr>
          <w:b/>
          <w:lang w:val="en-NZ"/>
        </w:rPr>
      </w:pPr>
      <w:r w:rsidRPr="00441526">
        <w:rPr>
          <w:b/>
          <w:lang w:val="en-NZ"/>
        </w:rPr>
        <w:t xml:space="preserve">3.2 </w:t>
      </w:r>
      <w:r w:rsidRPr="00441526">
        <w:rPr>
          <w:b/>
          <w:lang w:val="en-NZ"/>
        </w:rPr>
        <w:tab/>
      </w:r>
      <w:r w:rsidR="002475E2" w:rsidRPr="00BA01C8">
        <w:rPr>
          <w:b/>
          <w:lang w:val="en-NZ"/>
        </w:rPr>
        <w:t>S</w:t>
      </w:r>
      <w:r w:rsidR="002475E2" w:rsidRPr="00BA01C8">
        <w:rPr>
          <w:b/>
          <w:lang w:val="en-NZ" w:eastAsia="ko-KR"/>
        </w:rPr>
        <w:t xml:space="preserve">ummary of </w:t>
      </w:r>
      <w:r w:rsidR="00BC69DB" w:rsidRPr="00BA01C8">
        <w:rPr>
          <w:b/>
          <w:lang w:val="en-NZ" w:eastAsia="ko-KR"/>
        </w:rPr>
        <w:t>i</w:t>
      </w:r>
      <w:r w:rsidR="002475E2" w:rsidRPr="00BA01C8">
        <w:rPr>
          <w:b/>
          <w:lang w:val="en-NZ" w:eastAsia="ko-KR"/>
        </w:rPr>
        <w:t xml:space="preserve">ssues </w:t>
      </w:r>
      <w:r w:rsidR="00BC69DB" w:rsidRPr="00BA01C8">
        <w:rPr>
          <w:b/>
          <w:lang w:val="en-NZ" w:eastAsia="ko-KR"/>
        </w:rPr>
        <w:t>raised du</w:t>
      </w:r>
      <w:r w:rsidRPr="00BA01C8">
        <w:rPr>
          <w:b/>
          <w:lang w:val="en-NZ"/>
        </w:rPr>
        <w:t>ring the meeting</w:t>
      </w:r>
    </w:p>
    <w:p w14:paraId="2292F34B" w14:textId="77777777" w:rsidR="008104CC" w:rsidRDefault="00923E35" w:rsidP="008104CC">
      <w:pPr>
        <w:spacing w:after="120"/>
        <w:ind w:right="119"/>
        <w:jc w:val="both"/>
        <w:rPr>
          <w:rFonts w:eastAsia="Times New Roman"/>
          <w:lang w:val="id-ID" w:bidi="en-US"/>
        </w:rPr>
      </w:pPr>
      <w:r w:rsidRPr="008104CC">
        <w:rPr>
          <w:lang w:val="en-NZ"/>
        </w:rPr>
        <w:t xml:space="preserve">APT Members endorse the current conclusion of draft CPM text </w:t>
      </w:r>
      <w:r w:rsidRPr="008104CC">
        <w:rPr>
          <w:rFonts w:eastAsia="Times New Roman"/>
          <w:lang w:val="en-GB" w:bidi="en-US"/>
        </w:rPr>
        <w:t xml:space="preserve">that no change to the Radio Regulations is required under this </w:t>
      </w:r>
      <w:r w:rsidRPr="008104CC">
        <w:rPr>
          <w:iCs/>
          <w:lang w:val="id-ID"/>
        </w:rPr>
        <w:t>issue</w:t>
      </w:r>
      <w:r w:rsidRPr="008104CC">
        <w:rPr>
          <w:rFonts w:eastAsia="Times New Roman"/>
          <w:lang w:val="en-GB" w:bidi="en-US"/>
        </w:rPr>
        <w:t>. (</w:t>
      </w:r>
      <w:hyperlink r:id="rId45" w:history="1">
        <w:r w:rsidR="003D7251" w:rsidRPr="004E5BEC">
          <w:rPr>
            <w:rStyle w:val="Hyperlink"/>
            <w:lang w:val="id-ID"/>
          </w:rPr>
          <w:t>Document CPM19-2/1-E</w:t>
        </w:r>
      </w:hyperlink>
      <w:r w:rsidR="003D7251">
        <w:t xml:space="preserve">, </w:t>
      </w:r>
      <w:r w:rsidR="003D7251" w:rsidRPr="004E5BEC">
        <w:rPr>
          <w:iCs/>
        </w:rPr>
        <w:t xml:space="preserve">Chapter </w:t>
      </w:r>
      <w:r w:rsidR="003D7251" w:rsidRPr="004E5BEC">
        <w:rPr>
          <w:iCs/>
          <w:lang w:val="id-ID"/>
        </w:rPr>
        <w:t>2 (Agenda Item 9.1 (9.1.8))</w:t>
      </w:r>
      <w:r w:rsidRPr="008104CC">
        <w:rPr>
          <w:rFonts w:eastAsia="Times New Roman"/>
          <w:lang w:val="en-GB" w:bidi="en-US"/>
        </w:rPr>
        <w:t>)</w:t>
      </w:r>
      <w:r w:rsidR="008104CC">
        <w:rPr>
          <w:rFonts w:eastAsia="Times New Roman"/>
          <w:lang w:val="id-ID" w:bidi="en-US"/>
        </w:rPr>
        <w:t>.</w:t>
      </w:r>
    </w:p>
    <w:p w14:paraId="48BCBFD0" w14:textId="5F780867" w:rsidR="00AF560B" w:rsidRDefault="00AF560B" w:rsidP="008104CC">
      <w:pPr>
        <w:spacing w:after="120"/>
        <w:ind w:right="119"/>
        <w:jc w:val="both"/>
        <w:rPr>
          <w:rStyle w:val="Hyperlink"/>
          <w:lang w:val="id-ID" w:eastAsia="ko-KR"/>
        </w:rPr>
      </w:pPr>
      <w:r>
        <w:rPr>
          <w:rFonts w:eastAsia="Times New Roman"/>
          <w:lang w:val="id-ID" w:bidi="en-US"/>
        </w:rPr>
        <w:t xml:space="preserve">APG19-4 noted AWG </w:t>
      </w:r>
      <w:r w:rsidRPr="008104CC">
        <w:rPr>
          <w:rFonts w:eastAsia="SimSun"/>
          <w:lang w:eastAsia="zh-CN"/>
        </w:rPr>
        <w:t>liaison</w:t>
      </w:r>
      <w:r>
        <w:rPr>
          <w:rFonts w:eastAsia="Times New Roman"/>
          <w:lang w:val="id-ID" w:bidi="en-US"/>
        </w:rPr>
        <w:t xml:space="preserve"> statement concerning s</w:t>
      </w:r>
      <w:proofErr w:type="spellStart"/>
      <w:r w:rsidRPr="00643226">
        <w:rPr>
          <w:rFonts w:eastAsiaTheme="minorEastAsia"/>
          <w:lang w:eastAsia="ja-JP"/>
        </w:rPr>
        <w:t>tudies</w:t>
      </w:r>
      <w:proofErr w:type="spellEnd"/>
      <w:r w:rsidRPr="00643226">
        <w:rPr>
          <w:rFonts w:eastAsiaTheme="minorEastAsia"/>
          <w:lang w:eastAsia="ja-JP"/>
        </w:rPr>
        <w:t xml:space="preserve"> in AWG ass</w:t>
      </w:r>
      <w:r w:rsidR="00463D8C">
        <w:rPr>
          <w:rFonts w:eastAsiaTheme="minorEastAsia"/>
          <w:lang w:eastAsia="ja-JP"/>
        </w:rPr>
        <w:t>ociated with WRC-19 agenda item</w:t>
      </w:r>
      <w:r>
        <w:rPr>
          <w:rFonts w:eastAsiaTheme="minorEastAsia"/>
          <w:lang w:val="id-ID" w:eastAsia="ja-JP"/>
        </w:rPr>
        <w:t xml:space="preserve"> </w:t>
      </w:r>
      <w:r>
        <w:rPr>
          <w:rFonts w:eastAsia="Times New Roman"/>
          <w:lang w:val="id-ID" w:bidi="en-US"/>
        </w:rPr>
        <w:t>AI</w:t>
      </w:r>
      <w:r w:rsidR="00463D8C">
        <w:rPr>
          <w:rFonts w:eastAsia="Times New Roman"/>
          <w:lang w:val="id-ID" w:bidi="en-US"/>
        </w:rPr>
        <w:t xml:space="preserve"> 9.1 Isusse </w:t>
      </w:r>
      <w:r>
        <w:rPr>
          <w:rFonts w:eastAsia="Times New Roman"/>
          <w:lang w:val="id-ID" w:bidi="en-US"/>
        </w:rPr>
        <w:t>9.1.8</w:t>
      </w:r>
      <w:r>
        <w:rPr>
          <w:rFonts w:eastAsiaTheme="minorEastAsia"/>
          <w:lang w:val="id-ID" w:eastAsia="ja-JP"/>
        </w:rPr>
        <w:t xml:space="preserve">, in document </w:t>
      </w:r>
      <w:r w:rsidR="0006349B">
        <w:rPr>
          <w:rStyle w:val="Hyperlink"/>
          <w:lang w:val="en-NZ" w:eastAsia="ko-KR"/>
        </w:rPr>
        <w:fldChar w:fldCharType="begin"/>
      </w:r>
      <w:r w:rsidR="0006349B">
        <w:rPr>
          <w:rStyle w:val="Hyperlink"/>
          <w:lang w:val="en-NZ" w:eastAsia="ko-KR"/>
        </w:rPr>
        <w:instrText xml:space="preserve"> HYPERLINK "file:///C:\\Users\\admin\\Downloads\\APG19-4\\INP-06" </w:instrText>
      </w:r>
      <w:r w:rsidR="0006349B">
        <w:rPr>
          <w:rStyle w:val="Hyperlink"/>
          <w:lang w:val="en-NZ" w:eastAsia="ko-KR"/>
        </w:rPr>
        <w:fldChar w:fldCharType="separate"/>
      </w:r>
      <w:r w:rsidRPr="008104CC">
        <w:rPr>
          <w:rStyle w:val="Hyperlink"/>
          <w:lang w:val="en-NZ" w:eastAsia="ko-KR"/>
        </w:rPr>
        <w:t>APG19-4/INP-06</w:t>
      </w:r>
      <w:r w:rsidR="0006349B">
        <w:rPr>
          <w:rStyle w:val="Hyperlink"/>
          <w:lang w:val="en-NZ" w:eastAsia="ko-KR"/>
        </w:rPr>
        <w:fldChar w:fldCharType="end"/>
      </w:r>
      <w:r w:rsidR="008104CC">
        <w:rPr>
          <w:rStyle w:val="Hyperlink"/>
          <w:lang w:val="id-ID" w:eastAsia="ko-KR"/>
        </w:rPr>
        <w:t>.</w:t>
      </w:r>
    </w:p>
    <w:p w14:paraId="41793C8D" w14:textId="77777777" w:rsidR="008104CC" w:rsidRPr="008104CC" w:rsidRDefault="008104CC" w:rsidP="008104CC">
      <w:pPr>
        <w:spacing w:after="120"/>
        <w:ind w:right="119"/>
        <w:jc w:val="both"/>
        <w:rPr>
          <w:rStyle w:val="Hyperlink"/>
          <w:rFonts w:eastAsia="Times New Roman"/>
          <w:color w:val="auto"/>
          <w:u w:val="none"/>
          <w:lang w:val="id-ID" w:bidi="en-US"/>
        </w:rPr>
      </w:pPr>
    </w:p>
    <w:p w14:paraId="2E0E675B" w14:textId="20040664" w:rsidR="00B64A60" w:rsidRPr="00441526" w:rsidRDefault="00B64A60" w:rsidP="00B64A60">
      <w:pPr>
        <w:spacing w:after="120"/>
        <w:jc w:val="both"/>
        <w:rPr>
          <w:b/>
          <w:lang w:val="en-NZ" w:eastAsia="ko-KR"/>
        </w:rPr>
      </w:pPr>
      <w:r w:rsidRPr="00441526">
        <w:rPr>
          <w:b/>
          <w:lang w:val="en-NZ" w:eastAsia="ko-KR"/>
        </w:rPr>
        <w:t xml:space="preserve">4. </w:t>
      </w:r>
      <w:r w:rsidRPr="00441526">
        <w:rPr>
          <w:b/>
          <w:lang w:val="en-NZ" w:eastAsia="ko-KR"/>
        </w:rPr>
        <w:tab/>
      </w:r>
      <w:r w:rsidR="004465AA" w:rsidRPr="0084167B">
        <w:rPr>
          <w:b/>
          <w:lang w:val="en-NZ" w:eastAsia="ko-KR"/>
        </w:rPr>
        <w:t xml:space="preserve">APT </w:t>
      </w:r>
      <w:r w:rsidRPr="0084167B">
        <w:rPr>
          <w:b/>
          <w:lang w:val="en-NZ" w:eastAsia="ko-KR"/>
        </w:rPr>
        <w:t>Preliminary View</w:t>
      </w:r>
      <w:r w:rsidR="00D53688" w:rsidRPr="0084167B">
        <w:rPr>
          <w:b/>
          <w:lang w:val="en-NZ" w:eastAsia="ko-KR"/>
        </w:rPr>
        <w:t>(s)</w:t>
      </w:r>
    </w:p>
    <w:p w14:paraId="0F1BDFF7" w14:textId="0E274477" w:rsidR="00E611C2" w:rsidRPr="00A067E9" w:rsidRDefault="00E611C2" w:rsidP="00E611C2">
      <w:pPr>
        <w:spacing w:after="120"/>
        <w:ind w:right="119"/>
        <w:jc w:val="both"/>
        <w:rPr>
          <w:rFonts w:eastAsia="MS Mincho"/>
          <w:szCs w:val="20"/>
          <w:lang w:val="id-ID" w:eastAsia="ja-JP"/>
        </w:rPr>
      </w:pPr>
      <w:r w:rsidRPr="0084167B">
        <w:rPr>
          <w:rFonts w:eastAsia="MS Mincho"/>
          <w:szCs w:val="20"/>
          <w:lang w:val="en-GB" w:eastAsia="ja-JP"/>
        </w:rPr>
        <w:t xml:space="preserve">APT </w:t>
      </w:r>
      <w:r w:rsidRPr="0084167B">
        <w:rPr>
          <w:rFonts w:eastAsia="MS Mincho" w:hint="eastAsia"/>
          <w:szCs w:val="20"/>
          <w:lang w:val="en-GB" w:eastAsia="ja-JP"/>
        </w:rPr>
        <w:t>M</w:t>
      </w:r>
      <w:r w:rsidRPr="0084167B">
        <w:rPr>
          <w:rFonts w:eastAsia="MS Mincho"/>
          <w:szCs w:val="20"/>
          <w:lang w:val="en-GB" w:eastAsia="ja-JP"/>
        </w:rPr>
        <w:t>ember</w:t>
      </w:r>
      <w:r w:rsidRPr="0084167B">
        <w:rPr>
          <w:rFonts w:eastAsia="MS Mincho" w:hint="eastAsia"/>
          <w:szCs w:val="20"/>
          <w:lang w:val="en-GB" w:eastAsia="ja-JP"/>
        </w:rPr>
        <w:t>s</w:t>
      </w:r>
      <w:r w:rsidRPr="0084167B">
        <w:rPr>
          <w:rFonts w:eastAsia="MS Mincho"/>
          <w:szCs w:val="20"/>
          <w:lang w:val="en-GB" w:eastAsia="ja-JP"/>
        </w:rPr>
        <w:t xml:space="preserve"> </w:t>
      </w:r>
      <w:r w:rsidRPr="0084167B">
        <w:rPr>
          <w:rFonts w:eastAsia="MS Mincho" w:hint="eastAsia"/>
          <w:szCs w:val="20"/>
          <w:lang w:val="en-GB" w:eastAsia="ja-JP"/>
        </w:rPr>
        <w:t xml:space="preserve">support </w:t>
      </w:r>
      <w:r w:rsidR="00A067E9" w:rsidRPr="00A067E9">
        <w:rPr>
          <w:rFonts w:eastAsia="SimSun"/>
          <w:lang w:eastAsia="zh-CN"/>
        </w:rPr>
        <w:t>results of ITU-R studies</w:t>
      </w:r>
      <w:r w:rsidRPr="0084167B">
        <w:rPr>
          <w:iCs/>
          <w:lang w:val="id-ID"/>
        </w:rPr>
        <w:t xml:space="preserve"> on the technical and operational aspects of radio networks and systems, as well as spectrum needed, including possible harmonized use of spectrum to support the implementation of narrowband and broadband machine-type communication infrastructures, </w:t>
      </w:r>
      <w:r w:rsidRPr="0084167B">
        <w:t>in accordance with Resolution</w:t>
      </w:r>
      <w:r w:rsidRPr="0084167B">
        <w:rPr>
          <w:iCs/>
        </w:rPr>
        <w:t xml:space="preserve"> </w:t>
      </w:r>
      <w:r w:rsidRPr="0084167B">
        <w:rPr>
          <w:b/>
          <w:iCs/>
        </w:rPr>
        <w:t xml:space="preserve">958 </w:t>
      </w:r>
      <w:r w:rsidRPr="0084167B">
        <w:rPr>
          <w:rFonts w:eastAsiaTheme="minorEastAsia"/>
          <w:b/>
          <w:lang w:val="en-GB" w:eastAsia="ja-JP"/>
        </w:rPr>
        <w:t>(WRC-15</w:t>
      </w:r>
      <w:r w:rsidR="00A067E9">
        <w:rPr>
          <w:rFonts w:eastAsiaTheme="minorEastAsia"/>
          <w:b/>
          <w:lang w:val="id-ID" w:eastAsia="ja-JP"/>
        </w:rPr>
        <w:t>)</w:t>
      </w:r>
      <w:r w:rsidR="00A067E9" w:rsidRPr="00A067E9">
        <w:rPr>
          <w:rFonts w:eastAsia="SimSun"/>
          <w:lang w:eastAsia="zh-CN"/>
        </w:rPr>
        <w:t xml:space="preserve"> </w:t>
      </w:r>
      <w:r w:rsidR="00A067E9">
        <w:rPr>
          <w:rFonts w:eastAsia="SimSun"/>
          <w:lang w:val="id-ID" w:eastAsia="zh-CN"/>
        </w:rPr>
        <w:t xml:space="preserve">contained </w:t>
      </w:r>
      <w:r w:rsidR="00A067E9" w:rsidRPr="00A067E9">
        <w:rPr>
          <w:rFonts w:eastAsia="SimSun"/>
          <w:lang w:eastAsia="zh-CN"/>
        </w:rPr>
        <w:t xml:space="preserve">in </w:t>
      </w:r>
      <w:r w:rsidR="00A067E9" w:rsidRPr="00A067E9">
        <w:rPr>
          <w:lang w:eastAsia="zh-CN"/>
        </w:rPr>
        <w:t>draft CPM report</w:t>
      </w:r>
      <w:r w:rsidR="00A067E9" w:rsidRPr="00A067E9">
        <w:rPr>
          <w:rFonts w:eastAsia="SimSun"/>
          <w:lang w:eastAsia="zh-CN"/>
        </w:rPr>
        <w:t xml:space="preserve"> for Agenda Item </w:t>
      </w:r>
      <w:r w:rsidR="00A067E9" w:rsidRPr="00A067E9">
        <w:rPr>
          <w:rFonts w:eastAsia="SimSun"/>
          <w:lang w:val="id-ID" w:eastAsia="zh-CN"/>
        </w:rPr>
        <w:t xml:space="preserve">9.1 issue </w:t>
      </w:r>
      <w:r w:rsidR="00A067E9" w:rsidRPr="00A067E9">
        <w:rPr>
          <w:rFonts w:eastAsia="SimSun"/>
          <w:lang w:eastAsia="zh-CN"/>
        </w:rPr>
        <w:t>9.1.8.</w:t>
      </w:r>
    </w:p>
    <w:p w14:paraId="1EB217A3" w14:textId="48128A70" w:rsidR="00831D11" w:rsidRDefault="00114A68" w:rsidP="00367AD9">
      <w:pPr>
        <w:spacing w:after="120"/>
        <w:ind w:right="119"/>
        <w:jc w:val="both"/>
        <w:rPr>
          <w:lang w:val="en-NZ" w:eastAsia="ko-KR"/>
        </w:rPr>
      </w:pPr>
      <w:r w:rsidRPr="0084167B">
        <w:rPr>
          <w:rStyle w:val="Hyperlink"/>
          <w:color w:val="auto"/>
          <w:u w:val="none"/>
          <w:lang w:val="en-NZ" w:eastAsia="ko-KR"/>
        </w:rPr>
        <w:lastRenderedPageBreak/>
        <w:t xml:space="preserve">APT Members are of the view that the possible harmonized use of spectrum to support </w:t>
      </w:r>
      <w:r w:rsidR="00A067E9" w:rsidRPr="00A067E9">
        <w:rPr>
          <w:lang w:val="en-AU"/>
        </w:rPr>
        <w:t xml:space="preserve">narrowband and broadband machine-type communication applications </w:t>
      </w:r>
      <w:r w:rsidRPr="0084167B">
        <w:rPr>
          <w:rStyle w:val="Hyperlink"/>
          <w:color w:val="auto"/>
          <w:u w:val="none"/>
          <w:lang w:val="en-NZ" w:eastAsia="ko-KR"/>
        </w:rPr>
        <w:t xml:space="preserve">can be achieved through ITU-R Recommendations/Reports and there is no need to make any changes to the Radio Regulations nor any identification </w:t>
      </w:r>
      <w:r w:rsidRPr="0084167B">
        <w:rPr>
          <w:rStyle w:val="Hyperlink"/>
          <w:color w:val="auto"/>
          <w:u w:val="none"/>
          <w:lang w:val="id-ID" w:eastAsia="ko-KR"/>
        </w:rPr>
        <w:t xml:space="preserve">of spectrum </w:t>
      </w:r>
      <w:r w:rsidRPr="0084167B">
        <w:rPr>
          <w:rStyle w:val="Hyperlink"/>
          <w:color w:val="auto"/>
          <w:u w:val="none"/>
          <w:lang w:val="en-NZ" w:eastAsia="ko-KR"/>
        </w:rPr>
        <w:t xml:space="preserve">to support </w:t>
      </w:r>
      <w:r w:rsidR="00C8436C" w:rsidRPr="00A067E9">
        <w:rPr>
          <w:lang w:val="en-AU"/>
        </w:rPr>
        <w:t>narrowband and broadband machine-type communication applications in the Radio Regulations</w:t>
      </w:r>
      <w:r w:rsidR="00C8436C" w:rsidRPr="00A067E9">
        <w:rPr>
          <w:rStyle w:val="Hyperlink"/>
          <w:color w:val="auto"/>
          <w:u w:val="none"/>
          <w:lang w:val="en-NZ" w:eastAsia="ko-KR"/>
        </w:rPr>
        <w:t>,</w:t>
      </w:r>
      <w:r w:rsidR="00C8436C" w:rsidRPr="00A067E9">
        <w:rPr>
          <w:lang w:val="en-AU"/>
        </w:rPr>
        <w:t xml:space="preserve"> consistent with the current Draft CPM Report conclusion</w:t>
      </w:r>
      <w:r w:rsidR="00AB302E" w:rsidRPr="00A067E9">
        <w:rPr>
          <w:rStyle w:val="Hyperlink"/>
          <w:color w:val="auto"/>
          <w:u w:val="none"/>
          <w:lang w:val="id-ID" w:eastAsia="ko-KR"/>
        </w:rPr>
        <w:t>.</w:t>
      </w:r>
    </w:p>
    <w:p w14:paraId="768FEBA2" w14:textId="77777777" w:rsidR="00C8436C" w:rsidRPr="00441526" w:rsidRDefault="00C8436C" w:rsidP="00B64A60">
      <w:pPr>
        <w:rPr>
          <w:lang w:val="en-NZ"/>
        </w:rPr>
      </w:pPr>
    </w:p>
    <w:p w14:paraId="2E0E6761" w14:textId="348D88AF" w:rsidR="00B64A60" w:rsidRPr="00182AAD" w:rsidRDefault="00B64A60" w:rsidP="00E611C2">
      <w:pPr>
        <w:spacing w:after="120"/>
        <w:jc w:val="both"/>
        <w:rPr>
          <w:b/>
          <w:lang w:val="en-NZ" w:eastAsia="ko-KR"/>
        </w:rPr>
      </w:pPr>
      <w:r w:rsidRPr="00441526">
        <w:rPr>
          <w:b/>
          <w:lang w:val="en-NZ" w:eastAsia="ko-KR"/>
        </w:rPr>
        <w:t xml:space="preserve">5. </w:t>
      </w:r>
      <w:r w:rsidRPr="00441526">
        <w:rPr>
          <w:b/>
          <w:lang w:val="en-NZ" w:eastAsia="ko-KR"/>
        </w:rPr>
        <w:tab/>
      </w:r>
      <w:r w:rsidRPr="00182AAD">
        <w:rPr>
          <w:b/>
          <w:lang w:val="en-NZ" w:eastAsia="ko-KR"/>
        </w:rPr>
        <w:t>Other View</w:t>
      </w:r>
      <w:r w:rsidR="00441526" w:rsidRPr="00182AAD">
        <w:rPr>
          <w:b/>
          <w:lang w:val="en-NZ" w:eastAsia="ko-KR"/>
        </w:rPr>
        <w:t>(</w:t>
      </w:r>
      <w:r w:rsidRPr="00182AAD">
        <w:rPr>
          <w:b/>
          <w:lang w:val="en-NZ" w:eastAsia="ko-KR"/>
        </w:rPr>
        <w:t>s</w:t>
      </w:r>
      <w:r w:rsidR="00441526" w:rsidRPr="00182AAD">
        <w:rPr>
          <w:b/>
          <w:lang w:val="en-NZ" w:eastAsia="ko-KR"/>
        </w:rPr>
        <w:t>)</w:t>
      </w:r>
    </w:p>
    <w:p w14:paraId="7F3B7B24" w14:textId="27F011E2" w:rsidR="005D7EB7" w:rsidRPr="00182AAD" w:rsidRDefault="005D7EB7" w:rsidP="00B64A60">
      <w:pPr>
        <w:rPr>
          <w:lang w:val="en-NZ"/>
        </w:rPr>
      </w:pPr>
      <w:r w:rsidRPr="00182AAD">
        <w:rPr>
          <w:lang w:val="en-NZ"/>
        </w:rPr>
        <w:t>None</w:t>
      </w:r>
    </w:p>
    <w:p w14:paraId="4F2302C6" w14:textId="77777777" w:rsidR="00C96FAE" w:rsidRPr="00182AAD" w:rsidRDefault="00C96FAE" w:rsidP="00B64A60">
      <w:pPr>
        <w:rPr>
          <w:lang w:val="en-NZ"/>
        </w:rPr>
      </w:pPr>
    </w:p>
    <w:p w14:paraId="43065217" w14:textId="77777777" w:rsidR="00C96FAE" w:rsidRPr="00182AAD" w:rsidRDefault="00C96FAE" w:rsidP="00C96FAE">
      <w:pPr>
        <w:spacing w:after="120"/>
        <w:jc w:val="both"/>
        <w:rPr>
          <w:b/>
          <w:lang w:val="en-NZ" w:eastAsia="ko-KR"/>
        </w:rPr>
      </w:pPr>
      <w:r w:rsidRPr="00182AAD">
        <w:rPr>
          <w:b/>
        </w:rPr>
        <w:t xml:space="preserve">6.  </w:t>
      </w:r>
      <w:r w:rsidRPr="00182AAD">
        <w:rPr>
          <w:b/>
          <w:lang w:val="en-NZ" w:eastAsia="ko-KR"/>
        </w:rPr>
        <w:t>Issues for Consideration at Next APG Meeting</w:t>
      </w:r>
    </w:p>
    <w:p w14:paraId="0D2E447E" w14:textId="67D4C8A7" w:rsidR="00C96FAE" w:rsidRPr="00182AAD" w:rsidRDefault="00C96FAE" w:rsidP="00A92992">
      <w:pPr>
        <w:jc w:val="both"/>
        <w:rPr>
          <w:lang w:val="id-ID" w:eastAsia="ko-KR"/>
        </w:rPr>
      </w:pPr>
      <w:r w:rsidRPr="00182AAD">
        <w:rPr>
          <w:lang w:val="id-ID" w:eastAsia="ko-KR"/>
        </w:rPr>
        <w:t>None</w:t>
      </w:r>
    </w:p>
    <w:p w14:paraId="4BAFC210" w14:textId="77777777" w:rsidR="00264566" w:rsidRPr="00182AAD" w:rsidRDefault="00264566" w:rsidP="00B64A60">
      <w:pPr>
        <w:rPr>
          <w:lang w:val="en-NZ"/>
        </w:rPr>
      </w:pPr>
    </w:p>
    <w:p w14:paraId="11DF0159" w14:textId="7373A1C6" w:rsidR="00D53688" w:rsidRPr="00441526" w:rsidRDefault="00C96FAE" w:rsidP="00264566">
      <w:pPr>
        <w:spacing w:after="120"/>
        <w:rPr>
          <w:b/>
          <w:lang w:val="en-NZ"/>
        </w:rPr>
      </w:pPr>
      <w:r w:rsidRPr="00182AAD">
        <w:rPr>
          <w:b/>
          <w:lang w:val="en-NZ"/>
        </w:rPr>
        <w:t>7.</w:t>
      </w:r>
      <w:r w:rsidR="00D53688" w:rsidRPr="00182AAD">
        <w:rPr>
          <w:b/>
          <w:lang w:val="en-NZ"/>
        </w:rPr>
        <w:t xml:space="preserve"> </w:t>
      </w:r>
      <w:r w:rsidR="00D53688" w:rsidRPr="00182AAD">
        <w:rPr>
          <w:b/>
          <w:lang w:val="en-NZ"/>
        </w:rPr>
        <w:tab/>
        <w:t xml:space="preserve">Views from Other </w:t>
      </w:r>
      <w:r w:rsidR="00A564FB" w:rsidRPr="00182AAD">
        <w:rPr>
          <w:b/>
          <w:lang w:val="en-NZ"/>
        </w:rPr>
        <w:t>Organisations</w:t>
      </w:r>
    </w:p>
    <w:p w14:paraId="5D613D48" w14:textId="075F3066" w:rsidR="003B4FD1" w:rsidRPr="00441526" w:rsidRDefault="00C7318E" w:rsidP="003B4FD1">
      <w:pPr>
        <w:spacing w:after="120"/>
        <w:jc w:val="both"/>
        <w:rPr>
          <w:b/>
          <w:lang w:val="en-NZ" w:eastAsia="ko-KR"/>
        </w:rPr>
      </w:pPr>
      <w:r>
        <w:rPr>
          <w:b/>
          <w:lang w:val="en-NZ" w:eastAsia="ko-KR"/>
        </w:rPr>
        <w:t>7</w:t>
      </w:r>
      <w:r w:rsidR="003B4FD1" w:rsidRPr="00441526">
        <w:rPr>
          <w:b/>
          <w:lang w:val="en-NZ" w:eastAsia="ko-KR"/>
        </w:rPr>
        <w:t xml:space="preserve">.1 </w:t>
      </w:r>
      <w:r w:rsidR="003B4FD1" w:rsidRPr="00441526">
        <w:rPr>
          <w:b/>
          <w:lang w:val="en-NZ" w:eastAsia="ko-KR"/>
        </w:rPr>
        <w:tab/>
        <w:t xml:space="preserve">Regional </w:t>
      </w:r>
      <w:r w:rsidR="009F547A" w:rsidRPr="00441526">
        <w:rPr>
          <w:b/>
          <w:lang w:val="en-NZ" w:eastAsia="ko-KR"/>
        </w:rPr>
        <w:t>Groups</w:t>
      </w:r>
    </w:p>
    <w:p w14:paraId="32590B10" w14:textId="0C7CFBDE" w:rsidR="005F3167" w:rsidRPr="005F3167" w:rsidRDefault="00C7318E" w:rsidP="005F3167">
      <w:pPr>
        <w:spacing w:after="120"/>
        <w:jc w:val="both"/>
        <w:rPr>
          <w:b/>
          <w:lang w:val="en-AU" w:eastAsia="ko-KR"/>
        </w:rPr>
      </w:pPr>
      <w:r>
        <w:rPr>
          <w:b/>
          <w:lang w:val="en-NZ" w:eastAsia="ko-KR"/>
        </w:rPr>
        <w:t>7</w:t>
      </w:r>
      <w:r w:rsidR="003B4FD1" w:rsidRPr="00441526">
        <w:rPr>
          <w:b/>
          <w:lang w:val="en-NZ" w:eastAsia="ko-KR"/>
        </w:rPr>
        <w:t xml:space="preserve">.1.1 </w:t>
      </w:r>
      <w:r w:rsidR="003B4FD1" w:rsidRPr="00441526">
        <w:rPr>
          <w:b/>
          <w:lang w:val="en-NZ" w:eastAsia="ko-KR"/>
        </w:rPr>
        <w:tab/>
      </w:r>
      <w:r w:rsidR="003B4FD1" w:rsidRPr="005F3167">
        <w:rPr>
          <w:b/>
          <w:lang w:val="en-NZ" w:eastAsia="ko-KR"/>
        </w:rPr>
        <w:t>ASMG</w:t>
      </w:r>
      <w:r w:rsidR="009D46CE" w:rsidRPr="005F3167">
        <w:rPr>
          <w:b/>
          <w:lang w:val="en-NZ" w:eastAsia="ko-KR"/>
        </w:rPr>
        <w:t xml:space="preserve"> </w:t>
      </w:r>
      <w:r w:rsidR="009D46CE" w:rsidRPr="00441526">
        <w:t xml:space="preserve">- </w:t>
      </w:r>
      <w:r w:rsidR="00F973A1">
        <w:rPr>
          <w:b/>
          <w:lang w:val="en-NZ" w:eastAsia="ko-KR"/>
        </w:rPr>
        <w:t xml:space="preserve">Document </w:t>
      </w:r>
      <w:hyperlink r:id="rId46" w:tgtFrame="_blank" w:history="1">
        <w:r w:rsidR="005F3167" w:rsidRPr="005F3167">
          <w:rPr>
            <w:rStyle w:val="Hyperlink"/>
            <w:b/>
            <w:lang w:eastAsia="ko-KR"/>
          </w:rPr>
          <w:t>APG19-4/INP-09(Rev.1)</w:t>
        </w:r>
      </w:hyperlink>
      <w:r w:rsidR="005F3167">
        <w:rPr>
          <w:b/>
          <w:lang w:val="id-ID" w:eastAsia="ko-KR"/>
        </w:rPr>
        <w:t xml:space="preserve"> </w:t>
      </w:r>
    </w:p>
    <w:p w14:paraId="49D469C1" w14:textId="06E937B3" w:rsidR="005F3167" w:rsidRDefault="005F3167" w:rsidP="00CF484A">
      <w:pPr>
        <w:spacing w:after="120"/>
        <w:jc w:val="both"/>
        <w:rPr>
          <w:lang w:val="en-NZ"/>
        </w:rPr>
      </w:pPr>
      <w:r w:rsidRPr="005F3167">
        <w:rPr>
          <w:lang w:val="en-NZ"/>
        </w:rPr>
        <w:t xml:space="preserve">For Broadband MTC and </w:t>
      </w:r>
      <w:proofErr w:type="spellStart"/>
      <w:r w:rsidRPr="005F3167">
        <w:rPr>
          <w:lang w:val="en-NZ"/>
        </w:rPr>
        <w:t>IoT</w:t>
      </w:r>
      <w:proofErr w:type="spellEnd"/>
      <w:r w:rsidRPr="005F3167">
        <w:rPr>
          <w:lang w:val="en-NZ"/>
        </w:rPr>
        <w:t xml:space="preserve"> applications: Support the use of existing bands identified for </w:t>
      </w:r>
      <w:r w:rsidR="00893A6F">
        <w:rPr>
          <w:lang w:val="en-NZ"/>
        </w:rPr>
        <w:t>IMT</w:t>
      </w:r>
      <w:r w:rsidRPr="005F3167">
        <w:rPr>
          <w:lang w:val="en-NZ"/>
        </w:rPr>
        <w:t xml:space="preserve"> systems to support the implementation of broadband communications infrastructure f</w:t>
      </w:r>
      <w:r>
        <w:rPr>
          <w:lang w:val="en-NZ"/>
        </w:rPr>
        <w:t>rom machine</w:t>
      </w:r>
      <w:r>
        <w:rPr>
          <w:lang w:val="id-ID"/>
        </w:rPr>
        <w:t xml:space="preserve"> </w:t>
      </w:r>
      <w:r>
        <w:rPr>
          <w:lang w:val="en-NZ"/>
        </w:rPr>
        <w:t>to machine</w:t>
      </w:r>
      <w:r>
        <w:rPr>
          <w:lang w:val="id-ID"/>
        </w:rPr>
        <w:t xml:space="preserve"> </w:t>
      </w:r>
      <w:r>
        <w:rPr>
          <w:lang w:val="en-NZ"/>
        </w:rPr>
        <w:t>and</w:t>
      </w:r>
      <w:r w:rsidR="00893A6F">
        <w:rPr>
          <w:lang w:val="en-NZ"/>
        </w:rPr>
        <w:t xml:space="preserve"> </w:t>
      </w:r>
      <w:proofErr w:type="spellStart"/>
      <w:r w:rsidR="00893A6F">
        <w:rPr>
          <w:lang w:val="en-NZ"/>
        </w:rPr>
        <w:t>IoT</w:t>
      </w:r>
      <w:proofErr w:type="spellEnd"/>
    </w:p>
    <w:p w14:paraId="74EFC351" w14:textId="77777777" w:rsidR="005F3167" w:rsidRDefault="005F3167" w:rsidP="00CF484A">
      <w:pPr>
        <w:spacing w:after="120"/>
        <w:jc w:val="both"/>
        <w:rPr>
          <w:lang w:val="en-NZ"/>
        </w:rPr>
      </w:pPr>
      <w:r w:rsidRPr="005F3167">
        <w:rPr>
          <w:lang w:val="en-NZ"/>
        </w:rPr>
        <w:t>For</w:t>
      </w:r>
      <w:r>
        <w:rPr>
          <w:lang w:val="id-ID"/>
        </w:rPr>
        <w:t xml:space="preserve"> </w:t>
      </w:r>
      <w:r w:rsidRPr="005F3167">
        <w:rPr>
          <w:lang w:val="en-NZ"/>
        </w:rPr>
        <w:t>Narrowband MTC and</w:t>
      </w:r>
      <w:r>
        <w:rPr>
          <w:lang w:val="id-ID"/>
        </w:rPr>
        <w:t xml:space="preserve"> </w:t>
      </w:r>
      <w:proofErr w:type="spellStart"/>
      <w:r w:rsidRPr="005F3167">
        <w:rPr>
          <w:lang w:val="en-NZ"/>
        </w:rPr>
        <w:t>IoT</w:t>
      </w:r>
      <w:proofErr w:type="spellEnd"/>
      <w:r>
        <w:rPr>
          <w:lang w:val="id-ID"/>
        </w:rPr>
        <w:t xml:space="preserve"> </w:t>
      </w:r>
      <w:r w:rsidRPr="005F3167">
        <w:rPr>
          <w:lang w:val="en-NZ"/>
        </w:rPr>
        <w:t>applications; Support</w:t>
      </w:r>
      <w:r>
        <w:rPr>
          <w:lang w:val="id-ID"/>
        </w:rPr>
        <w:t xml:space="preserve"> </w:t>
      </w:r>
      <w:r w:rsidRPr="005F3167">
        <w:rPr>
          <w:lang w:val="en-NZ"/>
        </w:rPr>
        <w:t>the</w:t>
      </w:r>
      <w:r>
        <w:rPr>
          <w:lang w:val="id-ID"/>
        </w:rPr>
        <w:t xml:space="preserve"> </w:t>
      </w:r>
      <w:r w:rsidRPr="005F3167">
        <w:rPr>
          <w:lang w:val="en-NZ"/>
        </w:rPr>
        <w:t>possibility</w:t>
      </w:r>
      <w:r>
        <w:rPr>
          <w:lang w:val="id-ID"/>
        </w:rPr>
        <w:t xml:space="preserve"> </w:t>
      </w:r>
      <w:r w:rsidRPr="005F3167">
        <w:rPr>
          <w:lang w:val="en-NZ"/>
        </w:rPr>
        <w:t xml:space="preserve">of: </w:t>
      </w:r>
    </w:p>
    <w:p w14:paraId="056F4F11" w14:textId="5CA47D02" w:rsidR="005F3167" w:rsidRDefault="005F3167" w:rsidP="005F3167">
      <w:pPr>
        <w:pStyle w:val="ListParagraph"/>
        <w:numPr>
          <w:ilvl w:val="0"/>
          <w:numId w:val="28"/>
        </w:numPr>
        <w:spacing w:after="120"/>
        <w:jc w:val="both"/>
        <w:rPr>
          <w:lang w:val="en-NZ"/>
        </w:rPr>
      </w:pPr>
      <w:r w:rsidRPr="005F3167">
        <w:rPr>
          <w:lang w:val="en-NZ"/>
        </w:rPr>
        <w:t>Using existing</w:t>
      </w:r>
      <w:r>
        <w:rPr>
          <w:lang w:val="id-ID"/>
        </w:rPr>
        <w:t xml:space="preserve"> </w:t>
      </w:r>
      <w:r w:rsidRPr="005F3167">
        <w:rPr>
          <w:lang w:val="en-NZ"/>
        </w:rPr>
        <w:t>bands</w:t>
      </w:r>
      <w:r>
        <w:rPr>
          <w:lang w:val="id-ID"/>
        </w:rPr>
        <w:t xml:space="preserve"> </w:t>
      </w:r>
      <w:r w:rsidRPr="005F3167">
        <w:rPr>
          <w:lang w:val="en-NZ"/>
        </w:rPr>
        <w:t>identified</w:t>
      </w:r>
      <w:r>
        <w:rPr>
          <w:lang w:val="id-ID"/>
        </w:rPr>
        <w:t xml:space="preserve"> </w:t>
      </w:r>
      <w:r w:rsidR="00893A6F">
        <w:rPr>
          <w:lang w:val="en-NZ"/>
        </w:rPr>
        <w:t>for IMT</w:t>
      </w:r>
      <w:r>
        <w:rPr>
          <w:lang w:val="id-ID"/>
        </w:rPr>
        <w:t xml:space="preserve"> </w:t>
      </w:r>
      <w:r w:rsidRPr="005F3167">
        <w:rPr>
          <w:lang w:val="en-NZ"/>
        </w:rPr>
        <w:t>systems, such</w:t>
      </w:r>
      <w:r>
        <w:rPr>
          <w:lang w:val="id-ID"/>
        </w:rPr>
        <w:t xml:space="preserve"> </w:t>
      </w:r>
      <w:r w:rsidRPr="005F3167">
        <w:rPr>
          <w:lang w:val="en-NZ"/>
        </w:rPr>
        <w:t>as</w:t>
      </w:r>
      <w:r>
        <w:rPr>
          <w:lang w:val="id-ID"/>
        </w:rPr>
        <w:t xml:space="preserve"> </w:t>
      </w:r>
      <w:r w:rsidRPr="005F3167">
        <w:rPr>
          <w:lang w:val="en-NZ"/>
        </w:rPr>
        <w:t>694–960</w:t>
      </w:r>
      <w:r w:rsidR="00893A6F">
        <w:rPr>
          <w:lang w:val="en-NZ"/>
        </w:rPr>
        <w:t xml:space="preserve"> </w:t>
      </w:r>
      <w:r w:rsidRPr="005F3167">
        <w:rPr>
          <w:lang w:val="en-NZ"/>
        </w:rPr>
        <w:t>MHz</w:t>
      </w:r>
    </w:p>
    <w:p w14:paraId="44CA742A" w14:textId="52F6BF9B" w:rsidR="005F3167" w:rsidRDefault="00893A6F" w:rsidP="005F3167">
      <w:pPr>
        <w:pStyle w:val="ListParagraph"/>
        <w:numPr>
          <w:ilvl w:val="0"/>
          <w:numId w:val="28"/>
        </w:numPr>
        <w:spacing w:after="120"/>
        <w:jc w:val="both"/>
        <w:rPr>
          <w:lang w:val="en-NZ"/>
        </w:rPr>
      </w:pPr>
      <w:r>
        <w:rPr>
          <w:lang w:val="en-NZ"/>
        </w:rPr>
        <w:t xml:space="preserve">Harmonized use of 2x3 MHz </w:t>
      </w:r>
      <w:r w:rsidR="005F3167">
        <w:rPr>
          <w:lang w:val="en-NZ"/>
        </w:rPr>
        <w:t>733-736/</w:t>
      </w:r>
      <w:r>
        <w:rPr>
          <w:lang w:val="en-NZ"/>
        </w:rPr>
        <w:t>788-791 MHz</w:t>
      </w:r>
      <w:r w:rsidR="005F3167" w:rsidRPr="005F3167">
        <w:rPr>
          <w:lang w:val="en-NZ"/>
        </w:rPr>
        <w:t xml:space="preserve"> in the 700 MHz band</w:t>
      </w:r>
      <w:r w:rsidR="005F3167">
        <w:rPr>
          <w:lang w:val="id-ID"/>
        </w:rPr>
        <w:t xml:space="preserve"> </w:t>
      </w:r>
      <w:r w:rsidR="005F3167" w:rsidRPr="005F3167">
        <w:rPr>
          <w:lang w:val="en-NZ"/>
        </w:rPr>
        <w:t>for narrowband</w:t>
      </w:r>
      <w:r w:rsidR="005F3167">
        <w:rPr>
          <w:lang w:val="id-ID"/>
        </w:rPr>
        <w:t xml:space="preserve"> </w:t>
      </w:r>
      <w:r w:rsidR="005F3167" w:rsidRPr="005F3167">
        <w:rPr>
          <w:lang w:val="en-NZ"/>
        </w:rPr>
        <w:t>MTC/</w:t>
      </w:r>
      <w:proofErr w:type="spellStart"/>
      <w:r w:rsidR="005F3167" w:rsidRPr="005F3167">
        <w:rPr>
          <w:lang w:val="en-NZ"/>
        </w:rPr>
        <w:t>IoT</w:t>
      </w:r>
      <w:proofErr w:type="spellEnd"/>
      <w:r w:rsidR="005F3167">
        <w:rPr>
          <w:lang w:val="id-ID"/>
        </w:rPr>
        <w:t xml:space="preserve"> </w:t>
      </w:r>
      <w:r w:rsidR="005F3167" w:rsidRPr="005F3167">
        <w:rPr>
          <w:lang w:val="en-NZ"/>
        </w:rPr>
        <w:t>in</w:t>
      </w:r>
      <w:r w:rsidR="005F3167">
        <w:rPr>
          <w:lang w:val="id-ID"/>
        </w:rPr>
        <w:t xml:space="preserve"> </w:t>
      </w:r>
      <w:r w:rsidR="005F3167" w:rsidRPr="005F3167">
        <w:rPr>
          <w:lang w:val="en-NZ"/>
        </w:rPr>
        <w:t>interested</w:t>
      </w:r>
      <w:r w:rsidR="005F3167">
        <w:rPr>
          <w:lang w:val="id-ID"/>
        </w:rPr>
        <w:t xml:space="preserve"> </w:t>
      </w:r>
      <w:r w:rsidR="005F3167" w:rsidRPr="005F3167">
        <w:rPr>
          <w:lang w:val="en-NZ"/>
        </w:rPr>
        <w:t xml:space="preserve">countries </w:t>
      </w:r>
    </w:p>
    <w:p w14:paraId="0F1EEA20" w14:textId="3A6182CC" w:rsidR="003B4FD1" w:rsidRDefault="005F3167" w:rsidP="005F3167">
      <w:pPr>
        <w:pStyle w:val="ListParagraph"/>
        <w:numPr>
          <w:ilvl w:val="0"/>
          <w:numId w:val="28"/>
        </w:numPr>
        <w:spacing w:after="120"/>
        <w:jc w:val="both"/>
        <w:rPr>
          <w:lang w:val="en-NZ"/>
        </w:rPr>
      </w:pPr>
      <w:r w:rsidRPr="005F3167">
        <w:rPr>
          <w:lang w:val="en-NZ"/>
        </w:rPr>
        <w:t>Use</w:t>
      </w:r>
      <w:r>
        <w:rPr>
          <w:lang w:val="id-ID"/>
        </w:rPr>
        <w:t xml:space="preserve"> </w:t>
      </w:r>
      <w:r w:rsidRPr="005F3167">
        <w:rPr>
          <w:lang w:val="en-NZ"/>
        </w:rPr>
        <w:t>of</w:t>
      </w:r>
      <w:r>
        <w:rPr>
          <w:lang w:val="id-ID"/>
        </w:rPr>
        <w:t xml:space="preserve"> </w:t>
      </w:r>
      <w:r w:rsidRPr="005F3167">
        <w:rPr>
          <w:lang w:val="en-NZ"/>
        </w:rPr>
        <w:t>IMT</w:t>
      </w:r>
      <w:r>
        <w:rPr>
          <w:lang w:val="id-ID"/>
        </w:rPr>
        <w:t xml:space="preserve"> </w:t>
      </w:r>
      <w:r w:rsidRPr="005F3167">
        <w:rPr>
          <w:lang w:val="en-NZ"/>
        </w:rPr>
        <w:t>bands</w:t>
      </w:r>
      <w:r>
        <w:rPr>
          <w:lang w:val="id-ID"/>
        </w:rPr>
        <w:t xml:space="preserve"> </w:t>
      </w:r>
      <w:r w:rsidRPr="005F3167">
        <w:rPr>
          <w:lang w:val="en-NZ"/>
        </w:rPr>
        <w:t>for other</w:t>
      </w:r>
      <w:r>
        <w:rPr>
          <w:lang w:val="id-ID"/>
        </w:rPr>
        <w:t xml:space="preserve"> </w:t>
      </w:r>
      <w:r w:rsidRPr="005F3167">
        <w:rPr>
          <w:lang w:val="en-NZ"/>
        </w:rPr>
        <w:t>applications</w:t>
      </w:r>
    </w:p>
    <w:p w14:paraId="49E394B7" w14:textId="77777777" w:rsidR="005F3167" w:rsidRPr="005F3167" w:rsidRDefault="005F3167" w:rsidP="005F3167">
      <w:pPr>
        <w:spacing w:after="120"/>
        <w:jc w:val="both"/>
        <w:rPr>
          <w:lang w:val="en-NZ"/>
        </w:rPr>
      </w:pPr>
    </w:p>
    <w:p w14:paraId="688F1EF6" w14:textId="4567A878" w:rsidR="005A22F8" w:rsidRPr="005F3167" w:rsidRDefault="0081114D" w:rsidP="00A92992">
      <w:pPr>
        <w:spacing w:after="120"/>
        <w:jc w:val="both"/>
        <w:rPr>
          <w:color w:val="0070C0"/>
          <w:lang w:val="id-ID"/>
        </w:rPr>
      </w:pPr>
      <w:r>
        <w:rPr>
          <w:b/>
          <w:lang w:val="en-NZ" w:eastAsia="ko-KR"/>
        </w:rPr>
        <w:t>7</w:t>
      </w:r>
      <w:r w:rsidR="009F547A" w:rsidRPr="00441526">
        <w:rPr>
          <w:b/>
          <w:lang w:val="en-NZ" w:eastAsia="ko-KR"/>
        </w:rPr>
        <w:t>.1</w:t>
      </w:r>
      <w:r w:rsidR="003B4FD1" w:rsidRPr="00441526">
        <w:rPr>
          <w:b/>
          <w:lang w:val="en-NZ" w:eastAsia="ko-KR"/>
        </w:rPr>
        <w:t xml:space="preserve">.2 </w:t>
      </w:r>
      <w:r w:rsidR="003B4FD1" w:rsidRPr="00441526">
        <w:rPr>
          <w:b/>
          <w:lang w:val="en-NZ" w:eastAsia="ko-KR"/>
        </w:rPr>
        <w:tab/>
        <w:t>ATU</w:t>
      </w:r>
      <w:r w:rsidR="009D46CE" w:rsidRPr="00441526">
        <w:rPr>
          <w:b/>
          <w:lang w:val="en-NZ" w:eastAsia="ko-KR"/>
        </w:rPr>
        <w:t xml:space="preserve"> </w:t>
      </w:r>
      <w:r w:rsidR="005F3167">
        <w:rPr>
          <w:b/>
          <w:lang w:val="id-ID" w:eastAsia="ko-KR"/>
        </w:rPr>
        <w:t xml:space="preserve">– Document </w:t>
      </w:r>
      <w:hyperlink r:id="rId47" w:tgtFrame="_blank" w:history="1">
        <w:r w:rsidR="005F3167" w:rsidRPr="005F3167">
          <w:rPr>
            <w:rStyle w:val="Hyperlink"/>
            <w:b/>
            <w:lang w:eastAsia="ko-KR"/>
          </w:rPr>
          <w:t>APG19-4/INP-09(Rev.1)</w:t>
        </w:r>
      </w:hyperlink>
      <w:r w:rsidR="005F3167">
        <w:rPr>
          <w:b/>
          <w:lang w:val="id-ID" w:eastAsia="ko-KR"/>
        </w:rPr>
        <w:t xml:space="preserve"> </w:t>
      </w:r>
    </w:p>
    <w:p w14:paraId="2ACFDEAC" w14:textId="1CF49648" w:rsidR="00A92992" w:rsidRDefault="005F3167" w:rsidP="005F3167">
      <w:pPr>
        <w:spacing w:after="120"/>
        <w:jc w:val="both"/>
        <w:rPr>
          <w:lang w:val="en-NZ"/>
        </w:rPr>
      </w:pPr>
      <w:r w:rsidRPr="005F3167">
        <w:rPr>
          <w:lang w:val="en-NZ"/>
        </w:rPr>
        <w:t>The No Change approach</w:t>
      </w:r>
    </w:p>
    <w:p w14:paraId="6E360FF0" w14:textId="77777777" w:rsidR="005F3167" w:rsidRPr="00A92992" w:rsidRDefault="005F3167" w:rsidP="005F3167">
      <w:pPr>
        <w:spacing w:after="120"/>
        <w:jc w:val="both"/>
        <w:rPr>
          <w:lang w:val="en-NZ"/>
        </w:rPr>
      </w:pPr>
    </w:p>
    <w:p w14:paraId="1BFBDE37" w14:textId="5FBF54D4" w:rsidR="003B4FD1" w:rsidRPr="00441526" w:rsidRDefault="0081114D" w:rsidP="003B4FD1">
      <w:pPr>
        <w:spacing w:after="120"/>
        <w:jc w:val="both"/>
        <w:rPr>
          <w:b/>
          <w:lang w:val="en-NZ" w:eastAsia="ko-KR"/>
        </w:rPr>
      </w:pPr>
      <w:r>
        <w:rPr>
          <w:b/>
          <w:lang w:val="en-NZ" w:eastAsia="ko-KR"/>
        </w:rPr>
        <w:t>7</w:t>
      </w:r>
      <w:r w:rsidR="009F547A" w:rsidRPr="00441526">
        <w:rPr>
          <w:b/>
          <w:lang w:val="en-NZ" w:eastAsia="ko-KR"/>
        </w:rPr>
        <w:t>.1</w:t>
      </w:r>
      <w:r w:rsidR="003B4FD1" w:rsidRPr="00441526">
        <w:rPr>
          <w:b/>
          <w:lang w:val="en-NZ" w:eastAsia="ko-KR"/>
        </w:rPr>
        <w:t xml:space="preserve">.3 </w:t>
      </w:r>
      <w:r w:rsidR="003B4FD1" w:rsidRPr="00441526">
        <w:rPr>
          <w:b/>
          <w:lang w:val="en-NZ" w:eastAsia="ko-KR"/>
        </w:rPr>
        <w:tab/>
        <w:t>CEPT</w:t>
      </w:r>
      <w:r w:rsidR="009D46CE" w:rsidRPr="00441526">
        <w:rPr>
          <w:b/>
          <w:lang w:val="en-NZ" w:eastAsia="ko-KR"/>
        </w:rPr>
        <w:t xml:space="preserve"> </w:t>
      </w:r>
      <w:r w:rsidR="009D46CE" w:rsidRPr="00441526">
        <w:t xml:space="preserve">- </w:t>
      </w:r>
      <w:r w:rsidR="009D46CE" w:rsidRPr="00441526">
        <w:rPr>
          <w:b/>
          <w:lang w:val="en-NZ" w:eastAsia="ko-KR"/>
        </w:rPr>
        <w:t xml:space="preserve">Document </w:t>
      </w:r>
      <w:hyperlink r:id="rId48" w:tgtFrame="_blank" w:history="1">
        <w:r w:rsidR="005A22F8" w:rsidRPr="005A22F8">
          <w:rPr>
            <w:rStyle w:val="Hyperlink"/>
            <w:b/>
            <w:lang w:eastAsia="ko-KR"/>
          </w:rPr>
          <w:t>APG19-4/INF-23</w:t>
        </w:r>
      </w:hyperlink>
    </w:p>
    <w:p w14:paraId="66A71629" w14:textId="77777777" w:rsidR="005A22F8" w:rsidRDefault="005A22F8" w:rsidP="00916BCF">
      <w:pPr>
        <w:spacing w:after="120"/>
        <w:jc w:val="both"/>
      </w:pPr>
      <w:r w:rsidRPr="005A22F8">
        <w:t xml:space="preserve">CEPT supports 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w:t>
      </w:r>
    </w:p>
    <w:p w14:paraId="50D30EE3" w14:textId="7CBC80D3" w:rsidR="00916BCF" w:rsidRDefault="005A22F8" w:rsidP="00916BCF">
      <w:pPr>
        <w:spacing w:after="120"/>
        <w:jc w:val="both"/>
        <w:rPr>
          <w:lang w:val="en-NZ"/>
        </w:rPr>
      </w:pPr>
      <w:r w:rsidRPr="005A22F8">
        <w:t>CEPT is of the view that no modifications to the Radio Regulations are required in order to resolve Agenda item 9.1 issue 9.1.8. CEPT supports the consideration of IMT technologies within Agenda item 9.1 issue 9.1.8 as well as the consideration of non-IMT technologies in the purview of WPs 1B and 5A related to machine-type communications.</w:t>
      </w:r>
    </w:p>
    <w:p w14:paraId="034CE64A" w14:textId="77777777" w:rsidR="00250BE1" w:rsidRDefault="00250BE1" w:rsidP="003B4FD1">
      <w:pPr>
        <w:spacing w:after="120"/>
        <w:jc w:val="both"/>
        <w:rPr>
          <w:b/>
          <w:lang w:val="en-NZ" w:eastAsia="ko-KR"/>
        </w:rPr>
      </w:pPr>
    </w:p>
    <w:p w14:paraId="539B1613" w14:textId="4675E493" w:rsidR="00D44940" w:rsidRPr="00250BE1" w:rsidRDefault="0039144B" w:rsidP="003B4FD1">
      <w:pPr>
        <w:spacing w:after="120"/>
        <w:jc w:val="both"/>
        <w:rPr>
          <w:b/>
          <w:lang w:val="id-ID" w:eastAsia="ko-KR"/>
        </w:rPr>
      </w:pPr>
      <w:r>
        <w:rPr>
          <w:b/>
          <w:lang w:val="en-NZ" w:eastAsia="ko-KR"/>
        </w:rPr>
        <w:t>7</w:t>
      </w:r>
      <w:r w:rsidR="009F547A" w:rsidRPr="00441526">
        <w:rPr>
          <w:b/>
          <w:lang w:val="en-NZ" w:eastAsia="ko-KR"/>
        </w:rPr>
        <w:t>.1</w:t>
      </w:r>
      <w:r w:rsidR="003B4FD1" w:rsidRPr="00441526">
        <w:rPr>
          <w:b/>
          <w:lang w:val="en-NZ" w:eastAsia="ko-KR"/>
        </w:rPr>
        <w:t xml:space="preserve">.4 </w:t>
      </w:r>
      <w:r w:rsidR="003B4FD1" w:rsidRPr="00441526">
        <w:rPr>
          <w:b/>
          <w:lang w:val="en-NZ" w:eastAsia="ko-KR"/>
        </w:rPr>
        <w:tab/>
        <w:t>CITEL</w:t>
      </w:r>
      <w:r w:rsidR="009D46CE" w:rsidRPr="00441526">
        <w:rPr>
          <w:b/>
          <w:lang w:val="en-NZ" w:eastAsia="ko-KR"/>
        </w:rPr>
        <w:t xml:space="preserve"> </w:t>
      </w:r>
      <w:r w:rsidR="009D46CE" w:rsidRPr="00441526">
        <w:t xml:space="preserve">- </w:t>
      </w:r>
      <w:r w:rsidR="0027354C">
        <w:rPr>
          <w:b/>
          <w:lang w:val="en-NZ" w:eastAsia="ko-KR"/>
        </w:rPr>
        <w:t xml:space="preserve">Document </w:t>
      </w:r>
      <w:hyperlink r:id="rId49" w:history="1">
        <w:r w:rsidR="00B76F6F" w:rsidRPr="00B76F6F">
          <w:rPr>
            <w:rStyle w:val="Hyperlink"/>
            <w:b/>
            <w:lang w:val="en-NZ" w:eastAsia="ko-KR"/>
          </w:rPr>
          <w:t>APG19-4/INF-22</w:t>
        </w:r>
      </w:hyperlink>
      <w:r w:rsidR="00250BE1">
        <w:rPr>
          <w:b/>
          <w:lang w:val="id-ID" w:eastAsia="ko-KR"/>
        </w:rPr>
        <w:t xml:space="preserve"> </w:t>
      </w:r>
    </w:p>
    <w:p w14:paraId="1C0807B1" w14:textId="0D192C9A" w:rsidR="00250BE1" w:rsidRPr="00250BE1" w:rsidRDefault="00250BE1" w:rsidP="00250BE1">
      <w:pPr>
        <w:spacing w:after="120"/>
        <w:ind w:right="119"/>
        <w:jc w:val="both"/>
        <w:rPr>
          <w:iCs/>
          <w:color w:val="000000" w:themeColor="text1"/>
          <w:lang w:val="id-ID"/>
        </w:rPr>
      </w:pPr>
      <w:r w:rsidRPr="00250BE1">
        <w:rPr>
          <w:iCs/>
          <w:color w:val="000000" w:themeColor="text1"/>
          <w:lang w:val="id-ID"/>
        </w:rPr>
        <w:t>Issue 9.1.8:  Narrowband and broadband machine-type communication infrastructures</w:t>
      </w:r>
    </w:p>
    <w:p w14:paraId="72818A60" w14:textId="03A64093" w:rsidR="005F3167" w:rsidRPr="005F3167" w:rsidRDefault="005F3167" w:rsidP="005F3167">
      <w:pPr>
        <w:spacing w:after="120"/>
        <w:ind w:right="119"/>
        <w:jc w:val="both"/>
        <w:rPr>
          <w:iCs/>
          <w:color w:val="000000" w:themeColor="text1"/>
          <w:lang w:val="id-ID"/>
        </w:rPr>
      </w:pPr>
      <w:r w:rsidRPr="005F3167">
        <w:rPr>
          <w:iCs/>
          <w:color w:val="000000" w:themeColor="text1"/>
          <w:lang w:val="id-ID"/>
        </w:rPr>
        <w:t xml:space="preserve">NOC IAP/9.1/9.1.8/1  </w:t>
      </w:r>
    </w:p>
    <w:p w14:paraId="6EA66C80" w14:textId="77777777" w:rsidR="005F3167" w:rsidRPr="005F3167" w:rsidRDefault="005F3167" w:rsidP="00E0573D">
      <w:pPr>
        <w:spacing w:after="120"/>
        <w:jc w:val="both"/>
        <w:rPr>
          <w:iCs/>
          <w:color w:val="000000" w:themeColor="text1"/>
          <w:lang w:val="id-ID"/>
        </w:rPr>
      </w:pPr>
      <w:r w:rsidRPr="005F3167">
        <w:rPr>
          <w:iCs/>
          <w:color w:val="000000" w:themeColor="text1"/>
          <w:lang w:val="id-ID"/>
        </w:rPr>
        <w:lastRenderedPageBreak/>
        <w:t>Argentina, Brazil, Canada, Colombia, Dominican Republic, Ecuador, Guatemala, Mexico, Panama, United States of America, Uruguay Radio Regulations Volumes 1 &amp; 2</w:t>
      </w:r>
    </w:p>
    <w:p w14:paraId="019D4C6F" w14:textId="77777777" w:rsidR="005F3167" w:rsidRPr="005F3167" w:rsidRDefault="005F3167" w:rsidP="00E0573D">
      <w:pPr>
        <w:spacing w:after="120"/>
        <w:jc w:val="both"/>
        <w:rPr>
          <w:iCs/>
          <w:color w:val="000000" w:themeColor="text1"/>
          <w:lang w:val="id-ID"/>
        </w:rPr>
      </w:pPr>
      <w:r w:rsidRPr="005F3167">
        <w:rPr>
          <w:iCs/>
          <w:color w:val="000000" w:themeColor="text1"/>
          <w:lang w:val="id-ID"/>
        </w:rPr>
        <w:t xml:space="preserve">Reasons: Analysis of the current and future spectrum use for narrowband and broadband machine type communications (MTC), also known as machine-to-machine (M2M) or Internet of Things (IoT), concluded that there is no need to identify specific spectrum for those applications. Therefore, no change to the Radio Regulations or regulatory action is required. </w:t>
      </w:r>
    </w:p>
    <w:p w14:paraId="0A8A0163" w14:textId="77777777" w:rsidR="005F3167" w:rsidRPr="005F3167" w:rsidRDefault="005F3167" w:rsidP="005F3167">
      <w:pPr>
        <w:spacing w:after="120"/>
        <w:ind w:right="119"/>
        <w:jc w:val="both"/>
        <w:rPr>
          <w:iCs/>
          <w:color w:val="000000" w:themeColor="text1"/>
          <w:lang w:val="id-ID"/>
        </w:rPr>
      </w:pPr>
      <w:r w:rsidRPr="005F3167">
        <w:rPr>
          <w:iCs/>
          <w:color w:val="000000" w:themeColor="text1"/>
          <w:lang w:val="id-ID"/>
        </w:rPr>
        <w:t>SUP IAP/9.1/9.1.8/2 ANNEX TO RESOLUTION 958 (WRC-15)</w:t>
      </w:r>
    </w:p>
    <w:p w14:paraId="7E775914" w14:textId="6B63FC3E" w:rsidR="00D44940" w:rsidRPr="005F3167" w:rsidRDefault="005F3167" w:rsidP="00E0573D">
      <w:pPr>
        <w:spacing w:after="120"/>
        <w:jc w:val="both"/>
        <w:rPr>
          <w:rFonts w:eastAsia="Times New Roman"/>
          <w:iCs/>
          <w:color w:val="000000" w:themeColor="text1"/>
          <w:lang w:val="id-ID"/>
        </w:rPr>
      </w:pPr>
      <w:r w:rsidRPr="005F3167">
        <w:rPr>
          <w:iCs/>
          <w:color w:val="000000" w:themeColor="text1"/>
          <w:lang w:val="id-ID"/>
        </w:rPr>
        <w:t xml:space="preserve">Reasons: Analysis of the current and future spectrum use for narrowband and broadband machine type communications (MTC), also known as machine-to-machine (M2M) or Internet of Things (IoT), concluded that there is no need to identify specific spectrum for those applications. Therefore, no change to the Radio </w:t>
      </w:r>
      <w:r w:rsidRPr="00E0573D">
        <w:t>Regulations</w:t>
      </w:r>
      <w:r w:rsidRPr="005F3167">
        <w:rPr>
          <w:iCs/>
          <w:color w:val="000000" w:themeColor="text1"/>
          <w:lang w:val="id-ID"/>
        </w:rPr>
        <w:t xml:space="preserve"> or regulatory action is required. No changes also apply to RR Volume 3, apart from the suppression proposed to parts of Resolution 958 (WRC-15).</w:t>
      </w:r>
    </w:p>
    <w:p w14:paraId="05E68D05" w14:textId="77777777" w:rsidR="00CF484A" w:rsidRPr="00D44940" w:rsidRDefault="00CF484A" w:rsidP="00D44940">
      <w:pPr>
        <w:spacing w:after="120"/>
        <w:ind w:right="119"/>
        <w:jc w:val="both"/>
        <w:rPr>
          <w:rFonts w:eastAsia="Times New Roman"/>
          <w:strike/>
          <w:lang w:val="id-ID"/>
        </w:rPr>
      </w:pPr>
    </w:p>
    <w:p w14:paraId="565C731B" w14:textId="2E0EB252" w:rsidR="003B4FD1" w:rsidRPr="00441526" w:rsidRDefault="0039144B" w:rsidP="003B4FD1">
      <w:pPr>
        <w:spacing w:after="120"/>
        <w:jc w:val="both"/>
        <w:rPr>
          <w:b/>
          <w:lang w:val="en-NZ" w:eastAsia="ko-KR"/>
        </w:rPr>
      </w:pPr>
      <w:r>
        <w:rPr>
          <w:b/>
          <w:lang w:val="en-NZ" w:eastAsia="ko-KR"/>
        </w:rPr>
        <w:t>7</w:t>
      </w:r>
      <w:r w:rsidR="009F547A" w:rsidRPr="00441526">
        <w:rPr>
          <w:b/>
          <w:lang w:val="en-NZ" w:eastAsia="ko-KR"/>
        </w:rPr>
        <w:t>.1</w:t>
      </w:r>
      <w:r w:rsidR="003B4FD1" w:rsidRPr="00441526">
        <w:rPr>
          <w:b/>
          <w:lang w:val="en-NZ" w:eastAsia="ko-KR"/>
        </w:rPr>
        <w:t xml:space="preserve">.5 </w:t>
      </w:r>
      <w:r w:rsidR="003B4FD1" w:rsidRPr="00441526">
        <w:rPr>
          <w:b/>
          <w:lang w:val="en-NZ" w:eastAsia="ko-KR"/>
        </w:rPr>
        <w:tab/>
        <w:t>RCC</w:t>
      </w:r>
      <w:r w:rsidR="009D46CE" w:rsidRPr="00441526">
        <w:rPr>
          <w:b/>
          <w:lang w:val="en-NZ" w:eastAsia="ko-KR"/>
        </w:rPr>
        <w:t xml:space="preserve"> </w:t>
      </w:r>
      <w:r w:rsidR="009D46CE" w:rsidRPr="00441526">
        <w:t xml:space="preserve">- </w:t>
      </w:r>
      <w:r w:rsidR="009D46CE" w:rsidRPr="00441526">
        <w:rPr>
          <w:b/>
          <w:lang w:val="en-NZ" w:eastAsia="ko-KR"/>
        </w:rPr>
        <w:t xml:space="preserve">Document </w:t>
      </w:r>
      <w:hyperlink r:id="rId50" w:tgtFrame="_blank" w:history="1">
        <w:r w:rsidR="005A22F8" w:rsidRPr="005A22F8">
          <w:rPr>
            <w:rStyle w:val="Hyperlink"/>
            <w:b/>
            <w:lang w:eastAsia="ko-KR"/>
          </w:rPr>
          <w:t>APG19-4/INF-24</w:t>
        </w:r>
      </w:hyperlink>
    </w:p>
    <w:p w14:paraId="444429BD" w14:textId="77777777" w:rsidR="005A22F8" w:rsidRDefault="005A22F8" w:rsidP="005A22F8">
      <w:pPr>
        <w:spacing w:after="120"/>
        <w:jc w:val="both"/>
      </w:pPr>
      <w:r>
        <w:t>The RCC Administrations consider that any modifications to the Radio Regulations provisions related to regulation of using narrowband and broadband machine-type communication applications are not necessary.</w:t>
      </w:r>
    </w:p>
    <w:p w14:paraId="00A2034B" w14:textId="6EF4E6B9" w:rsidR="003B4FD1" w:rsidRPr="00441526" w:rsidRDefault="005A22F8" w:rsidP="005A22F8">
      <w:pPr>
        <w:spacing w:after="120"/>
        <w:jc w:val="both"/>
        <w:rPr>
          <w:lang w:val="en-NZ"/>
        </w:rPr>
      </w:pPr>
      <w:r>
        <w:t>The RCC Administrations support the development of ITU-R Recommendations, Reports and/or Handbooks on technical and operational aspects of using different radio systems and technologies, as well as on spectrum needed and experience in spectrum use, to support the implementation of narrowband and broadband machine-type communication infrastructures.</w:t>
      </w:r>
    </w:p>
    <w:p w14:paraId="631FC134" w14:textId="77777777" w:rsidR="00441526" w:rsidRPr="00441526" w:rsidRDefault="00441526" w:rsidP="00B64A60">
      <w:pPr>
        <w:rPr>
          <w:lang w:val="en-NZ"/>
        </w:rPr>
      </w:pPr>
    </w:p>
    <w:p w14:paraId="7BC7B0CB" w14:textId="26EA44B7" w:rsidR="003B4FD1" w:rsidRPr="00441526" w:rsidRDefault="0039144B" w:rsidP="003B4FD1">
      <w:pPr>
        <w:spacing w:after="120"/>
        <w:jc w:val="both"/>
        <w:rPr>
          <w:b/>
          <w:lang w:val="en-NZ" w:eastAsia="ko-KR"/>
        </w:rPr>
      </w:pPr>
      <w:r>
        <w:rPr>
          <w:b/>
          <w:lang w:val="en-NZ" w:eastAsia="ko-KR"/>
        </w:rPr>
        <w:t>7</w:t>
      </w:r>
      <w:r w:rsidR="003B4FD1" w:rsidRPr="00441526">
        <w:rPr>
          <w:b/>
          <w:lang w:val="en-NZ" w:eastAsia="ko-KR"/>
        </w:rPr>
        <w:t xml:space="preserve">.2 </w:t>
      </w:r>
      <w:r w:rsidR="003B4FD1" w:rsidRPr="00441526">
        <w:rPr>
          <w:b/>
          <w:lang w:val="en-NZ" w:eastAsia="ko-KR"/>
        </w:rPr>
        <w:tab/>
      </w:r>
      <w:r w:rsidR="009F547A" w:rsidRPr="00441526">
        <w:rPr>
          <w:b/>
          <w:lang w:val="en-NZ" w:eastAsia="ko-KR"/>
        </w:rPr>
        <w:t xml:space="preserve">International </w:t>
      </w:r>
      <w:r w:rsidR="003B4FD1" w:rsidRPr="00441526">
        <w:rPr>
          <w:b/>
          <w:lang w:val="en-NZ" w:eastAsia="ko-KR"/>
        </w:rPr>
        <w:t>Organisations</w:t>
      </w:r>
    </w:p>
    <w:p w14:paraId="3D598598" w14:textId="22D79741" w:rsidR="00107087" w:rsidRPr="00441526" w:rsidRDefault="00107087" w:rsidP="00107087">
      <w:pPr>
        <w:spacing w:after="120"/>
        <w:jc w:val="both"/>
        <w:rPr>
          <w:b/>
          <w:lang w:val="en-NZ" w:eastAsia="ko-KR"/>
        </w:rPr>
      </w:pPr>
      <w:r>
        <w:rPr>
          <w:b/>
          <w:lang w:val="en-NZ" w:eastAsia="ko-KR"/>
        </w:rPr>
        <w:t>7</w:t>
      </w:r>
      <w:r w:rsidRPr="00441526">
        <w:rPr>
          <w:b/>
          <w:lang w:val="en-NZ" w:eastAsia="ko-KR"/>
        </w:rPr>
        <w:t>.</w:t>
      </w:r>
      <w:r>
        <w:rPr>
          <w:b/>
          <w:lang w:val="en-NZ" w:eastAsia="ko-KR"/>
        </w:rPr>
        <w:t>2.</w:t>
      </w:r>
      <w:r>
        <w:rPr>
          <w:b/>
          <w:lang w:val="id-ID" w:eastAsia="ko-KR"/>
        </w:rPr>
        <w:t>1</w:t>
      </w:r>
      <w:r w:rsidRPr="00441526">
        <w:rPr>
          <w:b/>
          <w:lang w:val="en-NZ" w:eastAsia="ko-KR"/>
        </w:rPr>
        <w:t xml:space="preserve"> </w:t>
      </w:r>
      <w:r w:rsidRPr="00441526">
        <w:rPr>
          <w:b/>
          <w:lang w:val="en-NZ" w:eastAsia="ko-KR"/>
        </w:rPr>
        <w:tab/>
      </w:r>
      <w:r>
        <w:rPr>
          <w:b/>
          <w:lang w:val="id-ID" w:eastAsia="ko-KR"/>
        </w:rPr>
        <w:t>WMO</w:t>
      </w:r>
      <w:r w:rsidRPr="00441526">
        <w:rPr>
          <w:b/>
          <w:lang w:val="en-NZ" w:eastAsia="ko-KR"/>
        </w:rPr>
        <w:t xml:space="preserve"> </w:t>
      </w:r>
      <w:r w:rsidRPr="00441526">
        <w:t xml:space="preserve">- </w:t>
      </w:r>
      <w:r w:rsidRPr="00441526">
        <w:rPr>
          <w:b/>
          <w:lang w:val="en-NZ" w:eastAsia="ko-KR"/>
        </w:rPr>
        <w:t xml:space="preserve">Document </w:t>
      </w:r>
      <w:hyperlink r:id="rId51" w:tgtFrame="_blank" w:history="1">
        <w:r w:rsidRPr="00107087">
          <w:rPr>
            <w:rStyle w:val="Hyperlink"/>
            <w:b/>
          </w:rPr>
          <w:t>APG19-4/INF-02</w:t>
        </w:r>
      </w:hyperlink>
    </w:p>
    <w:p w14:paraId="3F99BF62" w14:textId="77777777" w:rsidR="00107087" w:rsidRPr="00107087" w:rsidRDefault="00107087" w:rsidP="00E0573D">
      <w:pPr>
        <w:spacing w:after="120"/>
        <w:jc w:val="both"/>
        <w:rPr>
          <w:rFonts w:eastAsiaTheme="minorEastAsia"/>
          <w:lang w:val="en-GB"/>
        </w:rPr>
      </w:pPr>
      <w:r w:rsidRPr="00107087">
        <w:rPr>
          <w:rFonts w:eastAsiaTheme="minorEastAsia"/>
          <w:lang w:val="en-GB"/>
        </w:rPr>
        <w:t xml:space="preserve">Resolution </w:t>
      </w:r>
      <w:r w:rsidRPr="00107087">
        <w:rPr>
          <w:rFonts w:eastAsiaTheme="minorEastAsia"/>
          <w:b/>
          <w:bCs/>
          <w:lang w:val="en-GB"/>
        </w:rPr>
        <w:t>958</w:t>
      </w:r>
      <w:r w:rsidRPr="00107087">
        <w:rPr>
          <w:rFonts w:eastAsiaTheme="minorEastAsia"/>
          <w:lang w:val="en-GB"/>
        </w:rPr>
        <w:t xml:space="preserve">, specifically Issue 3) in the Annex to Resolution </w:t>
      </w:r>
      <w:r w:rsidRPr="00107087">
        <w:rPr>
          <w:rFonts w:eastAsiaTheme="minorEastAsia"/>
          <w:b/>
          <w:bCs/>
          <w:lang w:val="en-GB"/>
        </w:rPr>
        <w:t>958</w:t>
      </w:r>
      <w:r w:rsidRPr="00107087">
        <w:rPr>
          <w:rFonts w:eastAsiaTheme="minorEastAsia"/>
          <w:lang w:val="en-GB"/>
        </w:rPr>
        <w:t xml:space="preserve"> states: “Studies on the technical and operational aspects of radio networks and systems, as well as spectrum needed, including possible </w:t>
      </w:r>
      <w:r w:rsidRPr="00E0573D">
        <w:rPr>
          <w:lang w:val="id-ID"/>
        </w:rPr>
        <w:t>harmonized</w:t>
      </w:r>
      <w:r w:rsidRPr="00107087">
        <w:rPr>
          <w:rFonts w:eastAsiaTheme="minorEastAsia"/>
          <w:lang w:val="en-GB"/>
        </w:rPr>
        <w:t xml:space="preserve"> use of spectrum to support the implementation of narrowband and broadband machine-type communication infrastructures, in order to develop Recommendations, Reports and/or Handbooks, as appropriate, and to take appropriate actions within ITU-R scope of work.”.</w:t>
      </w:r>
    </w:p>
    <w:p w14:paraId="7CE3C015" w14:textId="77777777" w:rsidR="00107087" w:rsidRPr="00107087" w:rsidRDefault="00107087" w:rsidP="00107087">
      <w:pPr>
        <w:suppressAutoHyphens/>
        <w:spacing w:after="200" w:line="276" w:lineRule="auto"/>
        <w:jc w:val="both"/>
        <w:rPr>
          <w:rFonts w:eastAsiaTheme="minorEastAsia"/>
          <w:lang w:val="en-GB"/>
        </w:rPr>
      </w:pPr>
      <w:r w:rsidRPr="00107087">
        <w:rPr>
          <w:rFonts w:eastAsiaTheme="minorEastAsia"/>
          <w:lang w:val="en-GB"/>
        </w:rPr>
        <w:t>WMO will monitor this AI to ensure that the results of these studies will not adversely impact any service used for meteorological operations.</w:t>
      </w:r>
    </w:p>
    <w:p w14:paraId="28DF6B26" w14:textId="3905DD79" w:rsidR="00107087" w:rsidRPr="00441526" w:rsidRDefault="00107087" w:rsidP="00107087">
      <w:pPr>
        <w:spacing w:after="120"/>
        <w:jc w:val="both"/>
        <w:rPr>
          <w:b/>
          <w:lang w:val="en-NZ" w:eastAsia="ko-KR"/>
        </w:rPr>
      </w:pPr>
      <w:r>
        <w:rPr>
          <w:b/>
          <w:lang w:val="en-NZ" w:eastAsia="ko-KR"/>
        </w:rPr>
        <w:t>7</w:t>
      </w:r>
      <w:r w:rsidRPr="00441526">
        <w:rPr>
          <w:b/>
          <w:lang w:val="en-NZ" w:eastAsia="ko-KR"/>
        </w:rPr>
        <w:t>.2.</w:t>
      </w:r>
      <w:r>
        <w:rPr>
          <w:b/>
          <w:lang w:val="id-ID" w:eastAsia="ko-KR"/>
        </w:rPr>
        <w:t>2</w:t>
      </w:r>
      <w:r w:rsidRPr="00441526">
        <w:rPr>
          <w:b/>
          <w:lang w:val="en-NZ" w:eastAsia="ko-KR"/>
        </w:rPr>
        <w:t xml:space="preserve"> </w:t>
      </w:r>
      <w:r w:rsidRPr="00441526">
        <w:rPr>
          <w:b/>
          <w:lang w:val="en-NZ" w:eastAsia="ko-KR"/>
        </w:rPr>
        <w:tab/>
        <w:t xml:space="preserve">IARU </w:t>
      </w:r>
      <w:r w:rsidRPr="00441526">
        <w:t xml:space="preserve">- </w:t>
      </w:r>
      <w:r w:rsidRPr="00441526">
        <w:rPr>
          <w:b/>
          <w:lang w:val="en-NZ" w:eastAsia="ko-KR"/>
        </w:rPr>
        <w:t xml:space="preserve">Document </w:t>
      </w:r>
      <w:hyperlink r:id="rId52" w:tgtFrame="_blank" w:history="1">
        <w:r w:rsidRPr="0027354C">
          <w:rPr>
            <w:rStyle w:val="Hyperlink"/>
            <w:b/>
            <w:lang w:eastAsia="ko-KR"/>
          </w:rPr>
          <w:t>APG19-4/INF-03</w:t>
        </w:r>
      </w:hyperlink>
    </w:p>
    <w:p w14:paraId="1E1E65C7" w14:textId="77777777" w:rsidR="00107087" w:rsidRPr="0088765E" w:rsidRDefault="00107087" w:rsidP="00107087">
      <w:pPr>
        <w:suppressAutoHyphens/>
        <w:spacing w:after="200" w:line="276" w:lineRule="auto"/>
        <w:jc w:val="both"/>
        <w:rPr>
          <w:rFonts w:eastAsia="Times New Roman"/>
          <w:kern w:val="2"/>
          <w:lang w:eastAsia="ar-SA"/>
        </w:rPr>
      </w:pPr>
      <w:r w:rsidRPr="0088765E">
        <w:rPr>
          <w:rFonts w:eastAsiaTheme="minorEastAsia"/>
          <w:lang w:val="en-GB"/>
        </w:rPr>
        <w:t xml:space="preserve">The IARU supports the </w:t>
      </w:r>
      <w:r w:rsidRPr="0088765E">
        <w:rPr>
          <w:rFonts w:eastAsia="Times New Roman"/>
          <w:kern w:val="2"/>
          <w:lang w:eastAsia="ar-SA"/>
        </w:rPr>
        <w:t xml:space="preserve">conclusions on this agenda item mentioned in </w:t>
      </w:r>
      <w:r w:rsidRPr="0088765E">
        <w:rPr>
          <w:rFonts w:eastAsiaTheme="minorEastAsia"/>
          <w:lang w:eastAsia="ja-JP"/>
        </w:rPr>
        <w:t xml:space="preserve">Chapter 5 of Draft CPM </w:t>
      </w:r>
      <w:hyperlink r:id="rId53" w:history="1">
        <w:r w:rsidRPr="0088765E">
          <w:rPr>
            <w:rStyle w:val="Hyperlink"/>
            <w:rFonts w:eastAsiaTheme="minorEastAsia"/>
            <w:lang w:eastAsia="ja-JP"/>
          </w:rPr>
          <w:t>Report</w:t>
        </w:r>
      </w:hyperlink>
      <w:r w:rsidRPr="0088765E">
        <w:rPr>
          <w:rFonts w:eastAsiaTheme="minorEastAsia"/>
          <w:lang w:eastAsia="ja-JP"/>
        </w:rPr>
        <w:t xml:space="preserve"> for WRC-19.</w:t>
      </w:r>
    </w:p>
    <w:p w14:paraId="2C98466F" w14:textId="7582E2A3" w:rsidR="009F547A" w:rsidRPr="00441526" w:rsidRDefault="0039144B" w:rsidP="009F547A">
      <w:pPr>
        <w:spacing w:after="120"/>
        <w:jc w:val="both"/>
        <w:rPr>
          <w:b/>
          <w:lang w:val="en-NZ" w:eastAsia="ko-KR"/>
        </w:rPr>
      </w:pPr>
      <w:r>
        <w:rPr>
          <w:b/>
          <w:lang w:val="en-NZ" w:eastAsia="ko-KR"/>
        </w:rPr>
        <w:t>7</w:t>
      </w:r>
      <w:r w:rsidR="009F547A" w:rsidRPr="00441526">
        <w:rPr>
          <w:b/>
          <w:lang w:val="en-NZ" w:eastAsia="ko-KR"/>
        </w:rPr>
        <w:t>.2.</w:t>
      </w:r>
      <w:r w:rsidR="00107087">
        <w:rPr>
          <w:b/>
          <w:lang w:val="id-ID" w:eastAsia="ko-KR"/>
        </w:rPr>
        <w:t>3</w:t>
      </w:r>
      <w:r w:rsidR="009F547A" w:rsidRPr="00441526">
        <w:rPr>
          <w:b/>
          <w:lang w:val="en-NZ" w:eastAsia="ko-KR"/>
        </w:rPr>
        <w:t xml:space="preserve"> </w:t>
      </w:r>
      <w:r w:rsidR="009F547A" w:rsidRPr="00441526">
        <w:rPr>
          <w:b/>
          <w:lang w:val="en-NZ" w:eastAsia="ko-KR"/>
        </w:rPr>
        <w:tab/>
        <w:t>ICAO</w:t>
      </w:r>
      <w:r w:rsidR="009D46CE" w:rsidRPr="00441526">
        <w:rPr>
          <w:b/>
          <w:lang w:val="en-NZ" w:eastAsia="ko-KR"/>
        </w:rPr>
        <w:t xml:space="preserve"> </w:t>
      </w:r>
    </w:p>
    <w:p w14:paraId="2B3202EF" w14:textId="38A745B8" w:rsidR="00B76F6F" w:rsidRPr="00441526" w:rsidRDefault="00B76F6F" w:rsidP="00B76F6F">
      <w:pPr>
        <w:numPr>
          <w:ilvl w:val="0"/>
          <w:numId w:val="18"/>
        </w:numPr>
        <w:ind w:leftChars="145" w:left="708"/>
        <w:rPr>
          <w:lang w:val="en-NZ"/>
        </w:rPr>
      </w:pPr>
      <w:r>
        <w:rPr>
          <w:lang w:val="id-ID"/>
        </w:rPr>
        <w:t>None      (</w:t>
      </w:r>
      <w:r w:rsidRPr="00B03BD9">
        <w:rPr>
          <w:lang w:val="id-ID"/>
        </w:rPr>
        <w:t>https://www.icao.int/Pages/default.aspx</w:t>
      </w:r>
      <w:r>
        <w:rPr>
          <w:lang w:val="id-ID"/>
        </w:rPr>
        <w:t>)</w:t>
      </w:r>
    </w:p>
    <w:p w14:paraId="4F8EA80B" w14:textId="77777777" w:rsidR="003F307E" w:rsidRPr="00441526" w:rsidRDefault="003F307E" w:rsidP="00B64A60">
      <w:pPr>
        <w:rPr>
          <w:lang w:val="en-NZ"/>
        </w:rPr>
      </w:pPr>
    </w:p>
    <w:p w14:paraId="2E0E6770" w14:textId="77777777" w:rsidR="00B64A60" w:rsidRPr="00710333" w:rsidRDefault="00B64A60" w:rsidP="00B64A60">
      <w:pPr>
        <w:jc w:val="center"/>
        <w:rPr>
          <w:snapToGrid w:val="0"/>
          <w:lang w:val="en-NZ"/>
        </w:rPr>
      </w:pPr>
      <w:r w:rsidRPr="00441526">
        <w:rPr>
          <w:lang w:val="en-NZ"/>
        </w:rPr>
        <w:t>____________</w:t>
      </w:r>
    </w:p>
    <w:p w14:paraId="2E0E6771" w14:textId="77777777" w:rsidR="00930E64" w:rsidRPr="007673CA" w:rsidRDefault="00930E64" w:rsidP="00D13D9D">
      <w:pPr>
        <w:jc w:val="both"/>
        <w:rPr>
          <w:lang w:val="en-NZ"/>
        </w:rPr>
      </w:pPr>
    </w:p>
    <w:sectPr w:rsidR="00930E64" w:rsidRPr="007673CA" w:rsidSect="00693F41">
      <w:headerReference w:type="default" r:id="rId54"/>
      <w:footerReference w:type="even" r:id="rId55"/>
      <w:footerReference w:type="default" r:id="rId56"/>
      <w:footerReference w:type="first" r:id="rId57"/>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5F725" w14:textId="77777777" w:rsidR="0006349B" w:rsidRDefault="0006349B">
      <w:r>
        <w:separator/>
      </w:r>
    </w:p>
  </w:endnote>
  <w:endnote w:type="continuationSeparator" w:id="0">
    <w:p w14:paraId="7EFCA154" w14:textId="77777777" w:rsidR="0006349B" w:rsidRDefault="0006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A" w14:textId="77777777" w:rsidR="000F3BC8" w:rsidRDefault="000F3BC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0F3BC8" w:rsidRDefault="000F3BC8"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C" w14:textId="0B118B72" w:rsidR="000F3BC8" w:rsidRDefault="008741AF" w:rsidP="008741AF">
    <w:pPr>
      <w:pStyle w:val="Footer"/>
      <w:tabs>
        <w:tab w:val="clear" w:pos="8640"/>
        <w:tab w:val="right" w:pos="8931"/>
      </w:tabs>
      <w:ind w:right="360"/>
      <w:jc w:val="both"/>
    </w:pPr>
    <w:r>
      <w:rPr>
        <w:rStyle w:val="PageNumber"/>
        <w:lang w:val="id-ID"/>
      </w:rPr>
      <w:t>A</w:t>
    </w:r>
    <w:r w:rsidR="008E7A62">
      <w:rPr>
        <w:rStyle w:val="PageNumber"/>
        <w:lang w:val="id-ID"/>
      </w:rPr>
      <w:t>PG19-4/OUT</w:t>
    </w:r>
    <w:r>
      <w:rPr>
        <w:rStyle w:val="PageNumber"/>
        <w:lang w:val="id-ID"/>
      </w:rPr>
      <w:t>-</w:t>
    </w:r>
    <w:r w:rsidR="00AA7CE2">
      <w:rPr>
        <w:rStyle w:val="PageNumber"/>
      </w:rPr>
      <w:t>23</w:t>
    </w:r>
    <w:r>
      <w:rPr>
        <w:rStyle w:val="PageNumber"/>
        <w:lang w:val="id-ID"/>
      </w:rPr>
      <w:tab/>
    </w:r>
    <w:r>
      <w:rPr>
        <w:rStyle w:val="PageNumber"/>
        <w:lang w:val="id-ID"/>
      </w:rPr>
      <w:tab/>
    </w:r>
    <w:r w:rsidR="000F3BC8" w:rsidRPr="002C7EA9">
      <w:rPr>
        <w:rStyle w:val="PageNumber"/>
      </w:rPr>
      <w:t xml:space="preserve">Page </w:t>
    </w:r>
    <w:r w:rsidR="000F3BC8" w:rsidRPr="002C7EA9">
      <w:rPr>
        <w:rStyle w:val="PageNumber"/>
      </w:rPr>
      <w:fldChar w:fldCharType="begin"/>
    </w:r>
    <w:r w:rsidR="000F3BC8" w:rsidRPr="002C7EA9">
      <w:rPr>
        <w:rStyle w:val="PageNumber"/>
      </w:rPr>
      <w:instrText xml:space="preserve"> PAGE </w:instrText>
    </w:r>
    <w:r w:rsidR="000F3BC8" w:rsidRPr="002C7EA9">
      <w:rPr>
        <w:rStyle w:val="PageNumber"/>
      </w:rPr>
      <w:fldChar w:fldCharType="separate"/>
    </w:r>
    <w:r w:rsidR="00F0083E">
      <w:rPr>
        <w:rStyle w:val="PageNumber"/>
        <w:noProof/>
      </w:rPr>
      <w:t>6</w:t>
    </w:r>
    <w:r w:rsidR="000F3BC8" w:rsidRPr="002C7EA9">
      <w:rPr>
        <w:rStyle w:val="PageNumber"/>
      </w:rPr>
      <w:fldChar w:fldCharType="end"/>
    </w:r>
    <w:r w:rsidR="000F3BC8" w:rsidRPr="002C7EA9">
      <w:rPr>
        <w:rStyle w:val="PageNumber"/>
      </w:rPr>
      <w:t xml:space="preserve"> of </w:t>
    </w:r>
    <w:r w:rsidR="000F3BC8" w:rsidRPr="002C7EA9">
      <w:rPr>
        <w:rStyle w:val="PageNumber"/>
      </w:rPr>
      <w:fldChar w:fldCharType="begin"/>
    </w:r>
    <w:r w:rsidR="000F3BC8" w:rsidRPr="002C7EA9">
      <w:rPr>
        <w:rStyle w:val="PageNumber"/>
      </w:rPr>
      <w:instrText xml:space="preserve"> NUMPAGES </w:instrText>
    </w:r>
    <w:r w:rsidR="000F3BC8" w:rsidRPr="002C7EA9">
      <w:rPr>
        <w:rStyle w:val="PageNumber"/>
      </w:rPr>
      <w:fldChar w:fldCharType="separate"/>
    </w:r>
    <w:r w:rsidR="00F0083E">
      <w:rPr>
        <w:rStyle w:val="PageNumber"/>
        <w:noProof/>
      </w:rPr>
      <w:t>6</w:t>
    </w:r>
    <w:r w:rsidR="000F3BC8"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18" w:type="dxa"/>
      <w:jc w:val="center"/>
      <w:tblLayout w:type="fixed"/>
      <w:tblCellMar>
        <w:left w:w="57" w:type="dxa"/>
        <w:right w:w="57" w:type="dxa"/>
      </w:tblCellMar>
      <w:tblLook w:val="0000" w:firstRow="0" w:lastRow="0" w:firstColumn="0" w:lastColumn="0" w:noHBand="0" w:noVBand="0"/>
    </w:tblPr>
    <w:tblGrid>
      <w:gridCol w:w="1012"/>
      <w:gridCol w:w="4394"/>
      <w:gridCol w:w="3912"/>
    </w:tblGrid>
    <w:tr w:rsidR="000F3BC8" w14:paraId="2E0E6780" w14:textId="77777777" w:rsidTr="008E7A62">
      <w:trPr>
        <w:cantSplit/>
        <w:trHeight w:val="204"/>
        <w:jc w:val="center"/>
      </w:trPr>
      <w:tc>
        <w:tcPr>
          <w:tcW w:w="1012" w:type="dxa"/>
          <w:tcBorders>
            <w:top w:val="single" w:sz="12" w:space="0" w:color="auto"/>
          </w:tcBorders>
        </w:tcPr>
        <w:p w14:paraId="2E0E677D" w14:textId="217968ED" w:rsidR="000F3BC8" w:rsidRPr="003D3A35" w:rsidRDefault="003D3A35" w:rsidP="00762576">
          <w:pPr>
            <w:rPr>
              <w:b/>
              <w:bCs/>
              <w:lang w:val="id-ID"/>
            </w:rPr>
          </w:pPr>
          <w:r>
            <w:rPr>
              <w:b/>
              <w:bCs/>
              <w:lang w:val="id-ID"/>
            </w:rPr>
            <w:t xml:space="preserve">Contact: </w:t>
          </w:r>
        </w:p>
      </w:tc>
      <w:tc>
        <w:tcPr>
          <w:tcW w:w="4394" w:type="dxa"/>
          <w:tcBorders>
            <w:top w:val="single" w:sz="12" w:space="0" w:color="auto"/>
          </w:tcBorders>
        </w:tcPr>
        <w:p w14:paraId="6F8507AC" w14:textId="77777777" w:rsidR="008E7A62" w:rsidRDefault="00693F41" w:rsidP="008E7A62">
          <w:pPr>
            <w:rPr>
              <w:rFonts w:eastAsia="Batang"/>
            </w:rPr>
          </w:pPr>
          <w:r>
            <w:rPr>
              <w:rFonts w:eastAsia="Batang"/>
            </w:rPr>
            <w:t xml:space="preserve">DR. </w:t>
          </w:r>
          <w:r w:rsidR="00F0083E">
            <w:rPr>
              <w:rFonts w:eastAsia="Batang"/>
            </w:rPr>
            <w:t>JAEWOO LIM</w:t>
          </w:r>
        </w:p>
        <w:p w14:paraId="2E0E677E" w14:textId="5D8436DC" w:rsidR="00F0083E" w:rsidRPr="00693F41" w:rsidRDefault="00F0083E" w:rsidP="008E7A62">
          <w:pPr>
            <w:rPr>
              <w:rFonts w:eastAsia="Batang"/>
            </w:rPr>
          </w:pPr>
          <w:r>
            <w:rPr>
              <w:rFonts w:eastAsia="Batang"/>
            </w:rPr>
            <w:t>Chairman, WP2</w:t>
          </w:r>
        </w:p>
      </w:tc>
      <w:tc>
        <w:tcPr>
          <w:tcW w:w="3912" w:type="dxa"/>
          <w:tcBorders>
            <w:top w:val="single" w:sz="12" w:space="0" w:color="auto"/>
          </w:tcBorders>
        </w:tcPr>
        <w:p w14:paraId="2E0E677F" w14:textId="699A8D81" w:rsidR="000F3BC8" w:rsidRPr="00F0083E" w:rsidRDefault="00F0083E" w:rsidP="003D3A35">
          <w:pPr>
            <w:rPr>
              <w:lang w:eastAsia="ja-JP"/>
            </w:rPr>
          </w:pPr>
          <w:r>
            <w:rPr>
              <w:lang w:eastAsia="ja-JP"/>
            </w:rPr>
            <w:t xml:space="preserve">Email: </w:t>
          </w:r>
          <w:hyperlink r:id="rId1" w:history="1">
            <w:r w:rsidRPr="00492A22">
              <w:rPr>
                <w:rStyle w:val="Hyperlink"/>
                <w:lang w:eastAsia="ja-JP"/>
              </w:rPr>
              <w:t>jwlim@korea.kr</w:t>
            </w:r>
          </w:hyperlink>
          <w:r>
            <w:rPr>
              <w:lang w:eastAsia="ja-JP"/>
            </w:rPr>
            <w:t xml:space="preserve"> </w:t>
          </w:r>
        </w:p>
      </w:tc>
    </w:tr>
  </w:tbl>
  <w:p w14:paraId="2E0E6781" w14:textId="77777777" w:rsidR="000F3BC8" w:rsidRDefault="000F3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706BE" w14:textId="77777777" w:rsidR="0006349B" w:rsidRDefault="0006349B">
      <w:r>
        <w:separator/>
      </w:r>
    </w:p>
  </w:footnote>
  <w:footnote w:type="continuationSeparator" w:id="0">
    <w:p w14:paraId="67453D42" w14:textId="77777777" w:rsidR="0006349B" w:rsidRDefault="00063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8" w14:textId="19832A04" w:rsidR="000F3BC8" w:rsidRDefault="000F3BC8" w:rsidP="00C15633">
    <w:pPr>
      <w:pStyle w:val="Header"/>
      <w:tabs>
        <w:tab w:val="center" w:pos="4763"/>
        <w:tab w:val="left" w:pos="5820"/>
      </w:tabs>
      <w:rPr>
        <w:lang w:eastAsia="ko-KR"/>
      </w:rPr>
    </w:pPr>
    <w:r>
      <w:rPr>
        <w:lang w:eastAsia="ko-KR"/>
      </w:rPr>
      <w:tab/>
    </w:r>
  </w:p>
  <w:p w14:paraId="2E0E6779" w14:textId="77777777" w:rsidR="000F3BC8" w:rsidRDefault="000F3BC8"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9005A4"/>
    <w:multiLevelType w:val="multilevel"/>
    <w:tmpl w:val="2E9005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38B0CE9"/>
    <w:multiLevelType w:val="hybridMultilevel"/>
    <w:tmpl w:val="D86422A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8217804"/>
    <w:multiLevelType w:val="hybridMultilevel"/>
    <w:tmpl w:val="2FD0B1B0"/>
    <w:lvl w:ilvl="0" w:tplc="7B2A6C4E">
      <w:start w:val="21"/>
      <w:numFmt w:val="bullet"/>
      <w:lvlText w:val="−"/>
      <w:lvlJc w:val="left"/>
      <w:pPr>
        <w:ind w:left="420" w:hanging="420"/>
      </w:pPr>
      <w:rPr>
        <w:rFonts w:ascii="Times New Roman" w:eastAsia="Times New Roman" w:hAnsi="Times New Roman" w:cs="Times New Roman" w:hint="default"/>
      </w:rPr>
    </w:lvl>
    <w:lvl w:ilvl="1" w:tplc="2AD81D4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5" w15:restartNumberingAfterBreak="0">
    <w:nsid w:val="40EA194B"/>
    <w:multiLevelType w:val="hybridMultilevel"/>
    <w:tmpl w:val="5344E61A"/>
    <w:lvl w:ilvl="0" w:tplc="D11234AE">
      <w:numFmt w:val="bullet"/>
      <w:lvlText w:val="•"/>
      <w:lvlJc w:val="left"/>
      <w:pPr>
        <w:ind w:left="720" w:hanging="360"/>
      </w:pPr>
      <w:rPr>
        <w:rFonts w:ascii="Times New Roman" w:eastAsia="BatangChe"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510F7FEF"/>
    <w:multiLevelType w:val="hybridMultilevel"/>
    <w:tmpl w:val="88BC340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7"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110C2A"/>
    <w:multiLevelType w:val="hybridMultilevel"/>
    <w:tmpl w:val="C9567C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3" w15:restartNumberingAfterBreak="0">
    <w:nsid w:val="73A37D63"/>
    <w:multiLevelType w:val="hybridMultilevel"/>
    <w:tmpl w:val="11A2F15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6"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1"/>
  </w:num>
  <w:num w:numId="2">
    <w:abstractNumId w:val="5"/>
  </w:num>
  <w:num w:numId="3">
    <w:abstractNumId w:val="4"/>
  </w:num>
  <w:num w:numId="4">
    <w:abstractNumId w:val="21"/>
  </w:num>
  <w:num w:numId="5">
    <w:abstractNumId w:val="9"/>
  </w:num>
  <w:num w:numId="6">
    <w:abstractNumId w:val="12"/>
  </w:num>
  <w:num w:numId="7">
    <w:abstractNumId w:val="2"/>
  </w:num>
  <w:num w:numId="8">
    <w:abstractNumId w:val="1"/>
  </w:num>
  <w:num w:numId="9">
    <w:abstractNumId w:val="25"/>
  </w:num>
  <w:num w:numId="10">
    <w:abstractNumId w:val="19"/>
  </w:num>
  <w:num w:numId="1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0"/>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6"/>
  </w:num>
  <w:num w:numId="17">
    <w:abstractNumId w:val="18"/>
  </w:num>
  <w:num w:numId="18">
    <w:abstractNumId w:val="14"/>
  </w:num>
  <w:num w:numId="19">
    <w:abstractNumId w:val="24"/>
  </w:num>
  <w:num w:numId="20">
    <w:abstractNumId w:val="8"/>
  </w:num>
  <w:num w:numId="21">
    <w:abstractNumId w:val="22"/>
  </w:num>
  <w:num w:numId="22">
    <w:abstractNumId w:val="27"/>
  </w:num>
  <w:num w:numId="23">
    <w:abstractNumId w:val="10"/>
  </w:num>
  <w:num w:numId="24">
    <w:abstractNumId w:val="13"/>
  </w:num>
  <w:num w:numId="25">
    <w:abstractNumId w:val="7"/>
  </w:num>
  <w:num w:numId="26">
    <w:abstractNumId w:val="16"/>
  </w:num>
  <w:num w:numId="27">
    <w:abstractNumId w:val="23"/>
  </w:num>
  <w:num w:numId="28">
    <w:abstractNumId w:val="1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3B10"/>
    <w:rsid w:val="00010C8E"/>
    <w:rsid w:val="00014320"/>
    <w:rsid w:val="0003595B"/>
    <w:rsid w:val="00036517"/>
    <w:rsid w:val="00036CC9"/>
    <w:rsid w:val="00040149"/>
    <w:rsid w:val="00062A3C"/>
    <w:rsid w:val="0006349B"/>
    <w:rsid w:val="00070642"/>
    <w:rsid w:val="000713CF"/>
    <w:rsid w:val="00075C14"/>
    <w:rsid w:val="000762CB"/>
    <w:rsid w:val="000822B5"/>
    <w:rsid w:val="00094B87"/>
    <w:rsid w:val="000A012B"/>
    <w:rsid w:val="000A5418"/>
    <w:rsid w:val="000A541C"/>
    <w:rsid w:val="000F345F"/>
    <w:rsid w:val="000F3BC8"/>
    <w:rsid w:val="000F517C"/>
    <w:rsid w:val="000F5540"/>
    <w:rsid w:val="00105F1A"/>
    <w:rsid w:val="00107087"/>
    <w:rsid w:val="00114A68"/>
    <w:rsid w:val="00125FBD"/>
    <w:rsid w:val="00137DB5"/>
    <w:rsid w:val="001409B2"/>
    <w:rsid w:val="00142BCE"/>
    <w:rsid w:val="001525CD"/>
    <w:rsid w:val="00152636"/>
    <w:rsid w:val="00153931"/>
    <w:rsid w:val="001539DD"/>
    <w:rsid w:val="00156782"/>
    <w:rsid w:val="00157660"/>
    <w:rsid w:val="001642D5"/>
    <w:rsid w:val="00165F01"/>
    <w:rsid w:val="00166341"/>
    <w:rsid w:val="0017002F"/>
    <w:rsid w:val="001731F4"/>
    <w:rsid w:val="00180832"/>
    <w:rsid w:val="00182AAD"/>
    <w:rsid w:val="001916F2"/>
    <w:rsid w:val="00191BE4"/>
    <w:rsid w:val="001930A7"/>
    <w:rsid w:val="00196568"/>
    <w:rsid w:val="00197C18"/>
    <w:rsid w:val="001A2F16"/>
    <w:rsid w:val="001B1804"/>
    <w:rsid w:val="001B18C2"/>
    <w:rsid w:val="001B2FC3"/>
    <w:rsid w:val="001B78FD"/>
    <w:rsid w:val="001C443F"/>
    <w:rsid w:val="001C61A5"/>
    <w:rsid w:val="001C6707"/>
    <w:rsid w:val="001C6F13"/>
    <w:rsid w:val="001D5D7E"/>
    <w:rsid w:val="001E615C"/>
    <w:rsid w:val="001F5947"/>
    <w:rsid w:val="001F6446"/>
    <w:rsid w:val="00202410"/>
    <w:rsid w:val="00214A0C"/>
    <w:rsid w:val="0021588B"/>
    <w:rsid w:val="002161B6"/>
    <w:rsid w:val="002216AC"/>
    <w:rsid w:val="002414FA"/>
    <w:rsid w:val="002475E2"/>
    <w:rsid w:val="002506D2"/>
    <w:rsid w:val="00250BE1"/>
    <w:rsid w:val="00250DE2"/>
    <w:rsid w:val="002543FA"/>
    <w:rsid w:val="00254A1B"/>
    <w:rsid w:val="0026064A"/>
    <w:rsid w:val="00264566"/>
    <w:rsid w:val="0027354C"/>
    <w:rsid w:val="0028454D"/>
    <w:rsid w:val="0028726C"/>
    <w:rsid w:val="00291C9E"/>
    <w:rsid w:val="002926D4"/>
    <w:rsid w:val="00295484"/>
    <w:rsid w:val="0029734E"/>
    <w:rsid w:val="002A3CF5"/>
    <w:rsid w:val="002B06A3"/>
    <w:rsid w:val="002B435C"/>
    <w:rsid w:val="002B447F"/>
    <w:rsid w:val="002C07DA"/>
    <w:rsid w:val="002C2A49"/>
    <w:rsid w:val="002C7EA9"/>
    <w:rsid w:val="002F4719"/>
    <w:rsid w:val="002F575D"/>
    <w:rsid w:val="00301E5B"/>
    <w:rsid w:val="003113D7"/>
    <w:rsid w:val="00311E8A"/>
    <w:rsid w:val="00323A4C"/>
    <w:rsid w:val="00331A35"/>
    <w:rsid w:val="00331C22"/>
    <w:rsid w:val="003374CC"/>
    <w:rsid w:val="00342651"/>
    <w:rsid w:val="00342F20"/>
    <w:rsid w:val="00360328"/>
    <w:rsid w:val="00360377"/>
    <w:rsid w:val="00364B55"/>
    <w:rsid w:val="00366548"/>
    <w:rsid w:val="00367AD9"/>
    <w:rsid w:val="0038005B"/>
    <w:rsid w:val="003809C7"/>
    <w:rsid w:val="0038236C"/>
    <w:rsid w:val="0038286F"/>
    <w:rsid w:val="0039144B"/>
    <w:rsid w:val="00393DCD"/>
    <w:rsid w:val="00395B40"/>
    <w:rsid w:val="003A15C7"/>
    <w:rsid w:val="003A2006"/>
    <w:rsid w:val="003A6568"/>
    <w:rsid w:val="003A7487"/>
    <w:rsid w:val="003B4FD1"/>
    <w:rsid w:val="003B6263"/>
    <w:rsid w:val="003B6866"/>
    <w:rsid w:val="003C29E6"/>
    <w:rsid w:val="003C64A7"/>
    <w:rsid w:val="003D1128"/>
    <w:rsid w:val="003D1671"/>
    <w:rsid w:val="003D3A35"/>
    <w:rsid w:val="003D3FDA"/>
    <w:rsid w:val="003D6D00"/>
    <w:rsid w:val="003D7251"/>
    <w:rsid w:val="003E166F"/>
    <w:rsid w:val="003F307E"/>
    <w:rsid w:val="003F415A"/>
    <w:rsid w:val="004001E5"/>
    <w:rsid w:val="00400ECA"/>
    <w:rsid w:val="00402CBF"/>
    <w:rsid w:val="004046CB"/>
    <w:rsid w:val="00410646"/>
    <w:rsid w:val="0041313C"/>
    <w:rsid w:val="00420822"/>
    <w:rsid w:val="00420C74"/>
    <w:rsid w:val="00441526"/>
    <w:rsid w:val="0044186E"/>
    <w:rsid w:val="004465AA"/>
    <w:rsid w:val="00446A5E"/>
    <w:rsid w:val="0045458F"/>
    <w:rsid w:val="004633B4"/>
    <w:rsid w:val="00463D8C"/>
    <w:rsid w:val="00490D70"/>
    <w:rsid w:val="00495CED"/>
    <w:rsid w:val="004A2F96"/>
    <w:rsid w:val="004B3553"/>
    <w:rsid w:val="004B3F4B"/>
    <w:rsid w:val="004E1FCA"/>
    <w:rsid w:val="004E47D6"/>
    <w:rsid w:val="004E5BEC"/>
    <w:rsid w:val="004E6F1B"/>
    <w:rsid w:val="005014B1"/>
    <w:rsid w:val="00503189"/>
    <w:rsid w:val="00510665"/>
    <w:rsid w:val="005145A6"/>
    <w:rsid w:val="005215BF"/>
    <w:rsid w:val="00523A90"/>
    <w:rsid w:val="005253FC"/>
    <w:rsid w:val="00526D01"/>
    <w:rsid w:val="00530E8C"/>
    <w:rsid w:val="00535A28"/>
    <w:rsid w:val="00535D34"/>
    <w:rsid w:val="00545933"/>
    <w:rsid w:val="00550252"/>
    <w:rsid w:val="00552105"/>
    <w:rsid w:val="005562F2"/>
    <w:rsid w:val="00557544"/>
    <w:rsid w:val="00565BBB"/>
    <w:rsid w:val="00566EDD"/>
    <w:rsid w:val="00571E44"/>
    <w:rsid w:val="00585F3C"/>
    <w:rsid w:val="00586CA0"/>
    <w:rsid w:val="00587875"/>
    <w:rsid w:val="00595F74"/>
    <w:rsid w:val="00597418"/>
    <w:rsid w:val="00597DB4"/>
    <w:rsid w:val="005A22F8"/>
    <w:rsid w:val="005A63EB"/>
    <w:rsid w:val="005B0876"/>
    <w:rsid w:val="005B5A88"/>
    <w:rsid w:val="005C33B6"/>
    <w:rsid w:val="005D1A25"/>
    <w:rsid w:val="005D6202"/>
    <w:rsid w:val="005D69EC"/>
    <w:rsid w:val="005D6E98"/>
    <w:rsid w:val="005D7A1E"/>
    <w:rsid w:val="005D7EB7"/>
    <w:rsid w:val="005F0487"/>
    <w:rsid w:val="005F1281"/>
    <w:rsid w:val="005F2785"/>
    <w:rsid w:val="005F3167"/>
    <w:rsid w:val="0060225D"/>
    <w:rsid w:val="00607E2B"/>
    <w:rsid w:val="006139D6"/>
    <w:rsid w:val="00616D1B"/>
    <w:rsid w:val="00623CE1"/>
    <w:rsid w:val="0062463B"/>
    <w:rsid w:val="00627880"/>
    <w:rsid w:val="0063062B"/>
    <w:rsid w:val="00634A82"/>
    <w:rsid w:val="00634ACD"/>
    <w:rsid w:val="00637351"/>
    <w:rsid w:val="00646166"/>
    <w:rsid w:val="00652644"/>
    <w:rsid w:val="00654896"/>
    <w:rsid w:val="00655D0E"/>
    <w:rsid w:val="00657B80"/>
    <w:rsid w:val="006621F0"/>
    <w:rsid w:val="00662620"/>
    <w:rsid w:val="006647BA"/>
    <w:rsid w:val="00665F3B"/>
    <w:rsid w:val="00667229"/>
    <w:rsid w:val="00670A31"/>
    <w:rsid w:val="00676CB6"/>
    <w:rsid w:val="0068091A"/>
    <w:rsid w:val="00680BB0"/>
    <w:rsid w:val="00682BE5"/>
    <w:rsid w:val="00683846"/>
    <w:rsid w:val="006864B8"/>
    <w:rsid w:val="00690FED"/>
    <w:rsid w:val="006939A5"/>
    <w:rsid w:val="00693F41"/>
    <w:rsid w:val="006B1F85"/>
    <w:rsid w:val="006D5223"/>
    <w:rsid w:val="006E12FC"/>
    <w:rsid w:val="006F0F24"/>
    <w:rsid w:val="006F2B2E"/>
    <w:rsid w:val="006F6A5C"/>
    <w:rsid w:val="00703F6F"/>
    <w:rsid w:val="007052B3"/>
    <w:rsid w:val="00705962"/>
    <w:rsid w:val="00707C21"/>
    <w:rsid w:val="00712451"/>
    <w:rsid w:val="00717DE9"/>
    <w:rsid w:val="00723FEF"/>
    <w:rsid w:val="0072518B"/>
    <w:rsid w:val="00731041"/>
    <w:rsid w:val="007329E4"/>
    <w:rsid w:val="00732F08"/>
    <w:rsid w:val="007342F0"/>
    <w:rsid w:val="0073711F"/>
    <w:rsid w:val="0074190C"/>
    <w:rsid w:val="00747B68"/>
    <w:rsid w:val="0075480D"/>
    <w:rsid w:val="0075493D"/>
    <w:rsid w:val="00762576"/>
    <w:rsid w:val="00766FBD"/>
    <w:rsid w:val="007673CA"/>
    <w:rsid w:val="00782260"/>
    <w:rsid w:val="00787E73"/>
    <w:rsid w:val="00791060"/>
    <w:rsid w:val="007926EA"/>
    <w:rsid w:val="007B5626"/>
    <w:rsid w:val="007B6124"/>
    <w:rsid w:val="007D3C53"/>
    <w:rsid w:val="007D6CB1"/>
    <w:rsid w:val="007E3A0F"/>
    <w:rsid w:val="007F2628"/>
    <w:rsid w:val="007F2FBA"/>
    <w:rsid w:val="00800C3A"/>
    <w:rsid w:val="00802776"/>
    <w:rsid w:val="0080570B"/>
    <w:rsid w:val="00806C55"/>
    <w:rsid w:val="008104CC"/>
    <w:rsid w:val="0081114D"/>
    <w:rsid w:val="008148E1"/>
    <w:rsid w:val="008319BF"/>
    <w:rsid w:val="00831D11"/>
    <w:rsid w:val="008415F0"/>
    <w:rsid w:val="0084167B"/>
    <w:rsid w:val="008433C2"/>
    <w:rsid w:val="00844457"/>
    <w:rsid w:val="008454C8"/>
    <w:rsid w:val="0084673B"/>
    <w:rsid w:val="00847020"/>
    <w:rsid w:val="00851D78"/>
    <w:rsid w:val="00857665"/>
    <w:rsid w:val="008741AF"/>
    <w:rsid w:val="008756F0"/>
    <w:rsid w:val="00893A6F"/>
    <w:rsid w:val="008A016F"/>
    <w:rsid w:val="008A1A0D"/>
    <w:rsid w:val="008A40D1"/>
    <w:rsid w:val="008A72E1"/>
    <w:rsid w:val="008A76ED"/>
    <w:rsid w:val="008B3C72"/>
    <w:rsid w:val="008D0E09"/>
    <w:rsid w:val="008E511C"/>
    <w:rsid w:val="008E7A62"/>
    <w:rsid w:val="00903007"/>
    <w:rsid w:val="00912284"/>
    <w:rsid w:val="00916BCF"/>
    <w:rsid w:val="00923816"/>
    <w:rsid w:val="00923E35"/>
    <w:rsid w:val="0093015C"/>
    <w:rsid w:val="0093074B"/>
    <w:rsid w:val="00930E64"/>
    <w:rsid w:val="00933224"/>
    <w:rsid w:val="00936DE4"/>
    <w:rsid w:val="00940B6C"/>
    <w:rsid w:val="009411AD"/>
    <w:rsid w:val="00943CF9"/>
    <w:rsid w:val="00956F8C"/>
    <w:rsid w:val="00961D57"/>
    <w:rsid w:val="00963557"/>
    <w:rsid w:val="009661DA"/>
    <w:rsid w:val="00966B8E"/>
    <w:rsid w:val="00974F7F"/>
    <w:rsid w:val="00976716"/>
    <w:rsid w:val="0097693B"/>
    <w:rsid w:val="00993355"/>
    <w:rsid w:val="009963F7"/>
    <w:rsid w:val="009A11CB"/>
    <w:rsid w:val="009A4A6D"/>
    <w:rsid w:val="009A7CF0"/>
    <w:rsid w:val="009B44DD"/>
    <w:rsid w:val="009B7E42"/>
    <w:rsid w:val="009C34BA"/>
    <w:rsid w:val="009D46CE"/>
    <w:rsid w:val="009D4ADA"/>
    <w:rsid w:val="009E13DD"/>
    <w:rsid w:val="009F547A"/>
    <w:rsid w:val="009F7772"/>
    <w:rsid w:val="00A0503B"/>
    <w:rsid w:val="00A059CD"/>
    <w:rsid w:val="00A067E9"/>
    <w:rsid w:val="00A13265"/>
    <w:rsid w:val="00A14900"/>
    <w:rsid w:val="00A2159F"/>
    <w:rsid w:val="00A27076"/>
    <w:rsid w:val="00A47BAE"/>
    <w:rsid w:val="00A529BC"/>
    <w:rsid w:val="00A5346C"/>
    <w:rsid w:val="00A53F51"/>
    <w:rsid w:val="00A562F0"/>
    <w:rsid w:val="00A564FB"/>
    <w:rsid w:val="00A614C1"/>
    <w:rsid w:val="00A61EA6"/>
    <w:rsid w:val="00A657BF"/>
    <w:rsid w:val="00A704B9"/>
    <w:rsid w:val="00A71136"/>
    <w:rsid w:val="00A82728"/>
    <w:rsid w:val="00A92578"/>
    <w:rsid w:val="00A92992"/>
    <w:rsid w:val="00AA474C"/>
    <w:rsid w:val="00AA7CE2"/>
    <w:rsid w:val="00AB302E"/>
    <w:rsid w:val="00AB55E3"/>
    <w:rsid w:val="00AC35EF"/>
    <w:rsid w:val="00AC4D5B"/>
    <w:rsid w:val="00AD1DDB"/>
    <w:rsid w:val="00AD2697"/>
    <w:rsid w:val="00AD7E5F"/>
    <w:rsid w:val="00AE3066"/>
    <w:rsid w:val="00AF560B"/>
    <w:rsid w:val="00AF68E4"/>
    <w:rsid w:val="00B00A87"/>
    <w:rsid w:val="00B01AA1"/>
    <w:rsid w:val="00B06025"/>
    <w:rsid w:val="00B20C18"/>
    <w:rsid w:val="00B27DF5"/>
    <w:rsid w:val="00B30C81"/>
    <w:rsid w:val="00B30DA1"/>
    <w:rsid w:val="00B358AE"/>
    <w:rsid w:val="00B43A6A"/>
    <w:rsid w:val="00B4793B"/>
    <w:rsid w:val="00B54E0F"/>
    <w:rsid w:val="00B56099"/>
    <w:rsid w:val="00B564E1"/>
    <w:rsid w:val="00B639FA"/>
    <w:rsid w:val="00B64A60"/>
    <w:rsid w:val="00B76F6F"/>
    <w:rsid w:val="00B937D7"/>
    <w:rsid w:val="00B96B67"/>
    <w:rsid w:val="00BA01C8"/>
    <w:rsid w:val="00BC57EF"/>
    <w:rsid w:val="00BC69DB"/>
    <w:rsid w:val="00BC6FD5"/>
    <w:rsid w:val="00BD2FB2"/>
    <w:rsid w:val="00BD7538"/>
    <w:rsid w:val="00BE54B1"/>
    <w:rsid w:val="00BE6B6B"/>
    <w:rsid w:val="00BF25F9"/>
    <w:rsid w:val="00BF4F4F"/>
    <w:rsid w:val="00C10790"/>
    <w:rsid w:val="00C13FD5"/>
    <w:rsid w:val="00C14FCD"/>
    <w:rsid w:val="00C15633"/>
    <w:rsid w:val="00C15799"/>
    <w:rsid w:val="00C32E84"/>
    <w:rsid w:val="00C3311E"/>
    <w:rsid w:val="00C35415"/>
    <w:rsid w:val="00C3564D"/>
    <w:rsid w:val="00C357AD"/>
    <w:rsid w:val="00C51C5F"/>
    <w:rsid w:val="00C554CC"/>
    <w:rsid w:val="00C56E4E"/>
    <w:rsid w:val="00C6069C"/>
    <w:rsid w:val="00C60887"/>
    <w:rsid w:val="00C62FB0"/>
    <w:rsid w:val="00C63C6F"/>
    <w:rsid w:val="00C70477"/>
    <w:rsid w:val="00C70F04"/>
    <w:rsid w:val="00C7318E"/>
    <w:rsid w:val="00C74745"/>
    <w:rsid w:val="00C7709E"/>
    <w:rsid w:val="00C8436C"/>
    <w:rsid w:val="00C85119"/>
    <w:rsid w:val="00C855AB"/>
    <w:rsid w:val="00C95C48"/>
    <w:rsid w:val="00C96FAE"/>
    <w:rsid w:val="00CA0645"/>
    <w:rsid w:val="00CC0BE6"/>
    <w:rsid w:val="00CD170C"/>
    <w:rsid w:val="00CD320B"/>
    <w:rsid w:val="00CD3F37"/>
    <w:rsid w:val="00CD5431"/>
    <w:rsid w:val="00CE4B93"/>
    <w:rsid w:val="00CF2491"/>
    <w:rsid w:val="00CF3963"/>
    <w:rsid w:val="00CF484A"/>
    <w:rsid w:val="00D0702B"/>
    <w:rsid w:val="00D1252E"/>
    <w:rsid w:val="00D12E2D"/>
    <w:rsid w:val="00D13D9D"/>
    <w:rsid w:val="00D23D94"/>
    <w:rsid w:val="00D36BB7"/>
    <w:rsid w:val="00D416A3"/>
    <w:rsid w:val="00D44940"/>
    <w:rsid w:val="00D459A2"/>
    <w:rsid w:val="00D530FF"/>
    <w:rsid w:val="00D53688"/>
    <w:rsid w:val="00D5407A"/>
    <w:rsid w:val="00D57772"/>
    <w:rsid w:val="00D67F7F"/>
    <w:rsid w:val="00D7253B"/>
    <w:rsid w:val="00D72AE3"/>
    <w:rsid w:val="00D75A4D"/>
    <w:rsid w:val="00D8478B"/>
    <w:rsid w:val="00D86151"/>
    <w:rsid w:val="00D87FD0"/>
    <w:rsid w:val="00D902B8"/>
    <w:rsid w:val="00D9172D"/>
    <w:rsid w:val="00D97E84"/>
    <w:rsid w:val="00DA5641"/>
    <w:rsid w:val="00DA7595"/>
    <w:rsid w:val="00DB0A68"/>
    <w:rsid w:val="00DC3EC7"/>
    <w:rsid w:val="00DC43A3"/>
    <w:rsid w:val="00DC4CF3"/>
    <w:rsid w:val="00DC5C01"/>
    <w:rsid w:val="00DD7C09"/>
    <w:rsid w:val="00DE3B02"/>
    <w:rsid w:val="00DF0EB4"/>
    <w:rsid w:val="00DF584A"/>
    <w:rsid w:val="00E0124F"/>
    <w:rsid w:val="00E0573D"/>
    <w:rsid w:val="00E11B33"/>
    <w:rsid w:val="00E1477A"/>
    <w:rsid w:val="00E5762A"/>
    <w:rsid w:val="00E611C2"/>
    <w:rsid w:val="00E62B67"/>
    <w:rsid w:val="00E64FFA"/>
    <w:rsid w:val="00E674D3"/>
    <w:rsid w:val="00E70FD0"/>
    <w:rsid w:val="00E71183"/>
    <w:rsid w:val="00E7309D"/>
    <w:rsid w:val="00E77C4B"/>
    <w:rsid w:val="00E8108D"/>
    <w:rsid w:val="00E86890"/>
    <w:rsid w:val="00E9301F"/>
    <w:rsid w:val="00E9690A"/>
    <w:rsid w:val="00E97DC7"/>
    <w:rsid w:val="00EF3069"/>
    <w:rsid w:val="00F000EF"/>
    <w:rsid w:val="00F0083E"/>
    <w:rsid w:val="00F20130"/>
    <w:rsid w:val="00F2504E"/>
    <w:rsid w:val="00F2585B"/>
    <w:rsid w:val="00F4053F"/>
    <w:rsid w:val="00F516E7"/>
    <w:rsid w:val="00F57BF7"/>
    <w:rsid w:val="00F6263E"/>
    <w:rsid w:val="00F627C2"/>
    <w:rsid w:val="00F63686"/>
    <w:rsid w:val="00F84067"/>
    <w:rsid w:val="00F95319"/>
    <w:rsid w:val="00F973A1"/>
    <w:rsid w:val="00FA0207"/>
    <w:rsid w:val="00FA50B4"/>
    <w:rsid w:val="00FB6E83"/>
    <w:rsid w:val="00FC0130"/>
    <w:rsid w:val="00FC156A"/>
    <w:rsid w:val="00FD6235"/>
    <w:rsid w:val="00FE0E76"/>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0E672F"/>
  <w15:docId w15:val="{4DD540F6-7065-4A63-9225-D9B86CC2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iPriority w:val="99"/>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character" w:customStyle="1" w:styleId="ListParagraphChar">
    <w:name w:val="List Paragraph Char"/>
    <w:basedOn w:val="DefaultParagraphFont"/>
    <w:link w:val="ListParagraph"/>
    <w:uiPriority w:val="34"/>
    <w:locked/>
    <w:rsid w:val="00A27076"/>
    <w:rPr>
      <w:rFonts w:eastAsia="BatangChe"/>
      <w:sz w:val="24"/>
      <w:szCs w:val="24"/>
    </w:rPr>
  </w:style>
  <w:style w:type="paragraph" w:customStyle="1" w:styleId="ListParagraph1">
    <w:name w:val="List Paragraph1"/>
    <w:basedOn w:val="Normal"/>
    <w:uiPriority w:val="34"/>
    <w:qFormat/>
    <w:rsid w:val="009661DA"/>
    <w:pPr>
      <w:ind w:firstLineChars="200" w:firstLine="420"/>
    </w:pPr>
  </w:style>
  <w:style w:type="character" w:styleId="FollowedHyperlink">
    <w:name w:val="FollowedHyperlink"/>
    <w:basedOn w:val="DefaultParagraphFont"/>
    <w:semiHidden/>
    <w:unhideWhenUsed/>
    <w:rsid w:val="00A82728"/>
    <w:rPr>
      <w:color w:val="800080" w:themeColor="followedHyperlink"/>
      <w:u w:val="single"/>
    </w:rPr>
  </w:style>
  <w:style w:type="character" w:customStyle="1" w:styleId="Heading8Char">
    <w:name w:val="Heading 8 Char"/>
    <w:basedOn w:val="DefaultParagraphFont"/>
    <w:link w:val="Heading8"/>
    <w:rsid w:val="00693F41"/>
    <w:rPr>
      <w:rFonts w:eastAsia="BatangChe"/>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27691">
      <w:bodyDiv w:val="1"/>
      <w:marLeft w:val="0"/>
      <w:marRight w:val="0"/>
      <w:marTop w:val="0"/>
      <w:marBottom w:val="0"/>
      <w:divBdr>
        <w:top w:val="none" w:sz="0" w:space="0" w:color="auto"/>
        <w:left w:val="none" w:sz="0" w:space="0" w:color="auto"/>
        <w:bottom w:val="none" w:sz="0" w:space="0" w:color="auto"/>
        <w:right w:val="none" w:sz="0" w:space="0" w:color="auto"/>
      </w:divBdr>
    </w:div>
    <w:div w:id="576869514">
      <w:bodyDiv w:val="1"/>
      <w:marLeft w:val="0"/>
      <w:marRight w:val="0"/>
      <w:marTop w:val="0"/>
      <w:marBottom w:val="0"/>
      <w:divBdr>
        <w:top w:val="none" w:sz="0" w:space="0" w:color="auto"/>
        <w:left w:val="none" w:sz="0" w:space="0" w:color="auto"/>
        <w:bottom w:val="none" w:sz="0" w:space="0" w:color="auto"/>
        <w:right w:val="none" w:sz="0" w:space="0" w:color="auto"/>
      </w:divBdr>
    </w:div>
    <w:div w:id="1024332583">
      <w:bodyDiv w:val="1"/>
      <w:marLeft w:val="0"/>
      <w:marRight w:val="0"/>
      <w:marTop w:val="0"/>
      <w:marBottom w:val="0"/>
      <w:divBdr>
        <w:top w:val="none" w:sz="0" w:space="0" w:color="auto"/>
        <w:left w:val="none" w:sz="0" w:space="0" w:color="auto"/>
        <w:bottom w:val="none" w:sz="0" w:space="0" w:color="auto"/>
        <w:right w:val="none" w:sz="0" w:space="0" w:color="auto"/>
      </w:divBdr>
    </w:div>
    <w:div w:id="1076433915">
      <w:bodyDiv w:val="1"/>
      <w:marLeft w:val="0"/>
      <w:marRight w:val="0"/>
      <w:marTop w:val="0"/>
      <w:marBottom w:val="0"/>
      <w:divBdr>
        <w:top w:val="none" w:sz="0" w:space="0" w:color="auto"/>
        <w:left w:val="none" w:sz="0" w:space="0" w:color="auto"/>
        <w:bottom w:val="none" w:sz="0" w:space="0" w:color="auto"/>
        <w:right w:val="none" w:sz="0" w:space="0" w:color="auto"/>
      </w:divBdr>
    </w:div>
    <w:div w:id="1154490998">
      <w:bodyDiv w:val="1"/>
      <w:marLeft w:val="0"/>
      <w:marRight w:val="0"/>
      <w:marTop w:val="0"/>
      <w:marBottom w:val="0"/>
      <w:divBdr>
        <w:top w:val="none" w:sz="0" w:space="0" w:color="auto"/>
        <w:left w:val="none" w:sz="0" w:space="0" w:color="auto"/>
        <w:bottom w:val="none" w:sz="0" w:space="0" w:color="auto"/>
        <w:right w:val="none" w:sz="0" w:space="0" w:color="auto"/>
      </w:divBdr>
    </w:div>
    <w:div w:id="1337263895">
      <w:bodyDiv w:val="1"/>
      <w:marLeft w:val="0"/>
      <w:marRight w:val="0"/>
      <w:marTop w:val="0"/>
      <w:marBottom w:val="0"/>
      <w:divBdr>
        <w:top w:val="none" w:sz="0" w:space="0" w:color="auto"/>
        <w:left w:val="none" w:sz="0" w:space="0" w:color="auto"/>
        <w:bottom w:val="none" w:sz="0" w:space="0" w:color="auto"/>
        <w:right w:val="none" w:sz="0" w:space="0" w:color="auto"/>
      </w:divBdr>
    </w:div>
    <w:div w:id="1429235393">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538277737">
      <w:bodyDiv w:val="1"/>
      <w:marLeft w:val="0"/>
      <w:marRight w:val="0"/>
      <w:marTop w:val="0"/>
      <w:marBottom w:val="0"/>
      <w:divBdr>
        <w:top w:val="none" w:sz="0" w:space="0" w:color="auto"/>
        <w:left w:val="none" w:sz="0" w:space="0" w:color="auto"/>
        <w:bottom w:val="none" w:sz="0" w:space="0" w:color="auto"/>
        <w:right w:val="none" w:sz="0" w:space="0" w:color="auto"/>
      </w:divBdr>
    </w:div>
    <w:div w:id="1739862920">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4605">
      <w:bodyDiv w:val="1"/>
      <w:marLeft w:val="0"/>
      <w:marRight w:val="0"/>
      <w:marTop w:val="0"/>
      <w:marBottom w:val="0"/>
      <w:divBdr>
        <w:top w:val="none" w:sz="0" w:space="0" w:color="auto"/>
        <w:left w:val="none" w:sz="0" w:space="0" w:color="auto"/>
        <w:bottom w:val="none" w:sz="0" w:space="0" w:color="auto"/>
        <w:right w:val="none" w:sz="0" w:space="0" w:color="auto"/>
      </w:divBdr>
    </w:div>
    <w:div w:id="1902712015">
      <w:bodyDiv w:val="1"/>
      <w:marLeft w:val="0"/>
      <w:marRight w:val="0"/>
      <w:marTop w:val="0"/>
      <w:marBottom w:val="0"/>
      <w:divBdr>
        <w:top w:val="none" w:sz="0" w:space="0" w:color="auto"/>
        <w:left w:val="none" w:sz="0" w:space="0" w:color="auto"/>
        <w:bottom w:val="none" w:sz="0" w:space="0" w:color="auto"/>
        <w:right w:val="none" w:sz="0" w:space="0" w:color="auto"/>
      </w:divBdr>
    </w:div>
    <w:div w:id="190922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md/R15-WP5A-C-0675" TargetMode="External"/><Relationship Id="rId18" Type="http://schemas.openxmlformats.org/officeDocument/2006/relationships/hyperlink" Target="https://www.itu.int/md/R15-CPM19.02-C-0001" TargetMode="External"/><Relationship Id="rId26" Type="http://schemas.openxmlformats.org/officeDocument/2006/relationships/hyperlink" Target="https://www.apt.int/sites/default/files/2018/12/APG19-4-INP-101_China5_Preliminary_views_on_WRC-19_AI_1.13_1.16_9.1_issues_9.1.1_9.1.5_9.1.8_rev_3.docx" TargetMode="External"/><Relationship Id="rId39" Type="http://schemas.openxmlformats.org/officeDocument/2006/relationships/hyperlink" Target="file:///C:\Users\admin\Downloads\APG19-4\INP-75(Rev.1)" TargetMode="External"/><Relationship Id="rId21" Type="http://schemas.openxmlformats.org/officeDocument/2006/relationships/hyperlink" Target="https://www.apt.int/sites/default/files/2018/12/APG19-4-INP-23_NZ2_WP2.docx" TargetMode="External"/><Relationship Id="rId34" Type="http://schemas.openxmlformats.org/officeDocument/2006/relationships/hyperlink" Target="file:///C:\Users\admin\Downloads\APG19-4\INP-06" TargetMode="External"/><Relationship Id="rId42" Type="http://schemas.openxmlformats.org/officeDocument/2006/relationships/hyperlink" Target="file:///C:\Users\admin\Downloads\APG19-4\INP-109" TargetMode="External"/><Relationship Id="rId47" Type="http://schemas.openxmlformats.org/officeDocument/2006/relationships/hyperlink" Target="https://www.apt.int/sites/default/files/2018/12/APG19-4-INP-09Rev.1_Report-second_Inter-regional_Workshop_on_preparations_for_WRC-19.docx" TargetMode="External"/><Relationship Id="rId50" Type="http://schemas.openxmlformats.org/officeDocument/2006/relationships/hyperlink" Target="https://www.apt.int/sites/default/files/2019/01/APG19-4-INF-24_RCC.pdf"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admin\Downloads\APG19-4\INP-06" TargetMode="External"/><Relationship Id="rId29" Type="http://schemas.openxmlformats.org/officeDocument/2006/relationships/hyperlink" Target="https://www.apt.int/sites/default/files/2019/01/APG19-4-INP-119_INS2_Preliminary_View_-_WP2.docx" TargetMode="External"/><Relationship Id="rId11" Type="http://schemas.openxmlformats.org/officeDocument/2006/relationships/hyperlink" Target="https://www.itu.int/dms_pub/itu-r/md/15/wp5a/c/R15-WP5A-C-0650!N33!MSW-E.docx" TargetMode="External"/><Relationship Id="rId24" Type="http://schemas.openxmlformats.org/officeDocument/2006/relationships/hyperlink" Target="https://www.apt.int/sites/default/files/2018/12/APG19-4-INP-75_WP2_kor_Rev.1.docx" TargetMode="External"/><Relationship Id="rId32" Type="http://schemas.openxmlformats.org/officeDocument/2006/relationships/hyperlink" Target="https://www.apt.int/sites/default/files/2019/01/APG19-4-INF-23_CEPT_PPT.pdf" TargetMode="External"/><Relationship Id="rId37" Type="http://schemas.openxmlformats.org/officeDocument/2006/relationships/hyperlink" Target="file:///C:\Users\admin\Downloads\APG19-4\INP-42" TargetMode="External"/><Relationship Id="rId40" Type="http://schemas.openxmlformats.org/officeDocument/2006/relationships/hyperlink" Target="file:///C:\Users\admin\Downloads\APG19-4\INP-84" TargetMode="External"/><Relationship Id="rId45" Type="http://schemas.openxmlformats.org/officeDocument/2006/relationships/hyperlink" Target="https://www.itu.int/md/R15-CPM19.02-C-0001" TargetMode="External"/><Relationship Id="rId53" Type="http://schemas.openxmlformats.org/officeDocument/2006/relationships/hyperlink" Target="https://www.itu.int/md/R15-CPM19.02-C-0001/en"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apt.int/sites/default/files/2018/10/APG19-4-INP-06_LS_from_AWG.docx" TargetMode="External"/><Relationship Id="rId4" Type="http://schemas.openxmlformats.org/officeDocument/2006/relationships/settings" Target="settings.xml"/><Relationship Id="rId9" Type="http://schemas.openxmlformats.org/officeDocument/2006/relationships/hyperlink" Target="https://www.itu.int/md/R15-CPM19.02-C-0001" TargetMode="External"/><Relationship Id="rId14" Type="http://schemas.openxmlformats.org/officeDocument/2006/relationships/hyperlink" Target="http://www.itu.int/md/R15-WP5A-C-0707" TargetMode="External"/><Relationship Id="rId22" Type="http://schemas.openxmlformats.org/officeDocument/2006/relationships/hyperlink" Target="https://www.apt.int/sites/default/files/2019/01/APG19-4-INP-42_MLA_SNG_THA_WP2_AI_9.1.8.docx" TargetMode="External"/><Relationship Id="rId27" Type="http://schemas.openxmlformats.org/officeDocument/2006/relationships/hyperlink" Target="https://www.apt.int/sites/default/files/2018/12/APG19-4-INP-109_BGD_WP2.docx" TargetMode="External"/><Relationship Id="rId30" Type="http://schemas.openxmlformats.org/officeDocument/2006/relationships/hyperlink" Target="https://www.apt.int/sites/default/files/2018/12/APG19-4-INP-09Rev.1_Report-second_Inter-regional_Workshop_on_preparations_for_WRC-19.docx" TargetMode="External"/><Relationship Id="rId35" Type="http://schemas.openxmlformats.org/officeDocument/2006/relationships/hyperlink" Target="file:///C:\Users\admin\Downloads\APG19-4\INP-16" TargetMode="External"/><Relationship Id="rId43" Type="http://schemas.openxmlformats.org/officeDocument/2006/relationships/hyperlink" Target="file:///C:\Users\admin\Downloads\APG19-4\INP-114" TargetMode="External"/><Relationship Id="rId48" Type="http://schemas.openxmlformats.org/officeDocument/2006/relationships/hyperlink" Target="https://www.apt.int/sites/default/files/2019/01/APG19-4-INF-23_CEPT_PPT.pdf" TargetMode="External"/><Relationship Id="rId56"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www.apt.int/sites/default/files/2018/12/APG19-4-INF-02_WMO-Position_20181109.docx" TargetMode="External"/><Relationship Id="rId3" Type="http://schemas.openxmlformats.org/officeDocument/2006/relationships/styles" Target="styles.xml"/><Relationship Id="rId12" Type="http://schemas.openxmlformats.org/officeDocument/2006/relationships/hyperlink" Target="http://www.itu.int/md/R15-WP5A-C-0663" TargetMode="External"/><Relationship Id="rId17" Type="http://schemas.openxmlformats.org/officeDocument/2006/relationships/hyperlink" Target="https://www.apt.int/sites/default/files/APT-AWG-REP-86_IoTimplementation_and_deployment.docx" TargetMode="External"/><Relationship Id="rId25" Type="http://schemas.openxmlformats.org/officeDocument/2006/relationships/hyperlink" Target="https://www.apt.int/sites/default/files/2018/12/APG19-4-INP-84_IRN_Chapter_2.docx" TargetMode="External"/><Relationship Id="rId33" Type="http://schemas.openxmlformats.org/officeDocument/2006/relationships/hyperlink" Target="https://www.apt.int/sites/default/files/2019/01/APG19-4-INF-24_RCC.pdf" TargetMode="External"/><Relationship Id="rId38" Type="http://schemas.openxmlformats.org/officeDocument/2006/relationships/hyperlink" Target="file:///C:\Users\admin\Downloads\APG19-4\INP-60" TargetMode="External"/><Relationship Id="rId46" Type="http://schemas.openxmlformats.org/officeDocument/2006/relationships/hyperlink" Target="https://www.apt.int/sites/default/files/2018/12/APG19-4-INP-09Rev.1_Report-second_Inter-regional_Workshop_on_preparations_for_WRC-19.docx" TargetMode="External"/><Relationship Id="rId59" Type="http://schemas.openxmlformats.org/officeDocument/2006/relationships/theme" Target="theme/theme1.xml"/><Relationship Id="rId20" Type="http://schemas.openxmlformats.org/officeDocument/2006/relationships/hyperlink" Target="https://www.apt.int/sites/default/files/2019/01/APG19-4-INP-16__AUS2_-_Australian_Contribution_to_APG19-4_Chapter_2.docx" TargetMode="External"/><Relationship Id="rId41" Type="http://schemas.openxmlformats.org/officeDocument/2006/relationships/hyperlink" Target="file:///C:\Users\admin\Downloads\APG19-4\INP-101"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tu.int/md/R15-WP5A-C-0708" TargetMode="External"/><Relationship Id="rId23" Type="http://schemas.openxmlformats.org/officeDocument/2006/relationships/hyperlink" Target="https://www.apt.int/sites/default/files/2018/12/APG19-4-INP-60_2_J_WP2.docx" TargetMode="External"/><Relationship Id="rId28" Type="http://schemas.openxmlformats.org/officeDocument/2006/relationships/hyperlink" Target="https://www.apt.int/sites/default/files/2018/12/APG19-4-INP-114_Preliminary_India_Views_on_Agenda_1.13_1.16_9.1_Issue_9.1.8.docx" TargetMode="External"/><Relationship Id="rId36" Type="http://schemas.openxmlformats.org/officeDocument/2006/relationships/hyperlink" Target="file:///C:\Users\admin\Downloads\APG19-4\INP-23" TargetMode="External"/><Relationship Id="rId49" Type="http://schemas.openxmlformats.org/officeDocument/2006/relationships/hyperlink" Target="https://www.apt.int/sites/default/files/2019/01/APG19-4-INF-22_CITEL_PPT.pdf" TargetMode="External"/><Relationship Id="rId57" Type="http://schemas.openxmlformats.org/officeDocument/2006/relationships/footer" Target="footer3.xml"/><Relationship Id="rId10" Type="http://schemas.openxmlformats.org/officeDocument/2006/relationships/hyperlink" Target="https://www.itu.int/md/R15-SG01-C-0135/_page.print" TargetMode="External"/><Relationship Id="rId31" Type="http://schemas.openxmlformats.org/officeDocument/2006/relationships/hyperlink" Target="https://www.apt.int/sites/default/files/2019/01/APG19-4-INF-22_CITEL_PPT.pdf" TargetMode="External"/><Relationship Id="rId44" Type="http://schemas.openxmlformats.org/officeDocument/2006/relationships/hyperlink" Target="file:///C:\Users\admin\Downloads\APG19-4\INP-119" TargetMode="External"/><Relationship Id="rId52" Type="http://schemas.openxmlformats.org/officeDocument/2006/relationships/hyperlink" Target="https://www.apt.int/sites/default/files/2018/12/APG19-4-INF-03_IARU.DOC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jwlim@korea.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DD66F-5985-4B83-A0D5-B8DE5AA66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3099</Words>
  <Characters>17669</Characters>
  <Application>Microsoft Office Word</Application>
  <DocSecurity>0</DocSecurity>
  <Lines>147</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20727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2</cp:revision>
  <cp:lastPrinted>2015-02-02T07:28:00Z</cp:lastPrinted>
  <dcterms:created xsi:type="dcterms:W3CDTF">2019-01-15T01:26:00Z</dcterms:created>
  <dcterms:modified xsi:type="dcterms:W3CDTF">2019-01-15T01:26:00Z</dcterms:modified>
</cp:coreProperties>
</file>