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14051B" w:rsidRPr="0014051B" w14:paraId="04883402" w14:textId="77777777" w:rsidTr="00214505">
        <w:trPr>
          <w:cantSplit/>
          <w:trHeight w:val="288"/>
        </w:trPr>
        <w:tc>
          <w:tcPr>
            <w:tcW w:w="1399" w:type="dxa"/>
            <w:vMerge w:val="restart"/>
          </w:tcPr>
          <w:p w14:paraId="0349B579" w14:textId="77777777" w:rsidR="0014051B" w:rsidRPr="0014051B" w:rsidRDefault="0014051B" w:rsidP="0014051B">
            <w:pPr>
              <w:widowControl w:val="0"/>
              <w:wordWrap w:val="0"/>
              <w:jc w:val="both"/>
              <w:rPr>
                <w:kern w:val="2"/>
                <w:lang w:eastAsia="ko-KR"/>
              </w:rPr>
            </w:pPr>
            <w:r w:rsidRPr="0014051B">
              <w:rPr>
                <w:noProof/>
                <w:kern w:val="2"/>
              </w:rPr>
              <w:drawing>
                <wp:inline distT="0" distB="0" distL="0" distR="0" wp14:anchorId="0D9880B5" wp14:editId="2E8E515C">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3DC39EAD" w14:textId="77777777" w:rsidR="0014051B" w:rsidRPr="0014051B" w:rsidRDefault="0014051B" w:rsidP="0014051B">
            <w:pPr>
              <w:spacing w:before="40"/>
              <w:rPr>
                <w:sz w:val="22"/>
                <w:szCs w:val="22"/>
              </w:rPr>
            </w:pPr>
            <w:r w:rsidRPr="0014051B">
              <w:rPr>
                <w:sz w:val="22"/>
                <w:szCs w:val="22"/>
              </w:rPr>
              <w:t>ASIA-PACIFIC TELECOMMUNITY</w:t>
            </w:r>
          </w:p>
        </w:tc>
        <w:tc>
          <w:tcPr>
            <w:tcW w:w="2160" w:type="dxa"/>
          </w:tcPr>
          <w:p w14:paraId="14AB23C7" w14:textId="77777777" w:rsidR="0014051B" w:rsidRPr="0014051B" w:rsidRDefault="0014051B" w:rsidP="0014051B">
            <w:pPr>
              <w:keepNext/>
              <w:widowControl w:val="0"/>
              <w:wordWrap w:val="0"/>
              <w:spacing w:before="40"/>
              <w:jc w:val="both"/>
              <w:outlineLvl w:val="7"/>
              <w:rPr>
                <w:b/>
                <w:bCs/>
                <w:kern w:val="2"/>
                <w:lang w:eastAsia="ko-KR"/>
              </w:rPr>
            </w:pPr>
            <w:r w:rsidRPr="0014051B">
              <w:rPr>
                <w:b/>
                <w:bCs/>
                <w:kern w:val="2"/>
                <w:lang w:eastAsia="ko-KR"/>
              </w:rPr>
              <w:t>Document No:</w:t>
            </w:r>
          </w:p>
        </w:tc>
      </w:tr>
      <w:tr w:rsidR="0014051B" w:rsidRPr="0014051B" w14:paraId="1C5E356A" w14:textId="77777777" w:rsidTr="00214505">
        <w:trPr>
          <w:cantSplit/>
          <w:trHeight w:val="504"/>
        </w:trPr>
        <w:tc>
          <w:tcPr>
            <w:tcW w:w="1399" w:type="dxa"/>
            <w:vMerge/>
          </w:tcPr>
          <w:p w14:paraId="783FD25E" w14:textId="77777777" w:rsidR="0014051B" w:rsidRPr="0014051B" w:rsidRDefault="0014051B" w:rsidP="0014051B"/>
        </w:tc>
        <w:tc>
          <w:tcPr>
            <w:tcW w:w="5760" w:type="dxa"/>
            <w:vAlign w:val="center"/>
          </w:tcPr>
          <w:p w14:paraId="43764F58" w14:textId="77777777" w:rsidR="0014051B" w:rsidRPr="0014051B" w:rsidRDefault="0014051B" w:rsidP="0014051B">
            <w:pPr>
              <w:spacing w:before="40"/>
              <w:rPr>
                <w:b/>
              </w:rPr>
            </w:pPr>
            <w:r w:rsidRPr="0014051B">
              <w:rPr>
                <w:b/>
              </w:rPr>
              <w:t>The 4th Meeting of the APT Conference Preparatory</w:t>
            </w:r>
          </w:p>
          <w:p w14:paraId="2CCEABBA" w14:textId="77777777" w:rsidR="0014051B" w:rsidRPr="0014051B" w:rsidRDefault="0014051B" w:rsidP="0014051B">
            <w:pPr>
              <w:spacing w:line="0" w:lineRule="atLeast"/>
            </w:pPr>
            <w:r w:rsidRPr="0014051B">
              <w:rPr>
                <w:b/>
              </w:rPr>
              <w:t>Group for WRC-19 (APG19-4)</w:t>
            </w:r>
          </w:p>
        </w:tc>
        <w:tc>
          <w:tcPr>
            <w:tcW w:w="2160" w:type="dxa"/>
          </w:tcPr>
          <w:p w14:paraId="0F9EC05C" w14:textId="722B1DEE" w:rsidR="0014051B" w:rsidRPr="0014051B" w:rsidRDefault="0014051B" w:rsidP="0014051B">
            <w:pPr>
              <w:spacing w:before="40"/>
              <w:rPr>
                <w:b/>
                <w:bCs/>
                <w:lang w:val="fr-FR"/>
              </w:rPr>
            </w:pPr>
            <w:r w:rsidRPr="0014051B">
              <w:rPr>
                <w:b/>
                <w:bCs/>
                <w:lang w:val="fr-FR"/>
              </w:rPr>
              <w:t>APG19-4/</w:t>
            </w:r>
            <w:r>
              <w:rPr>
                <w:b/>
                <w:bCs/>
                <w:lang w:val="fr-FR"/>
              </w:rPr>
              <w:t>OUT-05</w:t>
            </w:r>
          </w:p>
          <w:p w14:paraId="58464F54" w14:textId="77777777" w:rsidR="0014051B" w:rsidRPr="0014051B" w:rsidRDefault="0014051B" w:rsidP="0014051B">
            <w:pPr>
              <w:rPr>
                <w:b/>
                <w:bCs/>
                <w:lang w:val="en-GB"/>
              </w:rPr>
            </w:pPr>
          </w:p>
        </w:tc>
      </w:tr>
      <w:tr w:rsidR="0014051B" w:rsidRPr="0014051B" w14:paraId="07B388EC" w14:textId="77777777" w:rsidTr="00214505">
        <w:trPr>
          <w:cantSplit/>
          <w:trHeight w:val="288"/>
        </w:trPr>
        <w:tc>
          <w:tcPr>
            <w:tcW w:w="1399" w:type="dxa"/>
            <w:vMerge/>
          </w:tcPr>
          <w:p w14:paraId="6533EC90" w14:textId="77777777" w:rsidR="0014051B" w:rsidRPr="0014051B" w:rsidRDefault="0014051B" w:rsidP="0014051B">
            <w:pPr>
              <w:rPr>
                <w:lang w:val="en-GB"/>
              </w:rPr>
            </w:pPr>
          </w:p>
        </w:tc>
        <w:tc>
          <w:tcPr>
            <w:tcW w:w="5760" w:type="dxa"/>
            <w:vAlign w:val="bottom"/>
          </w:tcPr>
          <w:p w14:paraId="14072DFA" w14:textId="77777777" w:rsidR="0014051B" w:rsidRPr="0014051B" w:rsidRDefault="0014051B" w:rsidP="0014051B">
            <w:pPr>
              <w:spacing w:before="40"/>
              <w:rPr>
                <w:b/>
              </w:rPr>
            </w:pPr>
            <w:r w:rsidRPr="0014051B">
              <w:t>7 – 12 January 2019, Busan, Republic of Korea</w:t>
            </w:r>
          </w:p>
        </w:tc>
        <w:tc>
          <w:tcPr>
            <w:tcW w:w="2160" w:type="dxa"/>
            <w:vAlign w:val="bottom"/>
          </w:tcPr>
          <w:p w14:paraId="727B853E" w14:textId="77777777" w:rsidR="0014051B" w:rsidRPr="0014051B" w:rsidRDefault="0014051B" w:rsidP="0014051B">
            <w:pPr>
              <w:spacing w:before="40"/>
              <w:rPr>
                <w:bCs/>
              </w:rPr>
            </w:pPr>
            <w:r w:rsidRPr="0014051B">
              <w:rPr>
                <w:bCs/>
              </w:rPr>
              <w:t>12 January 2019</w:t>
            </w:r>
          </w:p>
        </w:tc>
      </w:tr>
    </w:tbl>
    <w:p w14:paraId="77F85E74" w14:textId="77777777" w:rsidR="00DA7595" w:rsidRPr="0014051B" w:rsidRDefault="00DA7595" w:rsidP="00DA7595">
      <w:pPr>
        <w:rPr>
          <w:lang w:eastAsia="ko-KR"/>
        </w:rPr>
      </w:pPr>
    </w:p>
    <w:p w14:paraId="2DFED249" w14:textId="77777777" w:rsidR="005E4110" w:rsidRPr="0014051B" w:rsidRDefault="005E4110" w:rsidP="00AB1FCD">
      <w:pPr>
        <w:jc w:val="center"/>
        <w:rPr>
          <w:b/>
          <w:lang w:val="en-NZ" w:eastAsia="ko-KR"/>
        </w:rPr>
      </w:pPr>
    </w:p>
    <w:p w14:paraId="5C00D484" w14:textId="53B9EFF8" w:rsidR="006B4945" w:rsidRPr="0014051B" w:rsidRDefault="00B75E77" w:rsidP="006B4945">
      <w:pPr>
        <w:jc w:val="center"/>
        <w:rPr>
          <w:lang w:val="en-NZ"/>
        </w:rPr>
      </w:pPr>
      <w:r w:rsidRPr="0014051B">
        <w:rPr>
          <w:lang w:val="en-NZ"/>
        </w:rPr>
        <w:t>Working Party 3</w:t>
      </w:r>
    </w:p>
    <w:p w14:paraId="3ADF63E0" w14:textId="77777777" w:rsidR="00AB1FCD" w:rsidRPr="0014051B" w:rsidRDefault="00AB1FCD" w:rsidP="00AB1FCD">
      <w:pPr>
        <w:jc w:val="center"/>
        <w:rPr>
          <w:b/>
          <w:bCs/>
          <w:caps/>
          <w:lang w:val="en-NZ"/>
        </w:rPr>
      </w:pPr>
    </w:p>
    <w:p w14:paraId="270751BB" w14:textId="5C93F89A" w:rsidR="00AB1FCD" w:rsidRPr="0014051B" w:rsidRDefault="00AB1FCD" w:rsidP="00AB1FCD">
      <w:pPr>
        <w:jc w:val="center"/>
        <w:rPr>
          <w:b/>
          <w:bCs/>
          <w:caps/>
          <w:lang w:val="en-NZ"/>
        </w:rPr>
      </w:pPr>
      <w:r w:rsidRPr="0014051B">
        <w:rPr>
          <w:b/>
          <w:bCs/>
          <w:caps/>
          <w:lang w:val="en-NZ"/>
        </w:rPr>
        <w:t xml:space="preserve">PRELIMINARY VIEWs on WRC-19 agenda item </w:t>
      </w:r>
      <w:r w:rsidR="00F254EF" w:rsidRPr="0014051B">
        <w:rPr>
          <w:b/>
          <w:bCs/>
          <w:caps/>
          <w:lang w:val="en-NZ"/>
        </w:rPr>
        <w:t>9.3</w:t>
      </w:r>
    </w:p>
    <w:p w14:paraId="5ED7461A" w14:textId="7CC5392E" w:rsidR="00AB1FCD" w:rsidRDefault="00AB1FCD" w:rsidP="00AB1FCD">
      <w:pPr>
        <w:spacing w:after="120"/>
        <w:rPr>
          <w:lang w:val="en-NZ"/>
        </w:rPr>
      </w:pPr>
    </w:p>
    <w:p w14:paraId="352FA5FA" w14:textId="77777777" w:rsidR="0049346E" w:rsidRPr="0049346E" w:rsidRDefault="0049346E" w:rsidP="00AB1FCD">
      <w:pPr>
        <w:spacing w:after="120"/>
        <w:rPr>
          <w:lang w:val="en-NZ"/>
        </w:rPr>
      </w:pPr>
    </w:p>
    <w:p w14:paraId="03A9451E" w14:textId="2E9A95F5" w:rsidR="00AB1FCD" w:rsidRPr="005E4110" w:rsidRDefault="00F254EF" w:rsidP="00AB1FCD">
      <w:pPr>
        <w:spacing w:after="120"/>
        <w:jc w:val="both"/>
        <w:rPr>
          <w:lang w:val="en-NZ"/>
        </w:rPr>
      </w:pPr>
      <w:r>
        <w:rPr>
          <w:b/>
          <w:lang w:val="en-NZ"/>
        </w:rPr>
        <w:t>Agenda Item 9.3</w:t>
      </w:r>
      <w:r w:rsidR="00AB1FCD" w:rsidRPr="005E4110">
        <w:rPr>
          <w:b/>
          <w:lang w:val="en-NZ"/>
        </w:rPr>
        <w:t xml:space="preserve">: </w:t>
      </w:r>
    </w:p>
    <w:p w14:paraId="511106D6" w14:textId="4250B12F" w:rsidR="00F254EF" w:rsidRPr="00F254EF" w:rsidRDefault="00F254EF" w:rsidP="00F254EF">
      <w:pPr>
        <w:spacing w:after="100" w:afterAutospacing="1"/>
        <w:rPr>
          <w:i/>
          <w:color w:val="365F91" w:themeColor="accent1" w:themeShade="BF"/>
          <w:lang w:val="en-AU"/>
        </w:rPr>
      </w:pPr>
      <w:r w:rsidRPr="00A465C0">
        <w:rPr>
          <w:i/>
          <w:lang w:val="en-AU"/>
        </w:rPr>
        <w:t xml:space="preserve">on action in response to Resolution </w:t>
      </w:r>
      <w:r w:rsidRPr="00A465C0">
        <w:rPr>
          <w:b/>
          <w:i/>
          <w:lang w:val="en-AU"/>
        </w:rPr>
        <w:t>80 (Rev.WRC-07)</w:t>
      </w:r>
      <w:r>
        <w:rPr>
          <w:i/>
          <w:lang w:val="en-AU"/>
        </w:rPr>
        <w:t>.</w:t>
      </w:r>
    </w:p>
    <w:p w14:paraId="4E06896C" w14:textId="77777777" w:rsidR="00AB1FCD" w:rsidRPr="00E258C5" w:rsidRDefault="00AB1FCD" w:rsidP="00AB1FCD">
      <w:pPr>
        <w:jc w:val="both"/>
        <w:rPr>
          <w:highlight w:val="yellow"/>
          <w:lang w:val="en-NZ"/>
        </w:rPr>
      </w:pPr>
    </w:p>
    <w:p w14:paraId="3DE199E9" w14:textId="77777777" w:rsidR="00AB1FCD" w:rsidRPr="00BA3933" w:rsidRDefault="00AB1FCD" w:rsidP="00BA3933">
      <w:pPr>
        <w:pStyle w:val="Style3"/>
      </w:pPr>
      <w:r w:rsidRPr="00BA3933">
        <w:t xml:space="preserve">1. </w:t>
      </w:r>
      <w:r w:rsidRPr="00BA3933">
        <w:tab/>
        <w:t>Background</w:t>
      </w:r>
    </w:p>
    <w:p w14:paraId="3258F27F" w14:textId="77777777" w:rsidR="00427ACD" w:rsidRDefault="00427ACD" w:rsidP="00AB1FCD">
      <w:pPr>
        <w:jc w:val="both"/>
        <w:rPr>
          <w:highlight w:val="yellow"/>
        </w:rPr>
      </w:pPr>
    </w:p>
    <w:p w14:paraId="4A95BBA3" w14:textId="77777777" w:rsidR="005D22D4" w:rsidRPr="000905A6" w:rsidRDefault="005D22D4" w:rsidP="00B4735D">
      <w:pPr>
        <w:pStyle w:val="NormalWeb"/>
        <w:spacing w:before="0" w:beforeAutospacing="0" w:after="0" w:afterAutospacing="0"/>
        <w:jc w:val="both"/>
      </w:pPr>
      <w:r w:rsidRPr="000905A6">
        <w:t xml:space="preserve">Resolution </w:t>
      </w:r>
      <w:r w:rsidRPr="000905A6">
        <w:rPr>
          <w:b/>
        </w:rPr>
        <w:t>80</w:t>
      </w:r>
      <w:r w:rsidRPr="000905A6">
        <w:t xml:space="preserve"> was first adopted by WRC-97 and revised by WRC-2000 and WRC-07. Each version of Resolution </w:t>
      </w:r>
      <w:r w:rsidRPr="000905A6">
        <w:rPr>
          <w:b/>
        </w:rPr>
        <w:t>80</w:t>
      </w:r>
      <w:r w:rsidRPr="000905A6">
        <w:t xml:space="preserve"> has instructed the RRB either to develop Rules of Procedure, conduct studies, or consider and review possible draft recommendations related to linking the principles contained in No. 0.3 of the Preamble to the Radio Regulations to the notification, coordination and registration procedures in the RR and to report to a subsequent WRC. In the case of Resolution </w:t>
      </w:r>
      <w:r w:rsidRPr="000905A6">
        <w:rPr>
          <w:b/>
        </w:rPr>
        <w:t>80 (Rev.WRC-07)</w:t>
      </w:r>
      <w:r w:rsidRPr="000905A6">
        <w:t>, these linkages were extended to include the principles contained in Article 44 of the Constitution. The 2007 revision of this Resolution pointed out that some of the issues identified in the RRB report to WRC-2000 had been resolved before WRC</w:t>
      </w:r>
      <w:r w:rsidRPr="000905A6">
        <w:noBreakHyphen/>
        <w:t xml:space="preserve">07. Subsequent RRB reports to WRCs, although wide ranging and comprehensive have had little impact or consideration. </w:t>
      </w:r>
    </w:p>
    <w:p w14:paraId="6D4C4736" w14:textId="77777777" w:rsidR="005D22D4" w:rsidRPr="000905A6" w:rsidRDefault="005D22D4" w:rsidP="00B4735D">
      <w:pPr>
        <w:pStyle w:val="NormalWeb"/>
        <w:spacing w:before="0" w:beforeAutospacing="0" w:after="0" w:afterAutospacing="0"/>
        <w:jc w:val="both"/>
      </w:pPr>
    </w:p>
    <w:p w14:paraId="2254CB25" w14:textId="77777777" w:rsidR="005D22D4" w:rsidRPr="000905A6" w:rsidRDefault="005D22D4" w:rsidP="00B4735D">
      <w:pPr>
        <w:jc w:val="both"/>
        <w:rPr>
          <w:b/>
          <w:lang w:val="en-NZ"/>
        </w:rPr>
      </w:pPr>
      <w:r w:rsidRPr="000905A6">
        <w:rPr>
          <w:b/>
          <w:lang w:val="en-NZ"/>
        </w:rPr>
        <w:t xml:space="preserve">ITU-R progress update </w:t>
      </w:r>
    </w:p>
    <w:p w14:paraId="2A020CE8" w14:textId="77777777" w:rsidR="005D22D4" w:rsidRPr="000905A6" w:rsidRDefault="005D22D4" w:rsidP="00B4735D">
      <w:pPr>
        <w:jc w:val="both"/>
        <w:rPr>
          <w:b/>
          <w:lang w:val="en-NZ"/>
        </w:rPr>
      </w:pPr>
    </w:p>
    <w:p w14:paraId="2BB5D82E" w14:textId="77777777" w:rsidR="005D22D4" w:rsidRPr="000905A6" w:rsidRDefault="005D22D4" w:rsidP="00B4735D">
      <w:pPr>
        <w:jc w:val="both"/>
        <w:rPr>
          <w:u w:val="single"/>
          <w:lang w:val="en-NZ"/>
        </w:rPr>
      </w:pPr>
      <w:r w:rsidRPr="000905A6">
        <w:rPr>
          <w:u w:val="single"/>
          <w:lang w:val="en-NZ"/>
        </w:rPr>
        <w:t xml:space="preserve">Working Party 4A </w:t>
      </w:r>
    </w:p>
    <w:p w14:paraId="7A332384" w14:textId="77777777" w:rsidR="005D22D4" w:rsidRPr="000905A6" w:rsidRDefault="005D22D4" w:rsidP="00B4735D">
      <w:pPr>
        <w:pStyle w:val="NormalWeb"/>
        <w:spacing w:before="0" w:beforeAutospacing="0" w:after="0" w:afterAutospacing="0"/>
        <w:jc w:val="both"/>
        <w:rPr>
          <w:lang w:val="en-NZ"/>
        </w:rPr>
      </w:pPr>
      <w:r w:rsidRPr="000905A6">
        <w:rPr>
          <w:lang w:val="en-NZ"/>
        </w:rPr>
        <w:t xml:space="preserve">While WP 4A is typically interested in the subject matter of the agenda there have been no </w:t>
      </w:r>
      <w:r w:rsidRPr="00B4735D">
        <w:t>contributions</w:t>
      </w:r>
      <w:r w:rsidRPr="000905A6">
        <w:rPr>
          <w:lang w:val="en-NZ"/>
        </w:rPr>
        <w:t xml:space="preserve"> to the Working Party on this issue to date. </w:t>
      </w:r>
    </w:p>
    <w:p w14:paraId="16E671BF" w14:textId="77777777" w:rsidR="005D22D4" w:rsidRPr="000905A6" w:rsidRDefault="005D22D4" w:rsidP="00B4735D">
      <w:pPr>
        <w:jc w:val="both"/>
        <w:rPr>
          <w:lang w:val="en-NZ"/>
        </w:rPr>
      </w:pPr>
    </w:p>
    <w:p w14:paraId="02CFA6F0" w14:textId="77777777" w:rsidR="00B4735D" w:rsidRPr="006B3AEC" w:rsidRDefault="00B4735D" w:rsidP="00B4735D">
      <w:pPr>
        <w:jc w:val="both"/>
        <w:rPr>
          <w:rFonts w:eastAsia="Times New Roman"/>
          <w:u w:val="single"/>
          <w:lang w:val="en-AU"/>
        </w:rPr>
      </w:pPr>
      <w:r w:rsidRPr="006B3AEC">
        <w:rPr>
          <w:rFonts w:eastAsia="Times New Roman"/>
          <w:u w:val="single"/>
          <w:lang w:val="en-AU"/>
        </w:rPr>
        <w:t>Radio Regulations Board</w:t>
      </w:r>
    </w:p>
    <w:p w14:paraId="7343F06B" w14:textId="77777777" w:rsidR="00B4735D" w:rsidRPr="006B3AEC" w:rsidRDefault="00B4735D" w:rsidP="00B4735D">
      <w:pPr>
        <w:pStyle w:val="NormalWeb"/>
        <w:spacing w:before="0" w:beforeAutospacing="0" w:after="0" w:afterAutospacing="0"/>
        <w:jc w:val="both"/>
      </w:pPr>
      <w:r w:rsidRPr="006B3AEC">
        <w:t xml:space="preserve">Under </w:t>
      </w:r>
      <w:r w:rsidRPr="006B3AEC">
        <w:rPr>
          <w:i/>
        </w:rPr>
        <w:t xml:space="preserve">resolves </w:t>
      </w:r>
      <w:r w:rsidRPr="006B3AEC">
        <w:t xml:space="preserve">2 of Resolution </w:t>
      </w:r>
      <w:r w:rsidRPr="006B3AEC">
        <w:rPr>
          <w:b/>
        </w:rPr>
        <w:t xml:space="preserve">80 (Rev.WRC-07) </w:t>
      </w:r>
      <w:r w:rsidRPr="006B3AEC">
        <w:t xml:space="preserve">the RRB is to report to each future World Radiocommunication Conference with regard to the Resolution. </w:t>
      </w:r>
    </w:p>
    <w:p w14:paraId="106B31A9" w14:textId="77777777" w:rsidR="00B4735D" w:rsidRPr="006B3AEC" w:rsidRDefault="00B4735D" w:rsidP="00B4735D">
      <w:pPr>
        <w:spacing w:after="100" w:afterAutospacing="1"/>
        <w:jc w:val="both"/>
        <w:rPr>
          <w:rFonts w:eastAsia="Times New Roman"/>
          <w:lang w:val="en-AU"/>
        </w:rPr>
      </w:pPr>
      <w:r w:rsidRPr="006B3AEC">
        <w:rPr>
          <w:rFonts w:eastAsia="Times New Roman"/>
          <w:lang w:val="en-AU"/>
        </w:rPr>
        <w:t>At the 75</w:t>
      </w:r>
      <w:r w:rsidRPr="006B3AEC">
        <w:rPr>
          <w:rFonts w:eastAsia="Times New Roman"/>
          <w:vertAlign w:val="superscript"/>
          <w:lang w:val="en-AU"/>
        </w:rPr>
        <w:t>th</w:t>
      </w:r>
      <w:r w:rsidRPr="006B3AEC">
        <w:rPr>
          <w:rFonts w:eastAsia="Times New Roman"/>
          <w:lang w:val="en-AU"/>
        </w:rPr>
        <w:t xml:space="preserve"> meeting of the RRB 17-21 July 2017 the board noted work had commenced on its report on Resolution 80 </w:t>
      </w:r>
      <w:r w:rsidRPr="006B3AEC">
        <w:rPr>
          <w:rFonts w:eastAsia="Times New Roman"/>
          <w:b/>
          <w:lang w:val="en-AU"/>
        </w:rPr>
        <w:t>(Rev.WRC-07)</w:t>
      </w:r>
      <w:r w:rsidRPr="006B3AEC">
        <w:rPr>
          <w:rFonts w:eastAsia="Times New Roman"/>
          <w:lang w:val="en-AU"/>
        </w:rPr>
        <w:t>, to WRC-19 and agreed the following list of topics for possible inclusion in its report, noting further topics could be added</w:t>
      </w:r>
      <w:r>
        <w:rPr>
          <w:rFonts w:eastAsia="Times New Roman"/>
          <w:lang w:val="en-AU"/>
        </w:rPr>
        <w:t>.</w:t>
      </w:r>
    </w:p>
    <w:p w14:paraId="7B5CE374" w14:textId="77777777" w:rsidR="00B4735D" w:rsidRPr="00B4735D" w:rsidRDefault="00B4735D" w:rsidP="00B4735D">
      <w:pPr>
        <w:pStyle w:val="ListParagraph"/>
        <w:numPr>
          <w:ilvl w:val="0"/>
          <w:numId w:val="21"/>
        </w:numPr>
        <w:jc w:val="both"/>
        <w:rPr>
          <w:rFonts w:eastAsia="Times New Roman"/>
          <w:lang w:val="en-AU"/>
        </w:rPr>
      </w:pPr>
      <w:r w:rsidRPr="00B4735D">
        <w:rPr>
          <w:rFonts w:eastAsia="Times New Roman"/>
          <w:lang w:val="en-AU"/>
        </w:rPr>
        <w:t>Items addressed in previous RRB reports under Resolution 80:</w:t>
      </w:r>
    </w:p>
    <w:p w14:paraId="358EC8C9" w14:textId="77777777"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t>Introduction</w:t>
      </w:r>
    </w:p>
    <w:p w14:paraId="41B9935F" w14:textId="77777777"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t>Approach</w:t>
      </w:r>
    </w:p>
    <w:p w14:paraId="075780E0" w14:textId="77777777"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t xml:space="preserve">The Board’s mandate under </w:t>
      </w:r>
      <w:r w:rsidRPr="004F5C70">
        <w:rPr>
          <w:rFonts w:eastAsia="Times New Roman"/>
          <w:i/>
          <w:lang w:val="en-AU"/>
        </w:rPr>
        <w:t xml:space="preserve">resolves 2 </w:t>
      </w:r>
      <w:r w:rsidRPr="004F5C70">
        <w:rPr>
          <w:rFonts w:eastAsia="Times New Roman"/>
          <w:lang w:val="en-AU"/>
        </w:rPr>
        <w:t xml:space="preserve">of Resolution </w:t>
      </w:r>
      <w:r w:rsidRPr="004F5C70">
        <w:rPr>
          <w:rFonts w:eastAsia="Times New Roman"/>
          <w:b/>
          <w:lang w:val="en-AU"/>
        </w:rPr>
        <w:t>80 (Rev.WRC-07)</w:t>
      </w:r>
    </w:p>
    <w:p w14:paraId="42F7D14A" w14:textId="77777777"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t>Issues and draft recommendations</w:t>
      </w:r>
    </w:p>
    <w:p w14:paraId="3824DB66" w14:textId="77777777"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t>Considerations regarding harmful interference</w:t>
      </w:r>
    </w:p>
    <w:p w14:paraId="7901B7E3" w14:textId="77777777"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t>Considerations regarding the status of assignments involved in harmful interference situations and factors affecting the resolution of harmful interference</w:t>
      </w:r>
    </w:p>
    <w:p w14:paraId="51F86584" w14:textId="0481065D"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lastRenderedPageBreak/>
        <w:t xml:space="preserve">Situations of </w:t>
      </w:r>
      <w:r w:rsidRPr="004F5C70">
        <w:rPr>
          <w:rFonts w:eastAsia="Times New Roman"/>
          <w:i/>
          <w:iCs/>
          <w:lang w:val="en-AU"/>
        </w:rPr>
        <w:t>force majeure</w:t>
      </w:r>
    </w:p>
    <w:p w14:paraId="415B6214" w14:textId="77777777"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t>The status of WRC decisions recorded in the minutes of a world radiocommunication conference</w:t>
      </w:r>
    </w:p>
    <w:p w14:paraId="69CE6D09" w14:textId="77777777"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t>Conclusions</w:t>
      </w:r>
    </w:p>
    <w:p w14:paraId="2F39CEF5" w14:textId="77777777" w:rsidR="00B4735D" w:rsidRPr="006B3AEC" w:rsidRDefault="00B4735D" w:rsidP="00B4735D">
      <w:pPr>
        <w:pStyle w:val="ListParagraph"/>
        <w:numPr>
          <w:ilvl w:val="0"/>
          <w:numId w:val="23"/>
        </w:numPr>
        <w:jc w:val="both"/>
        <w:rPr>
          <w:rFonts w:eastAsia="Times New Roman"/>
          <w:lang w:val="en-AU"/>
        </w:rPr>
      </w:pPr>
      <w:r w:rsidRPr="006B3AEC">
        <w:rPr>
          <w:rFonts w:eastAsia="Times New Roman"/>
          <w:lang w:val="en-AU"/>
        </w:rPr>
        <w:t>and perhaps also:</w:t>
      </w:r>
    </w:p>
    <w:p w14:paraId="57C55AEE" w14:textId="77777777"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t>Suspending the use of a recorded assignment to a space station</w:t>
      </w:r>
    </w:p>
    <w:p w14:paraId="493E32B4" w14:textId="77777777"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t>Linkage between bringing into use and notification for recording in the MIFR</w:t>
      </w:r>
    </w:p>
    <w:p w14:paraId="722BFFD9" w14:textId="77777777"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t>Considerations on satellite failure during the ninety-day bringing into use period</w:t>
      </w:r>
    </w:p>
    <w:p w14:paraId="27AEF135" w14:textId="77777777" w:rsidR="00B4735D" w:rsidRDefault="00B4735D" w:rsidP="00B4735D">
      <w:pPr>
        <w:pStyle w:val="ListParagraph"/>
        <w:jc w:val="both"/>
        <w:rPr>
          <w:rFonts w:eastAsia="Times New Roman"/>
          <w:lang w:val="en-AU"/>
        </w:rPr>
      </w:pPr>
    </w:p>
    <w:p w14:paraId="1D032D95" w14:textId="79BB761B" w:rsidR="00B4735D" w:rsidRPr="006B3AEC" w:rsidRDefault="00B4735D" w:rsidP="00B4735D">
      <w:pPr>
        <w:pStyle w:val="ListParagraph"/>
        <w:numPr>
          <w:ilvl w:val="0"/>
          <w:numId w:val="21"/>
        </w:numPr>
        <w:jc w:val="both"/>
        <w:rPr>
          <w:rFonts w:eastAsia="Times New Roman"/>
          <w:lang w:val="en-AU"/>
        </w:rPr>
      </w:pPr>
      <w:r w:rsidRPr="00B4735D">
        <w:rPr>
          <w:rFonts w:eastAsia="Times New Roman"/>
          <w:lang w:val="en-AU"/>
        </w:rPr>
        <w:t>New items:</w:t>
      </w:r>
    </w:p>
    <w:p w14:paraId="1DF86973" w14:textId="77777777"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t>Requests by two administrations to transfer the ‘notifying administration’ responsibility from one to the other.</w:t>
      </w:r>
    </w:p>
    <w:p w14:paraId="5DF21CB8" w14:textId="77777777"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t xml:space="preserve">Interpretation of the definition of ‘satellite network’ in RR No. </w:t>
      </w:r>
      <w:r w:rsidRPr="00B4735D">
        <w:rPr>
          <w:rFonts w:eastAsia="Times New Roman"/>
          <w:lang w:val="en-AU"/>
        </w:rPr>
        <w:t>1.112</w:t>
      </w:r>
      <w:r w:rsidRPr="004F5C70">
        <w:rPr>
          <w:rFonts w:eastAsia="Times New Roman"/>
          <w:lang w:val="en-AU"/>
        </w:rPr>
        <w:t xml:space="preserve"> and the rule of procedure on No. </w:t>
      </w:r>
      <w:r w:rsidRPr="004F5C70">
        <w:rPr>
          <w:rFonts w:eastAsia="Times New Roman"/>
          <w:b/>
          <w:lang w:val="en-AU"/>
        </w:rPr>
        <w:t>1.112</w:t>
      </w:r>
      <w:r w:rsidRPr="004F5C70">
        <w:rPr>
          <w:rFonts w:eastAsia="Times New Roman"/>
          <w:lang w:val="en-AU"/>
        </w:rPr>
        <w:t>.</w:t>
      </w:r>
    </w:p>
    <w:p w14:paraId="2C44A4AC" w14:textId="77777777"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t>Adequacy of three-year time period for replacing a satellite in the case of (in-orbit) satellite failure.</w:t>
      </w:r>
    </w:p>
    <w:p w14:paraId="606E2E8D" w14:textId="77777777"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t xml:space="preserve">Application of No. </w:t>
      </w:r>
      <w:r w:rsidRPr="004F5C70">
        <w:rPr>
          <w:rFonts w:eastAsia="Times New Roman"/>
          <w:b/>
          <w:lang w:val="en-AU"/>
        </w:rPr>
        <w:t>4.4</w:t>
      </w:r>
      <w:r w:rsidRPr="004F5C70">
        <w:rPr>
          <w:rFonts w:eastAsia="Times New Roman"/>
          <w:lang w:val="en-AU"/>
        </w:rPr>
        <w:t xml:space="preserve"> (provision of evidence that harmful interference would not be caused).</w:t>
      </w:r>
    </w:p>
    <w:p w14:paraId="7DFCCFC7" w14:textId="77777777"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t>Co-passenger delay.</w:t>
      </w:r>
    </w:p>
    <w:p w14:paraId="66BC0F75" w14:textId="77777777"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t>Status of assignments notified to the Bureau before the WRC’s relevant frequency allocation decision comes into force.</w:t>
      </w:r>
    </w:p>
    <w:p w14:paraId="57A9F99B" w14:textId="77777777"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t xml:space="preserve">Limit on the time duration of extensions of bringing-into-use periods following a case of </w:t>
      </w:r>
      <w:r w:rsidRPr="004F5C70">
        <w:rPr>
          <w:rFonts w:eastAsia="Times New Roman"/>
          <w:i/>
          <w:iCs/>
          <w:lang w:val="en-AU"/>
        </w:rPr>
        <w:t>force majeure</w:t>
      </w:r>
      <w:r w:rsidRPr="004F5C70">
        <w:rPr>
          <w:rFonts w:eastAsia="Times New Roman"/>
          <w:lang w:val="en-AU"/>
        </w:rPr>
        <w:t xml:space="preserve"> or co-passenger delay.</w:t>
      </w:r>
    </w:p>
    <w:p w14:paraId="2ED9A40C" w14:textId="77777777"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t>Extending regulatory time limits to take account of the time required for electric-drive space stations to be placed in orbit.</w:t>
      </w:r>
    </w:p>
    <w:p w14:paraId="6E773A0C" w14:textId="77777777" w:rsidR="00B4735D" w:rsidRPr="004F5C70" w:rsidRDefault="00B4735D" w:rsidP="00B4735D">
      <w:pPr>
        <w:pStyle w:val="ListParagraph"/>
        <w:numPr>
          <w:ilvl w:val="0"/>
          <w:numId w:val="23"/>
        </w:numPr>
        <w:jc w:val="both"/>
        <w:rPr>
          <w:rFonts w:eastAsia="Times New Roman"/>
          <w:lang w:val="en-AU"/>
        </w:rPr>
      </w:pPr>
      <w:r w:rsidRPr="004F5C70">
        <w:rPr>
          <w:rFonts w:eastAsia="Times New Roman"/>
          <w:lang w:val="en-AU"/>
        </w:rPr>
        <w:t>Discrepancies between the durations of and conditions for granting regulatory time-limit extensions in planned and non-planned frequency bands, especially if present on the same satellite.</w:t>
      </w:r>
    </w:p>
    <w:p w14:paraId="586F941C" w14:textId="77777777" w:rsidR="00B4735D" w:rsidRDefault="00B4735D" w:rsidP="00B4735D">
      <w:pPr>
        <w:jc w:val="both"/>
        <w:rPr>
          <w:rFonts w:eastAsia="Times New Roman"/>
          <w:lang w:val="en-AU"/>
        </w:rPr>
      </w:pPr>
    </w:p>
    <w:p w14:paraId="6EFAC875" w14:textId="73BA983F" w:rsidR="00B4735D" w:rsidRPr="006B3AEC" w:rsidRDefault="00B4735D" w:rsidP="00B4735D">
      <w:pPr>
        <w:jc w:val="both"/>
        <w:rPr>
          <w:rFonts w:eastAsia="Times New Roman"/>
          <w:lang w:val="en-AU"/>
        </w:rPr>
      </w:pPr>
      <w:r w:rsidRPr="006B3AEC">
        <w:rPr>
          <w:rFonts w:eastAsia="Times New Roman"/>
          <w:lang w:val="en-AU"/>
        </w:rPr>
        <w:t xml:space="preserve">Noting the above, </w:t>
      </w:r>
    </w:p>
    <w:p w14:paraId="25E91223" w14:textId="77777777" w:rsidR="00B4735D" w:rsidRPr="004F5C70" w:rsidRDefault="00B4735D" w:rsidP="00B4735D">
      <w:pPr>
        <w:pStyle w:val="ListParagraph"/>
        <w:numPr>
          <w:ilvl w:val="0"/>
          <w:numId w:val="19"/>
        </w:numPr>
        <w:jc w:val="both"/>
        <w:rPr>
          <w:rFonts w:eastAsia="Times New Roman"/>
          <w:lang w:val="en-AU"/>
        </w:rPr>
      </w:pPr>
      <w:r w:rsidRPr="004F5C70">
        <w:rPr>
          <w:rFonts w:eastAsia="Times New Roman"/>
          <w:lang w:val="en-AU"/>
        </w:rPr>
        <w:t>To re-address issues in the RRB report to WRC-15 indicates, these matters were not addressed adequately, if at all, by the conference.</w:t>
      </w:r>
    </w:p>
    <w:p w14:paraId="79699643" w14:textId="77777777" w:rsidR="00B4735D" w:rsidRPr="004F5C70" w:rsidRDefault="00B4735D" w:rsidP="00B4735D">
      <w:pPr>
        <w:pStyle w:val="ListParagraph"/>
        <w:numPr>
          <w:ilvl w:val="0"/>
          <w:numId w:val="19"/>
        </w:numPr>
        <w:jc w:val="both"/>
        <w:rPr>
          <w:rFonts w:eastAsia="Times New Roman"/>
          <w:lang w:val="en-AU"/>
        </w:rPr>
      </w:pPr>
      <w:r w:rsidRPr="004F5C70">
        <w:rPr>
          <w:rFonts w:eastAsia="Times New Roman"/>
          <w:lang w:val="en-AU"/>
        </w:rPr>
        <w:t>New items have evolved from issues before the RRB during the current study cycle. This is where it is possible further issues could be added to the report.</w:t>
      </w:r>
    </w:p>
    <w:p w14:paraId="5EC45326" w14:textId="77777777" w:rsidR="00B4735D" w:rsidRDefault="00B4735D" w:rsidP="00B4735D">
      <w:pPr>
        <w:jc w:val="both"/>
        <w:rPr>
          <w:rFonts w:eastAsia="Times New Roman"/>
          <w:lang w:val="en-AU"/>
        </w:rPr>
      </w:pPr>
    </w:p>
    <w:p w14:paraId="17D6009A" w14:textId="77777777" w:rsidR="00830720" w:rsidRDefault="00B4735D" w:rsidP="00B4735D">
      <w:pPr>
        <w:jc w:val="both"/>
        <w:rPr>
          <w:rFonts w:eastAsia="Times New Roman"/>
          <w:lang w:val="en-AU"/>
        </w:rPr>
      </w:pPr>
      <w:r w:rsidRPr="006B3AEC">
        <w:rPr>
          <w:rFonts w:eastAsia="Times New Roman"/>
          <w:lang w:val="en-AU"/>
        </w:rPr>
        <w:t xml:space="preserve">A draft of the RRB Report is expected to be made available to administrations well before the conference, but unlikely to be before CPM19-2. </w:t>
      </w:r>
    </w:p>
    <w:p w14:paraId="00245870" w14:textId="77777777" w:rsidR="00830720" w:rsidRDefault="00830720" w:rsidP="00B4735D">
      <w:pPr>
        <w:jc w:val="both"/>
        <w:rPr>
          <w:rFonts w:eastAsia="Times New Roman"/>
          <w:lang w:val="en-AU"/>
        </w:rPr>
      </w:pPr>
    </w:p>
    <w:p w14:paraId="4268B6DD" w14:textId="07E1E53F" w:rsidR="00B4735D" w:rsidRDefault="00B4735D" w:rsidP="00B4735D">
      <w:pPr>
        <w:jc w:val="both"/>
        <w:rPr>
          <w:rFonts w:eastAsia="Times New Roman"/>
          <w:lang w:val="en-AU"/>
        </w:rPr>
      </w:pPr>
      <w:r w:rsidRPr="006B3AEC">
        <w:rPr>
          <w:rFonts w:eastAsia="Times New Roman"/>
          <w:lang w:val="en-AU"/>
        </w:rPr>
        <w:t>At the 77</w:t>
      </w:r>
      <w:r w:rsidRPr="006B3AEC">
        <w:rPr>
          <w:rFonts w:eastAsia="Times New Roman"/>
          <w:vertAlign w:val="superscript"/>
          <w:lang w:val="en-AU"/>
        </w:rPr>
        <w:t>th</w:t>
      </w:r>
      <w:r w:rsidRPr="006B3AEC">
        <w:rPr>
          <w:rFonts w:eastAsia="Times New Roman"/>
          <w:lang w:val="en-AU"/>
        </w:rPr>
        <w:t xml:space="preserve"> meeting of the RRB (March 2018) the Board decided that the Working Group on Resolution </w:t>
      </w:r>
      <w:r w:rsidRPr="006B3AEC">
        <w:rPr>
          <w:rFonts w:eastAsia="Times New Roman"/>
          <w:b/>
          <w:bCs/>
          <w:lang w:val="en-AU"/>
        </w:rPr>
        <w:t>80 (Rev.WRC-07)</w:t>
      </w:r>
      <w:r w:rsidRPr="006B3AEC">
        <w:rPr>
          <w:rFonts w:eastAsia="Times New Roman"/>
          <w:lang w:val="en-AU"/>
        </w:rPr>
        <w:t xml:space="preserve"> would prepare a preliminary draft of its report to WRC-19 under Resolution </w:t>
      </w:r>
      <w:r w:rsidRPr="006B3AEC">
        <w:rPr>
          <w:rFonts w:eastAsia="Times New Roman"/>
          <w:b/>
          <w:bCs/>
          <w:lang w:val="en-AU"/>
        </w:rPr>
        <w:t>80 (Rev.WRC-07)</w:t>
      </w:r>
      <w:r w:rsidRPr="006B3AEC">
        <w:rPr>
          <w:rFonts w:eastAsia="Times New Roman"/>
          <w:lang w:val="en-AU"/>
        </w:rPr>
        <w:t xml:space="preserve"> for consideration at the 79</w:t>
      </w:r>
      <w:r w:rsidRPr="006B3AEC">
        <w:rPr>
          <w:rFonts w:eastAsia="Times New Roman"/>
          <w:vertAlign w:val="superscript"/>
          <w:lang w:val="en-AU"/>
        </w:rPr>
        <w:t>th</w:t>
      </w:r>
      <w:r w:rsidRPr="006B3AEC">
        <w:rPr>
          <w:rFonts w:eastAsia="Times New Roman"/>
          <w:lang w:val="en-AU"/>
        </w:rPr>
        <w:t xml:space="preserve"> meeting. The Board agreed to work by correspondence and to continue the approach of systematically analysing the issues that the Board has faced since WRC-15 affecting the fulfilment of the principles contained in Article 44 of the Constitution and No. </w:t>
      </w:r>
      <w:r w:rsidRPr="006B3AEC">
        <w:rPr>
          <w:rFonts w:eastAsia="Times New Roman"/>
          <w:b/>
          <w:bCs/>
          <w:lang w:val="en-AU"/>
        </w:rPr>
        <w:t>0.3</w:t>
      </w:r>
      <w:r w:rsidRPr="006B3AEC">
        <w:rPr>
          <w:rFonts w:eastAsia="Times New Roman"/>
          <w:lang w:val="en-AU"/>
        </w:rPr>
        <w:t xml:space="preserve"> of the Preamble to the Radio Regulations and identifying possible solutions.</w:t>
      </w:r>
    </w:p>
    <w:p w14:paraId="1B1B2814" w14:textId="77777777" w:rsidR="00830720" w:rsidRDefault="00830720" w:rsidP="00B4735D">
      <w:pPr>
        <w:jc w:val="both"/>
        <w:rPr>
          <w:rFonts w:asciiTheme="minorHAnsi" w:hAnsiTheme="minorHAnsi" w:cstheme="majorBidi"/>
          <w:color w:val="000000"/>
          <w:sz w:val="22"/>
          <w:szCs w:val="22"/>
        </w:rPr>
      </w:pPr>
    </w:p>
    <w:p w14:paraId="30A11C3B" w14:textId="2EFD1B30" w:rsidR="00830720" w:rsidRPr="00830720" w:rsidRDefault="00830720" w:rsidP="00B4735D">
      <w:pPr>
        <w:jc w:val="both"/>
        <w:rPr>
          <w:rFonts w:eastAsia="Times New Roman"/>
          <w:lang w:val="en-AU"/>
        </w:rPr>
      </w:pPr>
      <w:r w:rsidRPr="006B3AEC">
        <w:rPr>
          <w:rFonts w:eastAsia="Times New Roman"/>
          <w:lang w:val="en-AU"/>
        </w:rPr>
        <w:t>At the 7</w:t>
      </w:r>
      <w:r>
        <w:rPr>
          <w:rFonts w:eastAsia="Times New Roman"/>
          <w:lang w:val="en-AU"/>
        </w:rPr>
        <w:t>9</w:t>
      </w:r>
      <w:r w:rsidRPr="006B3AEC">
        <w:rPr>
          <w:rFonts w:eastAsia="Times New Roman"/>
          <w:vertAlign w:val="superscript"/>
          <w:lang w:val="en-AU"/>
        </w:rPr>
        <w:t>th</w:t>
      </w:r>
      <w:r w:rsidRPr="006B3AEC">
        <w:rPr>
          <w:rFonts w:eastAsia="Times New Roman"/>
          <w:lang w:val="en-AU"/>
        </w:rPr>
        <w:t xml:space="preserve"> meeting of the RRB (</w:t>
      </w:r>
      <w:r>
        <w:rPr>
          <w:rFonts w:eastAsia="Times New Roman"/>
          <w:lang w:val="en-AU"/>
        </w:rPr>
        <w:t>November</w:t>
      </w:r>
      <w:r w:rsidRPr="006B3AEC">
        <w:rPr>
          <w:rFonts w:eastAsia="Times New Roman"/>
          <w:lang w:val="en-AU"/>
        </w:rPr>
        <w:t xml:space="preserve"> 2018)</w:t>
      </w:r>
      <w:r>
        <w:rPr>
          <w:rFonts w:eastAsia="Times New Roman"/>
          <w:lang w:val="en-AU"/>
        </w:rPr>
        <w:t>, t</w:t>
      </w:r>
      <w:r w:rsidRPr="00830720">
        <w:rPr>
          <w:rFonts w:eastAsia="Times New Roman"/>
          <w:lang w:val="en-AU"/>
        </w:rPr>
        <w:t>he</w:t>
      </w:r>
      <w:r w:rsidRPr="00830720">
        <w:rPr>
          <w:color w:val="000000"/>
        </w:rPr>
        <w:t xml:space="preserve"> Working Group on Resolution </w:t>
      </w:r>
      <w:r w:rsidRPr="00830720">
        <w:rPr>
          <w:b/>
          <w:bCs/>
          <w:color w:val="000000"/>
        </w:rPr>
        <w:t>80 (Rev.WRC-07)</w:t>
      </w:r>
      <w:r w:rsidRPr="00830720">
        <w:rPr>
          <w:color w:val="000000"/>
        </w:rPr>
        <w:t xml:space="preserve"> continued to review the preliminary draft report of the RRB to WRC-19 under Resolution </w:t>
      </w:r>
      <w:r w:rsidRPr="00830720">
        <w:rPr>
          <w:b/>
          <w:bCs/>
          <w:color w:val="000000"/>
        </w:rPr>
        <w:t>80 (Rev.WRC-07)</w:t>
      </w:r>
      <w:r w:rsidRPr="00830720">
        <w:rPr>
          <w:color w:val="000000"/>
        </w:rPr>
        <w:t xml:space="preserve"> and the Board decided to submit the revised draft report to the 80</w:t>
      </w:r>
      <w:r w:rsidRPr="00830720">
        <w:rPr>
          <w:color w:val="000000"/>
          <w:vertAlign w:val="superscript"/>
        </w:rPr>
        <w:t>th</w:t>
      </w:r>
      <w:r w:rsidRPr="00830720">
        <w:rPr>
          <w:color w:val="000000"/>
        </w:rPr>
        <w:t xml:space="preserve"> meeting for further study and review. </w:t>
      </w:r>
    </w:p>
    <w:p w14:paraId="0FEB9782" w14:textId="4D2C4F94" w:rsidR="005D22D4" w:rsidRPr="000905A6" w:rsidRDefault="005D22D4" w:rsidP="005D22D4">
      <w:pPr>
        <w:jc w:val="both"/>
        <w:rPr>
          <w:b/>
          <w:lang w:val="en-NZ"/>
        </w:rPr>
      </w:pPr>
      <w:r w:rsidRPr="000905A6">
        <w:rPr>
          <w:b/>
          <w:lang w:val="en-NZ"/>
        </w:rPr>
        <w:t>Relevant ITU-</w:t>
      </w:r>
      <w:bookmarkStart w:id="0" w:name="_GoBack"/>
      <w:bookmarkEnd w:id="0"/>
      <w:r w:rsidRPr="000905A6">
        <w:rPr>
          <w:b/>
          <w:lang w:val="en-NZ"/>
        </w:rPr>
        <w:t xml:space="preserve">R Recommendations and Reports </w:t>
      </w:r>
    </w:p>
    <w:p w14:paraId="5C200A73" w14:textId="77777777" w:rsidR="005D22D4" w:rsidRPr="000905A6" w:rsidRDefault="0079707A" w:rsidP="005D22D4">
      <w:pPr>
        <w:numPr>
          <w:ilvl w:val="0"/>
          <w:numId w:val="14"/>
        </w:numPr>
        <w:ind w:leftChars="145" w:left="708"/>
        <w:jc w:val="both"/>
      </w:pPr>
      <w:hyperlink r:id="rId8" w:history="1">
        <w:r w:rsidR="005D22D4" w:rsidRPr="000905A6">
          <w:rPr>
            <w:rStyle w:val="Hyperlink"/>
          </w:rPr>
          <w:t>RRB17-2</w:t>
        </w:r>
      </w:hyperlink>
      <w:r w:rsidR="005D22D4" w:rsidRPr="000905A6">
        <w:t>: Minutes of the 75</w:t>
      </w:r>
      <w:r w:rsidR="005D22D4" w:rsidRPr="000905A6">
        <w:rPr>
          <w:vertAlign w:val="superscript"/>
        </w:rPr>
        <w:t>th</w:t>
      </w:r>
      <w:r w:rsidR="005D22D4" w:rsidRPr="000905A6">
        <w:t xml:space="preserve"> Meeting of the Radio Regulations Board</w:t>
      </w:r>
    </w:p>
    <w:p w14:paraId="543DCEC5" w14:textId="6776D0B7" w:rsidR="005D22D4" w:rsidRDefault="0079707A" w:rsidP="005D22D4">
      <w:pPr>
        <w:numPr>
          <w:ilvl w:val="0"/>
          <w:numId w:val="14"/>
        </w:numPr>
        <w:ind w:leftChars="145" w:left="708"/>
        <w:jc w:val="both"/>
      </w:pPr>
      <w:hyperlink r:id="rId9" w:history="1">
        <w:r w:rsidR="005D22D4" w:rsidRPr="000905A6">
          <w:rPr>
            <w:rStyle w:val="Hyperlink"/>
          </w:rPr>
          <w:t>RRB17-3</w:t>
        </w:r>
      </w:hyperlink>
      <w:r w:rsidR="005D22D4" w:rsidRPr="000905A6">
        <w:t>: Minutes of the 76</w:t>
      </w:r>
      <w:r w:rsidR="005D22D4" w:rsidRPr="000905A6">
        <w:rPr>
          <w:vertAlign w:val="superscript"/>
        </w:rPr>
        <w:t>th</w:t>
      </w:r>
      <w:r w:rsidR="005D22D4" w:rsidRPr="000905A6">
        <w:t xml:space="preserve"> Meeting of the Radio Regulations Board</w:t>
      </w:r>
    </w:p>
    <w:p w14:paraId="28D3279A" w14:textId="3BCC783B" w:rsidR="00830720" w:rsidRDefault="0079707A" w:rsidP="00830720">
      <w:pPr>
        <w:numPr>
          <w:ilvl w:val="0"/>
          <w:numId w:val="14"/>
        </w:numPr>
        <w:ind w:leftChars="145" w:left="708"/>
        <w:jc w:val="both"/>
      </w:pPr>
      <w:hyperlink r:id="rId10" w:history="1">
        <w:r w:rsidR="00830720">
          <w:rPr>
            <w:rStyle w:val="Hyperlink"/>
          </w:rPr>
          <w:t>RRB18-1</w:t>
        </w:r>
      </w:hyperlink>
      <w:r w:rsidR="00830720" w:rsidRPr="000905A6">
        <w:t>: Minutes of the 7</w:t>
      </w:r>
      <w:r w:rsidR="00830720">
        <w:t>7</w:t>
      </w:r>
      <w:r w:rsidR="00830720" w:rsidRPr="000905A6">
        <w:rPr>
          <w:vertAlign w:val="superscript"/>
        </w:rPr>
        <w:t>th</w:t>
      </w:r>
      <w:r w:rsidR="00830720" w:rsidRPr="000905A6">
        <w:t xml:space="preserve"> Meeting of the Radio Regulations Board</w:t>
      </w:r>
    </w:p>
    <w:p w14:paraId="47A3182F" w14:textId="2E3CAF38" w:rsidR="00830720" w:rsidRDefault="0079707A" w:rsidP="00830720">
      <w:pPr>
        <w:numPr>
          <w:ilvl w:val="0"/>
          <w:numId w:val="14"/>
        </w:numPr>
        <w:ind w:leftChars="145" w:left="708"/>
        <w:jc w:val="both"/>
      </w:pPr>
      <w:hyperlink r:id="rId11" w:history="1">
        <w:r w:rsidR="00830720">
          <w:rPr>
            <w:rStyle w:val="Hyperlink"/>
          </w:rPr>
          <w:t>RRB18-2</w:t>
        </w:r>
      </w:hyperlink>
      <w:r w:rsidR="00830720" w:rsidRPr="000905A6">
        <w:t>: Minutes of the 7</w:t>
      </w:r>
      <w:r w:rsidR="00830720">
        <w:t>8</w:t>
      </w:r>
      <w:r w:rsidR="00830720" w:rsidRPr="000905A6">
        <w:rPr>
          <w:vertAlign w:val="superscript"/>
        </w:rPr>
        <w:t>th</w:t>
      </w:r>
      <w:r w:rsidR="00830720" w:rsidRPr="000905A6">
        <w:t xml:space="preserve"> Meeting of the Radio Regulations Board</w:t>
      </w:r>
    </w:p>
    <w:p w14:paraId="56E3A9BA" w14:textId="5AE749F1" w:rsidR="00830720" w:rsidRDefault="0079707A" w:rsidP="00830720">
      <w:pPr>
        <w:numPr>
          <w:ilvl w:val="0"/>
          <w:numId w:val="14"/>
        </w:numPr>
        <w:ind w:leftChars="145" w:left="708"/>
        <w:jc w:val="both"/>
      </w:pPr>
      <w:hyperlink r:id="rId12" w:history="1">
        <w:r w:rsidR="00830720" w:rsidRPr="000905A6">
          <w:rPr>
            <w:rStyle w:val="Hyperlink"/>
          </w:rPr>
          <w:t>RRB1</w:t>
        </w:r>
        <w:r w:rsidR="00830720">
          <w:rPr>
            <w:rStyle w:val="Hyperlink"/>
          </w:rPr>
          <w:t>8-3</w:t>
        </w:r>
      </w:hyperlink>
      <w:r w:rsidR="00830720" w:rsidRPr="000905A6">
        <w:t xml:space="preserve">: </w:t>
      </w:r>
      <w:r w:rsidR="00830720">
        <w:t xml:space="preserve">Summary of Decisions of the </w:t>
      </w:r>
      <w:r w:rsidR="00830720" w:rsidRPr="000905A6">
        <w:t>7</w:t>
      </w:r>
      <w:r w:rsidR="00830720">
        <w:t>9</w:t>
      </w:r>
      <w:r w:rsidR="00830720" w:rsidRPr="000905A6">
        <w:rPr>
          <w:vertAlign w:val="superscript"/>
        </w:rPr>
        <w:t>th</w:t>
      </w:r>
      <w:r w:rsidR="00830720" w:rsidRPr="000905A6">
        <w:t xml:space="preserve"> Meeting of the Radio Regulations Board</w:t>
      </w:r>
      <w:r w:rsidR="00830720">
        <w:t xml:space="preserve"> </w:t>
      </w:r>
      <w:r w:rsidR="00830720" w:rsidRPr="00830720">
        <w:rPr>
          <w:i/>
        </w:rPr>
        <w:t>(Minutes of the 78</w:t>
      </w:r>
      <w:r w:rsidR="00830720" w:rsidRPr="00830720">
        <w:rPr>
          <w:i/>
          <w:vertAlign w:val="superscript"/>
        </w:rPr>
        <w:t>th</w:t>
      </w:r>
      <w:r w:rsidR="00830720" w:rsidRPr="00830720">
        <w:rPr>
          <w:i/>
        </w:rPr>
        <w:t xml:space="preserve"> Meeting of the Radio Regulations Board has not been published at the time of this meeting)</w:t>
      </w:r>
    </w:p>
    <w:p w14:paraId="5431E741" w14:textId="77777777" w:rsidR="00B4735D" w:rsidRPr="000905A6" w:rsidRDefault="00B4735D" w:rsidP="00830720">
      <w:pPr>
        <w:ind w:left="708"/>
        <w:jc w:val="both"/>
      </w:pPr>
    </w:p>
    <w:p w14:paraId="74ABFACB" w14:textId="77777777" w:rsidR="00AB1FCD" w:rsidRPr="00972BD0" w:rsidRDefault="00AB1FCD" w:rsidP="00BA3933">
      <w:pPr>
        <w:pStyle w:val="Style3"/>
      </w:pPr>
      <w:r w:rsidRPr="00972BD0">
        <w:t xml:space="preserve">2. </w:t>
      </w:r>
      <w:r w:rsidRPr="00972BD0">
        <w:tab/>
        <w:t>Documents</w:t>
      </w:r>
    </w:p>
    <w:p w14:paraId="04C12C0B" w14:textId="34F0E1D5" w:rsidR="00AB1FCD" w:rsidRPr="00972BD0" w:rsidRDefault="00AB1FCD" w:rsidP="0096270D">
      <w:pPr>
        <w:numPr>
          <w:ilvl w:val="0"/>
          <w:numId w:val="14"/>
        </w:numPr>
        <w:ind w:leftChars="145" w:left="708"/>
        <w:jc w:val="both"/>
        <w:rPr>
          <w:lang w:val="en-NZ"/>
        </w:rPr>
      </w:pPr>
      <w:r w:rsidRPr="00972BD0">
        <w:t xml:space="preserve">Input Documents: </w:t>
      </w:r>
      <w:r w:rsidR="006609BD">
        <w:t>APG19-/INP-</w:t>
      </w:r>
      <w:hyperlink r:id="rId13" w:history="1">
        <w:r w:rsidR="006609BD">
          <w:rPr>
            <w:rStyle w:val="Hyperlink"/>
            <w:lang w:eastAsia="ko-KR"/>
          </w:rPr>
          <w:t>20 (AUS)</w:t>
        </w:r>
      </w:hyperlink>
      <w:r w:rsidR="00F254EF" w:rsidRPr="00972BD0">
        <w:rPr>
          <w:lang w:val="en-NZ"/>
        </w:rPr>
        <w:t xml:space="preserve"> </w:t>
      </w:r>
    </w:p>
    <w:p w14:paraId="3FDABBCC" w14:textId="200724ED" w:rsidR="00AB1FCD" w:rsidRPr="00972BD0" w:rsidRDefault="00AB1FCD" w:rsidP="00972BD0">
      <w:pPr>
        <w:numPr>
          <w:ilvl w:val="0"/>
          <w:numId w:val="14"/>
        </w:numPr>
        <w:ind w:leftChars="145" w:left="708"/>
        <w:jc w:val="both"/>
        <w:rPr>
          <w:rStyle w:val="Hyperlink"/>
          <w:color w:val="auto"/>
          <w:u w:val="none"/>
          <w:lang w:val="en-NZ"/>
        </w:rPr>
      </w:pPr>
      <w:r w:rsidRPr="00972BD0">
        <w:t xml:space="preserve">Information Documents: </w:t>
      </w:r>
      <w:r w:rsidR="006609BD">
        <w:t>APG19-/INP-</w:t>
      </w:r>
      <w:hyperlink r:id="rId14" w:history="1">
        <w:r w:rsidR="006609BD">
          <w:rPr>
            <w:rStyle w:val="Hyperlink"/>
          </w:rPr>
          <w:t>09(Rev.1) (ASMG, ATU)</w:t>
        </w:r>
      </w:hyperlink>
      <w:r w:rsidR="00CF5A36">
        <w:t xml:space="preserve">, </w:t>
      </w:r>
      <w:r w:rsidR="006609BD">
        <w:t>APG19-/INF-</w:t>
      </w:r>
      <w:hyperlink r:id="rId15" w:history="1">
        <w:r w:rsidR="006609BD">
          <w:rPr>
            <w:rStyle w:val="Hyperlink"/>
          </w:rPr>
          <w:t>02 (WMO)</w:t>
        </w:r>
      </w:hyperlink>
      <w:r w:rsidR="00CF5A36" w:rsidRPr="004E19F9">
        <w:rPr>
          <w:rStyle w:val="Hyperlink"/>
          <w:u w:val="none"/>
        </w:rPr>
        <w:t xml:space="preserve">, </w:t>
      </w:r>
      <w:hyperlink r:id="rId16" w:history="1">
        <w:r w:rsidR="006609BD">
          <w:rPr>
            <w:rStyle w:val="Hyperlink"/>
          </w:rPr>
          <w:t>03 (IARU)</w:t>
        </w:r>
      </w:hyperlink>
      <w:r w:rsidR="00972BD0" w:rsidRPr="00972BD0">
        <w:t xml:space="preserve">, </w:t>
      </w:r>
      <w:hyperlink r:id="rId17" w:history="1">
        <w:r w:rsidR="006609BD">
          <w:rPr>
            <w:rStyle w:val="Hyperlink"/>
          </w:rPr>
          <w:t>04 (ICAO)</w:t>
        </w:r>
      </w:hyperlink>
      <w:r w:rsidR="00972BD0" w:rsidRPr="00972BD0">
        <w:t xml:space="preserve">, </w:t>
      </w:r>
      <w:hyperlink r:id="rId18" w:history="1">
        <w:r w:rsidR="006609BD">
          <w:rPr>
            <w:rStyle w:val="Hyperlink"/>
            <w:lang w:eastAsia="ko-KR"/>
          </w:rPr>
          <w:t>22 (CITEL)</w:t>
        </w:r>
      </w:hyperlink>
      <w:r w:rsidR="00972BD0" w:rsidRPr="00972BD0">
        <w:rPr>
          <w:lang w:eastAsia="ko-KR"/>
        </w:rPr>
        <w:t xml:space="preserve">, </w:t>
      </w:r>
      <w:hyperlink r:id="rId19" w:history="1">
        <w:r w:rsidR="006609BD">
          <w:rPr>
            <w:rStyle w:val="Hyperlink"/>
            <w:lang w:eastAsia="ko-KR"/>
          </w:rPr>
          <w:t>23 (CEPT)</w:t>
        </w:r>
      </w:hyperlink>
      <w:r w:rsidR="00972BD0" w:rsidRPr="00972BD0">
        <w:rPr>
          <w:rStyle w:val="Hyperlink"/>
          <w:color w:val="auto"/>
          <w:u w:val="none"/>
          <w:lang w:eastAsia="ko-KR"/>
        </w:rPr>
        <w:t xml:space="preserve">, </w:t>
      </w:r>
      <w:hyperlink r:id="rId20" w:history="1">
        <w:r w:rsidR="006609BD">
          <w:rPr>
            <w:rStyle w:val="Hyperlink"/>
          </w:rPr>
          <w:t>24 (RCC)</w:t>
        </w:r>
      </w:hyperlink>
    </w:p>
    <w:p w14:paraId="14F7BFA9" w14:textId="77777777" w:rsidR="00972BD0" w:rsidRPr="00972BD0" w:rsidRDefault="00972BD0" w:rsidP="00972BD0">
      <w:pPr>
        <w:ind w:left="708"/>
        <w:jc w:val="both"/>
        <w:rPr>
          <w:lang w:val="en-NZ"/>
        </w:rPr>
      </w:pPr>
    </w:p>
    <w:p w14:paraId="456368E3" w14:textId="77777777" w:rsidR="00AB1FCD" w:rsidRPr="00972BD0" w:rsidRDefault="00AB1FCD" w:rsidP="00BA3933">
      <w:pPr>
        <w:pStyle w:val="Style3"/>
      </w:pPr>
      <w:r w:rsidRPr="00972BD0">
        <w:t xml:space="preserve">3. </w:t>
      </w:r>
      <w:r w:rsidRPr="00972BD0">
        <w:tab/>
        <w:t>Summary of discussions</w:t>
      </w:r>
    </w:p>
    <w:p w14:paraId="79F2D403" w14:textId="77777777" w:rsidR="0096270D" w:rsidRPr="00972BD0" w:rsidRDefault="0096270D" w:rsidP="00ED0AF9"/>
    <w:p w14:paraId="11BBACE7" w14:textId="4C6280C5" w:rsidR="00AB1FCD" w:rsidRPr="00972BD0" w:rsidRDefault="00AB1FCD" w:rsidP="00B956F8">
      <w:pPr>
        <w:pStyle w:val="Style2"/>
      </w:pPr>
      <w:r w:rsidRPr="00972BD0">
        <w:t>3.1</w:t>
      </w:r>
      <w:r w:rsidRPr="00972BD0">
        <w:tab/>
        <w:t>Summary of APT Members’ views</w:t>
      </w:r>
    </w:p>
    <w:p w14:paraId="213EDE4D" w14:textId="77777777" w:rsidR="0096270D" w:rsidRPr="00972BD0" w:rsidRDefault="0096270D" w:rsidP="00ED0AF9"/>
    <w:p w14:paraId="0216A3A8" w14:textId="52C5F0D4" w:rsidR="0096270D" w:rsidRPr="00972BD0" w:rsidRDefault="00AB1FCD" w:rsidP="00ED0AF9">
      <w:pPr>
        <w:pStyle w:val="Style1"/>
        <w:rPr>
          <w:rStyle w:val="Hyperlink"/>
          <w:color w:val="auto"/>
          <w:u w:val="none"/>
        </w:rPr>
      </w:pPr>
      <w:r w:rsidRPr="00972BD0">
        <w:t xml:space="preserve">3.1.1 </w:t>
      </w:r>
      <w:r w:rsidRPr="00972BD0">
        <w:tab/>
      </w:r>
      <w:r w:rsidR="0096270D" w:rsidRPr="00972BD0">
        <w:t xml:space="preserve">Australia </w:t>
      </w:r>
      <w:r w:rsidR="005B3573" w:rsidRPr="00972BD0">
        <w:t xml:space="preserve">– Document </w:t>
      </w:r>
      <w:r w:rsidR="006609BD">
        <w:t>APG19-4/INP-20</w:t>
      </w:r>
    </w:p>
    <w:p w14:paraId="4AD213BE" w14:textId="77777777" w:rsidR="00F254EF" w:rsidRPr="00F254EF" w:rsidRDefault="00F254EF" w:rsidP="00F254EF">
      <w:pPr>
        <w:numPr>
          <w:ilvl w:val="0"/>
          <w:numId w:val="14"/>
        </w:numPr>
        <w:ind w:leftChars="145" w:left="708"/>
        <w:jc w:val="both"/>
        <w:rPr>
          <w:snapToGrid w:val="0"/>
          <w:lang w:val="en-AU"/>
        </w:rPr>
      </w:pPr>
      <w:r w:rsidRPr="00972BD0">
        <w:rPr>
          <w:lang w:val="en-GB" w:eastAsia="ko-KR"/>
        </w:rPr>
        <w:t>Australia</w:t>
      </w:r>
      <w:r w:rsidRPr="00972BD0">
        <w:rPr>
          <w:snapToGrid w:val="0"/>
          <w:lang w:val="en-AU"/>
        </w:rPr>
        <w:t xml:space="preserve"> will monitor progress on this agenda item including development of reports to WRC-19 on action</w:t>
      </w:r>
      <w:r w:rsidRPr="00F254EF">
        <w:rPr>
          <w:snapToGrid w:val="0"/>
          <w:lang w:val="en-AU"/>
        </w:rPr>
        <w:t xml:space="preserve"> in response to Resolution </w:t>
      </w:r>
      <w:r w:rsidRPr="00F254EF">
        <w:rPr>
          <w:b/>
          <w:snapToGrid w:val="0"/>
          <w:lang w:val="en-AU"/>
        </w:rPr>
        <w:t>80 (Rev.WRC-07)</w:t>
      </w:r>
      <w:r w:rsidRPr="00F254EF">
        <w:rPr>
          <w:snapToGrid w:val="0"/>
          <w:lang w:val="en-AU"/>
        </w:rPr>
        <w:t xml:space="preserve"> from:</w:t>
      </w:r>
    </w:p>
    <w:p w14:paraId="784C3271" w14:textId="35F46CD2" w:rsidR="00F254EF" w:rsidRPr="00F254EF" w:rsidRDefault="00F254EF" w:rsidP="00F254EF">
      <w:pPr>
        <w:pStyle w:val="ListParagraph"/>
        <w:numPr>
          <w:ilvl w:val="0"/>
          <w:numId w:val="15"/>
        </w:numPr>
        <w:rPr>
          <w:snapToGrid w:val="0"/>
          <w:lang w:val="en-AU"/>
        </w:rPr>
      </w:pPr>
      <w:r w:rsidRPr="00F254EF">
        <w:rPr>
          <w:snapToGrid w:val="0"/>
          <w:lang w:val="en-AU"/>
        </w:rPr>
        <w:t>the Radio Regulations Board, and</w:t>
      </w:r>
    </w:p>
    <w:p w14:paraId="0385E0B8" w14:textId="0E53DE3A" w:rsidR="00F254EF" w:rsidRPr="00F254EF" w:rsidRDefault="00F254EF" w:rsidP="00F254EF">
      <w:pPr>
        <w:pStyle w:val="ListParagraph"/>
        <w:numPr>
          <w:ilvl w:val="0"/>
          <w:numId w:val="15"/>
        </w:numPr>
        <w:rPr>
          <w:snapToGrid w:val="0"/>
          <w:lang w:val="en-AU"/>
        </w:rPr>
      </w:pPr>
      <w:r w:rsidRPr="00F254EF">
        <w:rPr>
          <w:snapToGrid w:val="0"/>
          <w:lang w:val="en-AU"/>
        </w:rPr>
        <w:t xml:space="preserve">the Radiocommunication Bureau Director’s Report to WRC-19. </w:t>
      </w:r>
    </w:p>
    <w:p w14:paraId="23673E69" w14:textId="1B53ACD4" w:rsidR="00F254EF" w:rsidRPr="00F254EF" w:rsidRDefault="00F254EF" w:rsidP="00F254EF">
      <w:pPr>
        <w:numPr>
          <w:ilvl w:val="0"/>
          <w:numId w:val="14"/>
        </w:numPr>
        <w:ind w:leftChars="145" w:left="708"/>
        <w:jc w:val="both"/>
        <w:rPr>
          <w:snapToGrid w:val="0"/>
          <w:lang w:val="en-AU"/>
        </w:rPr>
      </w:pPr>
      <w:r w:rsidRPr="00F254EF">
        <w:rPr>
          <w:snapToGrid w:val="0"/>
          <w:lang w:val="en-AU"/>
        </w:rPr>
        <w:t xml:space="preserve">As </w:t>
      </w:r>
      <w:r w:rsidRPr="00F254EF">
        <w:rPr>
          <w:lang w:val="en-GB" w:eastAsia="ko-KR"/>
        </w:rPr>
        <w:t>well</w:t>
      </w:r>
      <w:r w:rsidRPr="00F254EF">
        <w:rPr>
          <w:snapToGrid w:val="0"/>
          <w:lang w:val="en-AU"/>
        </w:rPr>
        <w:t xml:space="preserve"> as any activity from ITU-R Working Party 4A, the Radiocommunication Advisory Group relevant to Resolution </w:t>
      </w:r>
      <w:r w:rsidRPr="00F254EF">
        <w:rPr>
          <w:b/>
          <w:snapToGrid w:val="0"/>
          <w:lang w:val="en-AU"/>
        </w:rPr>
        <w:t>80 (Rev.WRC-07)</w:t>
      </w:r>
      <w:r w:rsidRPr="00F254EF">
        <w:rPr>
          <w:snapToGrid w:val="0"/>
          <w:lang w:val="en-AU"/>
        </w:rPr>
        <w:t>.</w:t>
      </w:r>
    </w:p>
    <w:p w14:paraId="33291807" w14:textId="77777777" w:rsidR="00D111F8" w:rsidRPr="00ED0AF9" w:rsidRDefault="00D111F8" w:rsidP="00ED0AF9"/>
    <w:p w14:paraId="0BD0634E" w14:textId="77777777" w:rsidR="005D22D4" w:rsidRPr="000905A6" w:rsidRDefault="005D22D4" w:rsidP="005D22D4">
      <w:pPr>
        <w:pStyle w:val="Style2"/>
      </w:pPr>
      <w:r w:rsidRPr="000905A6">
        <w:t xml:space="preserve">3.2 </w:t>
      </w:r>
      <w:r w:rsidRPr="000905A6">
        <w:tab/>
        <w:t>Summary of issues raised during the meeting</w:t>
      </w:r>
    </w:p>
    <w:p w14:paraId="547E5F3B" w14:textId="77777777" w:rsidR="005D22D4" w:rsidRPr="002E6C5D" w:rsidRDefault="005D22D4" w:rsidP="005D22D4">
      <w:pPr>
        <w:numPr>
          <w:ilvl w:val="0"/>
          <w:numId w:val="14"/>
        </w:numPr>
        <w:ind w:leftChars="145" w:left="708"/>
        <w:jc w:val="both"/>
        <w:rPr>
          <w:lang w:val="en-NZ"/>
        </w:rPr>
      </w:pPr>
      <w:r>
        <w:rPr>
          <w:lang w:val="en-NZ"/>
        </w:rPr>
        <w:t>None.</w:t>
      </w:r>
    </w:p>
    <w:p w14:paraId="0F18479C" w14:textId="77777777" w:rsidR="005D22D4" w:rsidRDefault="005D22D4" w:rsidP="005D22D4">
      <w:pPr>
        <w:jc w:val="both"/>
        <w:rPr>
          <w:b/>
          <w:lang w:val="en-NZ" w:eastAsia="ko-KR"/>
        </w:rPr>
      </w:pPr>
    </w:p>
    <w:p w14:paraId="317FD1BD" w14:textId="77777777" w:rsidR="005D22D4" w:rsidRPr="000905A6" w:rsidRDefault="005D22D4" w:rsidP="005D22D4">
      <w:pPr>
        <w:pStyle w:val="Style3"/>
      </w:pPr>
      <w:r w:rsidRPr="000905A6">
        <w:t xml:space="preserve">4. </w:t>
      </w:r>
      <w:r w:rsidRPr="000905A6">
        <w:tab/>
        <w:t>APT Preliminary View(s)</w:t>
      </w:r>
    </w:p>
    <w:p w14:paraId="0F9DFDA1" w14:textId="2F04CE3E" w:rsidR="005D22D4" w:rsidRPr="006609BD" w:rsidRDefault="005D22D4" w:rsidP="004905AB">
      <w:pPr>
        <w:numPr>
          <w:ilvl w:val="0"/>
          <w:numId w:val="14"/>
        </w:numPr>
        <w:ind w:leftChars="145" w:left="708"/>
        <w:jc w:val="both"/>
        <w:rPr>
          <w:rFonts w:eastAsiaTheme="minorEastAsia"/>
          <w:snapToGrid w:val="0"/>
        </w:rPr>
      </w:pPr>
      <w:r w:rsidRPr="006609BD">
        <w:rPr>
          <w:rFonts w:eastAsiaTheme="minorEastAsia"/>
          <w:snapToGrid w:val="0"/>
        </w:rPr>
        <w:t xml:space="preserve">APT Members support the ITU-R </w:t>
      </w:r>
      <w:r w:rsidR="00793BE9" w:rsidRPr="006609BD">
        <w:rPr>
          <w:rFonts w:eastAsiaTheme="minorEastAsia"/>
          <w:snapToGrid w:val="0"/>
        </w:rPr>
        <w:t xml:space="preserve">studies </w:t>
      </w:r>
      <w:r w:rsidRPr="006609BD">
        <w:rPr>
          <w:rFonts w:eastAsiaTheme="minorEastAsia"/>
          <w:snapToGrid w:val="0"/>
        </w:rPr>
        <w:t xml:space="preserve">on this issue, in accordance with Resolution </w:t>
      </w:r>
      <w:r w:rsidRPr="006609BD">
        <w:rPr>
          <w:rFonts w:eastAsiaTheme="minorEastAsia"/>
          <w:b/>
          <w:snapToGrid w:val="0"/>
        </w:rPr>
        <w:t>80 (Rev.WRC-07)</w:t>
      </w:r>
      <w:r w:rsidRPr="006609BD">
        <w:rPr>
          <w:rFonts w:eastAsiaTheme="minorEastAsia"/>
          <w:snapToGrid w:val="0"/>
        </w:rPr>
        <w:t xml:space="preserve">. </w:t>
      </w:r>
    </w:p>
    <w:p w14:paraId="3B17C548" w14:textId="4B061732" w:rsidR="005D22D4" w:rsidRPr="006609BD" w:rsidRDefault="005D22D4" w:rsidP="00CD2A72">
      <w:pPr>
        <w:numPr>
          <w:ilvl w:val="0"/>
          <w:numId w:val="14"/>
        </w:numPr>
        <w:ind w:leftChars="145" w:left="708"/>
        <w:jc w:val="both"/>
        <w:rPr>
          <w:b/>
        </w:rPr>
      </w:pPr>
      <w:r w:rsidRPr="006609BD">
        <w:rPr>
          <w:rFonts w:eastAsiaTheme="minorEastAsia"/>
          <w:snapToGrid w:val="0"/>
        </w:rPr>
        <w:t xml:space="preserve">APT Members are encouraged to consider the Radiocommunication Bureau Director’s Report to WRC-19 on any responses to Resolution </w:t>
      </w:r>
      <w:r w:rsidRPr="006609BD">
        <w:rPr>
          <w:rFonts w:eastAsiaTheme="minorEastAsia"/>
          <w:b/>
          <w:snapToGrid w:val="0"/>
        </w:rPr>
        <w:t xml:space="preserve">80 (Rev.WRC-07) </w:t>
      </w:r>
      <w:r w:rsidRPr="006609BD">
        <w:rPr>
          <w:rFonts w:eastAsiaTheme="minorEastAsia"/>
          <w:snapToGrid w:val="0"/>
        </w:rPr>
        <w:t xml:space="preserve">that may include the outcome of the Radio Regulations Board under Resolution </w:t>
      </w:r>
      <w:r w:rsidRPr="006609BD">
        <w:rPr>
          <w:rFonts w:eastAsiaTheme="minorEastAsia"/>
          <w:b/>
          <w:snapToGrid w:val="0"/>
        </w:rPr>
        <w:t>80 (Rev.WRC-07).</w:t>
      </w:r>
    </w:p>
    <w:p w14:paraId="19F8330D" w14:textId="77777777" w:rsidR="005D22D4" w:rsidRDefault="005D22D4" w:rsidP="005D22D4">
      <w:pPr>
        <w:jc w:val="both"/>
        <w:rPr>
          <w:b/>
          <w:lang w:val="en-NZ" w:eastAsia="ko-KR"/>
        </w:rPr>
      </w:pPr>
    </w:p>
    <w:p w14:paraId="61CB2FAB" w14:textId="77777777" w:rsidR="005D22D4" w:rsidRPr="000905A6" w:rsidRDefault="005D22D4" w:rsidP="005D22D4">
      <w:pPr>
        <w:pStyle w:val="Style3"/>
      </w:pPr>
      <w:r w:rsidRPr="000905A6">
        <w:t xml:space="preserve">5. </w:t>
      </w:r>
      <w:r w:rsidRPr="000905A6">
        <w:tab/>
        <w:t>Other View(s)</w:t>
      </w:r>
    </w:p>
    <w:p w14:paraId="4AF0AAEE" w14:textId="77777777" w:rsidR="005D22D4" w:rsidRPr="002E6C5D" w:rsidRDefault="005D22D4" w:rsidP="005D22D4">
      <w:pPr>
        <w:numPr>
          <w:ilvl w:val="0"/>
          <w:numId w:val="14"/>
        </w:numPr>
        <w:ind w:leftChars="145" w:left="708"/>
        <w:jc w:val="both"/>
        <w:rPr>
          <w:lang w:val="en-NZ"/>
        </w:rPr>
      </w:pPr>
      <w:r>
        <w:rPr>
          <w:lang w:val="en-NZ"/>
        </w:rPr>
        <w:t>None.</w:t>
      </w:r>
    </w:p>
    <w:p w14:paraId="2102A37F" w14:textId="45CB19AB" w:rsidR="00AB1FCD" w:rsidRDefault="00AB1FCD" w:rsidP="00AB1FCD">
      <w:pPr>
        <w:rPr>
          <w:b/>
          <w:highlight w:val="yellow"/>
          <w:lang w:val="en-NZ"/>
        </w:rPr>
      </w:pPr>
    </w:p>
    <w:p w14:paraId="7D46F53B" w14:textId="77777777" w:rsidR="00AB1FCD" w:rsidRPr="00D607D1" w:rsidRDefault="00AB1FCD" w:rsidP="00BA3933">
      <w:pPr>
        <w:pStyle w:val="Style3"/>
      </w:pPr>
      <w:r w:rsidRPr="00D607D1">
        <w:t xml:space="preserve">6. </w:t>
      </w:r>
      <w:r w:rsidRPr="00D607D1">
        <w:tab/>
        <w:t>Issues for Consideration at Next APG Meeting</w:t>
      </w:r>
    </w:p>
    <w:p w14:paraId="0C544C4A" w14:textId="410F1CBC" w:rsidR="005D22D4" w:rsidRPr="000905A6" w:rsidRDefault="005D22D4" w:rsidP="005D22D4">
      <w:pPr>
        <w:numPr>
          <w:ilvl w:val="0"/>
          <w:numId w:val="14"/>
        </w:numPr>
        <w:ind w:leftChars="145" w:left="708"/>
        <w:jc w:val="both"/>
        <w:rPr>
          <w:rFonts w:eastAsia="MS Mincho"/>
          <w:lang w:val="en-NZ" w:eastAsia="ja-JP"/>
        </w:rPr>
      </w:pPr>
      <w:bookmarkStart w:id="1" w:name="_Hlk508702110"/>
      <w:r w:rsidRPr="000905A6">
        <w:rPr>
          <w:rFonts w:eastAsia="MS Mincho"/>
          <w:lang w:val="en-NZ" w:eastAsia="ja-JP"/>
        </w:rPr>
        <w:t xml:space="preserve">APT </w:t>
      </w:r>
      <w:r w:rsidRPr="000905A6">
        <w:rPr>
          <w:lang w:val="en-NZ"/>
        </w:rPr>
        <w:t>Members</w:t>
      </w:r>
      <w:r w:rsidRPr="000905A6">
        <w:rPr>
          <w:rFonts w:eastAsia="MS Mincho"/>
          <w:lang w:val="en-NZ" w:eastAsia="ja-JP"/>
        </w:rPr>
        <w:t xml:space="preserve"> are invited to follow the progress of ITU-R studies and </w:t>
      </w:r>
      <w:r w:rsidRPr="000905A6">
        <w:rPr>
          <w:lang w:val="en-NZ"/>
        </w:rPr>
        <w:t xml:space="preserve">development of reports to WRC-19 on action in response to Resolution </w:t>
      </w:r>
      <w:r w:rsidRPr="00031EB4">
        <w:rPr>
          <w:b/>
          <w:lang w:val="en-NZ"/>
        </w:rPr>
        <w:t>80 (Rev.WRC-07)</w:t>
      </w:r>
      <w:r w:rsidRPr="000905A6">
        <w:rPr>
          <w:lang w:val="en-NZ"/>
        </w:rPr>
        <w:t xml:space="preserve"> from the Radio Regulations Board, and the Radiocommunication Bureau Director’s Report to WRC-19</w:t>
      </w:r>
      <w:r w:rsidR="009319F0">
        <w:rPr>
          <w:lang w:val="en-NZ"/>
        </w:rPr>
        <w:t xml:space="preserve"> </w:t>
      </w:r>
      <w:r>
        <w:rPr>
          <w:lang w:val="en-NZ"/>
        </w:rPr>
        <w:t xml:space="preserve">and </w:t>
      </w:r>
      <w:r w:rsidRPr="000905A6">
        <w:rPr>
          <w:rFonts w:eastAsia="MS Mincho"/>
          <w:lang w:val="en-NZ" w:eastAsia="ja-JP"/>
        </w:rPr>
        <w:t>are encouraged to submit their contributions for further considerations at the next meeting.</w:t>
      </w:r>
    </w:p>
    <w:bookmarkEnd w:id="1"/>
    <w:p w14:paraId="60B64783" w14:textId="77777777" w:rsidR="006E77F3" w:rsidRPr="00E258C5" w:rsidRDefault="006E77F3" w:rsidP="00AB1FCD">
      <w:pPr>
        <w:rPr>
          <w:b/>
          <w:highlight w:val="yellow"/>
          <w:lang w:val="en-NZ"/>
        </w:rPr>
      </w:pPr>
    </w:p>
    <w:p w14:paraId="7CF377A1" w14:textId="369D2153" w:rsidR="00AB1FCD" w:rsidRPr="00472A53" w:rsidRDefault="00AB1FCD" w:rsidP="00BA3933">
      <w:pPr>
        <w:pStyle w:val="Style3"/>
      </w:pPr>
      <w:r w:rsidRPr="00472A53">
        <w:lastRenderedPageBreak/>
        <w:t xml:space="preserve">7. </w:t>
      </w:r>
      <w:r w:rsidRPr="00472A53">
        <w:tab/>
        <w:t>Views from Other Organisations</w:t>
      </w:r>
    </w:p>
    <w:p w14:paraId="69F5C69E" w14:textId="77777777" w:rsidR="0018240F" w:rsidRPr="00472A53" w:rsidRDefault="0018240F" w:rsidP="0018240F"/>
    <w:p w14:paraId="234167AE" w14:textId="3A28F686" w:rsidR="00AB1FCD" w:rsidRPr="00472A53" w:rsidRDefault="00AB1FCD" w:rsidP="00B956F8">
      <w:pPr>
        <w:pStyle w:val="Style2"/>
      </w:pPr>
      <w:r w:rsidRPr="00472A53">
        <w:t xml:space="preserve">7.1 </w:t>
      </w:r>
      <w:r w:rsidRPr="00472A53">
        <w:tab/>
        <w:t>Regional Groups</w:t>
      </w:r>
    </w:p>
    <w:p w14:paraId="49FEC9D3" w14:textId="77777777" w:rsidR="0018240F" w:rsidRPr="00472A53" w:rsidRDefault="0018240F" w:rsidP="00B342A5"/>
    <w:p w14:paraId="1F33525C" w14:textId="55774609" w:rsidR="00AB1FCD" w:rsidRPr="00472A53" w:rsidRDefault="00AB1FCD" w:rsidP="00B956F8">
      <w:pPr>
        <w:pStyle w:val="Style1"/>
      </w:pPr>
      <w:r w:rsidRPr="00472A53">
        <w:t xml:space="preserve">7.1.1 </w:t>
      </w:r>
      <w:r w:rsidRPr="00472A53">
        <w:tab/>
        <w:t xml:space="preserve">ASMG </w:t>
      </w:r>
      <w:r w:rsidR="00CF5A36" w:rsidRPr="00472A53">
        <w:t>- Document APG19-/IN</w:t>
      </w:r>
      <w:r w:rsidR="00CF5A36">
        <w:t>P-09(Rev.1)</w:t>
      </w:r>
    </w:p>
    <w:p w14:paraId="7076C918" w14:textId="77777777" w:rsidR="00CF5A36" w:rsidRPr="00472A53" w:rsidRDefault="00CF5A36" w:rsidP="00CF5A36">
      <w:pPr>
        <w:numPr>
          <w:ilvl w:val="0"/>
          <w:numId w:val="14"/>
        </w:numPr>
        <w:ind w:leftChars="145" w:left="708"/>
        <w:jc w:val="both"/>
      </w:pPr>
      <w:r w:rsidRPr="00472A53">
        <w:t>None.</w:t>
      </w:r>
    </w:p>
    <w:p w14:paraId="72F1D863" w14:textId="77777777" w:rsidR="00AB1FCD" w:rsidRPr="00472A53" w:rsidRDefault="00AB1FCD" w:rsidP="00AB1FCD">
      <w:pPr>
        <w:ind w:left="708"/>
        <w:jc w:val="both"/>
        <w:rPr>
          <w:lang w:val="en-NZ"/>
        </w:rPr>
      </w:pPr>
    </w:p>
    <w:p w14:paraId="256454D7" w14:textId="2A6F3250" w:rsidR="00B342A5" w:rsidRPr="00472A53" w:rsidRDefault="00B342A5" w:rsidP="00B342A5">
      <w:pPr>
        <w:pStyle w:val="Style1"/>
      </w:pPr>
      <w:r w:rsidRPr="00472A53">
        <w:t xml:space="preserve">7.1.2 </w:t>
      </w:r>
      <w:r w:rsidRPr="00472A53">
        <w:tab/>
        <w:t>ATU - Document APG19-/IN</w:t>
      </w:r>
      <w:r w:rsidR="00CF5A36">
        <w:t>P-09(Rev.1)</w:t>
      </w:r>
    </w:p>
    <w:p w14:paraId="15177341" w14:textId="77777777" w:rsidR="00B342A5" w:rsidRPr="00472A53" w:rsidRDefault="00B342A5" w:rsidP="00B342A5">
      <w:pPr>
        <w:numPr>
          <w:ilvl w:val="0"/>
          <w:numId w:val="14"/>
        </w:numPr>
        <w:ind w:leftChars="145" w:left="708"/>
        <w:jc w:val="both"/>
      </w:pPr>
      <w:r w:rsidRPr="00472A53">
        <w:t>None.</w:t>
      </w:r>
    </w:p>
    <w:p w14:paraId="1C082827" w14:textId="77777777" w:rsidR="00AB1FCD" w:rsidRPr="00A05880" w:rsidRDefault="00AB1FCD" w:rsidP="00AB1FCD">
      <w:pPr>
        <w:jc w:val="both"/>
        <w:rPr>
          <w:b/>
          <w:highlight w:val="yellow"/>
          <w:lang w:val="en-NZ"/>
        </w:rPr>
      </w:pPr>
    </w:p>
    <w:p w14:paraId="7FF925C6" w14:textId="54BC740F" w:rsidR="00AB1FCD" w:rsidRPr="00B4735D" w:rsidRDefault="00AB1FCD" w:rsidP="00B956F8">
      <w:pPr>
        <w:pStyle w:val="Style1"/>
      </w:pPr>
      <w:r w:rsidRPr="00B4735D">
        <w:t xml:space="preserve">7.1.3 </w:t>
      </w:r>
      <w:r w:rsidRPr="00B4735D">
        <w:tab/>
        <w:t>CEPT - Document APG19-</w:t>
      </w:r>
      <w:r w:rsidR="0018240F" w:rsidRPr="00B4735D">
        <w:t>4</w:t>
      </w:r>
      <w:r w:rsidRPr="00B4735D">
        <w:t>/INF-</w:t>
      </w:r>
      <w:r w:rsidR="0018240F" w:rsidRPr="00B4735D">
        <w:t>23</w:t>
      </w:r>
    </w:p>
    <w:p w14:paraId="777AB140" w14:textId="359AD7BB" w:rsidR="0018240F" w:rsidRPr="00B4735D" w:rsidRDefault="00B36289" w:rsidP="00B36289">
      <w:pPr>
        <w:numPr>
          <w:ilvl w:val="0"/>
          <w:numId w:val="14"/>
        </w:numPr>
        <w:ind w:leftChars="145" w:left="708"/>
        <w:jc w:val="both"/>
      </w:pPr>
      <w:r w:rsidRPr="00B4735D">
        <w:t>CEPT follows the ITU-R studies on this aspect.</w:t>
      </w:r>
    </w:p>
    <w:p w14:paraId="1052E5CC" w14:textId="77777777" w:rsidR="00B36289" w:rsidRPr="00B4735D" w:rsidRDefault="00B36289" w:rsidP="00AB1FCD">
      <w:pPr>
        <w:ind w:left="708"/>
        <w:jc w:val="both"/>
        <w:rPr>
          <w:lang w:val="en-NZ"/>
        </w:rPr>
      </w:pPr>
    </w:p>
    <w:p w14:paraId="788656E4" w14:textId="35A94CFC" w:rsidR="00AB1FCD" w:rsidRPr="00B4735D" w:rsidRDefault="00AB1FCD" w:rsidP="00B956F8">
      <w:pPr>
        <w:pStyle w:val="Style1"/>
      </w:pPr>
      <w:r w:rsidRPr="00B4735D">
        <w:t xml:space="preserve">7.1.4 </w:t>
      </w:r>
      <w:r w:rsidRPr="00B4735D">
        <w:tab/>
        <w:t>CITEL - Document APG19-</w:t>
      </w:r>
      <w:r w:rsidR="004768D1" w:rsidRPr="00B4735D">
        <w:t>4</w:t>
      </w:r>
      <w:r w:rsidRPr="00B4735D">
        <w:t>/INF-</w:t>
      </w:r>
      <w:r w:rsidR="004768D1" w:rsidRPr="00B4735D">
        <w:t>22</w:t>
      </w:r>
    </w:p>
    <w:p w14:paraId="04B9FB34" w14:textId="3EBB8F87" w:rsidR="00B36289" w:rsidRPr="00B4735D" w:rsidRDefault="00B36289" w:rsidP="00B36289">
      <w:pPr>
        <w:numPr>
          <w:ilvl w:val="0"/>
          <w:numId w:val="14"/>
        </w:numPr>
        <w:ind w:leftChars="145" w:left="708"/>
        <w:jc w:val="both"/>
      </w:pPr>
      <w:r w:rsidRPr="00B4735D">
        <w:t>None.</w:t>
      </w:r>
    </w:p>
    <w:p w14:paraId="3C7DFFF1" w14:textId="77777777" w:rsidR="00427F0F" w:rsidRPr="00B4735D" w:rsidRDefault="00427F0F" w:rsidP="00427F0F">
      <w:pPr>
        <w:ind w:left="708"/>
        <w:jc w:val="both"/>
      </w:pPr>
    </w:p>
    <w:p w14:paraId="1575889C" w14:textId="393924A7" w:rsidR="00AB1FCD" w:rsidRPr="00B4735D" w:rsidRDefault="00AB1FCD" w:rsidP="00B956F8">
      <w:pPr>
        <w:pStyle w:val="Style1"/>
      </w:pPr>
      <w:r w:rsidRPr="00B4735D">
        <w:t>7.1.</w:t>
      </w:r>
      <w:r w:rsidR="004768D1" w:rsidRPr="00B4735D">
        <w:t xml:space="preserve">5 </w:t>
      </w:r>
      <w:r w:rsidR="004768D1" w:rsidRPr="00B4735D">
        <w:tab/>
        <w:t>RCC - Document APG19-4/INF-24</w:t>
      </w:r>
    </w:p>
    <w:p w14:paraId="4B490351" w14:textId="37CE553E" w:rsidR="004768D1" w:rsidRPr="00427F0F" w:rsidRDefault="00B36289" w:rsidP="00427F0F">
      <w:pPr>
        <w:numPr>
          <w:ilvl w:val="0"/>
          <w:numId w:val="14"/>
        </w:numPr>
        <w:ind w:leftChars="145" w:left="708"/>
        <w:jc w:val="both"/>
      </w:pPr>
      <w:r w:rsidRPr="00B4735D">
        <w:t>The RCC Administrations support the studies on the development of</w:t>
      </w:r>
      <w:r w:rsidR="00427F0F" w:rsidRPr="00B4735D">
        <w:t xml:space="preserve"> </w:t>
      </w:r>
      <w:r w:rsidRPr="00B4735D">
        <w:t>actions towards the</w:t>
      </w:r>
      <w:r w:rsidRPr="00427F0F">
        <w:t xml:space="preserve"> implementation of Resolution 80 for use of radio</w:t>
      </w:r>
      <w:r w:rsidR="00427F0F">
        <w:t xml:space="preserve"> </w:t>
      </w:r>
      <w:r w:rsidRPr="00427F0F">
        <w:t>spectrum as well as geostationary-satellite orbits and other satellite</w:t>
      </w:r>
      <w:r w:rsidR="00427F0F">
        <w:t xml:space="preserve"> </w:t>
      </w:r>
      <w:r w:rsidRPr="00427F0F">
        <w:t>orbits.</w:t>
      </w:r>
    </w:p>
    <w:p w14:paraId="12691C22" w14:textId="77777777" w:rsidR="00B36289" w:rsidRPr="00427F0F" w:rsidRDefault="00B36289" w:rsidP="00427F0F">
      <w:pPr>
        <w:ind w:left="348"/>
        <w:jc w:val="both"/>
      </w:pPr>
    </w:p>
    <w:p w14:paraId="4BA606A9" w14:textId="77777777" w:rsidR="00AB1FCD" w:rsidRPr="00472A53" w:rsidRDefault="00AB1FCD" w:rsidP="00B956F8">
      <w:pPr>
        <w:pStyle w:val="Style2"/>
      </w:pPr>
      <w:r w:rsidRPr="00472A53">
        <w:t xml:space="preserve">7.2 </w:t>
      </w:r>
      <w:r w:rsidRPr="00472A53">
        <w:tab/>
        <w:t>International Organisations</w:t>
      </w:r>
    </w:p>
    <w:p w14:paraId="48212D7B" w14:textId="77777777" w:rsidR="00F604C7" w:rsidRPr="00472A53" w:rsidRDefault="00F604C7" w:rsidP="00B956F8">
      <w:pPr>
        <w:pStyle w:val="Style1"/>
      </w:pPr>
    </w:p>
    <w:p w14:paraId="419DB540" w14:textId="77777777" w:rsidR="00B75E77" w:rsidRDefault="00B75E77" w:rsidP="00B75E77">
      <w:pPr>
        <w:pStyle w:val="Style1"/>
      </w:pPr>
      <w:r>
        <w:t xml:space="preserve">7.2.1 </w:t>
      </w:r>
      <w:r>
        <w:tab/>
        <w:t>ICAO - Document APG19-4/INF-04</w:t>
      </w:r>
    </w:p>
    <w:p w14:paraId="5A3F2354" w14:textId="77777777" w:rsidR="00B75E77" w:rsidRDefault="00B75E77" w:rsidP="00B75E77">
      <w:pPr>
        <w:numPr>
          <w:ilvl w:val="0"/>
          <w:numId w:val="24"/>
        </w:numPr>
        <w:ind w:leftChars="145" w:left="708"/>
        <w:jc w:val="both"/>
      </w:pPr>
      <w:r>
        <w:t>None.</w:t>
      </w:r>
    </w:p>
    <w:p w14:paraId="433B2781" w14:textId="77777777" w:rsidR="00B75E77" w:rsidRDefault="00B75E77" w:rsidP="00B75E77">
      <w:pPr>
        <w:pStyle w:val="Style1"/>
      </w:pPr>
    </w:p>
    <w:p w14:paraId="4F675F79" w14:textId="77777777" w:rsidR="00B75E77" w:rsidRDefault="00B75E77" w:rsidP="00B75E77">
      <w:pPr>
        <w:pStyle w:val="Style1"/>
      </w:pPr>
      <w:r>
        <w:t xml:space="preserve">7.2.1 </w:t>
      </w:r>
      <w:r>
        <w:tab/>
        <w:t>WMO - Document APG19-4/INF-02</w:t>
      </w:r>
    </w:p>
    <w:p w14:paraId="4BC6761B" w14:textId="77777777" w:rsidR="00B75E77" w:rsidRDefault="00B75E77" w:rsidP="00B75E77">
      <w:pPr>
        <w:numPr>
          <w:ilvl w:val="0"/>
          <w:numId w:val="24"/>
        </w:numPr>
        <w:ind w:leftChars="145" w:left="708"/>
        <w:jc w:val="both"/>
      </w:pPr>
      <w:r>
        <w:t>None.</w:t>
      </w:r>
    </w:p>
    <w:p w14:paraId="17ADB8C9" w14:textId="77777777" w:rsidR="00B75E77" w:rsidRDefault="00B75E77" w:rsidP="00B75E77">
      <w:pPr>
        <w:pStyle w:val="Style1"/>
      </w:pPr>
    </w:p>
    <w:p w14:paraId="7E96BBBA" w14:textId="77777777" w:rsidR="00B75E77" w:rsidRDefault="00B75E77" w:rsidP="00B75E77">
      <w:pPr>
        <w:pStyle w:val="Style1"/>
      </w:pPr>
      <w:r>
        <w:t>7.2.2</w:t>
      </w:r>
      <w:r>
        <w:tab/>
        <w:t>IARU - Document APG19-4/INF-03</w:t>
      </w:r>
    </w:p>
    <w:p w14:paraId="77ACBE0F" w14:textId="77777777" w:rsidR="00B75E77" w:rsidRDefault="00B75E77" w:rsidP="00B75E77">
      <w:pPr>
        <w:numPr>
          <w:ilvl w:val="0"/>
          <w:numId w:val="24"/>
        </w:numPr>
        <w:ind w:leftChars="145" w:left="708"/>
        <w:jc w:val="both"/>
      </w:pPr>
      <w:r>
        <w:t>None.</w:t>
      </w:r>
    </w:p>
    <w:p w14:paraId="1CB507A7" w14:textId="42788268" w:rsidR="00AB1FCD" w:rsidRDefault="00AB1FCD" w:rsidP="00AB1FCD">
      <w:pPr>
        <w:rPr>
          <w:highlight w:val="yellow"/>
          <w:lang w:val="en-NZ"/>
        </w:rPr>
      </w:pPr>
    </w:p>
    <w:p w14:paraId="242FB982" w14:textId="77777777" w:rsidR="009319F0" w:rsidRPr="00E258C5" w:rsidRDefault="009319F0" w:rsidP="00AB1FCD">
      <w:pPr>
        <w:rPr>
          <w:b/>
          <w:highlight w:val="yellow"/>
          <w:lang w:val="en-NZ"/>
        </w:rPr>
      </w:pPr>
    </w:p>
    <w:p w14:paraId="67F35E64" w14:textId="77777777" w:rsidR="00AB1FCD" w:rsidRPr="00E258C5" w:rsidRDefault="00AB1FCD" w:rsidP="00AB1FCD">
      <w:pPr>
        <w:rPr>
          <w:b/>
          <w:highlight w:val="yellow"/>
          <w:lang w:val="en-NZ"/>
        </w:rPr>
      </w:pPr>
    </w:p>
    <w:p w14:paraId="7E792287" w14:textId="77777777" w:rsidR="00AB1FCD" w:rsidRPr="00B92836" w:rsidRDefault="00AB1FCD" w:rsidP="00AB1FCD">
      <w:pPr>
        <w:jc w:val="center"/>
        <w:rPr>
          <w:snapToGrid w:val="0"/>
          <w:lang w:val="en-NZ"/>
        </w:rPr>
      </w:pPr>
      <w:r w:rsidRPr="009F4ED4">
        <w:rPr>
          <w:lang w:val="en-NZ"/>
        </w:rPr>
        <w:t>____________</w:t>
      </w:r>
    </w:p>
    <w:p w14:paraId="45B8CA05" w14:textId="7EC0BAD0" w:rsidR="00DA7595" w:rsidRPr="009A4A6D" w:rsidRDefault="00DA7595" w:rsidP="00AB1FCD">
      <w:pPr>
        <w:jc w:val="center"/>
        <w:rPr>
          <w:snapToGrid w:val="0"/>
        </w:rPr>
      </w:pPr>
    </w:p>
    <w:sectPr w:rsidR="00DA7595" w:rsidRPr="009A4A6D" w:rsidSect="0014051B">
      <w:headerReference w:type="default" r:id="rId21"/>
      <w:footerReference w:type="even" r:id="rId22"/>
      <w:footerReference w:type="default" r:id="rId23"/>
      <w:footerReference w:type="first" r:id="rId2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F1457" w14:textId="77777777" w:rsidR="0079707A" w:rsidRDefault="0079707A">
      <w:r>
        <w:separator/>
      </w:r>
    </w:p>
  </w:endnote>
  <w:endnote w:type="continuationSeparator" w:id="0">
    <w:p w14:paraId="03A75574" w14:textId="77777777" w:rsidR="0079707A" w:rsidRDefault="0079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Vivaldi">
    <w:panose1 w:val="03020602050506090804"/>
    <w:charset w:val="00"/>
    <w:family w:val="script"/>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atangChe">
    <w:altName w:val="Arial Unicode MS"/>
    <w:panose1 w:val="02030609000101010101"/>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5C53" w14:textId="77777777" w:rsidR="00F95A82" w:rsidRDefault="00F95A82"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B5BFA8" w14:textId="77777777" w:rsidR="00F95A82" w:rsidRDefault="00F95A82"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A5333" w14:textId="15DEE990" w:rsidR="00F95A82" w:rsidRDefault="00F95A82" w:rsidP="001A25A5">
    <w:pPr>
      <w:pStyle w:val="Footer"/>
      <w:ind w:right="360"/>
    </w:pPr>
    <w:r>
      <w:rPr>
        <w:rFonts w:hint="eastAsia"/>
        <w:lang w:eastAsia="ko-KR"/>
      </w:rPr>
      <w:t>A</w:t>
    </w:r>
    <w:r>
      <w:rPr>
        <w:lang w:eastAsia="ko-KR"/>
      </w:rPr>
      <w:t>PG19</w:t>
    </w:r>
    <w:r>
      <w:rPr>
        <w:rFonts w:hint="eastAsia"/>
        <w:lang w:eastAsia="ko-KR"/>
      </w:rPr>
      <w:t>-</w:t>
    </w:r>
    <w:r>
      <w:rPr>
        <w:lang w:eastAsia="ko-KR"/>
      </w:rPr>
      <w:t>4</w:t>
    </w:r>
    <w:r>
      <w:rPr>
        <w:rFonts w:hint="eastAsia"/>
        <w:lang w:eastAsia="ko-KR"/>
      </w:rPr>
      <w:t>/</w:t>
    </w:r>
    <w:r w:rsidR="002A6C97">
      <w:rPr>
        <w:lang w:eastAsia="ko-KR"/>
      </w:rPr>
      <w:t>OUT-05</w:t>
    </w:r>
    <w:r>
      <w:rPr>
        <w:lang w:eastAsia="ko-KR"/>
      </w:rPr>
      <w:tab/>
    </w:r>
    <w:r>
      <w:rPr>
        <w:lang w:eastAsia="ko-K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14051B">
      <w:rPr>
        <w:rStyle w:val="PageNumber"/>
        <w:noProof/>
      </w:rPr>
      <w:t>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14051B">
      <w:rPr>
        <w:rStyle w:val="PageNumber"/>
        <w:noProof/>
      </w:rPr>
      <w:t>4</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068"/>
      <w:gridCol w:w="3996"/>
    </w:tblGrid>
    <w:tr w:rsidR="0014051B" w:rsidRPr="00690609" w14:paraId="3F29B2A8" w14:textId="77777777" w:rsidTr="00214505">
      <w:trPr>
        <w:cantSplit/>
        <w:trHeight w:val="204"/>
        <w:jc w:val="center"/>
      </w:trPr>
      <w:tc>
        <w:tcPr>
          <w:tcW w:w="1152" w:type="dxa"/>
        </w:tcPr>
        <w:p w14:paraId="4E13DE9B" w14:textId="77777777" w:rsidR="0014051B" w:rsidRPr="00690609" w:rsidRDefault="0014051B" w:rsidP="0014051B">
          <w:pPr>
            <w:rPr>
              <w:b/>
              <w:bCs/>
            </w:rPr>
          </w:pPr>
          <w:r w:rsidRPr="00690609">
            <w:rPr>
              <w:b/>
              <w:bCs/>
            </w:rPr>
            <w:t>Contact:</w:t>
          </w:r>
        </w:p>
      </w:tc>
      <w:tc>
        <w:tcPr>
          <w:tcW w:w="4068" w:type="dxa"/>
        </w:tcPr>
        <w:p w14:paraId="6B4FC7A2" w14:textId="77777777" w:rsidR="0014051B" w:rsidRPr="00690609" w:rsidRDefault="0014051B" w:rsidP="0014051B">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MR. MUNEO ABE</w:t>
          </w:r>
        </w:p>
        <w:p w14:paraId="6EAA7E32" w14:textId="77777777" w:rsidR="0014051B" w:rsidRPr="00690609" w:rsidRDefault="0014051B" w:rsidP="0014051B">
          <w:pPr>
            <w:overflowPunct w:val="0"/>
            <w:autoSpaceDE w:val="0"/>
            <w:autoSpaceDN w:val="0"/>
            <w:adjustRightInd w:val="0"/>
            <w:spacing w:line="240" w:lineRule="atLeast"/>
            <w:textAlignment w:val="baseline"/>
            <w:rPr>
              <w:rFonts w:eastAsia="Batang"/>
              <w:szCs w:val="22"/>
              <w:lang w:val="en-GB"/>
            </w:rPr>
          </w:pPr>
          <w:r>
            <w:rPr>
              <w:rFonts w:eastAsia="Batang"/>
              <w:szCs w:val="22"/>
              <w:lang w:val="en-GB"/>
            </w:rPr>
            <w:t>Chairman, WP3</w:t>
          </w:r>
        </w:p>
      </w:tc>
      <w:tc>
        <w:tcPr>
          <w:tcW w:w="3996" w:type="dxa"/>
        </w:tcPr>
        <w:p w14:paraId="1DB8372E" w14:textId="77777777" w:rsidR="0014051B" w:rsidRPr="00690609" w:rsidRDefault="0014051B" w:rsidP="0014051B">
          <w:pPr>
            <w:rPr>
              <w:lang w:eastAsia="ja-JP"/>
            </w:rPr>
          </w:pPr>
          <w:r w:rsidRPr="00690609">
            <w:t>Email</w:t>
          </w:r>
          <w:r>
            <w:rPr>
              <w:rFonts w:hint="eastAsia"/>
            </w:rPr>
            <w:t>:</w:t>
          </w:r>
          <w:r>
            <w:t xml:space="preserve"> </w:t>
          </w:r>
          <w:hyperlink r:id="rId1" w:history="1">
            <w:r w:rsidRPr="00492A22">
              <w:rPr>
                <w:rStyle w:val="Hyperlink"/>
              </w:rPr>
              <w:t>Abe.Muneo@cj.MitsubishiElectric.co.jp</w:t>
            </w:r>
          </w:hyperlink>
          <w:r>
            <w:t xml:space="preserve"> </w:t>
          </w:r>
        </w:p>
      </w:tc>
    </w:tr>
  </w:tbl>
  <w:p w14:paraId="15130B08" w14:textId="43D645F7" w:rsidR="00F95A82" w:rsidRPr="008745C9" w:rsidRDefault="00F95A82" w:rsidP="00874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5401B" w14:textId="77777777" w:rsidR="0079707A" w:rsidRDefault="0079707A">
      <w:r>
        <w:separator/>
      </w:r>
    </w:p>
  </w:footnote>
  <w:footnote w:type="continuationSeparator" w:id="0">
    <w:p w14:paraId="0CEC03D4" w14:textId="77777777" w:rsidR="0079707A" w:rsidRDefault="00797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9907F" w14:textId="77777777" w:rsidR="00F95A82" w:rsidRDefault="00F95A82" w:rsidP="00C15633">
    <w:pPr>
      <w:pStyle w:val="Header"/>
      <w:tabs>
        <w:tab w:val="center" w:pos="4763"/>
        <w:tab w:val="left" w:pos="5820"/>
      </w:tabs>
      <w:rPr>
        <w:lang w:eastAsia="ko-KR"/>
      </w:rPr>
    </w:pPr>
    <w:r>
      <w:rPr>
        <w:lang w:eastAsia="ko-KR"/>
      </w:rPr>
      <w:tab/>
    </w:r>
  </w:p>
  <w:p w14:paraId="11090087" w14:textId="77777777" w:rsidR="00F95A82" w:rsidRDefault="00F95A82"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95A9516"/>
    <w:lvl w:ilvl="0">
      <w:start w:val="1"/>
      <w:numFmt w:val="bullet"/>
      <w:pStyle w:val="ListBullet"/>
      <w:lvlText w:val="&gt;"/>
      <w:lvlJc w:val="left"/>
      <w:pPr>
        <w:tabs>
          <w:tab w:val="num" w:pos="295"/>
        </w:tabs>
        <w:ind w:left="295" w:hanging="295"/>
      </w:pPr>
      <w:rPr>
        <w:rFonts w:ascii="Symbol" w:hAnsi="Symbol" w:hint="default"/>
        <w:sz w:val="20"/>
      </w:rPr>
    </w:lvl>
  </w:abstractNum>
  <w:abstractNum w:abstractNumId="1" w15:restartNumberingAfterBreak="0">
    <w:nsid w:val="05235125"/>
    <w:multiLevelType w:val="hybridMultilevel"/>
    <w:tmpl w:val="58A8AEDC"/>
    <w:lvl w:ilvl="0" w:tplc="2FC29788">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C9377A1"/>
    <w:multiLevelType w:val="hybridMultilevel"/>
    <w:tmpl w:val="797CE58E"/>
    <w:lvl w:ilvl="0" w:tplc="ABD47FB6">
      <w:start w:val="1"/>
      <w:numFmt w:val="bullet"/>
      <w:lvlText w:val="-"/>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D8B0A67"/>
    <w:multiLevelType w:val="hybridMultilevel"/>
    <w:tmpl w:val="96FCE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E43BDC"/>
    <w:multiLevelType w:val="hybridMultilevel"/>
    <w:tmpl w:val="AA643B1E"/>
    <w:lvl w:ilvl="0" w:tplc="CB74993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2B6721"/>
    <w:multiLevelType w:val="hybridMultilevel"/>
    <w:tmpl w:val="716CAB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5B93A66"/>
    <w:multiLevelType w:val="hybridMultilevel"/>
    <w:tmpl w:val="4366F3EC"/>
    <w:lvl w:ilvl="0" w:tplc="B84EFE50">
      <w:start w:val="1"/>
      <w:numFmt w:val="bullet"/>
      <w:lvlText w:val=""/>
      <w:lvlJc w:val="left"/>
      <w:pPr>
        <w:ind w:left="1440" w:hanging="360"/>
      </w:pPr>
      <w:rPr>
        <w:rFonts w:ascii="Wingdings" w:hAnsi="Wingdings" w:hint="default"/>
        <w:sz w:val="22"/>
      </w:rPr>
    </w:lvl>
    <w:lvl w:ilvl="1" w:tplc="04090003">
      <w:start w:val="1"/>
      <w:numFmt w:val="bullet"/>
      <w:lvlText w:val=""/>
      <w:lvlJc w:val="left"/>
      <w:pPr>
        <w:ind w:left="1880" w:hanging="400"/>
      </w:pPr>
      <w:rPr>
        <w:rFonts w:ascii="Wingdings" w:hAnsi="Wingdings" w:hint="default"/>
      </w:rPr>
    </w:lvl>
    <w:lvl w:ilvl="2" w:tplc="04090005">
      <w:start w:val="1"/>
      <w:numFmt w:val="bullet"/>
      <w:lvlText w:val=""/>
      <w:lvlJc w:val="left"/>
      <w:pPr>
        <w:ind w:left="2280" w:hanging="400"/>
      </w:pPr>
      <w:rPr>
        <w:rFonts w:ascii="Wingdings" w:hAnsi="Wingdings" w:hint="default"/>
      </w:rPr>
    </w:lvl>
    <w:lvl w:ilvl="3" w:tplc="14090003">
      <w:start w:val="1"/>
      <w:numFmt w:val="bullet"/>
      <w:lvlText w:val="o"/>
      <w:lvlJc w:val="left"/>
      <w:pPr>
        <w:ind w:left="2680" w:hanging="400"/>
      </w:pPr>
      <w:rPr>
        <w:rFonts w:ascii="Courier New" w:hAnsi="Courier New" w:cs="Courier New"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9B8762A"/>
    <w:multiLevelType w:val="hybridMultilevel"/>
    <w:tmpl w:val="9336F400"/>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46AE54CE"/>
    <w:multiLevelType w:val="hybridMultilevel"/>
    <w:tmpl w:val="7A544D50"/>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7E60585"/>
    <w:multiLevelType w:val="hybridMultilevel"/>
    <w:tmpl w:val="EFD692C2"/>
    <w:lvl w:ilvl="0" w:tplc="5B7E6A96">
      <w:start w:val="1"/>
      <w:numFmt w:val="bullet"/>
      <w:lvlText w:val="&gt;"/>
      <w:lvlJc w:val="left"/>
      <w:pPr>
        <w:ind w:left="720" w:hanging="360"/>
      </w:pPr>
      <w:rPr>
        <w:rFonts w:ascii="Vivaldi" w:hAnsi="Vivaldi" w:hint="default"/>
      </w:rPr>
    </w:lvl>
    <w:lvl w:ilvl="1" w:tplc="5B7E6A96">
      <w:start w:val="1"/>
      <w:numFmt w:val="bullet"/>
      <w:lvlText w:val="&gt;"/>
      <w:lvlJc w:val="left"/>
      <w:pPr>
        <w:ind w:left="2220" w:hanging="1140"/>
      </w:pPr>
      <w:rPr>
        <w:rFonts w:ascii="Vivaldi" w:hAnsi="Vival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524E4E"/>
    <w:multiLevelType w:val="hybridMultilevel"/>
    <w:tmpl w:val="9E0EF8D2"/>
    <w:lvl w:ilvl="0" w:tplc="5B7E6A96">
      <w:start w:val="1"/>
      <w:numFmt w:val="bullet"/>
      <w:lvlText w:val="&gt;"/>
      <w:lvlJc w:val="left"/>
      <w:pPr>
        <w:ind w:left="720" w:hanging="360"/>
      </w:pPr>
      <w:rPr>
        <w:rFonts w:ascii="Vivaldi" w:hAnsi="Vival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AE4310"/>
    <w:multiLevelType w:val="hybridMultilevel"/>
    <w:tmpl w:val="F95CC324"/>
    <w:lvl w:ilvl="0" w:tplc="5B7E6A96">
      <w:start w:val="1"/>
      <w:numFmt w:val="bullet"/>
      <w:lvlText w:val="&gt;"/>
      <w:lvlJc w:val="left"/>
      <w:pPr>
        <w:ind w:left="720" w:hanging="360"/>
      </w:pPr>
      <w:rPr>
        <w:rFonts w:ascii="Vivaldi" w:hAnsi="Vival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EC7FBB"/>
    <w:multiLevelType w:val="hybridMultilevel"/>
    <w:tmpl w:val="D948387A"/>
    <w:lvl w:ilvl="0" w:tplc="5B7E6A96">
      <w:start w:val="1"/>
      <w:numFmt w:val="bullet"/>
      <w:lvlText w:val="&gt;"/>
      <w:lvlJc w:val="left"/>
      <w:pPr>
        <w:ind w:left="720" w:hanging="360"/>
      </w:pPr>
      <w:rPr>
        <w:rFonts w:ascii="Vivaldi" w:hAnsi="Vival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1A4FEA"/>
    <w:multiLevelType w:val="hybridMultilevel"/>
    <w:tmpl w:val="16D2B77C"/>
    <w:lvl w:ilvl="0" w:tplc="5B7E6A96">
      <w:start w:val="1"/>
      <w:numFmt w:val="bullet"/>
      <w:lvlText w:val="&gt;"/>
      <w:lvlJc w:val="left"/>
      <w:pPr>
        <w:ind w:left="720" w:hanging="360"/>
      </w:pPr>
      <w:rPr>
        <w:rFonts w:ascii="Vivaldi" w:hAnsi="Vival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2"/>
  </w:num>
  <w:num w:numId="2">
    <w:abstractNumId w:val="7"/>
  </w:num>
  <w:num w:numId="3">
    <w:abstractNumId w:val="6"/>
  </w:num>
  <w:num w:numId="4">
    <w:abstractNumId w:val="22"/>
  </w:num>
  <w:num w:numId="5">
    <w:abstractNumId w:val="10"/>
  </w:num>
  <w:num w:numId="6">
    <w:abstractNumId w:val="13"/>
  </w:num>
  <w:num w:numId="7">
    <w:abstractNumId w:val="5"/>
  </w:num>
  <w:num w:numId="8">
    <w:abstractNumId w:val="2"/>
  </w:num>
  <w:num w:numId="9">
    <w:abstractNumId w:val="21"/>
  </w:num>
  <w:num w:numId="10">
    <w:abstractNumId w:val="8"/>
  </w:num>
  <w:num w:numId="11">
    <w:abstractNumId w:val="0"/>
  </w:num>
  <w:num w:numId="12">
    <w:abstractNumId w:val="1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18"/>
  </w:num>
  <w:num w:numId="17">
    <w:abstractNumId w:val="19"/>
  </w:num>
  <w:num w:numId="18">
    <w:abstractNumId w:val="20"/>
  </w:num>
  <w:num w:numId="19">
    <w:abstractNumId w:val="9"/>
  </w:num>
  <w:num w:numId="20">
    <w:abstractNumId w:val="14"/>
  </w:num>
  <w:num w:numId="21">
    <w:abstractNumId w:val="16"/>
  </w:num>
  <w:num w:numId="22">
    <w:abstractNumId w:val="1"/>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206BC"/>
    <w:rsid w:val="0002440A"/>
    <w:rsid w:val="0003595B"/>
    <w:rsid w:val="000476FF"/>
    <w:rsid w:val="00054DA4"/>
    <w:rsid w:val="00064A69"/>
    <w:rsid w:val="000713CF"/>
    <w:rsid w:val="00094867"/>
    <w:rsid w:val="00095E01"/>
    <w:rsid w:val="000A119F"/>
    <w:rsid w:val="000A5418"/>
    <w:rsid w:val="000B6172"/>
    <w:rsid w:val="000C585A"/>
    <w:rsid w:val="000E0BB8"/>
    <w:rsid w:val="000F2C0B"/>
    <w:rsid w:val="000F517C"/>
    <w:rsid w:val="000F5540"/>
    <w:rsid w:val="000F638A"/>
    <w:rsid w:val="001154F7"/>
    <w:rsid w:val="001323BF"/>
    <w:rsid w:val="0014051B"/>
    <w:rsid w:val="00140EA8"/>
    <w:rsid w:val="00151760"/>
    <w:rsid w:val="001539DD"/>
    <w:rsid w:val="00167652"/>
    <w:rsid w:val="00176532"/>
    <w:rsid w:val="0018240F"/>
    <w:rsid w:val="00183671"/>
    <w:rsid w:val="00196568"/>
    <w:rsid w:val="001A25A5"/>
    <w:rsid w:val="001A2F16"/>
    <w:rsid w:val="001B18C2"/>
    <w:rsid w:val="001B413D"/>
    <w:rsid w:val="001B531B"/>
    <w:rsid w:val="001C2427"/>
    <w:rsid w:val="001C45AC"/>
    <w:rsid w:val="001D19EC"/>
    <w:rsid w:val="001D5D7E"/>
    <w:rsid w:val="001E016C"/>
    <w:rsid w:val="001E2396"/>
    <w:rsid w:val="001F6B16"/>
    <w:rsid w:val="00254A1B"/>
    <w:rsid w:val="0027377E"/>
    <w:rsid w:val="00274CE4"/>
    <w:rsid w:val="00281B25"/>
    <w:rsid w:val="0028454D"/>
    <w:rsid w:val="00291C9E"/>
    <w:rsid w:val="002926D4"/>
    <w:rsid w:val="00294783"/>
    <w:rsid w:val="00297850"/>
    <w:rsid w:val="002A6C97"/>
    <w:rsid w:val="002C07DA"/>
    <w:rsid w:val="002C1210"/>
    <w:rsid w:val="002C7EA9"/>
    <w:rsid w:val="002F7ED7"/>
    <w:rsid w:val="00307368"/>
    <w:rsid w:val="00342F20"/>
    <w:rsid w:val="00363428"/>
    <w:rsid w:val="003809C7"/>
    <w:rsid w:val="00384E5E"/>
    <w:rsid w:val="003A598F"/>
    <w:rsid w:val="003B6263"/>
    <w:rsid w:val="003C64A7"/>
    <w:rsid w:val="003D3FDA"/>
    <w:rsid w:val="003E54B1"/>
    <w:rsid w:val="003E68CE"/>
    <w:rsid w:val="003F6DA9"/>
    <w:rsid w:val="00420822"/>
    <w:rsid w:val="00427ACD"/>
    <w:rsid w:val="00427F0F"/>
    <w:rsid w:val="0044419D"/>
    <w:rsid w:val="0045458F"/>
    <w:rsid w:val="004633B4"/>
    <w:rsid w:val="00472A53"/>
    <w:rsid w:val="00474D6E"/>
    <w:rsid w:val="004768D1"/>
    <w:rsid w:val="0049346E"/>
    <w:rsid w:val="004B3553"/>
    <w:rsid w:val="004B679F"/>
    <w:rsid w:val="004B6E46"/>
    <w:rsid w:val="004C387E"/>
    <w:rsid w:val="004E5C19"/>
    <w:rsid w:val="005111DD"/>
    <w:rsid w:val="00521956"/>
    <w:rsid w:val="00522CF8"/>
    <w:rsid w:val="00530E8C"/>
    <w:rsid w:val="00545933"/>
    <w:rsid w:val="00557544"/>
    <w:rsid w:val="00587875"/>
    <w:rsid w:val="00587DB2"/>
    <w:rsid w:val="005A1D24"/>
    <w:rsid w:val="005A51EB"/>
    <w:rsid w:val="005B3573"/>
    <w:rsid w:val="005C154E"/>
    <w:rsid w:val="005D22D4"/>
    <w:rsid w:val="005D5914"/>
    <w:rsid w:val="005E3853"/>
    <w:rsid w:val="005E4110"/>
    <w:rsid w:val="00607E2B"/>
    <w:rsid w:val="006139D6"/>
    <w:rsid w:val="00623CE1"/>
    <w:rsid w:val="0063062B"/>
    <w:rsid w:val="006609BD"/>
    <w:rsid w:val="00667229"/>
    <w:rsid w:val="00682BE5"/>
    <w:rsid w:val="00686581"/>
    <w:rsid w:val="00690840"/>
    <w:rsid w:val="00690FED"/>
    <w:rsid w:val="00693155"/>
    <w:rsid w:val="006939A5"/>
    <w:rsid w:val="006968D2"/>
    <w:rsid w:val="006B4945"/>
    <w:rsid w:val="006B49A6"/>
    <w:rsid w:val="006E77F3"/>
    <w:rsid w:val="0070270C"/>
    <w:rsid w:val="00712451"/>
    <w:rsid w:val="00726307"/>
    <w:rsid w:val="00731041"/>
    <w:rsid w:val="00732F08"/>
    <w:rsid w:val="0074190C"/>
    <w:rsid w:val="007419EC"/>
    <w:rsid w:val="00762576"/>
    <w:rsid w:val="00791060"/>
    <w:rsid w:val="00793BE9"/>
    <w:rsid w:val="0079707A"/>
    <w:rsid w:val="007A2F9C"/>
    <w:rsid w:val="007A58E1"/>
    <w:rsid w:val="007B5626"/>
    <w:rsid w:val="007C64F6"/>
    <w:rsid w:val="007C6CC6"/>
    <w:rsid w:val="007C6D6E"/>
    <w:rsid w:val="007D3FAA"/>
    <w:rsid w:val="007D6F98"/>
    <w:rsid w:val="007E2042"/>
    <w:rsid w:val="0080570B"/>
    <w:rsid w:val="008148E1"/>
    <w:rsid w:val="00830720"/>
    <w:rsid w:val="00830D12"/>
    <w:rsid w:val="008319BF"/>
    <w:rsid w:val="00837546"/>
    <w:rsid w:val="00843A32"/>
    <w:rsid w:val="00852CDC"/>
    <w:rsid w:val="00870A0B"/>
    <w:rsid w:val="008745C9"/>
    <w:rsid w:val="008778C3"/>
    <w:rsid w:val="00881566"/>
    <w:rsid w:val="008B1F56"/>
    <w:rsid w:val="008D0E09"/>
    <w:rsid w:val="00901973"/>
    <w:rsid w:val="009319F0"/>
    <w:rsid w:val="009350A0"/>
    <w:rsid w:val="0096270D"/>
    <w:rsid w:val="00972BD0"/>
    <w:rsid w:val="0097693B"/>
    <w:rsid w:val="0098769C"/>
    <w:rsid w:val="00993355"/>
    <w:rsid w:val="009A4A6D"/>
    <w:rsid w:val="009D4B4D"/>
    <w:rsid w:val="009F4ED4"/>
    <w:rsid w:val="009F7E6A"/>
    <w:rsid w:val="00A05880"/>
    <w:rsid w:val="00A06E7B"/>
    <w:rsid w:val="00A13265"/>
    <w:rsid w:val="00A50895"/>
    <w:rsid w:val="00A55097"/>
    <w:rsid w:val="00A575B9"/>
    <w:rsid w:val="00A71136"/>
    <w:rsid w:val="00A7340E"/>
    <w:rsid w:val="00A923CB"/>
    <w:rsid w:val="00AA474C"/>
    <w:rsid w:val="00AA4FAA"/>
    <w:rsid w:val="00AB1FCD"/>
    <w:rsid w:val="00AC0499"/>
    <w:rsid w:val="00AC2E55"/>
    <w:rsid w:val="00AC2E8A"/>
    <w:rsid w:val="00AD7E5F"/>
    <w:rsid w:val="00AE2ECE"/>
    <w:rsid w:val="00AF27DD"/>
    <w:rsid w:val="00AF6C61"/>
    <w:rsid w:val="00B01AA1"/>
    <w:rsid w:val="00B063F9"/>
    <w:rsid w:val="00B30C81"/>
    <w:rsid w:val="00B342A5"/>
    <w:rsid w:val="00B36289"/>
    <w:rsid w:val="00B4735D"/>
    <w:rsid w:val="00B4793B"/>
    <w:rsid w:val="00B665A6"/>
    <w:rsid w:val="00B66A64"/>
    <w:rsid w:val="00B74715"/>
    <w:rsid w:val="00B74F88"/>
    <w:rsid w:val="00B75E77"/>
    <w:rsid w:val="00B956F8"/>
    <w:rsid w:val="00BA3933"/>
    <w:rsid w:val="00BB4CCA"/>
    <w:rsid w:val="00BE5F38"/>
    <w:rsid w:val="00C15633"/>
    <w:rsid w:val="00C15799"/>
    <w:rsid w:val="00C22E36"/>
    <w:rsid w:val="00C273DC"/>
    <w:rsid w:val="00C357AD"/>
    <w:rsid w:val="00C52E4B"/>
    <w:rsid w:val="00C6069C"/>
    <w:rsid w:val="00C61CC7"/>
    <w:rsid w:val="00C75F33"/>
    <w:rsid w:val="00C85119"/>
    <w:rsid w:val="00CD2A72"/>
    <w:rsid w:val="00CD5431"/>
    <w:rsid w:val="00CF2491"/>
    <w:rsid w:val="00CF5A36"/>
    <w:rsid w:val="00D07BF1"/>
    <w:rsid w:val="00D111F8"/>
    <w:rsid w:val="00D1252E"/>
    <w:rsid w:val="00D343B1"/>
    <w:rsid w:val="00D35814"/>
    <w:rsid w:val="00D4290C"/>
    <w:rsid w:val="00D462A1"/>
    <w:rsid w:val="00D57772"/>
    <w:rsid w:val="00D607D1"/>
    <w:rsid w:val="00D60B46"/>
    <w:rsid w:val="00D72AE3"/>
    <w:rsid w:val="00D75A4D"/>
    <w:rsid w:val="00D8478B"/>
    <w:rsid w:val="00D86151"/>
    <w:rsid w:val="00D91C60"/>
    <w:rsid w:val="00DA7595"/>
    <w:rsid w:val="00DB0A68"/>
    <w:rsid w:val="00DC43A3"/>
    <w:rsid w:val="00DD7C09"/>
    <w:rsid w:val="00E0124F"/>
    <w:rsid w:val="00E1558D"/>
    <w:rsid w:val="00E21887"/>
    <w:rsid w:val="00E57F08"/>
    <w:rsid w:val="00E674D3"/>
    <w:rsid w:val="00E70FD0"/>
    <w:rsid w:val="00E82847"/>
    <w:rsid w:val="00EC38A0"/>
    <w:rsid w:val="00ED0AF9"/>
    <w:rsid w:val="00ED58EC"/>
    <w:rsid w:val="00EE2278"/>
    <w:rsid w:val="00F01E5B"/>
    <w:rsid w:val="00F140B8"/>
    <w:rsid w:val="00F225D6"/>
    <w:rsid w:val="00F23D0B"/>
    <w:rsid w:val="00F254EF"/>
    <w:rsid w:val="00F40E86"/>
    <w:rsid w:val="00F478A0"/>
    <w:rsid w:val="00F526B5"/>
    <w:rsid w:val="00F549D7"/>
    <w:rsid w:val="00F604C7"/>
    <w:rsid w:val="00F84067"/>
    <w:rsid w:val="00F93557"/>
    <w:rsid w:val="00F95A82"/>
    <w:rsid w:val="00FA75E2"/>
    <w:rsid w:val="00FC727A"/>
    <w:rsid w:val="00FE3DE5"/>
    <w:rsid w:val="00FF0271"/>
    <w:rsid w:val="00FF0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5C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B74F88"/>
    <w:pPr>
      <w:keepNext/>
      <w:outlineLvl w:val="0"/>
    </w:pPr>
    <w:rPr>
      <w:b/>
      <w:bCs/>
      <w:color w:val="FF0000"/>
    </w:rPr>
  </w:style>
  <w:style w:type="paragraph" w:styleId="Heading2">
    <w:name w:val="heading 2"/>
    <w:basedOn w:val="Normal"/>
    <w:next w:val="Normal"/>
    <w:link w:val="Heading2Char"/>
    <w:semiHidden/>
    <w:unhideWhenUsed/>
    <w:qFormat/>
    <w:rsid w:val="00AB1F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BA393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AB1FC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8">
    <w:name w:val="heading 8"/>
    <w:basedOn w:val="Heading2"/>
    <w:next w:val="Normal"/>
    <w:qFormat/>
    <w:rsid w:val="0096270D"/>
    <w:pPr>
      <w:outlineLvl w:val="7"/>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character" w:styleId="Hyperlink">
    <w:name w:val="Hyperlink"/>
    <w:aliases w:val="ECC Hyperlink,CEO_Hyperlink,超级链接"/>
    <w:basedOn w:val="DefaultParagraphFont"/>
    <w:unhideWhenUsed/>
    <w:qFormat/>
    <w:rsid w:val="00FA75E2"/>
    <w:rPr>
      <w:color w:val="0000FF" w:themeColor="hyperlink"/>
      <w:u w:val="single"/>
    </w:rPr>
  </w:style>
  <w:style w:type="paragraph" w:styleId="FootnoteText">
    <w:name w:val="footnote text"/>
    <w:aliases w:val="ALTS FOOTNOTE,DNV- Char Char,DNV-FT,Footnote Text Char Char1,Footnote Text Char Char1 Char1 Char Char,Footnote Text Char1 Char1 Char1 Char,Footnote Text Char1 Char1 Char1 Char Char Char1,Footnote Text Char4 Char Char,f,ALTS FOOTNO,fn,fn Ch"/>
    <w:basedOn w:val="Normal"/>
    <w:link w:val="FootnoteTextChar"/>
    <w:unhideWhenUsed/>
    <w:qFormat/>
    <w:rsid w:val="00B665A6"/>
    <w:rPr>
      <w:rFonts w:ascii="Arial" w:eastAsiaTheme="minorEastAsia" w:hAnsi="Arial" w:cs="Arial"/>
      <w:sz w:val="20"/>
      <w:szCs w:val="20"/>
      <w:lang w:bidi="en-US"/>
    </w:rPr>
  </w:style>
  <w:style w:type="character" w:customStyle="1" w:styleId="FootnoteTextChar">
    <w:name w:val="Footnote Text Char"/>
    <w:aliases w:val="ALTS FOOTNOTE Char,DNV- Char Char Char,DNV-FT Char,Footnote Text Char Char1 Char,Footnote Text Char Char1 Char1 Char Char Char,Footnote Text Char1 Char1 Char1 Char Char,Footnote Text Char1 Char1 Char1 Char Char Char1 Char,f Char"/>
    <w:basedOn w:val="DefaultParagraphFont"/>
    <w:link w:val="FootnoteText"/>
    <w:rsid w:val="00B665A6"/>
    <w:rPr>
      <w:rFonts w:ascii="Arial" w:eastAsiaTheme="minorEastAsia" w:hAnsi="Arial" w:cs="Arial"/>
      <w:lang w:bidi="en-US"/>
    </w:rPr>
  </w:style>
  <w:style w:type="character" w:styleId="FootnoteReference">
    <w:name w:val="footnote reference"/>
    <w:aliases w:val="Appel note de bas de p,Appel note de bas de p + 11 pt,Italic,Appel note de bas de p1,Appel note de bas de p2,Appel note de bas de p3,Footnote Reference/,Footnote,Style 12,(NECG) Footnote Reference,Style 124,o,fr,Style 3,FR,Style 13"/>
    <w:basedOn w:val="DefaultParagraphFont"/>
    <w:unhideWhenUsed/>
    <w:qFormat/>
    <w:rsid w:val="00B665A6"/>
    <w:rPr>
      <w:vertAlign w:val="superscript"/>
    </w:rPr>
  </w:style>
  <w:style w:type="paragraph" w:styleId="ListBullet">
    <w:name w:val="List Bullet"/>
    <w:basedOn w:val="Normal"/>
    <w:qFormat/>
    <w:rsid w:val="00B665A6"/>
    <w:pPr>
      <w:numPr>
        <w:numId w:val="11"/>
      </w:numPr>
      <w:spacing w:after="80"/>
    </w:pPr>
    <w:rPr>
      <w:rFonts w:ascii="Arial" w:eastAsia="Times New Roman" w:hAnsi="Arial"/>
      <w:sz w:val="20"/>
      <w:lang w:val="en-AU" w:eastAsia="en-AU"/>
    </w:rPr>
  </w:style>
  <w:style w:type="paragraph" w:customStyle="1" w:styleId="enumlev1">
    <w:name w:val="enumlev1"/>
    <w:basedOn w:val="Normal"/>
    <w:link w:val="enumlev1Char"/>
    <w:qFormat/>
    <w:rsid w:val="00094867"/>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Times New Roman"/>
      <w:szCs w:val="20"/>
      <w:lang w:val="en-GB"/>
    </w:rPr>
  </w:style>
  <w:style w:type="character" w:customStyle="1" w:styleId="enumlev1Char">
    <w:name w:val="enumlev1 Char"/>
    <w:link w:val="enumlev1"/>
    <w:qFormat/>
    <w:locked/>
    <w:rsid w:val="00094867"/>
    <w:rPr>
      <w:rFonts w:eastAsia="Times New Roman"/>
      <w:sz w:val="24"/>
      <w:lang w:val="en-GB"/>
    </w:rPr>
  </w:style>
  <w:style w:type="character" w:customStyle="1" w:styleId="Appref">
    <w:name w:val="App_ref"/>
    <w:basedOn w:val="DefaultParagraphFont"/>
    <w:rsid w:val="00094867"/>
  </w:style>
  <w:style w:type="character" w:customStyle="1" w:styleId="Artref">
    <w:name w:val="Art_ref"/>
    <w:basedOn w:val="DefaultParagraphFont"/>
    <w:rsid w:val="00094867"/>
  </w:style>
  <w:style w:type="paragraph" w:styleId="BalloonText">
    <w:name w:val="Balloon Text"/>
    <w:basedOn w:val="Normal"/>
    <w:link w:val="BalloonTextChar"/>
    <w:semiHidden/>
    <w:unhideWhenUsed/>
    <w:rsid w:val="000C585A"/>
    <w:rPr>
      <w:rFonts w:ascii="Segoe UI" w:hAnsi="Segoe UI" w:cs="Segoe UI"/>
      <w:sz w:val="18"/>
      <w:szCs w:val="18"/>
    </w:rPr>
  </w:style>
  <w:style w:type="character" w:customStyle="1" w:styleId="BalloonTextChar">
    <w:name w:val="Balloon Text Char"/>
    <w:basedOn w:val="DefaultParagraphFont"/>
    <w:link w:val="BalloonText"/>
    <w:semiHidden/>
    <w:rsid w:val="000C585A"/>
    <w:rPr>
      <w:rFonts w:ascii="Segoe UI" w:eastAsia="BatangChe" w:hAnsi="Segoe UI" w:cs="Segoe UI"/>
      <w:sz w:val="18"/>
      <w:szCs w:val="18"/>
    </w:rPr>
  </w:style>
  <w:style w:type="paragraph" w:styleId="ListParagraph">
    <w:name w:val="List Paragraph"/>
    <w:basedOn w:val="Normal"/>
    <w:link w:val="ListParagraphChar"/>
    <w:uiPriority w:val="34"/>
    <w:qFormat/>
    <w:rsid w:val="005E3853"/>
    <w:pPr>
      <w:ind w:left="720"/>
    </w:pPr>
  </w:style>
  <w:style w:type="table" w:styleId="TableGrid">
    <w:name w:val="Table Grid"/>
    <w:basedOn w:val="TableNormal"/>
    <w:uiPriority w:val="39"/>
    <w:rsid w:val="005E3853"/>
    <w:rPr>
      <w:rFonts w:asciiTheme="minorHAnsi" w:eastAsiaTheme="minorHAnsi"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AB1FCD"/>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AB1FCD"/>
    <w:rPr>
      <w:rFonts w:asciiTheme="majorHAnsi" w:eastAsiaTheme="majorEastAsia" w:hAnsiTheme="majorHAnsi" w:cstheme="majorBidi"/>
      <w:i/>
      <w:iCs/>
      <w:color w:val="365F91" w:themeColor="accent1" w:themeShade="BF"/>
      <w:sz w:val="24"/>
      <w:szCs w:val="24"/>
    </w:rPr>
  </w:style>
  <w:style w:type="character" w:customStyle="1" w:styleId="ListParagraphChar">
    <w:name w:val="List Paragraph Char"/>
    <w:basedOn w:val="DefaultParagraphFont"/>
    <w:link w:val="ListParagraph"/>
    <w:uiPriority w:val="34"/>
    <w:locked/>
    <w:rsid w:val="00AB1FCD"/>
    <w:rPr>
      <w:rFonts w:eastAsia="BatangChe"/>
      <w:sz w:val="24"/>
      <w:szCs w:val="24"/>
    </w:rPr>
  </w:style>
  <w:style w:type="character" w:styleId="Strong">
    <w:name w:val="Strong"/>
    <w:basedOn w:val="DefaultParagraphFont"/>
    <w:qFormat/>
    <w:rsid w:val="007419EC"/>
    <w:rPr>
      <w:b/>
      <w:bCs/>
    </w:rPr>
  </w:style>
  <w:style w:type="character" w:customStyle="1" w:styleId="UnresolvedMention">
    <w:name w:val="Unresolved Mention"/>
    <w:basedOn w:val="DefaultParagraphFont"/>
    <w:uiPriority w:val="99"/>
    <w:semiHidden/>
    <w:unhideWhenUsed/>
    <w:rsid w:val="0096270D"/>
    <w:rPr>
      <w:color w:val="808080"/>
      <w:shd w:val="clear" w:color="auto" w:fill="E6E6E6"/>
    </w:rPr>
  </w:style>
  <w:style w:type="character" w:styleId="FollowedHyperlink">
    <w:name w:val="FollowedHyperlink"/>
    <w:basedOn w:val="DefaultParagraphFont"/>
    <w:semiHidden/>
    <w:unhideWhenUsed/>
    <w:rsid w:val="00ED0AF9"/>
    <w:rPr>
      <w:color w:val="800080" w:themeColor="followedHyperlink"/>
      <w:u w:val="single"/>
    </w:rPr>
  </w:style>
  <w:style w:type="paragraph" w:customStyle="1" w:styleId="Style1">
    <w:name w:val="Style1"/>
    <w:basedOn w:val="Heading4"/>
    <w:link w:val="Style1Char"/>
    <w:qFormat/>
    <w:rsid w:val="00ED0AF9"/>
    <w:pPr>
      <w:spacing w:before="0"/>
    </w:pPr>
    <w:rPr>
      <w:rFonts w:ascii="Times New Roman" w:hAnsi="Times New Roman"/>
      <w:b/>
      <w:i w:val="0"/>
      <w:color w:val="auto"/>
    </w:rPr>
  </w:style>
  <w:style w:type="paragraph" w:customStyle="1" w:styleId="Style2">
    <w:name w:val="Style2"/>
    <w:basedOn w:val="Heading3"/>
    <w:link w:val="Style2Char"/>
    <w:qFormat/>
    <w:rsid w:val="00B956F8"/>
    <w:pPr>
      <w:spacing w:before="0"/>
    </w:pPr>
    <w:rPr>
      <w:rFonts w:ascii="Times New Roman" w:hAnsi="Times New Roman"/>
      <w:b/>
      <w:color w:val="auto"/>
    </w:rPr>
  </w:style>
  <w:style w:type="character" w:customStyle="1" w:styleId="Style1Char">
    <w:name w:val="Style1 Char"/>
    <w:basedOn w:val="Heading4Char"/>
    <w:link w:val="Style1"/>
    <w:rsid w:val="00ED0AF9"/>
    <w:rPr>
      <w:rFonts w:asciiTheme="majorHAnsi" w:eastAsiaTheme="majorEastAsia" w:hAnsiTheme="majorHAnsi" w:cstheme="majorBidi"/>
      <w:b/>
      <w:i w:val="0"/>
      <w:iCs/>
      <w:color w:val="365F91" w:themeColor="accent1" w:themeShade="BF"/>
      <w:sz w:val="24"/>
      <w:szCs w:val="24"/>
    </w:rPr>
  </w:style>
  <w:style w:type="paragraph" w:customStyle="1" w:styleId="Style3">
    <w:name w:val="Style3"/>
    <w:basedOn w:val="Heading2"/>
    <w:link w:val="Style3Char"/>
    <w:qFormat/>
    <w:rsid w:val="00BA3933"/>
    <w:rPr>
      <w:rFonts w:ascii="Times New Roman" w:hAnsi="Times New Roman" w:cs="Times New Roman"/>
      <w:b/>
      <w:color w:val="auto"/>
      <w:sz w:val="24"/>
    </w:rPr>
  </w:style>
  <w:style w:type="character" w:customStyle="1" w:styleId="Style2Char">
    <w:name w:val="Style2 Char"/>
    <w:basedOn w:val="Heading2Char"/>
    <w:link w:val="Style2"/>
    <w:rsid w:val="00BA3933"/>
    <w:rPr>
      <w:rFonts w:asciiTheme="majorHAnsi" w:eastAsiaTheme="majorEastAsia" w:hAnsiTheme="majorHAnsi" w:cstheme="majorBidi"/>
      <w:b/>
      <w:color w:val="365F91" w:themeColor="accent1" w:themeShade="BF"/>
      <w:sz w:val="24"/>
      <w:szCs w:val="24"/>
    </w:rPr>
  </w:style>
  <w:style w:type="character" w:customStyle="1" w:styleId="Style3Char">
    <w:name w:val="Style3 Char"/>
    <w:basedOn w:val="Heading2Char"/>
    <w:link w:val="Style3"/>
    <w:rsid w:val="00BA3933"/>
    <w:rPr>
      <w:rFonts w:asciiTheme="majorHAnsi" w:eastAsiaTheme="majorEastAsia" w:hAnsiTheme="majorHAnsi" w:cstheme="majorBidi"/>
      <w:b/>
      <w:color w:val="365F91" w:themeColor="accent1" w:themeShade="BF"/>
      <w:sz w:val="24"/>
      <w:szCs w:val="26"/>
    </w:rPr>
  </w:style>
  <w:style w:type="character" w:customStyle="1" w:styleId="Heading3Char">
    <w:name w:val="Heading 3 Char"/>
    <w:basedOn w:val="DefaultParagraphFont"/>
    <w:link w:val="Heading3"/>
    <w:semiHidden/>
    <w:rsid w:val="00BA3933"/>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DefaultParagraphFont"/>
    <w:rsid w:val="0018240F"/>
    <w:rPr>
      <w:rFonts w:ascii="Arial" w:hAnsi="Arial" w:cs="Arial" w:hint="default"/>
      <w:b w:val="0"/>
      <w:bCs w:val="0"/>
      <w:i w:val="0"/>
      <w:iCs w:val="0"/>
      <w:color w:val="000000"/>
      <w:sz w:val="28"/>
      <w:szCs w:val="28"/>
    </w:rPr>
  </w:style>
  <w:style w:type="character" w:customStyle="1" w:styleId="fontstyle21">
    <w:name w:val="fontstyle21"/>
    <w:basedOn w:val="DefaultParagraphFont"/>
    <w:rsid w:val="0018240F"/>
    <w:rPr>
      <w:rFonts w:ascii="Arial" w:hAnsi="Arial" w:cs="Arial" w:hint="default"/>
      <w:b/>
      <w:bCs/>
      <w:i w:val="0"/>
      <w:iCs w:val="0"/>
      <w:color w:val="000000"/>
      <w:sz w:val="28"/>
      <w:szCs w:val="28"/>
    </w:rPr>
  </w:style>
  <w:style w:type="character" w:customStyle="1" w:styleId="fontstyle31">
    <w:name w:val="fontstyle31"/>
    <w:basedOn w:val="DefaultParagraphFont"/>
    <w:rsid w:val="00837546"/>
    <w:rPr>
      <w:rFonts w:ascii="Arial" w:hAnsi="Arial" w:cs="Arial" w:hint="default"/>
      <w:b w:val="0"/>
      <w:bCs w:val="0"/>
      <w:i/>
      <w:iCs/>
      <w:color w:val="000000"/>
      <w:sz w:val="28"/>
      <w:szCs w:val="28"/>
    </w:rPr>
  </w:style>
  <w:style w:type="paragraph" w:styleId="NormalWeb">
    <w:name w:val="Normal (Web)"/>
    <w:basedOn w:val="Normal"/>
    <w:uiPriority w:val="99"/>
    <w:unhideWhenUsed/>
    <w:rsid w:val="005D22D4"/>
    <w:pPr>
      <w:spacing w:before="100" w:beforeAutospacing="1" w:after="100" w:afterAutospacing="1"/>
    </w:pPr>
    <w:rPr>
      <w:rFonts w:eastAsia="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09731">
      <w:bodyDiv w:val="1"/>
      <w:marLeft w:val="0"/>
      <w:marRight w:val="0"/>
      <w:marTop w:val="0"/>
      <w:marBottom w:val="0"/>
      <w:divBdr>
        <w:top w:val="none" w:sz="0" w:space="0" w:color="auto"/>
        <w:left w:val="none" w:sz="0" w:space="0" w:color="auto"/>
        <w:bottom w:val="none" w:sz="0" w:space="0" w:color="auto"/>
        <w:right w:val="none" w:sz="0" w:space="0" w:color="auto"/>
      </w:divBdr>
    </w:div>
    <w:div w:id="17094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R17-RRB17.2-C-0008/en" TargetMode="External"/><Relationship Id="rId13" Type="http://schemas.openxmlformats.org/officeDocument/2006/relationships/hyperlink" Target="https://www.apt.int/sites/default/files/2019/01/APG19-4-INP-20__AUS6_-_Australian_Contribution_to_APG19-4_Chapter_6.docx" TargetMode="External"/><Relationship Id="rId18" Type="http://schemas.openxmlformats.org/officeDocument/2006/relationships/hyperlink" Target="https://www.apt.int/sites/default/files/2019/01/APG19-4-INF-22_CITEL_PPT.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itu.int/md/R18-RRB18.3-C-0013/en" TargetMode="External"/><Relationship Id="rId17" Type="http://schemas.openxmlformats.org/officeDocument/2006/relationships/hyperlink" Target="https://www.apt.int/sites/default/files/2018/12/APG19-4-INF-04_ICAO_01_WRC-19_ICAO-Pos_for_APG-4_for_WP5.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pt.int/sites/default/files/2018/12/APG19-4-INF-03_IARU.DOCX" TargetMode="External"/><Relationship Id="rId20" Type="http://schemas.openxmlformats.org/officeDocument/2006/relationships/hyperlink" Target="https://www.apt.int/sites/default/files/2019/01/APG19-4-INF-24_RCC.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R18-RRB18.2-C-0015/en"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apt.int/sites/default/files/2018/12/APG19-4-INF-02_WMO-Position_20181109.docx" TargetMode="External"/><Relationship Id="rId23" Type="http://schemas.openxmlformats.org/officeDocument/2006/relationships/footer" Target="footer2.xml"/><Relationship Id="rId10" Type="http://schemas.openxmlformats.org/officeDocument/2006/relationships/hyperlink" Target="https://www.itu.int/md/R18-RRB18.1-C-0011/en" TargetMode="External"/><Relationship Id="rId19" Type="http://schemas.openxmlformats.org/officeDocument/2006/relationships/hyperlink" Target="https://www.apt.int/sites/default/files/2019/01/APG19-4-INF-23_CEPT_PPT.pdf" TargetMode="External"/><Relationship Id="rId4" Type="http://schemas.openxmlformats.org/officeDocument/2006/relationships/webSettings" Target="webSettings.xml"/><Relationship Id="rId9" Type="http://schemas.openxmlformats.org/officeDocument/2006/relationships/hyperlink" Target="https://www.itu.int/md/R17-RRB17.3-C-0011/en" TargetMode="External"/><Relationship Id="rId14" Type="http://schemas.openxmlformats.org/officeDocument/2006/relationships/hyperlink" Target="https://www.apt.int/sites/default/files/2018/12/APG19-4-INP-09Rev.1_Report-second_Inter-regional_Workshop_on_preparations_for_WRC-19.docx"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Abe.Muneo@cj.MitsubishiElectric.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7550</Characters>
  <Application>Microsoft Office Word</Application>
  <DocSecurity>0</DocSecurity>
  <Lines>62</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2019-01-15T02:02:00Z</dcterms:created>
  <dcterms:modified xsi:type="dcterms:W3CDTF">2019-01-15T02:02:00Z</dcterms:modified>
</cp:coreProperties>
</file>