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B17531">
        <w:rPr>
          <w:snapToGrid w:val="0"/>
        </w:rPr>
        <w:t xml:space="preserve"> </w:t>
      </w:r>
      <w:r w:rsidR="00F26FBC">
        <w:rPr>
          <w:snapToGrid w:val="0"/>
        </w:rPr>
        <w:t>6</w:t>
      </w:r>
      <w:bookmarkStart w:id="0" w:name="_GoBack"/>
      <w:bookmarkEnd w:id="0"/>
      <w:r w:rsidR="004D31BB">
        <w:rPr>
          <w:snapToGrid w:val="0"/>
        </w:rPr>
        <w:t xml:space="preserve"> February</w:t>
      </w:r>
      <w:r w:rsidR="00B17531">
        <w:rPr>
          <w:snapToGrid w:val="0"/>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F176E8">
              <w:t xml:space="preserve">   1.21</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Christopher </w:t>
            </w:r>
            <w:r w:rsidR="00DB0955" w:rsidRPr="00DB0955">
              <w:rPr>
                <w:u w:val="single"/>
              </w:rPr>
              <w:t xml:space="preserve">David </w:t>
            </w:r>
            <w:r w:rsidR="00DB0955">
              <w:t>Squires</w:t>
            </w:r>
          </w:p>
          <w:p w:rsidR="00A749D2" w:rsidRPr="00AE27E9" w:rsidRDefault="00F31DE1" w:rsidP="0021310F">
            <w:r>
              <w:t xml:space="preserve">                                                                     </w:t>
            </w:r>
            <w:r w:rsidR="00DB0955">
              <w:t>cd.squires@bigpond.com</w:t>
            </w:r>
          </w:p>
        </w:tc>
      </w:tr>
      <w:tr w:rsidR="00A749D2" w:rsidTr="0021310F">
        <w:tc>
          <w:tcPr>
            <w:tcW w:w="9242" w:type="dxa"/>
          </w:tcPr>
          <w:p w:rsidR="00DD5690" w:rsidRDefault="00A749D2" w:rsidP="0021310F">
            <w:pPr>
              <w:rPr>
                <w:b/>
                <w:bCs/>
              </w:rPr>
            </w:pPr>
            <w:r w:rsidRPr="00AE27E9">
              <w:rPr>
                <w:b/>
                <w:bCs/>
              </w:rPr>
              <w:t>Issues:</w:t>
            </w:r>
            <w:r w:rsidR="0027445A">
              <w:rPr>
                <w:b/>
                <w:bCs/>
              </w:rPr>
              <w:t xml:space="preserve"> </w:t>
            </w:r>
          </w:p>
          <w:p w:rsidR="00DD5690" w:rsidRDefault="00DD5690" w:rsidP="0021310F">
            <w:pPr>
              <w:rPr>
                <w:bCs/>
              </w:rPr>
            </w:pPr>
            <w:r w:rsidRPr="00DD5690">
              <w:rPr>
                <w:bCs/>
              </w:rPr>
              <w:t>Alternate proposals for allocation of parts of the band segment 15.4-15.7 GHz to the Mobile Satellite Service (AI 1.25) and the Unmanned Aircraft System under the Aeronautical Mobile Service (AI 1.3).</w:t>
            </w:r>
            <w:r>
              <w:rPr>
                <w:bCs/>
              </w:rPr>
              <w:t xml:space="preserve"> </w:t>
            </w:r>
          </w:p>
          <w:p w:rsidR="00DD5690" w:rsidRDefault="00DD5690" w:rsidP="0021310F">
            <w:pPr>
              <w:rPr>
                <w:bCs/>
              </w:rPr>
            </w:pPr>
          </w:p>
          <w:p w:rsidR="00A749D2" w:rsidRPr="00DD5690" w:rsidRDefault="00DD5690" w:rsidP="0021310F">
            <w:pPr>
              <w:rPr>
                <w:bCs/>
              </w:rPr>
            </w:pPr>
            <w:r>
              <w:rPr>
                <w:bCs/>
              </w:rPr>
              <w:t>Allocation to these services would not be compatible with the Radiolocation service as proposed under AI 1.21.</w:t>
            </w:r>
          </w:p>
          <w:p w:rsidR="00A749D2" w:rsidRPr="00AE27E9" w:rsidRDefault="00A749D2" w:rsidP="0021310F"/>
        </w:tc>
      </w:tr>
      <w:tr w:rsidR="00A749D2" w:rsidTr="0021310F">
        <w:tc>
          <w:tcPr>
            <w:tcW w:w="9242" w:type="dxa"/>
          </w:tcPr>
          <w:p w:rsidR="00A749D2" w:rsidRDefault="00A749D2" w:rsidP="0021310F">
            <w:r>
              <w:rPr>
                <w:b/>
                <w:bCs/>
              </w:rPr>
              <w:t>APT Proposals</w:t>
            </w:r>
            <w:r>
              <w:t>:</w:t>
            </w:r>
            <w:r w:rsidR="00D25227">
              <w:t xml:space="preserve"> Document 26 Addendum 21</w:t>
            </w:r>
          </w:p>
          <w:p w:rsidR="00222D66" w:rsidRDefault="00222D66" w:rsidP="0021310F"/>
          <w:p w:rsidR="00222D66" w:rsidRDefault="004646FB" w:rsidP="0021310F">
            <w:r>
              <w:t xml:space="preserve">The APT common proposal is </w:t>
            </w:r>
            <w:r w:rsidR="00222D66" w:rsidRPr="00FC0DA6">
              <w:t>to consider a primary allocation to the radiolocation service in the band 15.4-15.7 GHz, taking into account the results of ITU</w:t>
            </w:r>
            <w:r w:rsidR="00222D66" w:rsidRPr="00FC0DA6">
              <w:noBreakHyphen/>
              <w:t>R studies, in accordance with Resolution </w:t>
            </w:r>
            <w:r w:rsidR="00222D66" w:rsidRPr="00FC0DA6">
              <w:rPr>
                <w:b/>
              </w:rPr>
              <w:t>614 (WRC</w:t>
            </w:r>
            <w:r w:rsidR="00222D66" w:rsidRPr="00FC0DA6">
              <w:rPr>
                <w:b/>
              </w:rPr>
              <w:noBreakHyphen/>
              <w:t>07)</w:t>
            </w:r>
            <w:r w:rsidR="00222D66">
              <w:t>.</w:t>
            </w:r>
          </w:p>
          <w:p w:rsidR="00222D66" w:rsidRDefault="00222D66" w:rsidP="0021310F"/>
          <w:p w:rsidR="00222D66" w:rsidRDefault="004646FB" w:rsidP="0021310F">
            <w:r>
              <w:t xml:space="preserve">The proposal includes </w:t>
            </w:r>
            <w:r w:rsidR="00222D66" w:rsidRPr="00FC0DA6">
              <w:t>examples of new footnotes protecting ARNS and RAS systems.</w:t>
            </w:r>
          </w:p>
          <w:p w:rsidR="00222D66" w:rsidRDefault="00222D66" w:rsidP="0021310F"/>
          <w:p w:rsidR="00A749D2" w:rsidRDefault="00222D66" w:rsidP="0021310F">
            <w:r w:rsidRPr="00FC0DA6">
              <w:t>In addition,</w:t>
            </w:r>
            <w:r w:rsidR="001E48AB">
              <w:t xml:space="preserve"> </w:t>
            </w:r>
            <w:r>
              <w:t>the proposal suggests that</w:t>
            </w:r>
            <w:r w:rsidRPr="00FC0DA6">
              <w:t xml:space="preserve"> it is possible that a WRC-12 Resolution (yet to be developed) may also be needed to provide further clarification</w:t>
            </w:r>
            <w:r>
              <w:t>.</w:t>
            </w:r>
          </w:p>
          <w:p w:rsidR="00A749D2" w:rsidRPr="00AE27E9" w:rsidRDefault="00A749D2" w:rsidP="0021310F"/>
        </w:tc>
      </w:tr>
      <w:tr w:rsidR="00A749D2" w:rsidTr="0021310F">
        <w:tc>
          <w:tcPr>
            <w:tcW w:w="9242" w:type="dxa"/>
          </w:tcPr>
          <w:p w:rsidR="005F751E" w:rsidRDefault="00A749D2" w:rsidP="0021310F">
            <w:pPr>
              <w:rPr>
                <w:b/>
                <w:bCs/>
              </w:rPr>
            </w:pPr>
            <w:r>
              <w:rPr>
                <w:b/>
                <w:bCs/>
              </w:rPr>
              <w:t>Status of the APT Proposals:</w:t>
            </w:r>
          </w:p>
          <w:p w:rsidR="00A749D2" w:rsidRDefault="0027445A" w:rsidP="0021310F">
            <w:pPr>
              <w:rPr>
                <w:bCs/>
              </w:rPr>
            </w:pPr>
            <w:r>
              <w:rPr>
                <w:b/>
                <w:bCs/>
              </w:rPr>
              <w:t xml:space="preserve"> </w:t>
            </w:r>
            <w:r w:rsidRPr="0027445A">
              <w:rPr>
                <w:bCs/>
              </w:rPr>
              <w:t xml:space="preserve">The APT common proposal </w:t>
            </w:r>
            <w:r>
              <w:rPr>
                <w:bCs/>
              </w:rPr>
              <w:t>was</w:t>
            </w:r>
            <w:r w:rsidRPr="0027445A">
              <w:rPr>
                <w:bCs/>
              </w:rPr>
              <w:t xml:space="preserve"> presented</w:t>
            </w:r>
            <w:r>
              <w:rPr>
                <w:bCs/>
              </w:rPr>
              <w:t xml:space="preserve"> by Mr.</w:t>
            </w:r>
            <w:r w:rsidR="005F751E">
              <w:rPr>
                <w:bCs/>
              </w:rPr>
              <w:t xml:space="preserve"> </w:t>
            </w:r>
            <w:r>
              <w:rPr>
                <w:bCs/>
              </w:rPr>
              <w:t>Squires</w:t>
            </w:r>
            <w:r w:rsidRPr="0027445A">
              <w:rPr>
                <w:bCs/>
              </w:rPr>
              <w:t xml:space="preserve"> to the first Working Group session held on 24 January and was confirmed at the first Sub Working Group meeting on 25 January 2012.</w:t>
            </w:r>
          </w:p>
          <w:p w:rsidR="005F751E" w:rsidRDefault="005F751E" w:rsidP="0021310F">
            <w:pPr>
              <w:rPr>
                <w:bCs/>
              </w:rPr>
            </w:pPr>
          </w:p>
          <w:p w:rsidR="00A749D2" w:rsidRPr="000C0C2B" w:rsidRDefault="0027445A" w:rsidP="0021310F">
            <w:pPr>
              <w:rPr>
                <w:bCs/>
              </w:rPr>
            </w:pPr>
            <w:r>
              <w:rPr>
                <w:bCs/>
              </w:rPr>
              <w:t>The majority of proposals to AI 1.21 working group are in agreement with the APT common position.</w:t>
            </w:r>
          </w:p>
          <w:p w:rsidR="00A749D2" w:rsidRPr="00AE27E9" w:rsidRDefault="00A749D2" w:rsidP="0021310F"/>
        </w:tc>
      </w:tr>
      <w:tr w:rsidR="00A749D2" w:rsidTr="0021310F">
        <w:tc>
          <w:tcPr>
            <w:tcW w:w="9242" w:type="dxa"/>
          </w:tcPr>
          <w:p w:rsidR="00A749D2" w:rsidRDefault="00A749D2" w:rsidP="0021310F">
            <w:pPr>
              <w:rPr>
                <w:b/>
                <w:bCs/>
              </w:rPr>
            </w:pPr>
            <w:r>
              <w:rPr>
                <w:b/>
                <w:bCs/>
              </w:rPr>
              <w:t>Issues to be discussed at the Coordination Meeting</w:t>
            </w:r>
            <w:r w:rsidR="00116A79">
              <w:rPr>
                <w:b/>
                <w:bCs/>
              </w:rPr>
              <w:t>s</w:t>
            </w:r>
            <w:r>
              <w:rPr>
                <w:b/>
                <w:bCs/>
              </w:rPr>
              <w:t>:</w:t>
            </w:r>
          </w:p>
          <w:p w:rsidR="00A749D2" w:rsidRDefault="00A749D2" w:rsidP="0021310F">
            <w:pPr>
              <w:rPr>
                <w:b/>
                <w:bCs/>
              </w:rPr>
            </w:pPr>
          </w:p>
          <w:p w:rsidR="00A749D2" w:rsidRPr="000C0C2B" w:rsidRDefault="000C0C2B" w:rsidP="0021310F">
            <w:pPr>
              <w:rPr>
                <w:bCs/>
              </w:rPr>
            </w:pPr>
            <w:r w:rsidRPr="000C0C2B">
              <w:rPr>
                <w:bCs/>
              </w:rPr>
              <w:t>Alternate proposals from some administrations are for No Change (NC) to the radio Regulations</w:t>
            </w:r>
            <w:r w:rsidR="00D077D0">
              <w:rPr>
                <w:bCs/>
              </w:rPr>
              <w:t>, with one proposal for a lesser bandwidth allocation</w:t>
            </w:r>
            <w:r w:rsidRPr="000C0C2B">
              <w:rPr>
                <w:bCs/>
              </w:rPr>
              <w:t>. The issue of possible general agreement on an allocation is to be discussed.</w:t>
            </w:r>
          </w:p>
          <w:p w:rsidR="000C0C2B" w:rsidRDefault="000C0C2B" w:rsidP="0021310F">
            <w:pPr>
              <w:rPr>
                <w:b/>
                <w:bCs/>
              </w:rPr>
            </w:pPr>
          </w:p>
          <w:p w:rsidR="000C0C2B" w:rsidRDefault="000C0C2B" w:rsidP="0021310F">
            <w:pPr>
              <w:rPr>
                <w:b/>
                <w:bCs/>
              </w:rPr>
            </w:pPr>
          </w:p>
          <w:p w:rsidR="00A749D2" w:rsidRDefault="00A749D2" w:rsidP="0021310F">
            <w:pPr>
              <w:rPr>
                <w:b/>
                <w:bCs/>
              </w:rPr>
            </w:pPr>
          </w:p>
          <w:p w:rsidR="000C0C2B" w:rsidRDefault="000C0C2B" w:rsidP="0021310F">
            <w:pPr>
              <w:rPr>
                <w:b/>
                <w:bCs/>
              </w:rPr>
            </w:pPr>
          </w:p>
        </w:tc>
      </w:tr>
      <w:tr w:rsidR="00A749D2" w:rsidTr="0021310F">
        <w:tc>
          <w:tcPr>
            <w:tcW w:w="9242" w:type="dxa"/>
          </w:tcPr>
          <w:p w:rsidR="00A749D2" w:rsidRPr="00F14084" w:rsidRDefault="00A749D2" w:rsidP="0021310F">
            <w:r w:rsidRPr="00F14084">
              <w:rPr>
                <w:b/>
                <w:bCs/>
              </w:rPr>
              <w:lastRenderedPageBreak/>
              <w:t>Comments/Remarks by the Coordinator</w:t>
            </w:r>
            <w:r w:rsidRPr="00F14084">
              <w:t>:</w:t>
            </w:r>
          </w:p>
          <w:p w:rsidR="00A749D2" w:rsidRPr="00F14084" w:rsidRDefault="000C0C2B" w:rsidP="0021310F">
            <w:r w:rsidRPr="00F14084">
              <w:t xml:space="preserve">At the first sub working group meeting </w:t>
            </w:r>
            <w:r w:rsidR="003A4250" w:rsidRPr="00F14084">
              <w:t>the Chair (Mr. Lemke, USA) sought confirmation of the various positions. Proposals for an allocation across the entire 300 MHz were confirmed by the proponents.</w:t>
            </w:r>
          </w:p>
          <w:p w:rsidR="00F14084" w:rsidRPr="00F14084" w:rsidRDefault="00F14084" w:rsidP="0021310F"/>
          <w:p w:rsidR="00F14084" w:rsidRPr="00F14084" w:rsidRDefault="00F14084" w:rsidP="00F14084">
            <w:pPr>
              <w:spacing w:after="200" w:line="276" w:lineRule="auto"/>
              <w:rPr>
                <w:rFonts w:eastAsiaTheme="minorHAnsi"/>
                <w:lang w:val="en-AU"/>
              </w:rPr>
            </w:pPr>
            <w:r w:rsidRPr="00F14084">
              <w:rPr>
                <w:rFonts w:eastAsiaTheme="minorHAnsi"/>
                <w:lang w:val="en-AU"/>
              </w:rPr>
              <w:t>Iran confirmed</w:t>
            </w:r>
            <w:r w:rsidRPr="00B06A83">
              <w:rPr>
                <w:rFonts w:eastAsiaTheme="minorHAnsi"/>
                <w:lang w:val="en-AU"/>
              </w:rPr>
              <w:t xml:space="preserve"> a preference for Method D (NC). </w:t>
            </w:r>
          </w:p>
          <w:p w:rsidR="00F14084" w:rsidRPr="00F14084" w:rsidRDefault="00F14084" w:rsidP="00F14084">
            <w:pPr>
              <w:spacing w:after="200" w:line="276" w:lineRule="auto"/>
              <w:rPr>
                <w:rFonts w:eastAsiaTheme="minorHAnsi"/>
                <w:lang w:val="en-AU"/>
              </w:rPr>
            </w:pPr>
            <w:r w:rsidRPr="00F14084">
              <w:rPr>
                <w:rFonts w:eastAsiaTheme="minorHAnsi"/>
                <w:lang w:val="en-AU"/>
              </w:rPr>
              <w:t xml:space="preserve">No speaker was present to confirm Indonesia’s preference </w:t>
            </w:r>
            <w:r w:rsidRPr="00B06A83">
              <w:rPr>
                <w:rFonts w:eastAsiaTheme="minorHAnsi"/>
                <w:lang w:val="en-AU"/>
              </w:rPr>
              <w:t>for Method D (NC).</w:t>
            </w:r>
          </w:p>
          <w:p w:rsidR="00F14084" w:rsidRPr="00B06A83" w:rsidRDefault="00F14084" w:rsidP="00F14084">
            <w:pPr>
              <w:spacing w:after="200" w:line="276" w:lineRule="auto"/>
              <w:rPr>
                <w:rFonts w:eastAsiaTheme="minorHAnsi"/>
                <w:lang w:val="en-AU"/>
              </w:rPr>
            </w:pPr>
            <w:r w:rsidRPr="00F14084">
              <w:rPr>
                <w:rFonts w:eastAsiaTheme="minorHAnsi"/>
                <w:lang w:val="en-AU"/>
              </w:rPr>
              <w:t>When prompted by the chair there was no support from the floor for the method of NC.</w:t>
            </w:r>
          </w:p>
          <w:p w:rsidR="00F14084" w:rsidRPr="00F14084" w:rsidRDefault="00F14084" w:rsidP="0021310F"/>
          <w:p w:rsidR="003A4250" w:rsidRDefault="003A4250" w:rsidP="0021310F">
            <w:r w:rsidRPr="00F14084">
              <w:t>CEPT confirmed its proposal for an allocation across a 200 MHz bandwidth.</w:t>
            </w:r>
            <w:r w:rsidR="00F14084" w:rsidRPr="00F14084">
              <w:t xml:space="preserve"> CEPT sees a need for an allocation of 100 MHz between 15.4-15.5 GHz to the UAS for backup terrestrial links under AI 1.3 and stated that they consider a 200 MHz allocation to the RLS as sufficient.</w:t>
            </w:r>
          </w:p>
          <w:p w:rsidR="00A72B25" w:rsidRDefault="00A72B25" w:rsidP="0021310F"/>
          <w:p w:rsidR="0021310F" w:rsidRPr="00F14084" w:rsidRDefault="00A72B25" w:rsidP="0021310F">
            <w:r>
              <w:t xml:space="preserve">The Chair stated that the work revolves around the method of resolving the differing positions. </w:t>
            </w:r>
            <w:r w:rsidR="0021310F">
              <w:rPr>
                <w:vanish/>
              </w:rPr>
              <w:cr/>
              <w:t xml:space="preserve"> study provided by the CEPT was inadequate and that e method of NC.d.ably for the RCC, CITEL and the Radio Astronomy Service wh</w:t>
            </w:r>
          </w:p>
          <w:p w:rsidR="003A4250" w:rsidRPr="00F14084" w:rsidRDefault="003A4250" w:rsidP="0021310F"/>
          <w:p w:rsidR="00584012" w:rsidRPr="00DA7435" w:rsidRDefault="00FC556E" w:rsidP="00584012">
            <w:pPr>
              <w:rPr>
                <w:rFonts w:eastAsiaTheme="minorHAnsi"/>
                <w:lang w:val="en-AU"/>
              </w:rPr>
            </w:pPr>
            <w:r w:rsidRPr="00F14084">
              <w:t>There was a significant amount of opposition to the CEPT position, no</w:t>
            </w:r>
            <w:r w:rsidR="00A72B25">
              <w:t>tably from</w:t>
            </w:r>
            <w:r w:rsidR="00DA7435">
              <w:t xml:space="preserve"> the RCC and </w:t>
            </w:r>
            <w:r w:rsidR="00B80243">
              <w:t>CITE</w:t>
            </w:r>
            <w:r w:rsidR="00584012">
              <w:t>L.</w:t>
            </w:r>
            <w:r w:rsidR="00584012">
              <w:rPr>
                <w:vanish/>
              </w:rPr>
              <w:t xml:space="preserve"> nd did not provide an answeres</w:t>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DA7435">
              <w:t xml:space="preserve"> </w:t>
            </w:r>
            <w:r w:rsidR="00584012" w:rsidRPr="00DA7435">
              <w:rPr>
                <w:rFonts w:eastAsiaTheme="minorHAnsi"/>
                <w:lang w:val="en-AU"/>
              </w:rPr>
              <w:t>A representative of the RAS community (</w:t>
            </w:r>
            <w:proofErr w:type="spellStart"/>
            <w:r w:rsidR="00584012" w:rsidRPr="00DA7435">
              <w:rPr>
                <w:rFonts w:eastAsiaTheme="minorHAnsi"/>
                <w:lang w:val="en-AU"/>
              </w:rPr>
              <w:t>Mr.</w:t>
            </w:r>
            <w:proofErr w:type="spellEnd"/>
            <w:r w:rsidR="00F915AC">
              <w:rPr>
                <w:rFonts w:eastAsiaTheme="minorHAnsi"/>
                <w:lang w:val="en-AU"/>
              </w:rPr>
              <w:t xml:space="preserve"> </w:t>
            </w:r>
            <w:r w:rsidR="00584012" w:rsidRPr="00DA7435">
              <w:rPr>
                <w:rFonts w:eastAsiaTheme="minorHAnsi"/>
                <w:lang w:val="en-AU"/>
              </w:rPr>
              <w:t xml:space="preserve">Baan, Netherlands) stated that the </w:t>
            </w:r>
            <w:r w:rsidR="00687DFE">
              <w:rPr>
                <w:rFonts w:eastAsiaTheme="minorHAnsi"/>
                <w:lang w:val="en-AU"/>
              </w:rPr>
              <w:t xml:space="preserve">sharing </w:t>
            </w:r>
            <w:r w:rsidR="00584012" w:rsidRPr="00DA7435">
              <w:rPr>
                <w:rFonts w:eastAsiaTheme="minorHAnsi"/>
                <w:lang w:val="en-AU"/>
              </w:rPr>
              <w:t>study between RLS and RAS shows compatibility however the study between UAS and RAS does not</w:t>
            </w:r>
            <w:r w:rsidR="00112DD5" w:rsidRPr="00DA7435">
              <w:rPr>
                <w:rFonts w:eastAsiaTheme="minorHAnsi"/>
                <w:lang w:val="en-AU"/>
              </w:rPr>
              <w:t xml:space="preserve"> </w:t>
            </w:r>
            <w:r w:rsidR="00112DD5">
              <w:rPr>
                <w:rFonts w:eastAsiaTheme="minorHAnsi"/>
                <w:lang w:val="en-AU"/>
              </w:rPr>
              <w:t>show</w:t>
            </w:r>
            <w:r w:rsidR="00112DD5" w:rsidRPr="00DA7435">
              <w:rPr>
                <w:rFonts w:eastAsiaTheme="minorHAnsi"/>
                <w:lang w:val="en-AU"/>
              </w:rPr>
              <w:t xml:space="preserve"> compatibility</w:t>
            </w:r>
            <w:r w:rsidR="00584012" w:rsidRPr="00DA7435">
              <w:rPr>
                <w:rFonts w:eastAsiaTheme="minorHAnsi"/>
                <w:lang w:val="en-AU"/>
              </w:rPr>
              <w:t>.</w:t>
            </w:r>
          </w:p>
          <w:p w:rsidR="00A749D2" w:rsidRPr="00F14084" w:rsidRDefault="00A749D2" w:rsidP="0021310F"/>
          <w:p w:rsidR="00FC556E" w:rsidRPr="00F14084" w:rsidRDefault="00FC556E" w:rsidP="0021310F"/>
          <w:p w:rsidR="00C27A1C" w:rsidRPr="00DA7435" w:rsidRDefault="00C27A1C" w:rsidP="00C27A1C">
            <w:pPr>
              <w:spacing w:after="200" w:line="276" w:lineRule="auto"/>
              <w:rPr>
                <w:rFonts w:eastAsiaTheme="minorHAnsi"/>
                <w:lang w:val="en-AU"/>
              </w:rPr>
            </w:pPr>
            <w:r w:rsidRPr="00DA7435">
              <w:rPr>
                <w:rFonts w:eastAsiaTheme="minorHAnsi"/>
                <w:lang w:val="en-AU"/>
              </w:rPr>
              <w:t xml:space="preserve">Chair asked for a summary on the need for a 300 MHz allocation. USA stated that RES 614 asks for examination of an allocation of 300 </w:t>
            </w:r>
            <w:proofErr w:type="spellStart"/>
            <w:r w:rsidRPr="00DA7435">
              <w:rPr>
                <w:rFonts w:eastAsiaTheme="minorHAnsi"/>
                <w:lang w:val="en-AU"/>
              </w:rPr>
              <w:t>MHz.</w:t>
            </w:r>
            <w:proofErr w:type="spellEnd"/>
            <w:r w:rsidRPr="00DA7435">
              <w:rPr>
                <w:rFonts w:eastAsiaTheme="minorHAnsi"/>
                <w:lang w:val="en-AU"/>
              </w:rPr>
              <w:t xml:space="preserve"> This has been examined in detail and sharing studies conducted showing compatibility with the RAS, and the need is established.</w:t>
            </w:r>
          </w:p>
          <w:p w:rsidR="00C018D2" w:rsidRDefault="00C018D2" w:rsidP="00C018D2">
            <w:pPr>
              <w:spacing w:after="200" w:line="276" w:lineRule="auto"/>
              <w:rPr>
                <w:rFonts w:eastAsiaTheme="minorHAnsi"/>
                <w:lang w:val="en-AU"/>
              </w:rPr>
            </w:pPr>
            <w:r w:rsidRPr="00DA7435">
              <w:rPr>
                <w:rFonts w:eastAsiaTheme="minorHAnsi"/>
                <w:lang w:val="en-AU"/>
              </w:rPr>
              <w:t>Chair asks whether CEPT would accept a 300 MHz allocation in the event that AI 1.3 was not resolved in favour of an allocation in the 15 GHz band. CEPT not in favour of this proposal and did not provide an answer.</w:t>
            </w:r>
          </w:p>
          <w:p w:rsidR="0080461B" w:rsidRPr="0080461B" w:rsidRDefault="0080461B" w:rsidP="0080461B">
            <w:pPr>
              <w:spacing w:after="200" w:line="276" w:lineRule="auto"/>
              <w:rPr>
                <w:rFonts w:eastAsiaTheme="minorHAnsi"/>
                <w:lang w:val="en-AU"/>
              </w:rPr>
            </w:pPr>
            <w:r w:rsidRPr="0080461B">
              <w:rPr>
                <w:rFonts w:eastAsiaTheme="minorHAnsi"/>
                <w:lang w:val="en-AU"/>
              </w:rPr>
              <w:t>CEPT (</w:t>
            </w:r>
            <w:proofErr w:type="spellStart"/>
            <w:r w:rsidRPr="0080461B">
              <w:rPr>
                <w:rFonts w:eastAsiaTheme="minorHAnsi"/>
                <w:lang w:val="en-AU"/>
              </w:rPr>
              <w:t>Mr.Webber</w:t>
            </w:r>
            <w:proofErr w:type="spellEnd"/>
            <w:r w:rsidRPr="0080461B">
              <w:rPr>
                <w:rFonts w:eastAsiaTheme="minorHAnsi"/>
                <w:lang w:val="en-AU"/>
              </w:rPr>
              <w:t>) suggested examination of the commonalities and the Resolution, and leave the bandwidth allocation question until later.</w:t>
            </w:r>
          </w:p>
          <w:p w:rsidR="0080461B" w:rsidRDefault="0080461B" w:rsidP="0080461B">
            <w:pPr>
              <w:spacing w:after="200" w:line="276" w:lineRule="auto"/>
              <w:rPr>
                <w:rFonts w:eastAsiaTheme="minorHAnsi"/>
                <w:lang w:val="en-AU"/>
              </w:rPr>
            </w:pPr>
            <w:r w:rsidRPr="0080461B">
              <w:rPr>
                <w:rFonts w:eastAsiaTheme="minorHAnsi"/>
                <w:lang w:val="en-AU"/>
              </w:rPr>
              <w:t>Chair will take an action item to draft some text in this way to be ready for discussion at the next meeting.</w:t>
            </w:r>
          </w:p>
          <w:p w:rsidR="00116A79" w:rsidRDefault="00830D49" w:rsidP="0080461B">
            <w:pPr>
              <w:spacing w:after="200" w:line="276" w:lineRule="auto"/>
              <w:rPr>
                <w:rFonts w:eastAsiaTheme="minorHAnsi"/>
                <w:lang w:val="en-AU"/>
              </w:rPr>
            </w:pPr>
            <w:r>
              <w:rPr>
                <w:rFonts w:eastAsiaTheme="minorHAnsi"/>
                <w:lang w:val="en-AU"/>
              </w:rPr>
              <w:t>(</w:t>
            </w:r>
            <w:r w:rsidR="0035623E">
              <w:rPr>
                <w:rFonts w:eastAsiaTheme="minorHAnsi"/>
                <w:i/>
                <w:lang w:val="en-AU"/>
              </w:rPr>
              <w:t>Update of 30</w:t>
            </w:r>
            <w:r w:rsidRPr="00830D49">
              <w:rPr>
                <w:rFonts w:eastAsiaTheme="minorHAnsi"/>
                <w:i/>
                <w:lang w:val="en-AU"/>
              </w:rPr>
              <w:t xml:space="preserve"> January 2012</w:t>
            </w:r>
            <w:r>
              <w:rPr>
                <w:rFonts w:eastAsiaTheme="minorHAnsi"/>
                <w:lang w:val="en-AU"/>
              </w:rPr>
              <w:t>)</w:t>
            </w:r>
          </w:p>
          <w:p w:rsidR="00116A79" w:rsidRDefault="00116A79" w:rsidP="0080461B">
            <w:pPr>
              <w:spacing w:after="200" w:line="276" w:lineRule="auto"/>
              <w:rPr>
                <w:rFonts w:eastAsiaTheme="minorHAnsi"/>
                <w:lang w:val="en-AU"/>
              </w:rPr>
            </w:pPr>
            <w:r>
              <w:rPr>
                <w:rFonts w:eastAsiaTheme="minorHAnsi"/>
                <w:lang w:val="en-AU"/>
              </w:rPr>
              <w:t>At the second coordination meeting held on</w:t>
            </w:r>
            <w:r w:rsidR="008F28BA">
              <w:rPr>
                <w:rFonts w:eastAsiaTheme="minorHAnsi"/>
                <w:lang w:val="en-AU"/>
              </w:rPr>
              <w:t xml:space="preserve"> 26 January 2012 discussion centred on the requirement for an allocation to the radiolocation service, and the justification for that.</w:t>
            </w:r>
            <w:r w:rsidR="008379B8">
              <w:rPr>
                <w:rFonts w:eastAsiaTheme="minorHAnsi"/>
                <w:lang w:val="en-AU"/>
              </w:rPr>
              <w:t xml:space="preserve"> It was explained that the proposed use was for </w:t>
            </w:r>
            <w:proofErr w:type="gramStart"/>
            <w:r w:rsidR="008379B8">
              <w:rPr>
                <w:rFonts w:eastAsiaTheme="minorHAnsi"/>
                <w:lang w:val="en-AU"/>
              </w:rPr>
              <w:t>a multifunction</w:t>
            </w:r>
            <w:proofErr w:type="gramEnd"/>
            <w:r w:rsidR="008379B8">
              <w:rPr>
                <w:rFonts w:eastAsiaTheme="minorHAnsi"/>
                <w:lang w:val="en-AU"/>
              </w:rPr>
              <w:t xml:space="preserve"> radar that required an allocation to the entire 300 MHz </w:t>
            </w:r>
            <w:r w:rsidR="00CA4D4F">
              <w:rPr>
                <w:rFonts w:eastAsiaTheme="minorHAnsi"/>
                <w:lang w:val="en-AU"/>
              </w:rPr>
              <w:t>to allow the radar systems under development to be effective.</w:t>
            </w:r>
          </w:p>
          <w:p w:rsidR="00CA4D4F" w:rsidRDefault="00BC2EFE" w:rsidP="0080461B">
            <w:pPr>
              <w:spacing w:after="200" w:line="276" w:lineRule="auto"/>
              <w:rPr>
                <w:rFonts w:eastAsiaTheme="minorHAnsi"/>
                <w:lang w:val="en-AU"/>
              </w:rPr>
            </w:pPr>
            <w:r>
              <w:rPr>
                <w:rFonts w:eastAsiaTheme="minorHAnsi"/>
                <w:lang w:val="en-AU"/>
              </w:rPr>
              <w:t>The Arab Group also clarified its position, that if an allocation were made to the RLS in the 15 GHz band then they would prefer that it be restricted to between 15.55 – 15.7 GHz.</w:t>
            </w:r>
            <w:r w:rsidR="004704C6">
              <w:rPr>
                <w:rFonts w:eastAsiaTheme="minorHAnsi"/>
                <w:lang w:val="en-AU"/>
              </w:rPr>
              <w:t xml:space="preserve"> (an </w:t>
            </w:r>
            <w:r w:rsidR="004704C6">
              <w:rPr>
                <w:rFonts w:eastAsiaTheme="minorHAnsi"/>
                <w:lang w:val="en-AU"/>
              </w:rPr>
              <w:lastRenderedPageBreak/>
              <w:t>allocation of no more than 150 MHz).</w:t>
            </w:r>
          </w:p>
          <w:p w:rsidR="00BC2EFE" w:rsidRDefault="00BC2EFE" w:rsidP="0080461B">
            <w:pPr>
              <w:spacing w:after="200" w:line="276" w:lineRule="auto"/>
              <w:rPr>
                <w:rFonts w:eastAsiaTheme="minorHAnsi"/>
                <w:lang w:val="en-AU"/>
              </w:rPr>
            </w:pPr>
            <w:r>
              <w:rPr>
                <w:rFonts w:eastAsiaTheme="minorHAnsi"/>
                <w:lang w:val="en-AU"/>
              </w:rPr>
              <w:t xml:space="preserve">The chair noted </w:t>
            </w:r>
            <w:r w:rsidR="00F34BA7">
              <w:rPr>
                <w:rFonts w:eastAsiaTheme="minorHAnsi"/>
                <w:lang w:val="en-AU"/>
              </w:rPr>
              <w:t>that in Regions 2 and 3 there was no opposition t</w:t>
            </w:r>
            <w:r>
              <w:rPr>
                <w:rFonts w:eastAsiaTheme="minorHAnsi"/>
                <w:lang w:val="en-AU"/>
              </w:rPr>
              <w:t xml:space="preserve">o an allocation across the entire 300 MHz sought. </w:t>
            </w:r>
            <w:r w:rsidR="00371F96">
              <w:rPr>
                <w:rFonts w:eastAsiaTheme="minorHAnsi"/>
                <w:lang w:val="en-AU"/>
              </w:rPr>
              <w:t>Continued d</w:t>
            </w:r>
            <w:r>
              <w:rPr>
                <w:rFonts w:eastAsiaTheme="minorHAnsi"/>
                <w:lang w:val="en-AU"/>
              </w:rPr>
              <w:t>rafting of an output document will concentrate on the alter</w:t>
            </w:r>
            <w:r w:rsidR="00371F96">
              <w:rPr>
                <w:rFonts w:eastAsiaTheme="minorHAnsi"/>
                <w:lang w:val="en-AU"/>
              </w:rPr>
              <w:t>native</w:t>
            </w:r>
            <w:r>
              <w:rPr>
                <w:rFonts w:eastAsiaTheme="minorHAnsi"/>
                <w:lang w:val="en-AU"/>
              </w:rPr>
              <w:t xml:space="preserve"> bandwidth allocations sought in Region 1.</w:t>
            </w:r>
          </w:p>
          <w:p w:rsidR="00CD292B" w:rsidRDefault="00BC2EFE" w:rsidP="0080461B">
            <w:pPr>
              <w:spacing w:after="200" w:line="276" w:lineRule="auto"/>
              <w:rPr>
                <w:rFonts w:eastAsiaTheme="minorHAnsi"/>
                <w:lang w:val="en-AU"/>
              </w:rPr>
            </w:pPr>
            <w:r>
              <w:rPr>
                <w:rFonts w:eastAsiaTheme="minorHAnsi"/>
                <w:lang w:val="en-AU"/>
              </w:rPr>
              <w:t>The eventual bandwidth allocation agreed in Region 1 may depend  on the outcome of deliberations on Agenda Item 1.3, where an allocation in the lower part o</w:t>
            </w:r>
            <w:r w:rsidR="00E345CA">
              <w:rPr>
                <w:rFonts w:eastAsiaTheme="minorHAnsi"/>
                <w:lang w:val="en-AU"/>
              </w:rPr>
              <w:t>f th</w:t>
            </w:r>
            <w:r>
              <w:rPr>
                <w:rFonts w:eastAsiaTheme="minorHAnsi"/>
                <w:lang w:val="en-AU"/>
              </w:rPr>
              <w:t xml:space="preserve">e 300 MHz bandwidth under discussion is sought by CEPT for </w:t>
            </w:r>
            <w:r w:rsidR="00891238">
              <w:rPr>
                <w:rFonts w:eastAsiaTheme="minorHAnsi"/>
                <w:lang w:val="en-AU"/>
              </w:rPr>
              <w:t xml:space="preserve">backup </w:t>
            </w:r>
            <w:r>
              <w:rPr>
                <w:rFonts w:eastAsiaTheme="minorHAnsi"/>
                <w:lang w:val="en-AU"/>
              </w:rPr>
              <w:t>terrestrial links for Unmanned Aeronautical Systems.</w:t>
            </w:r>
            <w:r w:rsidR="004C5976">
              <w:rPr>
                <w:rFonts w:eastAsiaTheme="minorHAnsi"/>
                <w:lang w:val="en-AU"/>
              </w:rPr>
              <w:t xml:space="preserve"> </w:t>
            </w:r>
            <w:r w:rsidR="00CD292B">
              <w:rPr>
                <w:rFonts w:eastAsiaTheme="minorHAnsi"/>
                <w:lang w:val="en-AU"/>
              </w:rPr>
              <w:t>After the meeting offline discussions were entered into by those with differing positions from Region 1.</w:t>
            </w:r>
          </w:p>
          <w:p w:rsidR="00BC2EFE" w:rsidRDefault="00CD292B" w:rsidP="0080461B">
            <w:pPr>
              <w:spacing w:after="200" w:line="276" w:lineRule="auto"/>
              <w:rPr>
                <w:rFonts w:eastAsiaTheme="minorHAnsi"/>
                <w:lang w:val="en-AU"/>
              </w:rPr>
            </w:pPr>
            <w:r>
              <w:rPr>
                <w:rFonts w:eastAsiaTheme="minorHAnsi"/>
                <w:lang w:val="en-AU"/>
              </w:rPr>
              <w:t xml:space="preserve">(A competing allocation under AI 1.25 is no longer an issue as that proved to be unsuccessful). </w:t>
            </w:r>
          </w:p>
          <w:p w:rsidR="00BC2EFE" w:rsidRPr="0080461B" w:rsidRDefault="00BC2EFE" w:rsidP="0080461B">
            <w:pPr>
              <w:spacing w:after="200" w:line="276" w:lineRule="auto"/>
              <w:rPr>
                <w:rFonts w:eastAsiaTheme="minorHAnsi"/>
                <w:lang w:val="en-AU"/>
              </w:rPr>
            </w:pPr>
            <w:r>
              <w:rPr>
                <w:rFonts w:eastAsiaTheme="minorHAnsi"/>
                <w:lang w:val="en-AU"/>
              </w:rPr>
              <w:t xml:space="preserve">The next meeting of the SWG for AI 1.21 is scheduled for </w:t>
            </w:r>
            <w:r w:rsidR="00CE1C2D">
              <w:rPr>
                <w:rFonts w:eastAsiaTheme="minorHAnsi"/>
                <w:lang w:val="en-AU"/>
              </w:rPr>
              <w:t>09:00 on Tuesday 31 January while the next meeting on AI 1.3 will commence at 09:00 Monday 30 January.</w:t>
            </w:r>
          </w:p>
          <w:p w:rsidR="0080461B" w:rsidRPr="00830192" w:rsidRDefault="005F77AA" w:rsidP="00C018D2">
            <w:pPr>
              <w:spacing w:after="200" w:line="276" w:lineRule="auto"/>
              <w:rPr>
                <w:rFonts w:eastAsiaTheme="minorHAnsi"/>
                <w:i/>
                <w:lang w:val="en-AU"/>
              </w:rPr>
            </w:pPr>
            <w:r w:rsidRPr="00830192">
              <w:rPr>
                <w:rFonts w:eastAsiaTheme="minorHAnsi"/>
                <w:i/>
                <w:lang w:val="en-AU"/>
              </w:rPr>
              <w:t>(update of 1 February 2012)</w:t>
            </w:r>
          </w:p>
          <w:p w:rsidR="005F77AA" w:rsidRDefault="005A6BDE" w:rsidP="00C018D2">
            <w:pPr>
              <w:spacing w:after="200" w:line="276" w:lineRule="auto"/>
              <w:rPr>
                <w:rFonts w:eastAsiaTheme="minorHAnsi"/>
                <w:lang w:val="en-AU"/>
              </w:rPr>
            </w:pPr>
            <w:r>
              <w:rPr>
                <w:rFonts w:eastAsiaTheme="minorHAnsi"/>
                <w:lang w:val="en-AU"/>
              </w:rPr>
              <w:t xml:space="preserve">At the most recent meeting </w:t>
            </w:r>
            <w:r w:rsidR="00F1012F">
              <w:rPr>
                <w:rFonts w:eastAsiaTheme="minorHAnsi"/>
                <w:lang w:val="en-AU"/>
              </w:rPr>
              <w:t>of the SWG on AI 1.21, Russian F</w:t>
            </w:r>
            <w:r>
              <w:rPr>
                <w:rFonts w:eastAsiaTheme="minorHAnsi"/>
                <w:lang w:val="en-AU"/>
              </w:rPr>
              <w:t>ederation proposed a footnote to include</w:t>
            </w:r>
            <w:r w:rsidR="004720A6">
              <w:rPr>
                <w:rFonts w:eastAsiaTheme="minorHAnsi"/>
                <w:lang w:val="en-AU"/>
              </w:rPr>
              <w:t xml:space="preserve"> </w:t>
            </w:r>
            <w:r w:rsidR="000E4108">
              <w:rPr>
                <w:rFonts w:eastAsiaTheme="minorHAnsi"/>
                <w:lang w:val="en-AU"/>
              </w:rPr>
              <w:t xml:space="preserve">itself and </w:t>
            </w:r>
            <w:r>
              <w:rPr>
                <w:rFonts w:eastAsiaTheme="minorHAnsi"/>
                <w:lang w:val="en-AU"/>
              </w:rPr>
              <w:t>(list of countries) that wish to have an allocation across the entire 300 MHz to RLS in the 15 GHz band. Israel and some east African countries expressed a desire to be included.</w:t>
            </w:r>
          </w:p>
          <w:p w:rsidR="005A6BDE" w:rsidRDefault="005A6BDE" w:rsidP="00C018D2">
            <w:pPr>
              <w:spacing w:after="200" w:line="276" w:lineRule="auto"/>
              <w:rPr>
                <w:rFonts w:eastAsiaTheme="minorHAnsi"/>
                <w:lang w:val="en-AU"/>
              </w:rPr>
            </w:pPr>
            <w:r>
              <w:rPr>
                <w:rFonts w:eastAsiaTheme="minorHAnsi"/>
                <w:lang w:val="en-AU"/>
              </w:rPr>
              <w:t>Germany remains opposed to an allocation between 15.4 – 15.5 GHz while the</w:t>
            </w:r>
            <w:r w:rsidR="00EB1717">
              <w:rPr>
                <w:rFonts w:eastAsiaTheme="minorHAnsi"/>
                <w:lang w:val="en-AU"/>
              </w:rPr>
              <w:t xml:space="preserve"> Arab Group position remains that</w:t>
            </w:r>
            <w:r>
              <w:rPr>
                <w:rFonts w:eastAsiaTheme="minorHAnsi"/>
                <w:lang w:val="en-AU"/>
              </w:rPr>
              <w:t xml:space="preserve"> RLS be restricted to above 15.55 GHz</w:t>
            </w:r>
            <w:r w:rsidR="008A1431">
              <w:rPr>
                <w:rFonts w:eastAsiaTheme="minorHAnsi"/>
                <w:lang w:val="en-AU"/>
              </w:rPr>
              <w:t xml:space="preserve"> if an allocation is made</w:t>
            </w:r>
            <w:r>
              <w:rPr>
                <w:rFonts w:eastAsiaTheme="minorHAnsi"/>
                <w:lang w:val="en-AU"/>
              </w:rPr>
              <w:t xml:space="preserve">. </w:t>
            </w:r>
          </w:p>
          <w:p w:rsidR="004720A6" w:rsidRDefault="004720A6" w:rsidP="00C018D2">
            <w:pPr>
              <w:spacing w:after="200" w:line="276" w:lineRule="auto"/>
              <w:rPr>
                <w:rFonts w:eastAsiaTheme="minorHAnsi"/>
                <w:lang w:val="en-AU"/>
              </w:rPr>
            </w:pPr>
            <w:r>
              <w:rPr>
                <w:rFonts w:eastAsiaTheme="minorHAnsi"/>
                <w:lang w:val="en-AU"/>
              </w:rPr>
              <w:t xml:space="preserve">Drafting continues on the three options for Region 1. Regions 2 and 3 continue to support a 300 MHz allocation. The outcome may </w:t>
            </w:r>
            <w:r w:rsidR="00593524">
              <w:rPr>
                <w:rFonts w:eastAsiaTheme="minorHAnsi"/>
                <w:lang w:val="en-AU"/>
              </w:rPr>
              <w:t>still depend on</w:t>
            </w:r>
            <w:r>
              <w:rPr>
                <w:rFonts w:eastAsiaTheme="minorHAnsi"/>
                <w:lang w:val="en-AU"/>
              </w:rPr>
              <w:t xml:space="preserve"> what occurs at meetings related to </w:t>
            </w:r>
            <w:r w:rsidR="00D34244">
              <w:rPr>
                <w:rFonts w:eastAsiaTheme="minorHAnsi"/>
                <w:lang w:val="en-AU"/>
              </w:rPr>
              <w:t xml:space="preserve">a proposal to allocate 100 MHz between 15.4-15.5 GHz to UAS </w:t>
            </w:r>
            <w:r w:rsidR="00593524">
              <w:rPr>
                <w:rFonts w:eastAsiaTheme="minorHAnsi"/>
                <w:lang w:val="en-AU"/>
              </w:rPr>
              <w:t xml:space="preserve">terrestrial links </w:t>
            </w:r>
            <w:r w:rsidR="00D34244">
              <w:rPr>
                <w:rFonts w:eastAsiaTheme="minorHAnsi"/>
                <w:lang w:val="en-AU"/>
              </w:rPr>
              <w:t xml:space="preserve">under </w:t>
            </w:r>
            <w:r>
              <w:rPr>
                <w:rFonts w:eastAsiaTheme="minorHAnsi"/>
                <w:lang w:val="en-AU"/>
              </w:rPr>
              <w:t>AI 1.3.</w:t>
            </w:r>
          </w:p>
          <w:p w:rsidR="00D34244" w:rsidRPr="00AE1FDE" w:rsidRDefault="001150D2" w:rsidP="00C018D2">
            <w:pPr>
              <w:spacing w:after="200" w:line="276" w:lineRule="auto"/>
              <w:rPr>
                <w:rFonts w:eastAsiaTheme="minorHAnsi"/>
                <w:i/>
                <w:lang w:val="en-AU"/>
              </w:rPr>
            </w:pPr>
            <w:r w:rsidRPr="00AE1FDE">
              <w:rPr>
                <w:rFonts w:eastAsiaTheme="minorHAnsi"/>
                <w:i/>
                <w:lang w:val="en-AU"/>
              </w:rPr>
              <w:t>(update of 2 February 2012)</w:t>
            </w:r>
          </w:p>
          <w:p w:rsidR="001150D2" w:rsidRDefault="001150D2" w:rsidP="00C018D2">
            <w:pPr>
              <w:spacing w:after="200" w:line="276" w:lineRule="auto"/>
              <w:rPr>
                <w:rFonts w:eastAsiaTheme="minorHAnsi"/>
                <w:lang w:val="en-AU"/>
              </w:rPr>
            </w:pPr>
            <w:r>
              <w:rPr>
                <w:rFonts w:eastAsiaTheme="minorHAnsi"/>
                <w:lang w:val="en-AU"/>
              </w:rPr>
              <w:t xml:space="preserve">After discussion at the SWG on AI 1.21 Thursday 2 February, Chair undertook to send </w:t>
            </w:r>
            <w:r w:rsidR="002C7785">
              <w:rPr>
                <w:rFonts w:eastAsiaTheme="minorHAnsi"/>
                <w:lang w:val="en-AU"/>
              </w:rPr>
              <w:t>his first report</w:t>
            </w:r>
            <w:r>
              <w:rPr>
                <w:rFonts w:eastAsiaTheme="minorHAnsi"/>
                <w:lang w:val="en-AU"/>
              </w:rPr>
              <w:t xml:space="preserve"> to WG 4A for consideration. The </w:t>
            </w:r>
            <w:r w:rsidR="002C7785">
              <w:rPr>
                <w:rFonts w:eastAsiaTheme="minorHAnsi"/>
                <w:lang w:val="en-AU"/>
              </w:rPr>
              <w:t>report</w:t>
            </w:r>
            <w:r>
              <w:rPr>
                <w:rFonts w:eastAsiaTheme="minorHAnsi"/>
                <w:lang w:val="en-AU"/>
              </w:rPr>
              <w:t xml:space="preserve"> contains </w:t>
            </w:r>
            <w:r w:rsidR="002C7785">
              <w:rPr>
                <w:rFonts w:eastAsiaTheme="minorHAnsi"/>
                <w:lang w:val="en-AU"/>
              </w:rPr>
              <w:t>a number of</w:t>
            </w:r>
            <w:r>
              <w:rPr>
                <w:rFonts w:eastAsiaTheme="minorHAnsi"/>
                <w:lang w:val="en-AU"/>
              </w:rPr>
              <w:t xml:space="preserve"> options for Region 1, those being allocations of 150 MHz, 200 MHz, and 300 MHz to the RLS, the fourth</w:t>
            </w:r>
            <w:r w:rsidR="002C7785">
              <w:rPr>
                <w:rFonts w:eastAsiaTheme="minorHAnsi"/>
                <w:lang w:val="en-AU"/>
              </w:rPr>
              <w:t xml:space="preserve"> proposed</w:t>
            </w:r>
            <w:r>
              <w:rPr>
                <w:rFonts w:eastAsiaTheme="minorHAnsi"/>
                <w:lang w:val="en-AU"/>
              </w:rPr>
              <w:t xml:space="preserve"> option being for N</w:t>
            </w:r>
            <w:r w:rsidR="002C7785">
              <w:rPr>
                <w:rFonts w:eastAsiaTheme="minorHAnsi"/>
                <w:lang w:val="en-AU"/>
              </w:rPr>
              <w:t>O</w:t>
            </w:r>
            <w:r>
              <w:rPr>
                <w:rFonts w:eastAsiaTheme="minorHAnsi"/>
                <w:lang w:val="en-AU"/>
              </w:rPr>
              <w:t xml:space="preserve">C. </w:t>
            </w:r>
            <w:r w:rsidR="002C7785">
              <w:rPr>
                <w:rFonts w:eastAsiaTheme="minorHAnsi"/>
                <w:lang w:val="en-AU"/>
              </w:rPr>
              <w:t>A</w:t>
            </w:r>
            <w:r w:rsidR="00AE1FDE">
              <w:rPr>
                <w:rFonts w:eastAsiaTheme="minorHAnsi"/>
                <w:lang w:val="en-AU"/>
              </w:rPr>
              <w:t>n allocation of 300 MHz is proposed for regions 2 and 3.</w:t>
            </w:r>
          </w:p>
          <w:p w:rsidR="001150D2" w:rsidRDefault="001150D2" w:rsidP="00C018D2">
            <w:pPr>
              <w:spacing w:after="200" w:line="276" w:lineRule="auto"/>
              <w:rPr>
                <w:rFonts w:eastAsiaTheme="minorHAnsi"/>
                <w:lang w:val="en-AU"/>
              </w:rPr>
            </w:pPr>
            <w:r>
              <w:rPr>
                <w:rFonts w:eastAsiaTheme="minorHAnsi"/>
                <w:lang w:val="en-AU"/>
              </w:rPr>
              <w:t xml:space="preserve">Two </w:t>
            </w:r>
            <w:r w:rsidR="002C7785">
              <w:rPr>
                <w:rFonts w:eastAsiaTheme="minorHAnsi"/>
                <w:lang w:val="en-AU"/>
              </w:rPr>
              <w:t xml:space="preserve">proposed </w:t>
            </w:r>
            <w:r>
              <w:rPr>
                <w:rFonts w:eastAsiaTheme="minorHAnsi"/>
                <w:lang w:val="en-AU"/>
              </w:rPr>
              <w:t>variations of a footnote are for countries wishing to be included in a list of countries in Region 1 wishing to have a 300 MHz allocation to the RLS, the other being a list of countries in Region 1</w:t>
            </w:r>
            <w:r w:rsidR="00AE1FDE">
              <w:rPr>
                <w:rFonts w:eastAsiaTheme="minorHAnsi"/>
                <w:lang w:val="en-AU"/>
              </w:rPr>
              <w:t xml:space="preserve"> </w:t>
            </w:r>
            <w:r>
              <w:rPr>
                <w:rFonts w:eastAsiaTheme="minorHAnsi"/>
                <w:lang w:val="en-AU"/>
              </w:rPr>
              <w:t>not wanting a 300 MHz allocation</w:t>
            </w:r>
            <w:r w:rsidR="00AE1FDE">
              <w:rPr>
                <w:rFonts w:eastAsiaTheme="minorHAnsi"/>
                <w:lang w:val="en-AU"/>
              </w:rPr>
              <w:t xml:space="preserve"> to the RLS</w:t>
            </w:r>
            <w:r>
              <w:rPr>
                <w:rFonts w:eastAsiaTheme="minorHAnsi"/>
                <w:lang w:val="en-AU"/>
              </w:rPr>
              <w:t>.</w:t>
            </w:r>
          </w:p>
          <w:p w:rsidR="00AE1FDE" w:rsidRDefault="003F269B" w:rsidP="00C018D2">
            <w:pPr>
              <w:spacing w:after="200" w:line="276" w:lineRule="auto"/>
              <w:rPr>
                <w:rFonts w:eastAsiaTheme="minorHAnsi"/>
                <w:lang w:val="en-AU"/>
              </w:rPr>
            </w:pPr>
            <w:r>
              <w:rPr>
                <w:rFonts w:eastAsiaTheme="minorHAnsi"/>
                <w:lang w:val="en-AU"/>
              </w:rPr>
              <w:t xml:space="preserve">Germany, Finland and the Arab States are opposed to </w:t>
            </w:r>
            <w:r w:rsidR="00835291">
              <w:rPr>
                <w:rFonts w:eastAsiaTheme="minorHAnsi"/>
                <w:lang w:val="en-AU"/>
              </w:rPr>
              <w:t xml:space="preserve">an </w:t>
            </w:r>
            <w:r>
              <w:rPr>
                <w:rFonts w:eastAsiaTheme="minorHAnsi"/>
                <w:lang w:val="en-AU"/>
              </w:rPr>
              <w:t>allocation of the entire 300 MHz</w:t>
            </w:r>
            <w:r w:rsidR="00835291">
              <w:rPr>
                <w:rFonts w:eastAsiaTheme="minorHAnsi"/>
                <w:lang w:val="en-AU"/>
              </w:rPr>
              <w:t xml:space="preserve"> to RLS</w:t>
            </w:r>
            <w:r>
              <w:rPr>
                <w:rFonts w:eastAsiaTheme="minorHAnsi"/>
                <w:lang w:val="en-AU"/>
              </w:rPr>
              <w:t xml:space="preserve"> while Iran’s position is for N</w:t>
            </w:r>
            <w:r w:rsidR="00152E25">
              <w:rPr>
                <w:rFonts w:eastAsiaTheme="minorHAnsi"/>
                <w:lang w:val="en-AU"/>
              </w:rPr>
              <w:t>O</w:t>
            </w:r>
            <w:r>
              <w:rPr>
                <w:rFonts w:eastAsiaTheme="minorHAnsi"/>
                <w:lang w:val="en-AU"/>
              </w:rPr>
              <w:t xml:space="preserve">C. Sweden indicated that in the case where no allocation was made to UAS in the 15 GHz range under AI 1.3, some European countries are likely to support a 300 MHz allocation </w:t>
            </w:r>
            <w:r w:rsidR="00835291">
              <w:rPr>
                <w:rFonts w:eastAsiaTheme="minorHAnsi"/>
                <w:lang w:val="en-AU"/>
              </w:rPr>
              <w:t xml:space="preserve">to RLS </w:t>
            </w:r>
            <w:r>
              <w:rPr>
                <w:rFonts w:eastAsiaTheme="minorHAnsi"/>
                <w:lang w:val="en-AU"/>
              </w:rPr>
              <w:t>in Region 1.</w:t>
            </w:r>
          </w:p>
          <w:p w:rsidR="00152E25" w:rsidRDefault="00152E25" w:rsidP="00C018D2">
            <w:pPr>
              <w:spacing w:after="200" w:line="276" w:lineRule="auto"/>
              <w:rPr>
                <w:rFonts w:eastAsiaTheme="minorHAnsi"/>
                <w:lang w:val="en-AU"/>
              </w:rPr>
            </w:pPr>
          </w:p>
          <w:p w:rsidR="00152E25" w:rsidRPr="00B66455" w:rsidRDefault="00152E25" w:rsidP="00C018D2">
            <w:pPr>
              <w:spacing w:after="200" w:line="276" w:lineRule="auto"/>
              <w:rPr>
                <w:rFonts w:eastAsiaTheme="minorHAnsi"/>
                <w:i/>
                <w:lang w:val="en-AU"/>
              </w:rPr>
            </w:pPr>
            <w:r w:rsidRPr="00B66455">
              <w:rPr>
                <w:rFonts w:eastAsiaTheme="minorHAnsi"/>
                <w:i/>
                <w:lang w:val="en-AU"/>
              </w:rPr>
              <w:lastRenderedPageBreak/>
              <w:t>(update of 6 February 2012)</w:t>
            </w:r>
          </w:p>
          <w:p w:rsidR="00152E25" w:rsidRDefault="00B66455" w:rsidP="00C018D2">
            <w:pPr>
              <w:spacing w:after="200" w:line="276" w:lineRule="auto"/>
              <w:rPr>
                <w:rFonts w:eastAsiaTheme="minorHAnsi"/>
                <w:lang w:val="en-AU"/>
              </w:rPr>
            </w:pPr>
            <w:r>
              <w:rPr>
                <w:rFonts w:eastAsiaTheme="minorHAnsi"/>
                <w:lang w:val="en-AU"/>
              </w:rPr>
              <w:t>At the WG4A meeting on 3</w:t>
            </w:r>
            <w:r w:rsidRPr="00B66455">
              <w:rPr>
                <w:rFonts w:eastAsiaTheme="minorHAnsi"/>
                <w:vertAlign w:val="superscript"/>
                <w:lang w:val="en-AU"/>
              </w:rPr>
              <w:t>rd</w:t>
            </w:r>
            <w:r>
              <w:rPr>
                <w:rFonts w:eastAsiaTheme="minorHAnsi"/>
                <w:lang w:val="en-AU"/>
              </w:rPr>
              <w:t xml:space="preserve"> February the majority view, supported by the COM4 Chair was that footnote</w:t>
            </w:r>
            <w:r w:rsidR="004958E5">
              <w:rPr>
                <w:rFonts w:eastAsiaTheme="minorHAnsi"/>
                <w:lang w:val="en-AU"/>
              </w:rPr>
              <w:t>s</w:t>
            </w:r>
            <w:r>
              <w:rPr>
                <w:rFonts w:eastAsiaTheme="minorHAnsi"/>
                <w:lang w:val="en-AU"/>
              </w:rPr>
              <w:t xml:space="preserve"> should be drafted for inclusion of a list of countries in Region 1 wanting </w:t>
            </w:r>
            <w:r w:rsidR="004958E5">
              <w:rPr>
                <w:rFonts w:eastAsiaTheme="minorHAnsi"/>
                <w:lang w:val="en-AU"/>
              </w:rPr>
              <w:t xml:space="preserve">bandwidth </w:t>
            </w:r>
            <w:r>
              <w:rPr>
                <w:rFonts w:eastAsiaTheme="minorHAnsi"/>
                <w:lang w:val="en-AU"/>
              </w:rPr>
              <w:t>allocation</w:t>
            </w:r>
            <w:r w:rsidR="004958E5">
              <w:rPr>
                <w:rFonts w:eastAsiaTheme="minorHAnsi"/>
                <w:lang w:val="en-AU"/>
              </w:rPr>
              <w:t>s less than</w:t>
            </w:r>
            <w:r>
              <w:rPr>
                <w:rFonts w:eastAsiaTheme="minorHAnsi"/>
                <w:lang w:val="en-AU"/>
              </w:rPr>
              <w:t xml:space="preserve"> the entire 300 MHz allocation to the RLS. </w:t>
            </w:r>
            <w:r w:rsidR="00C41971">
              <w:rPr>
                <w:rFonts w:eastAsiaTheme="minorHAnsi"/>
                <w:lang w:val="en-AU"/>
              </w:rPr>
              <w:t xml:space="preserve">The rationale for this is that the expectation of the group is for a small number of countries to be included in the </w:t>
            </w:r>
            <w:r w:rsidR="00597566">
              <w:rPr>
                <w:rFonts w:eastAsiaTheme="minorHAnsi"/>
                <w:lang w:val="en-AU"/>
              </w:rPr>
              <w:t xml:space="preserve">exclusion </w:t>
            </w:r>
            <w:r w:rsidR="00C41971">
              <w:rPr>
                <w:rFonts w:eastAsiaTheme="minorHAnsi"/>
                <w:lang w:val="en-AU"/>
              </w:rPr>
              <w:t xml:space="preserve">list. </w:t>
            </w:r>
            <w:r w:rsidR="000550C5">
              <w:rPr>
                <w:rFonts w:eastAsiaTheme="minorHAnsi"/>
                <w:lang w:val="en-AU"/>
              </w:rPr>
              <w:t xml:space="preserve">Revision 1 of Document DT73 </w:t>
            </w:r>
            <w:r w:rsidR="00074A7F">
              <w:rPr>
                <w:rFonts w:eastAsiaTheme="minorHAnsi"/>
                <w:lang w:val="en-AU"/>
              </w:rPr>
              <w:t xml:space="preserve">shows a proposed table of allocations with a 300 MHz allocation in all </w:t>
            </w:r>
            <w:r w:rsidR="004958E5">
              <w:rPr>
                <w:rFonts w:eastAsiaTheme="minorHAnsi"/>
                <w:lang w:val="en-AU"/>
              </w:rPr>
              <w:t>thre</w:t>
            </w:r>
            <w:r w:rsidR="00074A7F">
              <w:rPr>
                <w:rFonts w:eastAsiaTheme="minorHAnsi"/>
                <w:lang w:val="en-AU"/>
              </w:rPr>
              <w:t>e regions, including footnotes as described</w:t>
            </w:r>
            <w:r w:rsidR="004958E5">
              <w:rPr>
                <w:rFonts w:eastAsiaTheme="minorHAnsi"/>
                <w:lang w:val="en-AU"/>
              </w:rPr>
              <w:t xml:space="preserve"> relating to Region 1</w:t>
            </w:r>
            <w:r w:rsidR="00074A7F">
              <w:rPr>
                <w:rFonts w:eastAsiaTheme="minorHAnsi"/>
                <w:lang w:val="en-AU"/>
              </w:rPr>
              <w:t xml:space="preserve">. </w:t>
            </w:r>
            <w:r w:rsidR="004958E5">
              <w:rPr>
                <w:rFonts w:eastAsiaTheme="minorHAnsi"/>
                <w:lang w:val="en-AU"/>
              </w:rPr>
              <w:t xml:space="preserve">The list of excluded countries in Region 1 was requested by Chair to be received by the WG4A meeting of 6 February. </w:t>
            </w:r>
            <w:r w:rsidR="00074A7F">
              <w:rPr>
                <w:rFonts w:eastAsiaTheme="minorHAnsi"/>
                <w:lang w:val="en-AU"/>
              </w:rPr>
              <w:t>Consensus was reach</w:t>
            </w:r>
            <w:r w:rsidR="004958E5">
              <w:rPr>
                <w:rFonts w:eastAsiaTheme="minorHAnsi"/>
                <w:lang w:val="en-AU"/>
              </w:rPr>
              <w:t>ed on deletion of Resolution 614.</w:t>
            </w:r>
          </w:p>
          <w:p w:rsidR="003359C4" w:rsidRDefault="0067441A" w:rsidP="00C018D2">
            <w:pPr>
              <w:spacing w:after="200" w:line="276" w:lineRule="auto"/>
              <w:rPr>
                <w:rFonts w:eastAsiaTheme="minorHAnsi"/>
                <w:lang w:val="en-AU"/>
              </w:rPr>
            </w:pPr>
            <w:r>
              <w:rPr>
                <w:rFonts w:eastAsiaTheme="minorHAnsi"/>
                <w:lang w:val="en-AU"/>
              </w:rPr>
              <w:t>As of 6 February t</w:t>
            </w:r>
            <w:r w:rsidR="003359C4">
              <w:rPr>
                <w:rFonts w:eastAsiaTheme="minorHAnsi"/>
                <w:lang w:val="en-AU"/>
              </w:rPr>
              <w:t>here is still no resolution of the alternative proposal for an allocation to UAS terrestrial links in Region 1 under Agenda Item 1.3.</w:t>
            </w:r>
          </w:p>
          <w:p w:rsidR="004958E5" w:rsidRDefault="004958E5" w:rsidP="00C018D2">
            <w:pPr>
              <w:spacing w:after="200" w:line="276" w:lineRule="auto"/>
              <w:rPr>
                <w:rFonts w:eastAsiaTheme="minorHAnsi"/>
                <w:lang w:val="en-AU"/>
              </w:rPr>
            </w:pPr>
          </w:p>
          <w:p w:rsidR="003F269B" w:rsidRDefault="003F269B" w:rsidP="00C018D2">
            <w:pPr>
              <w:spacing w:after="200" w:line="276" w:lineRule="auto"/>
              <w:rPr>
                <w:rFonts w:eastAsiaTheme="minorHAnsi"/>
                <w:lang w:val="en-AU"/>
              </w:rPr>
            </w:pPr>
          </w:p>
          <w:p w:rsidR="004720A6" w:rsidRDefault="004720A6" w:rsidP="00C018D2">
            <w:pPr>
              <w:spacing w:after="200" w:line="276" w:lineRule="auto"/>
              <w:rPr>
                <w:rFonts w:eastAsiaTheme="minorHAnsi"/>
                <w:lang w:val="en-AU"/>
              </w:rPr>
            </w:pPr>
          </w:p>
          <w:p w:rsidR="00830192" w:rsidRPr="00DA7435" w:rsidRDefault="00830192" w:rsidP="00C018D2">
            <w:pPr>
              <w:spacing w:after="200" w:line="276" w:lineRule="auto"/>
              <w:rPr>
                <w:rFonts w:eastAsiaTheme="minorHAnsi"/>
                <w:lang w:val="en-AU"/>
              </w:rPr>
            </w:pPr>
          </w:p>
          <w:p w:rsidR="00C018D2" w:rsidRPr="00C018D2" w:rsidRDefault="00C018D2" w:rsidP="00C018D2">
            <w:pPr>
              <w:spacing w:after="200" w:line="276" w:lineRule="auto"/>
              <w:rPr>
                <w:rFonts w:asciiTheme="minorHAnsi" w:eastAsiaTheme="minorHAnsi" w:hAnsiTheme="minorHAnsi" w:cstheme="minorBidi"/>
                <w:lang w:val="en-AU"/>
              </w:rPr>
            </w:pPr>
          </w:p>
          <w:p w:rsidR="00FC556E" w:rsidRPr="00F14084" w:rsidRDefault="00FC556E" w:rsidP="0021310F"/>
          <w:p w:rsidR="00A749D2" w:rsidRPr="00F14084" w:rsidRDefault="00A749D2" w:rsidP="0021310F"/>
          <w:p w:rsidR="00A749D2" w:rsidRPr="00F14084" w:rsidRDefault="00A749D2" w:rsidP="0021310F"/>
          <w:p w:rsidR="00A749D2" w:rsidRPr="00F14084" w:rsidRDefault="00A749D2" w:rsidP="0021310F"/>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1E" w:rsidRDefault="00E5581E">
      <w:r>
        <w:separator/>
      </w:r>
    </w:p>
  </w:endnote>
  <w:endnote w:type="continuationSeparator" w:id="0">
    <w:p w:rsidR="00E5581E" w:rsidRDefault="00E5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26FBC">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26FBC">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r w:rsidR="00DD5690">
            <w:rPr>
              <w:b/>
              <w:bCs/>
            </w:rPr>
            <w:t xml:space="preserve"> David Squires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r w:rsidR="00DD5690">
            <w:t>cd.squires@bigpond.com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1E" w:rsidRDefault="00E5581E">
      <w:r>
        <w:separator/>
      </w:r>
    </w:p>
  </w:footnote>
  <w:footnote w:type="continuationSeparator" w:id="0">
    <w:p w:rsidR="00E5581E" w:rsidRDefault="00E5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550C5"/>
    <w:rsid w:val="000713CF"/>
    <w:rsid w:val="00074A7F"/>
    <w:rsid w:val="0009004D"/>
    <w:rsid w:val="0009175E"/>
    <w:rsid w:val="00094EBC"/>
    <w:rsid w:val="000A0654"/>
    <w:rsid w:val="000A5418"/>
    <w:rsid w:val="000A7791"/>
    <w:rsid w:val="000C0C2B"/>
    <w:rsid w:val="000E4108"/>
    <w:rsid w:val="000F517C"/>
    <w:rsid w:val="000F5540"/>
    <w:rsid w:val="0010601F"/>
    <w:rsid w:val="00112DD5"/>
    <w:rsid w:val="001150D2"/>
    <w:rsid w:val="00116A79"/>
    <w:rsid w:val="00152E25"/>
    <w:rsid w:val="001539DD"/>
    <w:rsid w:val="0015661F"/>
    <w:rsid w:val="0018046B"/>
    <w:rsid w:val="00196568"/>
    <w:rsid w:val="001A2F16"/>
    <w:rsid w:val="001A66F4"/>
    <w:rsid w:val="001B18C2"/>
    <w:rsid w:val="001D5D7E"/>
    <w:rsid w:val="001E48AB"/>
    <w:rsid w:val="0021310F"/>
    <w:rsid w:val="00222D66"/>
    <w:rsid w:val="00231AB1"/>
    <w:rsid w:val="00243F10"/>
    <w:rsid w:val="00244791"/>
    <w:rsid w:val="00254A1B"/>
    <w:rsid w:val="00261869"/>
    <w:rsid w:val="0027445A"/>
    <w:rsid w:val="0028454D"/>
    <w:rsid w:val="00291C9E"/>
    <w:rsid w:val="002926D4"/>
    <w:rsid w:val="002945C9"/>
    <w:rsid w:val="002B670F"/>
    <w:rsid w:val="002C07DA"/>
    <w:rsid w:val="002C7785"/>
    <w:rsid w:val="002C7EA9"/>
    <w:rsid w:val="002E4D53"/>
    <w:rsid w:val="0030452E"/>
    <w:rsid w:val="003359C4"/>
    <w:rsid w:val="00342F20"/>
    <w:rsid w:val="0035623E"/>
    <w:rsid w:val="003574EB"/>
    <w:rsid w:val="00370721"/>
    <w:rsid w:val="00371F96"/>
    <w:rsid w:val="00374E6B"/>
    <w:rsid w:val="003809C7"/>
    <w:rsid w:val="00382D6D"/>
    <w:rsid w:val="00397701"/>
    <w:rsid w:val="003A4250"/>
    <w:rsid w:val="003B6263"/>
    <w:rsid w:val="003C64A7"/>
    <w:rsid w:val="003D3FDA"/>
    <w:rsid w:val="003F269B"/>
    <w:rsid w:val="003F2C43"/>
    <w:rsid w:val="00404DA3"/>
    <w:rsid w:val="00420822"/>
    <w:rsid w:val="00422124"/>
    <w:rsid w:val="004422DF"/>
    <w:rsid w:val="0045458F"/>
    <w:rsid w:val="004633B4"/>
    <w:rsid w:val="004646FB"/>
    <w:rsid w:val="004658D3"/>
    <w:rsid w:val="004704C6"/>
    <w:rsid w:val="004720A6"/>
    <w:rsid w:val="004958E5"/>
    <w:rsid w:val="004B279A"/>
    <w:rsid w:val="004B3553"/>
    <w:rsid w:val="004C4A45"/>
    <w:rsid w:val="004C52B1"/>
    <w:rsid w:val="004C5976"/>
    <w:rsid w:val="004D31BB"/>
    <w:rsid w:val="004D3635"/>
    <w:rsid w:val="004E441E"/>
    <w:rsid w:val="004F0C3C"/>
    <w:rsid w:val="004F2593"/>
    <w:rsid w:val="004F3B0C"/>
    <w:rsid w:val="005050DA"/>
    <w:rsid w:val="00530E8C"/>
    <w:rsid w:val="00545933"/>
    <w:rsid w:val="00557544"/>
    <w:rsid w:val="00584012"/>
    <w:rsid w:val="00587875"/>
    <w:rsid w:val="00593524"/>
    <w:rsid w:val="00597566"/>
    <w:rsid w:val="005A6BDE"/>
    <w:rsid w:val="005C2C13"/>
    <w:rsid w:val="005F751E"/>
    <w:rsid w:val="005F77AA"/>
    <w:rsid w:val="00607E2B"/>
    <w:rsid w:val="00623CE1"/>
    <w:rsid w:val="00626923"/>
    <w:rsid w:val="0063062B"/>
    <w:rsid w:val="00634E57"/>
    <w:rsid w:val="00667229"/>
    <w:rsid w:val="0067441A"/>
    <w:rsid w:val="00682BE5"/>
    <w:rsid w:val="00687DFE"/>
    <w:rsid w:val="00690FED"/>
    <w:rsid w:val="006939A5"/>
    <w:rsid w:val="006A3691"/>
    <w:rsid w:val="006F5792"/>
    <w:rsid w:val="00712451"/>
    <w:rsid w:val="00724A92"/>
    <w:rsid w:val="00732F08"/>
    <w:rsid w:val="0074190C"/>
    <w:rsid w:val="0074726E"/>
    <w:rsid w:val="00762576"/>
    <w:rsid w:val="00791060"/>
    <w:rsid w:val="007B5626"/>
    <w:rsid w:val="007C7205"/>
    <w:rsid w:val="007E4AD4"/>
    <w:rsid w:val="0080461B"/>
    <w:rsid w:val="0080570B"/>
    <w:rsid w:val="008148E1"/>
    <w:rsid w:val="008174F3"/>
    <w:rsid w:val="00830192"/>
    <w:rsid w:val="00830D49"/>
    <w:rsid w:val="008319BF"/>
    <w:rsid w:val="00835291"/>
    <w:rsid w:val="008379B8"/>
    <w:rsid w:val="00846D33"/>
    <w:rsid w:val="00860180"/>
    <w:rsid w:val="00864918"/>
    <w:rsid w:val="0087451E"/>
    <w:rsid w:val="00876DE9"/>
    <w:rsid w:val="00883A25"/>
    <w:rsid w:val="00883A99"/>
    <w:rsid w:val="00891238"/>
    <w:rsid w:val="008A1431"/>
    <w:rsid w:val="008C7F63"/>
    <w:rsid w:val="008D0E09"/>
    <w:rsid w:val="008E0B2B"/>
    <w:rsid w:val="008F28BA"/>
    <w:rsid w:val="00941BD9"/>
    <w:rsid w:val="0097693B"/>
    <w:rsid w:val="00993355"/>
    <w:rsid w:val="009A4A6D"/>
    <w:rsid w:val="009A7739"/>
    <w:rsid w:val="00A13265"/>
    <w:rsid w:val="00A35C8B"/>
    <w:rsid w:val="00A71136"/>
    <w:rsid w:val="00A72B25"/>
    <w:rsid w:val="00A749D2"/>
    <w:rsid w:val="00A97FB5"/>
    <w:rsid w:val="00AA474C"/>
    <w:rsid w:val="00AA669C"/>
    <w:rsid w:val="00AB6878"/>
    <w:rsid w:val="00AD7E5F"/>
    <w:rsid w:val="00AE1FDE"/>
    <w:rsid w:val="00B01AA1"/>
    <w:rsid w:val="00B06A83"/>
    <w:rsid w:val="00B17531"/>
    <w:rsid w:val="00B30C81"/>
    <w:rsid w:val="00B46C91"/>
    <w:rsid w:val="00B4793B"/>
    <w:rsid w:val="00B66455"/>
    <w:rsid w:val="00B80243"/>
    <w:rsid w:val="00BC2EFE"/>
    <w:rsid w:val="00BC727F"/>
    <w:rsid w:val="00BD7E80"/>
    <w:rsid w:val="00BE13C5"/>
    <w:rsid w:val="00BE3A2C"/>
    <w:rsid w:val="00C018D2"/>
    <w:rsid w:val="00C06091"/>
    <w:rsid w:val="00C15633"/>
    <w:rsid w:val="00C15799"/>
    <w:rsid w:val="00C27A1C"/>
    <w:rsid w:val="00C357AD"/>
    <w:rsid w:val="00C3598A"/>
    <w:rsid w:val="00C41971"/>
    <w:rsid w:val="00C6069C"/>
    <w:rsid w:val="00C64EBE"/>
    <w:rsid w:val="00CA4D4F"/>
    <w:rsid w:val="00CD191D"/>
    <w:rsid w:val="00CD1E58"/>
    <w:rsid w:val="00CD292B"/>
    <w:rsid w:val="00CD3F5D"/>
    <w:rsid w:val="00CD5431"/>
    <w:rsid w:val="00CD681A"/>
    <w:rsid w:val="00CD7AAF"/>
    <w:rsid w:val="00CE1C2D"/>
    <w:rsid w:val="00CF2491"/>
    <w:rsid w:val="00D06238"/>
    <w:rsid w:val="00D077D0"/>
    <w:rsid w:val="00D1252E"/>
    <w:rsid w:val="00D25227"/>
    <w:rsid w:val="00D34244"/>
    <w:rsid w:val="00D57772"/>
    <w:rsid w:val="00D73FAE"/>
    <w:rsid w:val="00D75A4D"/>
    <w:rsid w:val="00D8478B"/>
    <w:rsid w:val="00D86151"/>
    <w:rsid w:val="00D95002"/>
    <w:rsid w:val="00DA5876"/>
    <w:rsid w:val="00DA7435"/>
    <w:rsid w:val="00DA7595"/>
    <w:rsid w:val="00DB0955"/>
    <w:rsid w:val="00DB0A68"/>
    <w:rsid w:val="00DC43A3"/>
    <w:rsid w:val="00DD5690"/>
    <w:rsid w:val="00DD7C09"/>
    <w:rsid w:val="00E00C4B"/>
    <w:rsid w:val="00E0124F"/>
    <w:rsid w:val="00E05ED8"/>
    <w:rsid w:val="00E345CA"/>
    <w:rsid w:val="00E5581E"/>
    <w:rsid w:val="00E673CF"/>
    <w:rsid w:val="00E674D3"/>
    <w:rsid w:val="00E70FD0"/>
    <w:rsid w:val="00E76467"/>
    <w:rsid w:val="00E82ED0"/>
    <w:rsid w:val="00E8791E"/>
    <w:rsid w:val="00EB1717"/>
    <w:rsid w:val="00EE017D"/>
    <w:rsid w:val="00EF226E"/>
    <w:rsid w:val="00F1012F"/>
    <w:rsid w:val="00F14084"/>
    <w:rsid w:val="00F176E8"/>
    <w:rsid w:val="00F26FBC"/>
    <w:rsid w:val="00F31DE1"/>
    <w:rsid w:val="00F34BA7"/>
    <w:rsid w:val="00F36E67"/>
    <w:rsid w:val="00F65FB4"/>
    <w:rsid w:val="00F84067"/>
    <w:rsid w:val="00F915AC"/>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566D-8AA6-4DA2-9B4E-8880B2B1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Squires</cp:lastModifiedBy>
  <cp:revision>2</cp:revision>
  <cp:lastPrinted>2004-07-28T02:14:00Z</cp:lastPrinted>
  <dcterms:created xsi:type="dcterms:W3CDTF">2012-02-06T08:50:00Z</dcterms:created>
  <dcterms:modified xsi:type="dcterms:W3CDTF">2012-02-06T08:50:00Z</dcterms:modified>
</cp:coreProperties>
</file>

<file path=docProps/custom.xml><?xml version="1.0" encoding="utf-8"?>
<Properties xmlns="http://schemas.openxmlformats.org/officeDocument/2006/custom-properties" xmlns:vt="http://schemas.openxmlformats.org/officeDocument/2006/docPropsVTypes"/>
</file>