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9568CE" w:rsidP="0045458F">
            <w:pPr>
              <w:pStyle w:val="Note"/>
              <w:widowControl w:val="0"/>
              <w:tabs>
                <w:tab w:val="clear" w:pos="284"/>
                <w:tab w:val="clear" w:pos="1134"/>
                <w:tab w:val="clear" w:pos="1871"/>
                <w:tab w:val="clear" w:pos="2268"/>
              </w:tabs>
              <w:wordWrap w:val="0"/>
              <w:spacing w:before="0"/>
              <w:rPr>
                <w:noProof w:val="0"/>
                <w:kern w:val="2"/>
                <w:sz w:val="24"/>
                <w:szCs w:val="24"/>
              </w:rPr>
            </w:pPr>
            <w:r w:rsidRPr="00C52424">
              <w:rPr>
                <w:kern w:val="2"/>
                <w:sz w:val="24"/>
                <w:szCs w:val="24"/>
                <w:lang w:eastAsia="en-US"/>
              </w:rPr>
              <w:drawing>
                <wp:inline distT="0" distB="0" distL="0" distR="0">
                  <wp:extent cx="763270" cy="715645"/>
                  <wp:effectExtent l="0" t="0" r="0" b="0"/>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15645"/>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r w:rsidRPr="004D7A60">
              <w:rPr>
                <w:b/>
              </w:rPr>
              <w:t>Document</w:t>
            </w:r>
            <w:r w:rsidR="003B6E54">
              <w:rPr>
                <w:b/>
              </w:rPr>
              <w:t xml:space="preserve"> No.</w:t>
            </w:r>
            <w:r>
              <w:rPr>
                <w:b/>
              </w:rPr>
              <w:t>:</w:t>
            </w:r>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DA7595" w:rsidP="00F9296C">
            <w:pPr>
              <w:spacing w:line="0" w:lineRule="atLeast"/>
            </w:pPr>
            <w:r>
              <w:rPr>
                <w:b/>
              </w:rPr>
              <w:t xml:space="preserve">The </w:t>
            </w:r>
            <w:r w:rsidR="003B6E54">
              <w:rPr>
                <w:b/>
              </w:rPr>
              <w:t>23rd</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23</w:t>
            </w:r>
            <w:r w:rsidR="003D4768">
              <w:rPr>
                <w:b/>
              </w:rPr>
              <w:t>)</w:t>
            </w:r>
            <w:r w:rsidR="00BF663E">
              <w:rPr>
                <w:b/>
              </w:rPr>
              <w:t xml:space="preserve"> </w:t>
            </w:r>
          </w:p>
        </w:tc>
        <w:tc>
          <w:tcPr>
            <w:tcW w:w="2070" w:type="dxa"/>
          </w:tcPr>
          <w:p w:rsidR="00DA7595" w:rsidRPr="004D7A60" w:rsidRDefault="001D5D7E" w:rsidP="002B2757">
            <w:pPr>
              <w:rPr>
                <w:b/>
                <w:bCs/>
              </w:rPr>
            </w:pPr>
            <w:r>
              <w:rPr>
                <w:b/>
                <w:bCs/>
              </w:rPr>
              <w:t>A</w:t>
            </w:r>
            <w:r w:rsidR="00262EAB">
              <w:rPr>
                <w:b/>
                <w:bCs/>
              </w:rPr>
              <w:t>W</w:t>
            </w:r>
            <w:r w:rsidR="00AA41DB">
              <w:rPr>
                <w:b/>
                <w:bCs/>
              </w:rPr>
              <w:t>G</w:t>
            </w:r>
            <w:r w:rsidR="003771CA">
              <w:rPr>
                <w:b/>
                <w:bCs/>
              </w:rPr>
              <w:t>-2</w:t>
            </w:r>
            <w:r w:rsidR="00956024">
              <w:rPr>
                <w:b/>
                <w:bCs/>
              </w:rPr>
              <w:t>3</w:t>
            </w:r>
            <w:r w:rsidR="00DA7595" w:rsidRPr="004D7A60">
              <w:rPr>
                <w:b/>
                <w:bCs/>
              </w:rPr>
              <w:t>/</w:t>
            </w:r>
            <w:r w:rsidR="007E6C90">
              <w:rPr>
                <w:b/>
                <w:bCs/>
              </w:rPr>
              <w:t>INP-</w:t>
            </w:r>
            <w:r w:rsidR="00CB06B2">
              <w:rPr>
                <w:b/>
                <w:bCs/>
              </w:rPr>
              <w:t>22</w:t>
            </w:r>
          </w:p>
        </w:tc>
      </w:tr>
      <w:tr w:rsidR="003578AB" w:rsidRPr="00891D0B" w:rsidTr="003B6E54">
        <w:trPr>
          <w:cantSplit/>
          <w:trHeight w:val="219"/>
        </w:trPr>
        <w:tc>
          <w:tcPr>
            <w:tcW w:w="1350" w:type="dxa"/>
            <w:vMerge/>
          </w:tcPr>
          <w:p w:rsidR="003578AB" w:rsidRPr="00891D0B" w:rsidRDefault="003578AB" w:rsidP="0045458F"/>
        </w:tc>
        <w:tc>
          <w:tcPr>
            <w:tcW w:w="6570" w:type="dxa"/>
          </w:tcPr>
          <w:p w:rsidR="0018079A" w:rsidRDefault="0018079A" w:rsidP="003771CA"/>
          <w:p w:rsidR="003578AB" w:rsidRPr="0018079A" w:rsidRDefault="003B6E54" w:rsidP="003B6E54">
            <w:r>
              <w:t>9 – 13</w:t>
            </w:r>
            <w:r w:rsidR="0018079A">
              <w:t xml:space="preserve"> </w:t>
            </w:r>
            <w:r>
              <w:t>April 2018</w:t>
            </w:r>
            <w:r w:rsidR="0018079A" w:rsidRPr="00891D0B">
              <w:t xml:space="preserve">, </w:t>
            </w:r>
            <w:r>
              <w:t>Da Nang City</w:t>
            </w:r>
            <w:r w:rsidR="0018079A">
              <w:t xml:space="preserve">, </w:t>
            </w:r>
            <w:r>
              <w:t xml:space="preserve">Socialist </w:t>
            </w:r>
            <w:r w:rsidR="00F9296C">
              <w:t xml:space="preserve">Republic of </w:t>
            </w:r>
            <w:r>
              <w:t>Viet Nam</w:t>
            </w:r>
          </w:p>
        </w:tc>
        <w:tc>
          <w:tcPr>
            <w:tcW w:w="2070" w:type="dxa"/>
          </w:tcPr>
          <w:p w:rsidR="003771CA" w:rsidRDefault="003771CA" w:rsidP="000A6769">
            <w:pPr>
              <w:pStyle w:val="Heading1"/>
              <w:jc w:val="left"/>
              <w:rPr>
                <w:b w:val="0"/>
                <w:bCs w:val="0"/>
                <w:u w:val="none"/>
              </w:rPr>
            </w:pPr>
          </w:p>
          <w:p w:rsidR="003578AB" w:rsidRPr="003771CA" w:rsidRDefault="00CB06B2" w:rsidP="00CC1DE7">
            <w:pPr>
              <w:pStyle w:val="Heading1"/>
              <w:jc w:val="left"/>
              <w:rPr>
                <w:b w:val="0"/>
              </w:rPr>
            </w:pPr>
            <w:r>
              <w:rPr>
                <w:b w:val="0"/>
                <w:bCs w:val="0"/>
                <w:u w:val="none"/>
              </w:rPr>
              <w:t>29 March</w:t>
            </w:r>
            <w:r w:rsidR="00CC1DE7">
              <w:rPr>
                <w:b w:val="0"/>
                <w:bCs w:val="0"/>
                <w:u w:val="none"/>
              </w:rPr>
              <w:t xml:space="preserve"> </w:t>
            </w:r>
            <w:r w:rsidR="003578AB" w:rsidRPr="003771CA">
              <w:rPr>
                <w:b w:val="0"/>
                <w:bCs w:val="0"/>
                <w:u w:val="none"/>
              </w:rPr>
              <w:t>201</w:t>
            </w:r>
            <w:r w:rsidR="00CC1DE7">
              <w:rPr>
                <w:b w:val="0"/>
                <w:bCs w:val="0"/>
                <w:u w:val="none"/>
              </w:rPr>
              <w:t>8</w:t>
            </w:r>
          </w:p>
        </w:tc>
      </w:tr>
    </w:tbl>
    <w:p w:rsidR="00DA7595" w:rsidRDefault="00DA7595" w:rsidP="00DA7595">
      <w:pPr>
        <w:jc w:val="center"/>
        <w:rPr>
          <w:b/>
          <w:sz w:val="28"/>
          <w:szCs w:val="28"/>
          <w:lang w:eastAsia="ko-KR"/>
        </w:rPr>
      </w:pPr>
    </w:p>
    <w:p w:rsidR="009568CE" w:rsidRPr="00B404AE" w:rsidRDefault="009568CE" w:rsidP="009568CE">
      <w:pPr>
        <w:jc w:val="center"/>
        <w:rPr>
          <w:lang w:eastAsia="ja-JP"/>
        </w:rPr>
      </w:pPr>
      <w:r>
        <w:rPr>
          <w:lang w:eastAsia="ja-JP"/>
        </w:rPr>
        <w:t>SINGAPORE</w:t>
      </w:r>
    </w:p>
    <w:p w:rsidR="009568CE" w:rsidRPr="00B404AE" w:rsidRDefault="009568CE" w:rsidP="009568CE">
      <w:pPr>
        <w:jc w:val="center"/>
        <w:rPr>
          <w:b/>
          <w:bCs/>
          <w:caps/>
          <w:sz w:val="28"/>
          <w:szCs w:val="28"/>
        </w:rPr>
      </w:pPr>
    </w:p>
    <w:p w:rsidR="009568CE" w:rsidRPr="00B404AE" w:rsidRDefault="009568CE" w:rsidP="009568CE">
      <w:pPr>
        <w:jc w:val="center"/>
        <w:rPr>
          <w:b/>
          <w:bCs/>
          <w:caps/>
        </w:rPr>
      </w:pPr>
      <w:r>
        <w:rPr>
          <w:rFonts w:eastAsia="SimSun"/>
          <w:b/>
          <w:bCs/>
          <w:caps/>
          <w:lang w:eastAsia="zh-CN"/>
        </w:rPr>
        <w:t xml:space="preserve">RESPONSE TO </w:t>
      </w:r>
      <w:r w:rsidRPr="00B404AE">
        <w:rPr>
          <w:b/>
          <w:bCs/>
          <w:caps/>
        </w:rPr>
        <w:t>questionnaire ON regulatory information for implementation IMT network in Asia-Pacific Region</w:t>
      </w:r>
    </w:p>
    <w:p w:rsidR="009568CE" w:rsidRPr="00B404AE" w:rsidRDefault="009568CE" w:rsidP="009568CE">
      <w:pPr>
        <w:jc w:val="center"/>
        <w:rPr>
          <w:b/>
          <w:bCs/>
          <w:caps/>
        </w:rPr>
      </w:pPr>
    </w:p>
    <w:p w:rsidR="009568CE" w:rsidRPr="00B404AE" w:rsidRDefault="009568CE" w:rsidP="009568CE">
      <w:pPr>
        <w:jc w:val="center"/>
      </w:pPr>
    </w:p>
    <w:p w:rsidR="009568CE" w:rsidRPr="00B404AE" w:rsidRDefault="009568CE" w:rsidP="009568CE">
      <w:pPr>
        <w:jc w:val="both"/>
        <w:rPr>
          <w:b/>
        </w:rPr>
      </w:pPr>
      <w:r w:rsidRPr="00B404AE">
        <w:rPr>
          <w:b/>
        </w:rPr>
        <w:t>Question 1:</w:t>
      </w:r>
    </w:p>
    <w:p w:rsidR="009568CE" w:rsidRPr="00B404AE" w:rsidRDefault="009568CE" w:rsidP="009568CE">
      <w:pPr>
        <w:jc w:val="both"/>
        <w:rPr>
          <w:b/>
          <w:lang w:val="id-ID" w:eastAsia="zh-CN"/>
        </w:rPr>
      </w:pPr>
      <w:r w:rsidRPr="00B404AE">
        <w:rPr>
          <w:b/>
          <w:lang w:val="id-ID" w:eastAsia="zh-CN"/>
        </w:rPr>
        <w:t>Institution/Company Information and Profile</w:t>
      </w:r>
    </w:p>
    <w:p w:rsidR="009568CE" w:rsidRPr="00B404AE" w:rsidRDefault="009568CE" w:rsidP="009568CE">
      <w:pPr>
        <w:jc w:val="both"/>
        <w:rPr>
          <w:lang w:eastAsia="zh-CN"/>
        </w:rPr>
      </w:pPr>
    </w:p>
    <w:p w:rsidR="009568CE" w:rsidRPr="00B404AE" w:rsidRDefault="009568CE" w:rsidP="009568CE">
      <w:pPr>
        <w:jc w:val="both"/>
        <w:rPr>
          <w:lang w:val="id-ID" w:eastAsia="zh-CN"/>
        </w:rPr>
      </w:pPr>
      <w:r w:rsidRPr="00B404AE">
        <w:rPr>
          <w:lang w:val="id-ID" w:eastAsia="zh-CN"/>
        </w:rPr>
        <w:t>Name of the institution</w:t>
      </w:r>
      <w:r w:rsidRPr="00B404AE">
        <w:rPr>
          <w:lang w:val="id-ID" w:eastAsia="zh-CN"/>
        </w:rPr>
        <w:tab/>
        <w:t xml:space="preserve">: Infocomm </w:t>
      </w:r>
      <w:r w:rsidRPr="00B404AE">
        <w:rPr>
          <w:lang w:val="en-SG" w:eastAsia="zh-CN"/>
        </w:rPr>
        <w:t xml:space="preserve">Media </w:t>
      </w:r>
      <w:r w:rsidRPr="00B404AE">
        <w:rPr>
          <w:lang w:val="id-ID" w:eastAsia="zh-CN"/>
        </w:rPr>
        <w:t>Development Authority of Singapore</w:t>
      </w:r>
    </w:p>
    <w:p w:rsidR="009568CE" w:rsidRPr="00B404AE" w:rsidRDefault="009568CE" w:rsidP="009568CE">
      <w:pPr>
        <w:jc w:val="both"/>
        <w:rPr>
          <w:lang w:val="en-SG" w:eastAsia="zh-CN"/>
        </w:rPr>
      </w:pPr>
      <w:r w:rsidRPr="00B404AE">
        <w:rPr>
          <w:lang w:val="id-ID" w:eastAsia="zh-CN"/>
        </w:rPr>
        <w:t>Name of contact person</w:t>
      </w:r>
      <w:r w:rsidRPr="00B404AE">
        <w:rPr>
          <w:lang w:val="id-ID" w:eastAsia="zh-CN"/>
        </w:rPr>
        <w:tab/>
        <w:t xml:space="preserve">: </w:t>
      </w:r>
      <w:r w:rsidRPr="00B404AE">
        <w:rPr>
          <w:lang w:val="en-SG" w:eastAsia="zh-CN"/>
        </w:rPr>
        <w:t>Alicia Cai</w:t>
      </w:r>
    </w:p>
    <w:p w:rsidR="009568CE" w:rsidRPr="00B404AE" w:rsidRDefault="009568CE" w:rsidP="009568CE">
      <w:pPr>
        <w:jc w:val="both"/>
        <w:rPr>
          <w:lang w:val="en-SG" w:eastAsia="zh-CN"/>
        </w:rPr>
      </w:pPr>
      <w:r w:rsidRPr="00B404AE">
        <w:rPr>
          <w:lang w:val="id-ID" w:eastAsia="zh-CN"/>
        </w:rPr>
        <w:t>Mailing Address</w:t>
      </w:r>
      <w:r w:rsidRPr="00B404AE">
        <w:rPr>
          <w:lang w:val="id-ID" w:eastAsia="zh-CN"/>
        </w:rPr>
        <w:tab/>
      </w:r>
      <w:r w:rsidRPr="00B404AE">
        <w:rPr>
          <w:lang w:val="id-ID" w:eastAsia="zh-CN"/>
        </w:rPr>
        <w:tab/>
        <w:t xml:space="preserve">: </w:t>
      </w:r>
      <w:r w:rsidRPr="00B404AE">
        <w:rPr>
          <w:lang w:val="en-SG" w:eastAsia="zh-CN"/>
        </w:rPr>
        <w:t xml:space="preserve">10 </w:t>
      </w:r>
      <w:proofErr w:type="spellStart"/>
      <w:r w:rsidRPr="00B404AE">
        <w:rPr>
          <w:lang w:val="en-SG" w:eastAsia="zh-CN"/>
        </w:rPr>
        <w:t>Pasir</w:t>
      </w:r>
      <w:proofErr w:type="spellEnd"/>
      <w:r w:rsidRPr="00B404AE">
        <w:rPr>
          <w:lang w:val="en-SG" w:eastAsia="zh-CN"/>
        </w:rPr>
        <w:t xml:space="preserve"> </w:t>
      </w:r>
      <w:proofErr w:type="spellStart"/>
      <w:r w:rsidRPr="00B404AE">
        <w:rPr>
          <w:lang w:val="en-SG" w:eastAsia="zh-CN"/>
        </w:rPr>
        <w:t>Panjang</w:t>
      </w:r>
      <w:proofErr w:type="spellEnd"/>
      <w:r w:rsidRPr="00B404AE">
        <w:rPr>
          <w:lang w:val="en-SG" w:eastAsia="zh-CN"/>
        </w:rPr>
        <w:t xml:space="preserve"> Road #10-01 </w:t>
      </w:r>
      <w:proofErr w:type="spellStart"/>
      <w:r w:rsidRPr="00B404AE">
        <w:rPr>
          <w:lang w:val="en-SG" w:eastAsia="zh-CN"/>
        </w:rPr>
        <w:t>Mapletree</w:t>
      </w:r>
      <w:proofErr w:type="spellEnd"/>
      <w:r w:rsidRPr="00B404AE">
        <w:rPr>
          <w:lang w:val="en-SG" w:eastAsia="zh-CN"/>
        </w:rPr>
        <w:t xml:space="preserve"> Business City </w:t>
      </w:r>
    </w:p>
    <w:p w:rsidR="009568CE" w:rsidRPr="00B404AE" w:rsidRDefault="009568CE" w:rsidP="009568CE">
      <w:pPr>
        <w:jc w:val="both"/>
        <w:rPr>
          <w:lang w:val="en-SG" w:eastAsia="zh-CN"/>
        </w:rPr>
      </w:pPr>
      <w:r w:rsidRPr="00B404AE">
        <w:rPr>
          <w:lang w:val="en-SG" w:eastAsia="zh-CN"/>
        </w:rPr>
        <w:t xml:space="preserve">                                                  Singapore 117438</w:t>
      </w:r>
    </w:p>
    <w:p w:rsidR="009568CE" w:rsidRPr="00B404AE" w:rsidRDefault="009568CE" w:rsidP="009568CE">
      <w:pPr>
        <w:jc w:val="both"/>
        <w:rPr>
          <w:lang w:val="id-ID" w:eastAsia="zh-CN"/>
        </w:rPr>
      </w:pPr>
      <w:r w:rsidRPr="00B404AE">
        <w:rPr>
          <w:lang w:val="id-ID" w:eastAsia="zh-CN"/>
        </w:rPr>
        <w:t>Phone</w:t>
      </w:r>
      <w:r w:rsidRPr="00B404AE">
        <w:rPr>
          <w:lang w:val="id-ID" w:eastAsia="zh-CN"/>
        </w:rPr>
        <w:tab/>
      </w:r>
      <w:r w:rsidRPr="00B404AE">
        <w:rPr>
          <w:lang w:val="id-ID" w:eastAsia="zh-CN"/>
        </w:rPr>
        <w:tab/>
      </w:r>
      <w:r w:rsidRPr="00B404AE">
        <w:rPr>
          <w:lang w:val="id-ID" w:eastAsia="zh-CN"/>
        </w:rPr>
        <w:tab/>
      </w:r>
      <w:r w:rsidRPr="00B404AE">
        <w:rPr>
          <w:lang w:val="id-ID" w:eastAsia="zh-CN"/>
        </w:rPr>
        <w:tab/>
        <w:t>: +65 62113832</w:t>
      </w:r>
    </w:p>
    <w:p w:rsidR="009568CE" w:rsidRPr="00B404AE" w:rsidRDefault="009568CE" w:rsidP="009568CE">
      <w:pPr>
        <w:jc w:val="both"/>
        <w:rPr>
          <w:lang w:val="en-SG" w:eastAsia="zh-CN"/>
        </w:rPr>
      </w:pPr>
      <w:r w:rsidRPr="00B404AE">
        <w:rPr>
          <w:lang w:val="id-ID" w:eastAsia="zh-CN"/>
        </w:rPr>
        <w:t xml:space="preserve">Email Address </w:t>
      </w:r>
      <w:r w:rsidRPr="00B404AE">
        <w:rPr>
          <w:lang w:val="id-ID" w:eastAsia="zh-CN"/>
        </w:rPr>
        <w:tab/>
      </w:r>
      <w:r w:rsidRPr="00B404AE">
        <w:rPr>
          <w:lang w:val="id-ID" w:eastAsia="zh-CN"/>
        </w:rPr>
        <w:tab/>
        <w:t xml:space="preserve">: </w:t>
      </w:r>
      <w:r w:rsidR="005000F5">
        <w:fldChar w:fldCharType="begin"/>
      </w:r>
      <w:r w:rsidR="005000F5">
        <w:instrText xml:space="preserve"> HYPERLINK "mailto:Alicia_CAI@imda.gov.sg" </w:instrText>
      </w:r>
      <w:r w:rsidR="005000F5">
        <w:fldChar w:fldCharType="separate"/>
      </w:r>
      <w:r w:rsidRPr="00B404AE">
        <w:rPr>
          <w:rStyle w:val="Hyperlink"/>
          <w:lang w:val="en-SG" w:eastAsia="zh-CN"/>
        </w:rPr>
        <w:t>Alicia_CAI@imda.gov.sg</w:t>
      </w:r>
      <w:r w:rsidR="005000F5">
        <w:rPr>
          <w:rStyle w:val="Hyperlink"/>
          <w:lang w:val="en-SG" w:eastAsia="zh-CN"/>
        </w:rPr>
        <w:fldChar w:fldCharType="end"/>
      </w:r>
      <w:r w:rsidRPr="00B404AE">
        <w:rPr>
          <w:lang w:val="en-SG" w:eastAsia="zh-CN"/>
        </w:rPr>
        <w:t xml:space="preserve"> </w:t>
      </w:r>
    </w:p>
    <w:p w:rsidR="009568CE" w:rsidRPr="00B404AE" w:rsidRDefault="009568CE" w:rsidP="009568CE">
      <w:pPr>
        <w:jc w:val="both"/>
        <w:rPr>
          <w:lang w:val="id-ID" w:eastAsia="zh-CN"/>
        </w:rPr>
      </w:pPr>
      <w:r w:rsidRPr="00B404AE">
        <w:rPr>
          <w:lang w:val="id-ID" w:eastAsia="zh-CN"/>
        </w:rPr>
        <w:t xml:space="preserve">My institution is </w:t>
      </w:r>
      <w:r w:rsidRPr="00B404AE">
        <w:rPr>
          <w:lang w:val="id-ID" w:eastAsia="zh-CN"/>
        </w:rPr>
        <w:tab/>
      </w:r>
      <w:r w:rsidRPr="00B404AE">
        <w:rPr>
          <w:lang w:val="id-ID" w:eastAsia="zh-CN"/>
        </w:rPr>
        <w:tab/>
        <w:t>:</w:t>
      </w:r>
      <w:r w:rsidRPr="00B404AE">
        <w:rPr>
          <w:lang w:eastAsia="zh-CN"/>
        </w:rPr>
        <w:t xml:space="preserve"> </w:t>
      </w:r>
      <w:r w:rsidRPr="00B404AE">
        <w:rPr>
          <w:lang w:val="id-ID" w:eastAsia="zh-CN"/>
        </w:rPr>
        <w:t>Regulator</w:t>
      </w:r>
    </w:p>
    <w:p w:rsidR="009568CE" w:rsidRPr="009568CE" w:rsidRDefault="009568CE" w:rsidP="009568CE">
      <w:pPr>
        <w:jc w:val="both"/>
        <w:rPr>
          <w:rFonts w:eastAsia="Times New Roman"/>
          <w:b/>
          <w:lang w:eastAsia="zh-CN"/>
        </w:rPr>
      </w:pPr>
    </w:p>
    <w:p w:rsidR="009568CE" w:rsidRPr="00B404AE" w:rsidRDefault="009568CE" w:rsidP="009568CE">
      <w:pPr>
        <w:jc w:val="both"/>
        <w:rPr>
          <w:b/>
        </w:rPr>
      </w:pPr>
      <w:r w:rsidRPr="00B404AE">
        <w:rPr>
          <w:b/>
        </w:rPr>
        <w:t>Question 2:</w:t>
      </w:r>
    </w:p>
    <w:p w:rsidR="009568CE" w:rsidRPr="00B404AE" w:rsidRDefault="009568CE" w:rsidP="009568CE">
      <w:pPr>
        <w:jc w:val="both"/>
      </w:pPr>
      <w:r w:rsidRPr="00B404AE">
        <w:t>Which IMT technology being use and will be used or technology neutral in these bands? Please fill in the frequency bands used for IMT and specify which IMT technology (e.g. WCDMA, HSPA, LTE, LTE-A, TDD-LTE, 3GPP Release 10, …) being used, if not IMT please answer “non-IMT”.</w:t>
      </w:r>
    </w:p>
    <w:p w:rsidR="009568CE" w:rsidRPr="00B404AE" w:rsidRDefault="009568CE" w:rsidP="009568CE">
      <w:pPr>
        <w:pStyle w:val="ListParagraph"/>
        <w:ind w:firstLineChars="0" w:firstLine="0"/>
      </w:pP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56"/>
        <w:gridCol w:w="1984"/>
        <w:gridCol w:w="2333"/>
      </w:tblGrid>
      <w:tr w:rsidR="009568CE" w:rsidRPr="00B404AE" w:rsidTr="00D14564">
        <w:trPr>
          <w:trHeight w:val="375"/>
        </w:trPr>
        <w:tc>
          <w:tcPr>
            <w:tcW w:w="1560" w:type="dxa"/>
            <w:vMerge w:val="restart"/>
            <w:shd w:val="clear" w:color="auto" w:fill="FFCC99"/>
            <w:vAlign w:val="center"/>
          </w:tcPr>
          <w:p w:rsidR="009568CE" w:rsidRPr="00B404AE" w:rsidRDefault="009568CE" w:rsidP="00D14564">
            <w:pPr>
              <w:jc w:val="center"/>
              <w:rPr>
                <w:b/>
                <w:bCs/>
                <w:lang w:eastAsia="zh-CN"/>
              </w:rPr>
            </w:pPr>
            <w:r w:rsidRPr="00B404AE">
              <w:rPr>
                <w:b/>
                <w:bCs/>
                <w:lang w:eastAsia="zh-CN"/>
              </w:rPr>
              <w:t>Frequency band</w:t>
            </w:r>
          </w:p>
          <w:p w:rsidR="009568CE" w:rsidRPr="00B404AE" w:rsidRDefault="009568CE" w:rsidP="00D14564">
            <w:pPr>
              <w:jc w:val="center"/>
              <w:rPr>
                <w:rFonts w:eastAsia="MS Mincho"/>
                <w:b/>
                <w:bCs/>
                <w:lang w:eastAsia="ja-JP"/>
              </w:rPr>
            </w:pPr>
            <w:r w:rsidRPr="00B404AE">
              <w:rPr>
                <w:b/>
                <w:bCs/>
                <w:lang w:eastAsia="zh-CN"/>
              </w:rPr>
              <w:t>(MHz)</w:t>
            </w:r>
          </w:p>
        </w:tc>
        <w:tc>
          <w:tcPr>
            <w:tcW w:w="3415" w:type="dxa"/>
            <w:gridSpan w:val="2"/>
            <w:shd w:val="clear" w:color="auto" w:fill="FFCC99"/>
            <w:vAlign w:val="center"/>
          </w:tcPr>
          <w:p w:rsidR="009568CE" w:rsidRPr="00B404AE" w:rsidRDefault="009568CE" w:rsidP="00D14564">
            <w:pPr>
              <w:jc w:val="center"/>
              <w:rPr>
                <w:rFonts w:eastAsia="MS Mincho"/>
                <w:b/>
                <w:bCs/>
                <w:lang w:eastAsia="ja-JP"/>
              </w:rPr>
            </w:pPr>
            <w:r w:rsidRPr="00B404AE">
              <w:rPr>
                <w:b/>
                <w:bCs/>
                <w:lang w:eastAsia="zh-CN"/>
              </w:rPr>
              <w:t>Frequency</w:t>
            </w:r>
            <w:r w:rsidRPr="00B404AE">
              <w:rPr>
                <w:b/>
                <w:bCs/>
              </w:rPr>
              <w:t xml:space="preserve"> </w:t>
            </w:r>
            <w:r w:rsidRPr="00B404AE">
              <w:rPr>
                <w:b/>
                <w:bCs/>
                <w:lang w:eastAsia="zh-CN"/>
              </w:rPr>
              <w:t>Block</w:t>
            </w:r>
            <w:r w:rsidRPr="00B404AE">
              <w:rPr>
                <w:b/>
                <w:bCs/>
              </w:rPr>
              <w:t xml:space="preserve"> (</w:t>
            </w:r>
            <w:r w:rsidRPr="00B404AE">
              <w:rPr>
                <w:b/>
                <w:bCs/>
                <w:lang w:eastAsia="zh-CN"/>
              </w:rPr>
              <w:t>MHz</w:t>
            </w:r>
            <w:r w:rsidRPr="00B404AE">
              <w:rPr>
                <w:b/>
                <w:bCs/>
              </w:rPr>
              <w:t>)</w:t>
            </w:r>
          </w:p>
        </w:tc>
        <w:tc>
          <w:tcPr>
            <w:tcW w:w="1984" w:type="dxa"/>
            <w:vMerge w:val="restart"/>
            <w:shd w:val="clear" w:color="auto" w:fill="FFCC99"/>
            <w:vAlign w:val="center"/>
          </w:tcPr>
          <w:p w:rsidR="009568CE" w:rsidRPr="00B404AE" w:rsidRDefault="009568CE" w:rsidP="00D14564">
            <w:pPr>
              <w:jc w:val="center"/>
              <w:rPr>
                <w:rFonts w:eastAsia="MS Mincho"/>
                <w:b/>
                <w:bCs/>
                <w:lang w:eastAsia="ja-JP"/>
              </w:rPr>
            </w:pPr>
            <w:r w:rsidRPr="00B404AE">
              <w:rPr>
                <w:b/>
                <w:bCs/>
                <w:lang w:eastAsia="zh-CN"/>
              </w:rPr>
              <w:t>IMT Technology</w:t>
            </w:r>
          </w:p>
        </w:tc>
        <w:tc>
          <w:tcPr>
            <w:tcW w:w="2333" w:type="dxa"/>
            <w:vMerge w:val="restart"/>
            <w:shd w:val="clear" w:color="auto" w:fill="FFCC99"/>
            <w:vAlign w:val="center"/>
          </w:tcPr>
          <w:p w:rsidR="009568CE" w:rsidRPr="00B404AE" w:rsidRDefault="009568CE" w:rsidP="00D14564">
            <w:pPr>
              <w:jc w:val="center"/>
              <w:rPr>
                <w:b/>
                <w:bCs/>
                <w:lang w:eastAsia="zh-CN"/>
              </w:rPr>
            </w:pPr>
            <w:r w:rsidRPr="00B404AE">
              <w:rPr>
                <w:b/>
                <w:bCs/>
                <w:lang w:eastAsia="zh-CN"/>
              </w:rPr>
              <w:t>Channel bandwidth (MHz)</w:t>
            </w:r>
          </w:p>
        </w:tc>
      </w:tr>
      <w:tr w:rsidR="009568CE" w:rsidRPr="00B404AE" w:rsidTr="00D14564">
        <w:trPr>
          <w:trHeight w:val="165"/>
        </w:trPr>
        <w:tc>
          <w:tcPr>
            <w:tcW w:w="1560" w:type="dxa"/>
            <w:vMerge/>
            <w:shd w:val="clear" w:color="auto" w:fill="FFCC99"/>
          </w:tcPr>
          <w:p w:rsidR="009568CE" w:rsidRPr="00B404AE" w:rsidRDefault="009568CE" w:rsidP="00D14564">
            <w:pPr>
              <w:rPr>
                <w:lang w:eastAsia="zh-CN"/>
              </w:rPr>
            </w:pPr>
          </w:p>
        </w:tc>
        <w:tc>
          <w:tcPr>
            <w:tcW w:w="1559" w:type="dxa"/>
            <w:shd w:val="clear" w:color="auto" w:fill="FFCC99"/>
          </w:tcPr>
          <w:p w:rsidR="009568CE" w:rsidRPr="00B404AE" w:rsidRDefault="009568CE" w:rsidP="00D14564">
            <w:pPr>
              <w:jc w:val="center"/>
              <w:rPr>
                <w:b/>
                <w:bCs/>
              </w:rPr>
            </w:pPr>
            <w:r w:rsidRPr="00B404AE">
              <w:rPr>
                <w:rFonts w:eastAsia="MS Mincho"/>
                <w:b/>
                <w:bCs/>
                <w:lang w:eastAsia="ja-JP"/>
              </w:rPr>
              <w:t>Uplink</w:t>
            </w:r>
          </w:p>
        </w:tc>
        <w:tc>
          <w:tcPr>
            <w:tcW w:w="1856" w:type="dxa"/>
            <w:shd w:val="clear" w:color="auto" w:fill="FFCC99"/>
          </w:tcPr>
          <w:p w:rsidR="009568CE" w:rsidRPr="00B404AE" w:rsidRDefault="009568CE" w:rsidP="00D14564">
            <w:pPr>
              <w:jc w:val="center"/>
              <w:rPr>
                <w:b/>
                <w:bCs/>
              </w:rPr>
            </w:pPr>
            <w:r w:rsidRPr="00B404AE">
              <w:rPr>
                <w:rFonts w:eastAsia="MS Mincho"/>
                <w:b/>
                <w:bCs/>
                <w:lang w:eastAsia="ja-JP"/>
              </w:rPr>
              <w:t>Downlink</w:t>
            </w:r>
          </w:p>
        </w:tc>
        <w:tc>
          <w:tcPr>
            <w:tcW w:w="1984" w:type="dxa"/>
            <w:vMerge/>
          </w:tcPr>
          <w:p w:rsidR="009568CE" w:rsidRPr="00B404AE" w:rsidRDefault="009568CE" w:rsidP="00D14564">
            <w:pPr>
              <w:rPr>
                <w:lang w:eastAsia="zh-CN"/>
              </w:rPr>
            </w:pPr>
          </w:p>
        </w:tc>
        <w:tc>
          <w:tcPr>
            <w:tcW w:w="2333" w:type="dxa"/>
            <w:vMerge/>
          </w:tcPr>
          <w:p w:rsidR="009568CE" w:rsidRPr="00B404AE" w:rsidRDefault="009568CE" w:rsidP="00D14564">
            <w:pPr>
              <w:rPr>
                <w:lang w:eastAsia="zh-CN"/>
              </w:rPr>
            </w:pPr>
          </w:p>
        </w:tc>
      </w:tr>
      <w:tr w:rsidR="009568CE" w:rsidRPr="00CA2A93" w:rsidTr="00D14564">
        <w:trPr>
          <w:trHeight w:val="410"/>
        </w:trPr>
        <w:tc>
          <w:tcPr>
            <w:tcW w:w="1560" w:type="dxa"/>
            <w:vMerge w:val="restart"/>
            <w:vAlign w:val="center"/>
          </w:tcPr>
          <w:p w:rsidR="009568CE" w:rsidRPr="00CA2A93" w:rsidRDefault="009568CE" w:rsidP="00D14564">
            <w:pPr>
              <w:jc w:val="both"/>
            </w:pPr>
            <w:r w:rsidRPr="00CA2A93">
              <w:t>880 - 915 / 925 - 960</w:t>
            </w: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882 - 887</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927 - 932</w:t>
            </w:r>
          </w:p>
        </w:tc>
        <w:tc>
          <w:tcPr>
            <w:tcW w:w="1984" w:type="dxa"/>
            <w:vAlign w:val="center"/>
          </w:tcPr>
          <w:p w:rsidR="009568CE" w:rsidRPr="00CA2A93" w:rsidRDefault="009568CE" w:rsidP="00D14564">
            <w:pPr>
              <w:widowControl w:val="0"/>
              <w:jc w:val="both"/>
            </w:pPr>
            <w:r w:rsidRPr="00CA2A93">
              <w:t>HSPA</w:t>
            </w:r>
          </w:p>
        </w:tc>
        <w:tc>
          <w:tcPr>
            <w:tcW w:w="2333" w:type="dxa"/>
            <w:vAlign w:val="center"/>
          </w:tcPr>
          <w:p w:rsidR="009568CE" w:rsidRPr="00CA2A93" w:rsidRDefault="009568CE" w:rsidP="00D14564">
            <w:pPr>
              <w:widowControl w:val="0"/>
              <w:jc w:val="both"/>
            </w:pPr>
            <w:r w:rsidRPr="00CA2A93">
              <w:t>5 MHz</w:t>
            </w:r>
          </w:p>
        </w:tc>
      </w:tr>
      <w:tr w:rsidR="009568CE" w:rsidRPr="00CA2A93" w:rsidTr="00D14564">
        <w:trPr>
          <w:trHeight w:val="609"/>
        </w:trPr>
        <w:tc>
          <w:tcPr>
            <w:tcW w:w="1560" w:type="dxa"/>
            <w:vMerge/>
            <w:vAlign w:val="center"/>
          </w:tcPr>
          <w:p w:rsidR="009568CE" w:rsidRPr="00CA2A93" w:rsidRDefault="009568CE" w:rsidP="00D14564">
            <w:pPr>
              <w:jc w:val="both"/>
            </w:pP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890 - 915</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935 - 960</w:t>
            </w:r>
          </w:p>
        </w:tc>
        <w:tc>
          <w:tcPr>
            <w:tcW w:w="1984" w:type="dxa"/>
            <w:vAlign w:val="center"/>
          </w:tcPr>
          <w:p w:rsidR="009568CE" w:rsidRPr="00CA2A93" w:rsidRDefault="009568CE" w:rsidP="00D14564">
            <w:pPr>
              <w:widowControl w:val="0"/>
              <w:jc w:val="both"/>
            </w:pPr>
            <w:r w:rsidRPr="00CA2A93">
              <w:t>WCDMA / LTE including NB-</w:t>
            </w:r>
            <w:proofErr w:type="spellStart"/>
            <w:r w:rsidRPr="00CA2A93">
              <w:t>IoT</w:t>
            </w:r>
            <w:proofErr w:type="spellEnd"/>
          </w:p>
        </w:tc>
        <w:tc>
          <w:tcPr>
            <w:tcW w:w="2333" w:type="dxa"/>
            <w:vAlign w:val="center"/>
          </w:tcPr>
          <w:p w:rsidR="009568CE" w:rsidRPr="00CA2A93" w:rsidRDefault="009568CE" w:rsidP="00D14564">
            <w:pPr>
              <w:widowControl w:val="0"/>
              <w:jc w:val="both"/>
            </w:pPr>
            <w:r w:rsidRPr="00CA2A93">
              <w:t>WCDMA: 5 MHz</w:t>
            </w:r>
          </w:p>
          <w:p w:rsidR="009568CE" w:rsidRPr="00CA2A93" w:rsidRDefault="009568CE" w:rsidP="00D14564">
            <w:pPr>
              <w:widowControl w:val="0"/>
              <w:jc w:val="both"/>
            </w:pPr>
            <w:r w:rsidRPr="00CA2A93">
              <w:t>LTE: 5, 10 MHz</w:t>
            </w:r>
          </w:p>
          <w:p w:rsidR="009568CE" w:rsidRPr="00CA2A93" w:rsidRDefault="009568CE" w:rsidP="00D14564">
            <w:pPr>
              <w:widowControl w:val="0"/>
              <w:jc w:val="both"/>
            </w:pPr>
            <w:r w:rsidRPr="00CA2A93">
              <w:t>NB-</w:t>
            </w:r>
            <w:proofErr w:type="spellStart"/>
            <w:r w:rsidRPr="00CA2A93">
              <w:t>IoT</w:t>
            </w:r>
            <w:proofErr w:type="spellEnd"/>
            <w:r w:rsidRPr="00CA2A93">
              <w:t>: 0.2 MHz</w:t>
            </w:r>
          </w:p>
        </w:tc>
      </w:tr>
      <w:tr w:rsidR="009568CE" w:rsidRPr="00CA2A93" w:rsidTr="00D14564">
        <w:trPr>
          <w:trHeight w:val="410"/>
        </w:trPr>
        <w:tc>
          <w:tcPr>
            <w:tcW w:w="1560" w:type="dxa"/>
            <w:vAlign w:val="center"/>
          </w:tcPr>
          <w:p w:rsidR="009568CE" w:rsidRPr="00CA2A93" w:rsidRDefault="009568CE" w:rsidP="00D14564">
            <w:pPr>
              <w:jc w:val="both"/>
            </w:pPr>
            <w:r w:rsidRPr="00CA2A93">
              <w:t>1710 - 1785 / 1805 - 1880</w:t>
            </w: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1710 - 1785</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1805 - 1880</w:t>
            </w:r>
          </w:p>
        </w:tc>
        <w:tc>
          <w:tcPr>
            <w:tcW w:w="1984" w:type="dxa"/>
            <w:vAlign w:val="center"/>
          </w:tcPr>
          <w:p w:rsidR="009568CE" w:rsidRPr="00CA2A93" w:rsidRDefault="009568CE" w:rsidP="00D14564">
            <w:pPr>
              <w:widowControl w:val="0"/>
              <w:jc w:val="both"/>
            </w:pPr>
            <w:r w:rsidRPr="00CA2A93">
              <w:t>LTE</w:t>
            </w:r>
          </w:p>
        </w:tc>
        <w:tc>
          <w:tcPr>
            <w:tcW w:w="2333" w:type="dxa"/>
            <w:vAlign w:val="center"/>
          </w:tcPr>
          <w:p w:rsidR="009568CE" w:rsidRPr="00CA2A93" w:rsidRDefault="009568CE" w:rsidP="00D14564">
            <w:pPr>
              <w:widowControl w:val="0"/>
              <w:jc w:val="both"/>
            </w:pPr>
            <w:r w:rsidRPr="00CA2A93">
              <w:t>5, 10, 20 MHz</w:t>
            </w:r>
          </w:p>
        </w:tc>
      </w:tr>
      <w:tr w:rsidR="009568CE" w:rsidRPr="00CA2A93" w:rsidTr="00D14564">
        <w:trPr>
          <w:trHeight w:val="410"/>
        </w:trPr>
        <w:tc>
          <w:tcPr>
            <w:tcW w:w="1560" w:type="dxa"/>
            <w:vAlign w:val="center"/>
          </w:tcPr>
          <w:p w:rsidR="009568CE" w:rsidRPr="00CA2A93" w:rsidRDefault="009568CE" w:rsidP="00D14564">
            <w:pPr>
              <w:jc w:val="both"/>
            </w:pPr>
            <w:r w:rsidRPr="00CA2A93">
              <w:t>1900 - 1920</w:t>
            </w: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1904.9 - 1920</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1904.9 - 1920</w:t>
            </w:r>
          </w:p>
        </w:tc>
        <w:tc>
          <w:tcPr>
            <w:tcW w:w="1984" w:type="dxa"/>
            <w:vAlign w:val="center"/>
          </w:tcPr>
          <w:p w:rsidR="009568CE" w:rsidRPr="00CA2A93" w:rsidRDefault="009568CE" w:rsidP="00D14564">
            <w:pPr>
              <w:widowControl w:val="0"/>
              <w:jc w:val="both"/>
            </w:pPr>
            <w:r w:rsidRPr="00CA2A93">
              <w:t>Non-IMT</w:t>
            </w:r>
          </w:p>
        </w:tc>
        <w:tc>
          <w:tcPr>
            <w:tcW w:w="2333" w:type="dxa"/>
            <w:vAlign w:val="center"/>
          </w:tcPr>
          <w:p w:rsidR="009568CE" w:rsidRPr="00CA2A93" w:rsidRDefault="009568CE" w:rsidP="00D14564">
            <w:pPr>
              <w:widowControl w:val="0"/>
              <w:jc w:val="both"/>
            </w:pPr>
          </w:p>
        </w:tc>
      </w:tr>
      <w:tr w:rsidR="009568CE" w:rsidRPr="00CA2A93" w:rsidTr="00D14564">
        <w:trPr>
          <w:trHeight w:val="410"/>
        </w:trPr>
        <w:tc>
          <w:tcPr>
            <w:tcW w:w="1560" w:type="dxa"/>
            <w:vAlign w:val="center"/>
          </w:tcPr>
          <w:p w:rsidR="009568CE" w:rsidRPr="00CA2A93" w:rsidRDefault="009568CE" w:rsidP="00D14564">
            <w:r w:rsidRPr="00CA2A93">
              <w:t>1920 - 1980 / 2110 - 2170</w:t>
            </w: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1920 - 1979.7</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2110.3 - 2169.7</w:t>
            </w:r>
          </w:p>
        </w:tc>
        <w:tc>
          <w:tcPr>
            <w:tcW w:w="1984" w:type="dxa"/>
            <w:vAlign w:val="center"/>
          </w:tcPr>
          <w:p w:rsidR="009568CE" w:rsidRPr="00CA2A93" w:rsidRDefault="009568CE" w:rsidP="00D14564">
            <w:pPr>
              <w:widowControl w:val="0"/>
              <w:jc w:val="both"/>
            </w:pPr>
            <w:r w:rsidRPr="00CA2A93">
              <w:t>HSPA / WCDMA / LTE</w:t>
            </w:r>
          </w:p>
        </w:tc>
        <w:tc>
          <w:tcPr>
            <w:tcW w:w="2333" w:type="dxa"/>
            <w:vAlign w:val="center"/>
          </w:tcPr>
          <w:p w:rsidR="009568CE" w:rsidRPr="00CA2A93" w:rsidRDefault="009568CE" w:rsidP="00D14564">
            <w:pPr>
              <w:widowControl w:val="0"/>
              <w:jc w:val="both"/>
            </w:pPr>
            <w:r w:rsidRPr="00CA2A93">
              <w:t>HSPA / WCDMA / LTE: 5 MHz</w:t>
            </w:r>
          </w:p>
          <w:p w:rsidR="009568CE" w:rsidRPr="00CA2A93" w:rsidRDefault="009568CE" w:rsidP="00D14564">
            <w:pPr>
              <w:widowControl w:val="0"/>
              <w:jc w:val="both"/>
            </w:pPr>
          </w:p>
          <w:p w:rsidR="009568CE" w:rsidRPr="00CA2A93" w:rsidRDefault="009568CE" w:rsidP="00D14564">
            <w:pPr>
              <w:widowControl w:val="0"/>
              <w:jc w:val="both"/>
            </w:pPr>
          </w:p>
        </w:tc>
      </w:tr>
      <w:tr w:rsidR="009568CE" w:rsidRPr="00CA2A93" w:rsidTr="00D14564">
        <w:trPr>
          <w:trHeight w:val="410"/>
        </w:trPr>
        <w:tc>
          <w:tcPr>
            <w:tcW w:w="1560" w:type="dxa"/>
            <w:vAlign w:val="center"/>
          </w:tcPr>
          <w:p w:rsidR="009568CE" w:rsidRPr="00CA2A93" w:rsidRDefault="009568CE" w:rsidP="00D14564">
            <w:pPr>
              <w:jc w:val="both"/>
            </w:pPr>
            <w:r w:rsidRPr="00CA2A93">
              <w:t>2300 - 2400</w:t>
            </w: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2300 - 2340</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2300 - 2680</w:t>
            </w:r>
          </w:p>
        </w:tc>
        <w:tc>
          <w:tcPr>
            <w:tcW w:w="1984" w:type="dxa"/>
            <w:vAlign w:val="center"/>
          </w:tcPr>
          <w:p w:rsidR="009568CE" w:rsidRPr="00CA2A93" w:rsidRDefault="009568CE" w:rsidP="00D14564">
            <w:pPr>
              <w:widowControl w:val="0"/>
              <w:jc w:val="both"/>
            </w:pPr>
            <w:r w:rsidRPr="00CA2A93">
              <w:t>LTE</w:t>
            </w:r>
          </w:p>
        </w:tc>
        <w:tc>
          <w:tcPr>
            <w:tcW w:w="2333" w:type="dxa"/>
            <w:vAlign w:val="center"/>
          </w:tcPr>
          <w:p w:rsidR="009568CE" w:rsidRPr="00CA2A93" w:rsidRDefault="009568CE" w:rsidP="00D14564">
            <w:pPr>
              <w:widowControl w:val="0"/>
              <w:jc w:val="both"/>
            </w:pPr>
            <w:r w:rsidRPr="00CA2A93">
              <w:t>20 MHz</w:t>
            </w:r>
          </w:p>
        </w:tc>
      </w:tr>
      <w:tr w:rsidR="009568CE" w:rsidRPr="00CA2A93" w:rsidTr="00D14564">
        <w:trPr>
          <w:trHeight w:val="410"/>
        </w:trPr>
        <w:tc>
          <w:tcPr>
            <w:tcW w:w="1560" w:type="dxa"/>
            <w:vAlign w:val="center"/>
          </w:tcPr>
          <w:p w:rsidR="009568CE" w:rsidRPr="00CA2A93" w:rsidRDefault="009568CE" w:rsidP="00D14564">
            <w:pPr>
              <w:jc w:val="both"/>
            </w:pPr>
            <w:r w:rsidRPr="00CA2A93">
              <w:t>2500 – 2570 / 2620 - 2690</w:t>
            </w: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2500 - 2560</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2620 - 2640</w:t>
            </w:r>
          </w:p>
        </w:tc>
        <w:tc>
          <w:tcPr>
            <w:tcW w:w="1984" w:type="dxa"/>
            <w:vAlign w:val="center"/>
          </w:tcPr>
          <w:p w:rsidR="009568CE" w:rsidRPr="00CA2A93" w:rsidRDefault="009568CE" w:rsidP="00D14564">
            <w:pPr>
              <w:widowControl w:val="0"/>
              <w:jc w:val="both"/>
            </w:pPr>
            <w:r w:rsidRPr="00CA2A93">
              <w:t>LTE</w:t>
            </w:r>
          </w:p>
        </w:tc>
        <w:tc>
          <w:tcPr>
            <w:tcW w:w="2333" w:type="dxa"/>
            <w:vAlign w:val="center"/>
          </w:tcPr>
          <w:p w:rsidR="009568CE" w:rsidRPr="00CA2A93" w:rsidRDefault="009568CE" w:rsidP="00D14564">
            <w:pPr>
              <w:widowControl w:val="0"/>
              <w:jc w:val="both"/>
            </w:pPr>
            <w:r w:rsidRPr="00CA2A93">
              <w:t>5, 20 MHz</w:t>
            </w:r>
          </w:p>
        </w:tc>
      </w:tr>
      <w:tr w:rsidR="009568CE" w:rsidRPr="00CA2A93" w:rsidTr="00D14564">
        <w:trPr>
          <w:trHeight w:val="410"/>
        </w:trPr>
        <w:tc>
          <w:tcPr>
            <w:tcW w:w="1560" w:type="dxa"/>
            <w:vAlign w:val="center"/>
          </w:tcPr>
          <w:p w:rsidR="009568CE" w:rsidRPr="00CA2A93" w:rsidRDefault="009568CE" w:rsidP="00D14564">
            <w:pPr>
              <w:jc w:val="both"/>
            </w:pPr>
            <w:r w:rsidRPr="00CA2A93">
              <w:t>2570 - 2620</w:t>
            </w:r>
          </w:p>
        </w:tc>
        <w:tc>
          <w:tcPr>
            <w:tcW w:w="1559" w:type="dxa"/>
            <w:vAlign w:val="center"/>
          </w:tcPr>
          <w:p w:rsidR="009568CE" w:rsidRPr="00CA2A93" w:rsidRDefault="009568CE" w:rsidP="00D14564">
            <w:pPr>
              <w:jc w:val="both"/>
              <w:rPr>
                <w:rFonts w:eastAsia="MS Mincho"/>
                <w:lang w:eastAsia="ja-JP"/>
              </w:rPr>
            </w:pPr>
            <w:r w:rsidRPr="00CA2A93">
              <w:rPr>
                <w:rFonts w:eastAsia="MS Mincho"/>
                <w:lang w:eastAsia="ja-JP"/>
              </w:rPr>
              <w:t>2570 - 2615</w:t>
            </w:r>
          </w:p>
        </w:tc>
        <w:tc>
          <w:tcPr>
            <w:tcW w:w="1856" w:type="dxa"/>
            <w:vAlign w:val="center"/>
          </w:tcPr>
          <w:p w:rsidR="009568CE" w:rsidRPr="00CA2A93" w:rsidRDefault="009568CE" w:rsidP="00D14564">
            <w:pPr>
              <w:jc w:val="both"/>
              <w:rPr>
                <w:rFonts w:eastAsia="MS Mincho"/>
                <w:lang w:eastAsia="ja-JP"/>
              </w:rPr>
            </w:pPr>
            <w:r w:rsidRPr="00CA2A93">
              <w:rPr>
                <w:rFonts w:eastAsia="MS Mincho"/>
                <w:lang w:eastAsia="ja-JP"/>
              </w:rPr>
              <w:t>2570 - 2615</w:t>
            </w:r>
          </w:p>
        </w:tc>
        <w:tc>
          <w:tcPr>
            <w:tcW w:w="1984" w:type="dxa"/>
            <w:vAlign w:val="center"/>
          </w:tcPr>
          <w:p w:rsidR="009568CE" w:rsidRPr="00CA2A93" w:rsidRDefault="009568CE" w:rsidP="00D14564">
            <w:pPr>
              <w:widowControl w:val="0"/>
              <w:jc w:val="both"/>
            </w:pPr>
            <w:r w:rsidRPr="00CA2A93">
              <w:t>LTE</w:t>
            </w:r>
          </w:p>
        </w:tc>
        <w:tc>
          <w:tcPr>
            <w:tcW w:w="2333" w:type="dxa"/>
            <w:vAlign w:val="center"/>
          </w:tcPr>
          <w:p w:rsidR="009568CE" w:rsidRPr="00CA2A93" w:rsidRDefault="009568CE" w:rsidP="00D14564">
            <w:pPr>
              <w:widowControl w:val="0"/>
              <w:jc w:val="both"/>
            </w:pPr>
            <w:r w:rsidRPr="00CA2A93">
              <w:t>10, 15, 20 MHz</w:t>
            </w:r>
          </w:p>
        </w:tc>
      </w:tr>
    </w:tbl>
    <w:p w:rsidR="009568CE" w:rsidRDefault="009568CE" w:rsidP="009568CE">
      <w:pPr>
        <w:jc w:val="both"/>
        <w:rPr>
          <w:b/>
        </w:rPr>
      </w:pPr>
    </w:p>
    <w:p w:rsidR="009568CE" w:rsidRDefault="009568CE" w:rsidP="009568CE">
      <w:pPr>
        <w:jc w:val="both"/>
        <w:rPr>
          <w:b/>
        </w:rPr>
      </w:pPr>
    </w:p>
    <w:p w:rsidR="009568CE" w:rsidRPr="00B404AE" w:rsidRDefault="009568CE" w:rsidP="009568CE">
      <w:pPr>
        <w:jc w:val="both"/>
        <w:rPr>
          <w:b/>
        </w:rPr>
      </w:pPr>
      <w:r w:rsidRPr="00B404AE">
        <w:rPr>
          <w:b/>
        </w:rPr>
        <w:lastRenderedPageBreak/>
        <w:t>Question 3:</w:t>
      </w:r>
    </w:p>
    <w:p w:rsidR="009568CE" w:rsidRPr="00B404AE" w:rsidRDefault="009568CE" w:rsidP="009568CE">
      <w:pPr>
        <w:jc w:val="both"/>
      </w:pPr>
      <w:r w:rsidRPr="00B404AE">
        <w:t>Please provide (or refer to) characteristics, and protection criteria, for implementing the IMT systems/networks in Question 2, and similar information for non-IMT services, within the IMT band and in the neighboring bands.</w:t>
      </w:r>
    </w:p>
    <w:p w:rsidR="009568CE" w:rsidRPr="00B404AE" w:rsidRDefault="009568CE" w:rsidP="009568CE">
      <w:pPr>
        <w:jc w:val="both"/>
      </w:pPr>
    </w:p>
    <w:p w:rsidR="009568CE" w:rsidRPr="00CA2A93" w:rsidRDefault="009568CE" w:rsidP="009568CE">
      <w:pPr>
        <w:jc w:val="both"/>
      </w:pPr>
      <w:r w:rsidRPr="00CA2A93">
        <w:t>LTE and WCDMA which are based on frequency division duplex, offer sufficient frequency separation between base station/user equipment transmit and receive signals. Both technologies are developed by the 3GPP and occupy bandwidths which are standard compliant. Hence, additional guard band may not be required between adjacent carriers.</w:t>
      </w:r>
    </w:p>
    <w:p w:rsidR="009568CE" w:rsidRPr="00CA2A93" w:rsidRDefault="009568CE" w:rsidP="009568CE">
      <w:pPr>
        <w:jc w:val="both"/>
      </w:pPr>
    </w:p>
    <w:p w:rsidR="009568CE" w:rsidRPr="00CA2A93" w:rsidRDefault="009568CE" w:rsidP="009568CE">
      <w:pPr>
        <w:jc w:val="both"/>
      </w:pPr>
      <w:r w:rsidRPr="00CA2A93">
        <w:t xml:space="preserve">LTE TDD will require the coordination of the TDD network parameters such as TDD Configuration, Special </w:t>
      </w:r>
      <w:proofErr w:type="spellStart"/>
      <w:r w:rsidRPr="00CA2A93">
        <w:t>Subframe</w:t>
      </w:r>
      <w:proofErr w:type="spellEnd"/>
      <w:r w:rsidRPr="00CA2A93">
        <w:t xml:space="preserve"> Configuration and Time Offset to reduce interference between TDD networks.</w:t>
      </w:r>
    </w:p>
    <w:p w:rsidR="009568CE" w:rsidRPr="00CA2A93" w:rsidRDefault="009568CE" w:rsidP="009568CE">
      <w:pPr>
        <w:jc w:val="both"/>
      </w:pPr>
    </w:p>
    <w:p w:rsidR="009568CE" w:rsidRPr="00CA2A93" w:rsidRDefault="009568CE" w:rsidP="009568CE">
      <w:pPr>
        <w:jc w:val="both"/>
      </w:pPr>
      <w:r w:rsidRPr="00CA2A93">
        <w:t xml:space="preserve">Guard band will be implemented for the co-existence of adjacent services when required (e.g., guard band between the FDD and TDD frequencies in the 2.5 GHz band). </w:t>
      </w:r>
    </w:p>
    <w:p w:rsidR="009568CE" w:rsidRPr="00CA2A93" w:rsidRDefault="009568CE" w:rsidP="009568CE">
      <w:pPr>
        <w:jc w:val="both"/>
      </w:pPr>
    </w:p>
    <w:p w:rsidR="009568CE" w:rsidRPr="00CA2A93" w:rsidRDefault="009568CE" w:rsidP="009568CE">
      <w:r w:rsidRPr="00CA2A93">
        <w:t xml:space="preserve">To facilitate cross-border planning, frequency coordination is achieved via the following fora: </w:t>
      </w:r>
    </w:p>
    <w:p w:rsidR="009568CE" w:rsidRPr="00CA2A93" w:rsidRDefault="009568CE" w:rsidP="009568CE">
      <w:pPr>
        <w:pStyle w:val="ListParagraph"/>
        <w:numPr>
          <w:ilvl w:val="0"/>
          <w:numId w:val="10"/>
        </w:numPr>
        <w:ind w:left="360" w:firstLineChars="0"/>
      </w:pPr>
      <w:r w:rsidRPr="00CA2A93">
        <w:t xml:space="preserve">Frequency Assignment Committee of Singapore, Malaysia and Brunei Darussalam (FACSMAB); </w:t>
      </w:r>
    </w:p>
    <w:p w:rsidR="009568CE" w:rsidRPr="00CA2A93" w:rsidRDefault="009568CE" w:rsidP="009568CE">
      <w:pPr>
        <w:pStyle w:val="ListParagraph"/>
        <w:numPr>
          <w:ilvl w:val="0"/>
          <w:numId w:val="10"/>
        </w:numPr>
        <w:ind w:left="360" w:firstLineChars="0"/>
      </w:pPr>
      <w:r w:rsidRPr="00CA2A93">
        <w:t xml:space="preserve">Trilateral Coordination Meeting between Singapore, Malaysia and Indonesia; and </w:t>
      </w:r>
    </w:p>
    <w:p w:rsidR="009568CE" w:rsidRPr="00CA2A93" w:rsidRDefault="009568CE" w:rsidP="009568CE">
      <w:pPr>
        <w:pStyle w:val="ListParagraph"/>
        <w:numPr>
          <w:ilvl w:val="0"/>
          <w:numId w:val="10"/>
        </w:numPr>
        <w:ind w:left="360" w:firstLineChars="0"/>
      </w:pPr>
      <w:r w:rsidRPr="00CA2A93">
        <w:t>Border Communication Coordination Meeting (BCCM) between Singapore and Indonesia.</w:t>
      </w:r>
    </w:p>
    <w:p w:rsidR="009568CE" w:rsidRPr="00CA2A93" w:rsidRDefault="009568CE" w:rsidP="009568CE">
      <w:pPr>
        <w:jc w:val="both"/>
      </w:pPr>
      <w:r w:rsidRPr="00CA2A93">
        <w:t xml:space="preserve"> </w:t>
      </w:r>
    </w:p>
    <w:p w:rsidR="009568CE" w:rsidRPr="00CA2A93" w:rsidRDefault="009568CE" w:rsidP="009568CE">
      <w:pPr>
        <w:jc w:val="both"/>
      </w:pPr>
      <w:r w:rsidRPr="00CA2A93">
        <w:t>Other possible interference mitigation measures to adopt include, but are not limited to:</w:t>
      </w:r>
    </w:p>
    <w:p w:rsidR="009568CE" w:rsidRPr="00CA2A93" w:rsidRDefault="009568CE" w:rsidP="009568CE">
      <w:pPr>
        <w:pStyle w:val="ListParagraph"/>
        <w:numPr>
          <w:ilvl w:val="0"/>
          <w:numId w:val="9"/>
        </w:numPr>
        <w:ind w:left="720" w:firstLineChars="0"/>
        <w:jc w:val="both"/>
      </w:pPr>
      <w:r w:rsidRPr="00CA2A93">
        <w:t>Antenna tilt (i.e., electrical and mechanical tilt);</w:t>
      </w:r>
    </w:p>
    <w:p w:rsidR="009568CE" w:rsidRPr="00CA2A93" w:rsidRDefault="009568CE" w:rsidP="009568CE">
      <w:pPr>
        <w:pStyle w:val="ListParagraph"/>
        <w:numPr>
          <w:ilvl w:val="0"/>
          <w:numId w:val="9"/>
        </w:numPr>
        <w:ind w:left="720" w:firstLineChars="0"/>
        <w:jc w:val="both"/>
      </w:pPr>
      <w:r w:rsidRPr="00CA2A93">
        <w:t>Panning the antenna;</w:t>
      </w:r>
    </w:p>
    <w:p w:rsidR="009568CE" w:rsidRPr="00CA2A93" w:rsidRDefault="009568CE" w:rsidP="009568CE">
      <w:pPr>
        <w:pStyle w:val="ListParagraph"/>
        <w:numPr>
          <w:ilvl w:val="0"/>
          <w:numId w:val="9"/>
        </w:numPr>
        <w:ind w:left="720" w:firstLineChars="0"/>
        <w:jc w:val="both"/>
      </w:pPr>
      <w:r w:rsidRPr="00CA2A93">
        <w:t>Lowering the effective radiated power to within a stipulated maximum allowable range; and/or</w:t>
      </w:r>
    </w:p>
    <w:p w:rsidR="009568CE" w:rsidRPr="00CA2A93" w:rsidRDefault="009568CE" w:rsidP="009568CE">
      <w:pPr>
        <w:pStyle w:val="ListParagraph"/>
        <w:numPr>
          <w:ilvl w:val="0"/>
          <w:numId w:val="9"/>
        </w:numPr>
        <w:ind w:left="720" w:firstLineChars="0"/>
        <w:jc w:val="both"/>
      </w:pPr>
      <w:r w:rsidRPr="00CA2A93">
        <w:t>Applying RF filters, where appropriate.</w:t>
      </w:r>
    </w:p>
    <w:p w:rsidR="009568CE" w:rsidRPr="00B404AE" w:rsidRDefault="009568CE" w:rsidP="009568CE">
      <w:pPr>
        <w:jc w:val="both"/>
      </w:pPr>
    </w:p>
    <w:p w:rsidR="009568CE" w:rsidRPr="00B404AE" w:rsidRDefault="009568CE" w:rsidP="009568CE">
      <w:pPr>
        <w:jc w:val="both"/>
        <w:rPr>
          <w:b/>
        </w:rPr>
      </w:pPr>
      <w:r w:rsidRPr="00B404AE">
        <w:rPr>
          <w:b/>
        </w:rPr>
        <w:t>Question 4:</w:t>
      </w:r>
    </w:p>
    <w:p w:rsidR="009568CE" w:rsidRPr="00B404AE" w:rsidRDefault="009568CE" w:rsidP="009568CE">
      <w:pPr>
        <w:pStyle w:val="ListParagraph"/>
        <w:ind w:firstLineChars="0" w:firstLine="0"/>
        <w:jc w:val="both"/>
      </w:pPr>
      <w:r w:rsidRPr="00B404AE">
        <w:t>Which case of coexistence as illustrated below and the technical conditions must be applied to each IMT block (</w:t>
      </w:r>
      <w:proofErr w:type="spellStart"/>
      <w:r w:rsidRPr="00B404AE">
        <w:t>e.g</w:t>
      </w:r>
      <w:proofErr w:type="spellEnd"/>
      <w:r w:rsidRPr="00B404AE">
        <w:t xml:space="preserve"> power limit, emission mask for spectrum block, </w:t>
      </w:r>
      <w:proofErr w:type="spellStart"/>
      <w:r w:rsidRPr="00B404AE">
        <w:t>pfd</w:t>
      </w:r>
      <w:proofErr w:type="spellEnd"/>
      <w:r w:rsidRPr="00B404AE">
        <w:t xml:space="preserve"> limit, …) to </w:t>
      </w:r>
      <w:r w:rsidRPr="00B404AE">
        <w:rPr>
          <w:rFonts w:eastAsia="MS Mincho"/>
          <w:bCs/>
          <w:lang w:val="en-GB"/>
        </w:rPr>
        <w:t>support technology neutrality and spectrum efficiency</w:t>
      </w:r>
      <w:r w:rsidRPr="00B404AE">
        <w:t xml:space="preserve">? </w:t>
      </w:r>
    </w:p>
    <w:tbl>
      <w:tblPr>
        <w:tblStyle w:val="TableGrid"/>
        <w:tblW w:w="0" w:type="auto"/>
        <w:tblInd w:w="137" w:type="dxa"/>
        <w:tblLook w:val="04A0" w:firstRow="1" w:lastRow="0" w:firstColumn="1" w:lastColumn="0" w:noHBand="0" w:noVBand="1"/>
      </w:tblPr>
      <w:tblGrid>
        <w:gridCol w:w="2179"/>
        <w:gridCol w:w="1153"/>
        <w:gridCol w:w="5550"/>
      </w:tblGrid>
      <w:tr w:rsidR="009568CE" w:rsidRPr="00B404AE" w:rsidTr="00D14564">
        <w:tc>
          <w:tcPr>
            <w:tcW w:w="2179" w:type="dxa"/>
            <w:vAlign w:val="center"/>
          </w:tcPr>
          <w:p w:rsidR="009568CE" w:rsidRPr="00B404AE" w:rsidRDefault="009568CE" w:rsidP="00D14564">
            <w:pPr>
              <w:pStyle w:val="ListParagraph"/>
              <w:ind w:firstLineChars="0" w:firstLine="0"/>
              <w:jc w:val="both"/>
              <w:rPr>
                <w:rFonts w:ascii="Times New Roman" w:hAnsi="Times New Roman" w:cs="Times New Roman"/>
                <w:b/>
              </w:rPr>
            </w:pPr>
            <w:r w:rsidRPr="00B404AE">
              <w:rPr>
                <w:rFonts w:ascii="Times New Roman" w:hAnsi="Times New Roman" w:cs="Times New Roman"/>
                <w:b/>
              </w:rPr>
              <w:t>Frequency band (MHz)</w:t>
            </w:r>
          </w:p>
        </w:tc>
        <w:tc>
          <w:tcPr>
            <w:tcW w:w="1153" w:type="dxa"/>
          </w:tcPr>
          <w:p w:rsidR="009568CE" w:rsidRPr="00B404AE" w:rsidRDefault="009568CE" w:rsidP="00D14564">
            <w:pPr>
              <w:jc w:val="both"/>
              <w:rPr>
                <w:rFonts w:ascii="Times New Roman" w:hAnsi="Times New Roman" w:cs="Times New Roman"/>
                <w:b/>
              </w:rPr>
            </w:pPr>
            <w:r w:rsidRPr="00B404AE">
              <w:rPr>
                <w:rFonts w:ascii="Times New Roman" w:hAnsi="Times New Roman" w:cs="Times New Roman"/>
                <w:b/>
              </w:rPr>
              <w:t>Case</w:t>
            </w:r>
          </w:p>
        </w:tc>
        <w:tc>
          <w:tcPr>
            <w:tcW w:w="5550" w:type="dxa"/>
          </w:tcPr>
          <w:p w:rsidR="009568CE" w:rsidRPr="00B404AE" w:rsidRDefault="009568CE" w:rsidP="00D14564">
            <w:pPr>
              <w:jc w:val="both"/>
              <w:rPr>
                <w:rFonts w:ascii="Times New Roman" w:hAnsi="Times New Roman" w:cs="Times New Roman"/>
                <w:b/>
              </w:rPr>
            </w:pPr>
            <w:r w:rsidRPr="00B404AE">
              <w:rPr>
                <w:rFonts w:ascii="Times New Roman" w:hAnsi="Times New Roman" w:cs="Times New Roman"/>
                <w:b/>
              </w:rPr>
              <w:t>Technical condition</w:t>
            </w:r>
          </w:p>
        </w:tc>
      </w:tr>
      <w:tr w:rsidR="009568CE" w:rsidRPr="00CA2A93" w:rsidTr="00D14564">
        <w:tc>
          <w:tcPr>
            <w:tcW w:w="2179" w:type="dxa"/>
            <w:vMerge w:val="restart"/>
            <w:vAlign w:val="center"/>
          </w:tcPr>
          <w:p w:rsidR="009568CE" w:rsidRPr="00CA2A93" w:rsidRDefault="009568CE" w:rsidP="00D14564">
            <w:pPr>
              <w:pStyle w:val="ListParagraph"/>
              <w:ind w:firstLineChars="0" w:firstLine="0"/>
              <w:contextualSpacing/>
              <w:jc w:val="both"/>
            </w:pPr>
            <w:r w:rsidRPr="00CA2A93">
              <w:t>IMT bands</w:t>
            </w:r>
          </w:p>
        </w:tc>
        <w:tc>
          <w:tcPr>
            <w:tcW w:w="1153" w:type="dxa"/>
          </w:tcPr>
          <w:p w:rsidR="009568CE" w:rsidRPr="00CA2A93" w:rsidRDefault="009568CE" w:rsidP="00D14564">
            <w:pPr>
              <w:pStyle w:val="ListParagraph"/>
              <w:ind w:firstLine="480"/>
              <w:jc w:val="both"/>
            </w:pPr>
            <w:r w:rsidRPr="00CA2A93">
              <w:t>A</w:t>
            </w:r>
          </w:p>
        </w:tc>
        <w:tc>
          <w:tcPr>
            <w:tcW w:w="5550" w:type="dxa"/>
          </w:tcPr>
          <w:p w:rsidR="009568CE" w:rsidRPr="00CA2A93" w:rsidRDefault="009568CE" w:rsidP="00D14564">
            <w:pPr>
              <w:pStyle w:val="ListParagraph"/>
              <w:ind w:firstLineChars="0" w:firstLine="0"/>
              <w:jc w:val="both"/>
            </w:pPr>
            <w:r w:rsidRPr="00CA2A93">
              <w:t>Dependent on the technology deployed. For LTE FDD, guard band may not be required. For LTE TDD, there must be agreement among the TDD network parameters.</w:t>
            </w:r>
          </w:p>
        </w:tc>
      </w:tr>
      <w:tr w:rsidR="009568CE" w:rsidRPr="00CA2A93" w:rsidTr="00D14564">
        <w:tc>
          <w:tcPr>
            <w:tcW w:w="2179" w:type="dxa"/>
            <w:vMerge/>
            <w:vAlign w:val="center"/>
          </w:tcPr>
          <w:p w:rsidR="009568CE" w:rsidRPr="00CA2A93" w:rsidRDefault="009568CE" w:rsidP="00D14564">
            <w:pPr>
              <w:pStyle w:val="ListParagraph"/>
              <w:ind w:firstLine="480"/>
              <w:contextualSpacing/>
              <w:jc w:val="both"/>
            </w:pPr>
          </w:p>
        </w:tc>
        <w:tc>
          <w:tcPr>
            <w:tcW w:w="1153" w:type="dxa"/>
          </w:tcPr>
          <w:p w:rsidR="009568CE" w:rsidRPr="00CA2A93" w:rsidRDefault="009568CE" w:rsidP="00D14564">
            <w:pPr>
              <w:pStyle w:val="ListParagraph"/>
              <w:ind w:firstLine="480"/>
              <w:jc w:val="both"/>
            </w:pPr>
            <w:r w:rsidRPr="00CA2A93">
              <w:t>B</w:t>
            </w:r>
          </w:p>
        </w:tc>
        <w:tc>
          <w:tcPr>
            <w:tcW w:w="5550" w:type="dxa"/>
          </w:tcPr>
          <w:p w:rsidR="009568CE" w:rsidRPr="00CA2A93" w:rsidRDefault="009568CE" w:rsidP="00D14564">
            <w:pPr>
              <w:jc w:val="both"/>
            </w:pPr>
            <w:r w:rsidRPr="00CA2A93">
              <w:t>For IMT and non-IMT to co-exist, it is dependent on the non-IMT technology to be deployed. Some guard bands between the two service will be recommended.</w:t>
            </w:r>
          </w:p>
        </w:tc>
      </w:tr>
      <w:tr w:rsidR="009568CE" w:rsidRPr="00CA2A93" w:rsidTr="00D14564">
        <w:tc>
          <w:tcPr>
            <w:tcW w:w="2179" w:type="dxa"/>
            <w:vMerge/>
            <w:vAlign w:val="center"/>
          </w:tcPr>
          <w:p w:rsidR="009568CE" w:rsidRPr="00CA2A93" w:rsidRDefault="009568CE" w:rsidP="00D14564">
            <w:pPr>
              <w:pStyle w:val="ListParagraph"/>
              <w:ind w:firstLine="480"/>
              <w:contextualSpacing/>
              <w:jc w:val="both"/>
            </w:pPr>
          </w:p>
        </w:tc>
        <w:tc>
          <w:tcPr>
            <w:tcW w:w="1153" w:type="dxa"/>
          </w:tcPr>
          <w:p w:rsidR="009568CE" w:rsidRPr="00CA2A93" w:rsidRDefault="009568CE" w:rsidP="00D14564">
            <w:pPr>
              <w:pStyle w:val="ListParagraph"/>
              <w:ind w:firstLine="480"/>
              <w:jc w:val="both"/>
            </w:pPr>
            <w:r w:rsidRPr="00CA2A93">
              <w:t>C</w:t>
            </w:r>
          </w:p>
        </w:tc>
        <w:tc>
          <w:tcPr>
            <w:tcW w:w="5550" w:type="dxa"/>
          </w:tcPr>
          <w:p w:rsidR="009568CE" w:rsidRPr="00CA2A93" w:rsidRDefault="009568CE" w:rsidP="00D14564">
            <w:pPr>
              <w:jc w:val="both"/>
            </w:pPr>
            <w:r w:rsidRPr="00CA2A93">
              <w:t>Same as Case B</w:t>
            </w:r>
          </w:p>
        </w:tc>
      </w:tr>
      <w:tr w:rsidR="009568CE" w:rsidRPr="00CA2A93" w:rsidTr="00D14564">
        <w:tc>
          <w:tcPr>
            <w:tcW w:w="2179" w:type="dxa"/>
            <w:vMerge/>
            <w:vAlign w:val="center"/>
          </w:tcPr>
          <w:p w:rsidR="009568CE" w:rsidRPr="00CA2A93" w:rsidRDefault="009568CE" w:rsidP="00D14564">
            <w:pPr>
              <w:pStyle w:val="ListParagraph"/>
              <w:ind w:firstLine="480"/>
              <w:contextualSpacing/>
              <w:jc w:val="both"/>
            </w:pPr>
          </w:p>
        </w:tc>
        <w:tc>
          <w:tcPr>
            <w:tcW w:w="1153" w:type="dxa"/>
          </w:tcPr>
          <w:p w:rsidR="009568CE" w:rsidRPr="00CA2A93" w:rsidRDefault="009568CE" w:rsidP="00D14564">
            <w:pPr>
              <w:pStyle w:val="ListParagraph"/>
              <w:ind w:firstLine="480"/>
              <w:jc w:val="both"/>
            </w:pPr>
            <w:r w:rsidRPr="00CA2A93">
              <w:t>D</w:t>
            </w:r>
          </w:p>
        </w:tc>
        <w:tc>
          <w:tcPr>
            <w:tcW w:w="5550" w:type="dxa"/>
          </w:tcPr>
          <w:p w:rsidR="009568CE" w:rsidRPr="00CA2A93" w:rsidRDefault="009568CE" w:rsidP="00D14564">
            <w:pPr>
              <w:jc w:val="both"/>
            </w:pPr>
            <w:r w:rsidRPr="00CA2A93">
              <w:t xml:space="preserve">Dependent on the technology deployed. For LTE FDD, guard band may not be required. However, it is beneficial to coordinate with </w:t>
            </w:r>
            <w:proofErr w:type="spellStart"/>
            <w:r w:rsidRPr="00CA2A93">
              <w:t>neighbouring</w:t>
            </w:r>
            <w:proofErr w:type="spellEnd"/>
            <w:r w:rsidRPr="00CA2A93">
              <w:t xml:space="preserve"> operators and take note of the center frequencies deployed in both geographical areas. For LTE TDD, there must be agreement among the TDD network parameters.</w:t>
            </w:r>
          </w:p>
        </w:tc>
      </w:tr>
      <w:tr w:rsidR="009568CE" w:rsidRPr="00B404AE" w:rsidTr="00D14564">
        <w:tc>
          <w:tcPr>
            <w:tcW w:w="2179" w:type="dxa"/>
            <w:vMerge/>
            <w:vAlign w:val="center"/>
          </w:tcPr>
          <w:p w:rsidR="009568CE" w:rsidRPr="00B404AE" w:rsidRDefault="009568CE" w:rsidP="00D14564">
            <w:pPr>
              <w:pStyle w:val="ListParagraph"/>
              <w:ind w:firstLine="480"/>
              <w:jc w:val="both"/>
            </w:pPr>
          </w:p>
        </w:tc>
        <w:tc>
          <w:tcPr>
            <w:tcW w:w="1153" w:type="dxa"/>
          </w:tcPr>
          <w:p w:rsidR="009568CE" w:rsidRPr="00B404AE" w:rsidRDefault="009568CE" w:rsidP="00D14564">
            <w:pPr>
              <w:pStyle w:val="ListParagraph"/>
              <w:ind w:firstLine="480"/>
              <w:jc w:val="both"/>
            </w:pPr>
            <w:r w:rsidRPr="00B404AE">
              <w:t>E</w:t>
            </w:r>
          </w:p>
        </w:tc>
        <w:tc>
          <w:tcPr>
            <w:tcW w:w="5550" w:type="dxa"/>
          </w:tcPr>
          <w:p w:rsidR="009568CE" w:rsidRPr="00B404AE" w:rsidRDefault="009568CE" w:rsidP="00D14564">
            <w:pPr>
              <w:jc w:val="both"/>
              <w:rPr>
                <w:color w:val="0070C0"/>
              </w:rPr>
            </w:pPr>
            <w:r w:rsidRPr="00CA2A93">
              <w:t xml:space="preserve">For different geographical areas, further technical assessments are required to understand the co-existence required between IMT and non-IMT deployed in the other region. </w:t>
            </w:r>
          </w:p>
        </w:tc>
      </w:tr>
    </w:tbl>
    <w:p w:rsidR="009568CE" w:rsidRPr="00B404AE" w:rsidRDefault="009568CE" w:rsidP="009568CE">
      <w:pPr>
        <w:pStyle w:val="ListParagraph"/>
        <w:ind w:firstLine="480"/>
        <w:jc w:val="both"/>
      </w:pPr>
    </w:p>
    <w:bookmarkStart w:id="0" w:name="_GoBack"/>
    <w:bookmarkStart w:id="1" w:name="_MON_1258028741"/>
    <w:bookmarkEnd w:id="1"/>
    <w:p w:rsidR="009568CE" w:rsidRPr="00B404AE" w:rsidRDefault="009568CE" w:rsidP="009568CE">
      <w:pPr>
        <w:pStyle w:val="ListParagraph"/>
        <w:ind w:firstLine="480"/>
        <w:jc w:val="both"/>
      </w:pPr>
      <w:r w:rsidRPr="00B404AE">
        <w:object w:dxaOrig="14940" w:dyaOrig="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2pt" o:ole="">
            <v:imagedata r:id="rId8" o:title=""/>
          </v:shape>
          <o:OLEObject Type="Embed" ProgID="Word.Picture.8" ShapeID="_x0000_i1025" DrawAspect="Content" ObjectID="_1583820114" r:id="rId9"/>
        </w:object>
      </w:r>
      <w:bookmarkEnd w:id="0"/>
    </w:p>
    <w:p w:rsidR="009568CE" w:rsidRPr="00B404AE" w:rsidRDefault="009568CE" w:rsidP="009568CE">
      <w:pPr>
        <w:jc w:val="both"/>
      </w:pPr>
      <w:r w:rsidRPr="00B404AE">
        <w:t xml:space="preserve">Case A: coexistence between IMT block and IMT in adjacent block in same IMT band </w:t>
      </w:r>
    </w:p>
    <w:p w:rsidR="009568CE" w:rsidRPr="00B404AE" w:rsidRDefault="009568CE" w:rsidP="009568CE">
      <w:pPr>
        <w:jc w:val="both"/>
      </w:pPr>
      <w:r w:rsidRPr="00B404AE">
        <w:t>Case B: coexistence between IMT block and non-IMT in adjacent block in same IMT band</w:t>
      </w:r>
    </w:p>
    <w:p w:rsidR="009568CE" w:rsidRPr="00B404AE" w:rsidRDefault="009568CE" w:rsidP="009568CE">
      <w:pPr>
        <w:pStyle w:val="ListParagraph"/>
        <w:ind w:firstLineChars="0" w:firstLine="0"/>
        <w:jc w:val="both"/>
      </w:pPr>
      <w:r w:rsidRPr="00B404AE">
        <w:t>Case C: coexistence between IMT block in IMT band and non-IMT block in adjacent band</w:t>
      </w:r>
    </w:p>
    <w:p w:rsidR="009568CE" w:rsidRPr="00B404AE" w:rsidRDefault="009568CE" w:rsidP="009568CE">
      <w:pPr>
        <w:pStyle w:val="ListParagraph"/>
        <w:ind w:firstLineChars="0" w:firstLine="0"/>
        <w:jc w:val="both"/>
      </w:pPr>
      <w:r w:rsidRPr="00B404AE">
        <w:t>Case D: coexistence between IMT block and other IMT block co-channel but adjacent geographical area</w:t>
      </w:r>
    </w:p>
    <w:p w:rsidR="009568CE" w:rsidRPr="00B404AE" w:rsidRDefault="009568CE" w:rsidP="009568CE">
      <w:pPr>
        <w:pStyle w:val="ListParagraph"/>
        <w:ind w:firstLineChars="0" w:firstLine="0"/>
        <w:jc w:val="both"/>
      </w:pPr>
      <w:r w:rsidRPr="00B404AE">
        <w:t>Case E: coexistence between IMT block and non-IMT block co-channel but adjacent geographical area</w:t>
      </w:r>
    </w:p>
    <w:p w:rsidR="009568CE" w:rsidRPr="00B404AE" w:rsidRDefault="009568CE" w:rsidP="009568CE">
      <w:pPr>
        <w:jc w:val="both"/>
        <w:rPr>
          <w:b/>
        </w:rPr>
      </w:pPr>
    </w:p>
    <w:p w:rsidR="0067040A" w:rsidRDefault="0067040A" w:rsidP="00C357AD">
      <w:pPr>
        <w:jc w:val="both"/>
      </w:pPr>
    </w:p>
    <w:p w:rsidR="0067040A" w:rsidRDefault="0067040A" w:rsidP="00C357AD">
      <w:pPr>
        <w:jc w:val="both"/>
      </w:pPr>
    </w:p>
    <w:p w:rsidR="00CC1DE7" w:rsidRPr="00CC1DE7" w:rsidRDefault="00C357AD" w:rsidP="00D76B25">
      <w:pPr>
        <w:jc w:val="center"/>
      </w:pPr>
      <w:r>
        <w:t>____________</w:t>
      </w:r>
    </w:p>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Pr="00CC1DE7" w:rsidRDefault="00CC1DE7" w:rsidP="00CC1DE7"/>
    <w:p w:rsidR="00CC1DE7" w:rsidRDefault="00CC1DE7" w:rsidP="00CC1DE7"/>
    <w:p w:rsidR="00CC1DE7" w:rsidRPr="00CC1DE7" w:rsidRDefault="00CC1DE7" w:rsidP="00CC1DE7"/>
    <w:p w:rsidR="00CC1DE7" w:rsidRDefault="00CC1DE7" w:rsidP="00CC1DE7"/>
    <w:p w:rsidR="003578AB" w:rsidRPr="00CC1DE7" w:rsidRDefault="003578AB" w:rsidP="00CC1DE7"/>
    <w:sectPr w:rsidR="003578AB" w:rsidRPr="00CC1DE7"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EE" w:rsidRDefault="004423EE">
      <w:r>
        <w:separator/>
      </w:r>
    </w:p>
  </w:endnote>
  <w:endnote w:type="continuationSeparator" w:id="0">
    <w:p w:rsidR="004423EE" w:rsidRDefault="0044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3771CA" w:rsidP="003771CA">
    <w:pPr>
      <w:pStyle w:val="Footer"/>
      <w:ind w:right="360"/>
      <w:rPr>
        <w:rStyle w:val="PageNumber"/>
      </w:rPr>
    </w:pPr>
    <w:r>
      <w:rPr>
        <w:rFonts w:hint="eastAsia"/>
        <w:lang w:eastAsia="ko-KR"/>
      </w:rPr>
      <w:t>A</w:t>
    </w:r>
    <w:r>
      <w:rPr>
        <w:lang w:eastAsia="ko-KR"/>
      </w:rPr>
      <w:t>WG</w:t>
    </w:r>
    <w:r>
      <w:rPr>
        <w:rFonts w:hint="eastAsia"/>
        <w:lang w:eastAsia="ko-KR"/>
      </w:rPr>
      <w:t>-</w:t>
    </w:r>
    <w:r w:rsidR="00CC1DE7">
      <w:rPr>
        <w:lang w:eastAsia="ko-KR"/>
      </w:rPr>
      <w:t>23</w:t>
    </w:r>
    <w:r>
      <w:rPr>
        <w:rFonts w:hint="eastAsia"/>
        <w:lang w:eastAsia="ko-KR"/>
      </w:rPr>
      <w:t>/</w:t>
    </w:r>
    <w:r w:rsidR="00CB06B2">
      <w:rPr>
        <w:lang w:eastAsia="ko-KR"/>
      </w:rPr>
      <w:t>INP-22</w:t>
    </w:r>
    <w:r w:rsidRPr="002C7EA9">
      <w:rPr>
        <w:rStyle w:val="PageNumber"/>
      </w:rPr>
      <w:t xml:space="preserve"> </w:t>
    </w: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B06B2">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B06B2">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3771CA">
      <w:trPr>
        <w:cantSplit/>
        <w:trHeight w:val="204"/>
        <w:jc w:val="center"/>
      </w:trPr>
      <w:tc>
        <w:tcPr>
          <w:tcW w:w="1617" w:type="dxa"/>
          <w:tcBorders>
            <w:top w:val="single" w:sz="12" w:space="0" w:color="auto"/>
          </w:tcBorders>
        </w:tcPr>
        <w:p w:rsidR="0097693B" w:rsidRPr="003771CA" w:rsidRDefault="0097693B" w:rsidP="00762576">
          <w:pPr>
            <w:rPr>
              <w:b/>
              <w:bCs/>
            </w:rPr>
          </w:pPr>
          <w:r w:rsidRPr="003771CA">
            <w:rPr>
              <w:b/>
              <w:bCs/>
            </w:rPr>
            <w:t>Contact:</w:t>
          </w:r>
        </w:p>
      </w:tc>
      <w:tc>
        <w:tcPr>
          <w:tcW w:w="4394" w:type="dxa"/>
          <w:tcBorders>
            <w:top w:val="single" w:sz="12" w:space="0" w:color="auto"/>
          </w:tcBorders>
        </w:tcPr>
        <w:p w:rsidR="0097693B" w:rsidRPr="003771CA" w:rsidRDefault="009568CE"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Alicia Cai</w:t>
          </w:r>
          <w:r w:rsidR="0097693B" w:rsidRPr="003771CA">
            <w:rPr>
              <w:rFonts w:eastAsia="Batang"/>
              <w:szCs w:val="24"/>
              <w:lang w:eastAsia="ko-KR"/>
            </w:rPr>
            <w:t xml:space="preserve"> </w:t>
          </w:r>
        </w:p>
        <w:p w:rsidR="0097693B" w:rsidRPr="003771CA" w:rsidRDefault="009568CE" w:rsidP="003771CA">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IMDA, Singapore</w:t>
          </w:r>
        </w:p>
      </w:tc>
      <w:tc>
        <w:tcPr>
          <w:tcW w:w="3912" w:type="dxa"/>
          <w:tcBorders>
            <w:top w:val="single" w:sz="12" w:space="0" w:color="auto"/>
          </w:tcBorders>
        </w:tcPr>
        <w:p w:rsidR="0097693B" w:rsidRPr="003771CA" w:rsidRDefault="0097693B" w:rsidP="00762576">
          <w:pPr>
            <w:rPr>
              <w:lang w:eastAsia="ja-JP"/>
            </w:rPr>
          </w:pPr>
          <w:r w:rsidRPr="003771CA">
            <w:t>Email</w:t>
          </w:r>
          <w:r w:rsidRPr="003771CA">
            <w:rPr>
              <w:rFonts w:hint="eastAsia"/>
            </w:rPr>
            <w:t xml:space="preserve">: </w:t>
          </w:r>
          <w:r w:rsidR="009568CE">
            <w:t>Alicia_CAI@imda.gov.sg</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EE" w:rsidRDefault="004423EE">
      <w:r>
        <w:separator/>
      </w:r>
    </w:p>
  </w:footnote>
  <w:footnote w:type="continuationSeparator" w:id="0">
    <w:p w:rsidR="004423EE" w:rsidRDefault="00442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22D"/>
    <w:multiLevelType w:val="hybridMultilevel"/>
    <w:tmpl w:val="D4903B46"/>
    <w:lvl w:ilvl="0" w:tplc="0421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7A124A14"/>
    <w:multiLevelType w:val="hybridMultilevel"/>
    <w:tmpl w:val="66D0CE4A"/>
    <w:lvl w:ilvl="0" w:tplc="FF2285E8">
      <w:start w:val="4"/>
      <w:numFmt w:val="bullet"/>
      <w:lvlText w:val="-"/>
      <w:lvlJc w:val="left"/>
      <w:pPr>
        <w:ind w:left="720" w:hanging="360"/>
      </w:pPr>
      <w:rPr>
        <w:rFonts w:ascii="Calibri" w:eastAsiaTheme="minorHAnsi" w:hAnsi="Calibri"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0"/>
    <w:rsid w:val="000011E8"/>
    <w:rsid w:val="00032A21"/>
    <w:rsid w:val="0003595B"/>
    <w:rsid w:val="000A4256"/>
    <w:rsid w:val="000A6769"/>
    <w:rsid w:val="000F5540"/>
    <w:rsid w:val="0018079A"/>
    <w:rsid w:val="00196568"/>
    <w:rsid w:val="001B18C2"/>
    <w:rsid w:val="001D5D7E"/>
    <w:rsid w:val="002458F8"/>
    <w:rsid w:val="00254A1B"/>
    <w:rsid w:val="00262EAB"/>
    <w:rsid w:val="0028454D"/>
    <w:rsid w:val="002926D4"/>
    <w:rsid w:val="002B16D9"/>
    <w:rsid w:val="002B2757"/>
    <w:rsid w:val="002C07DA"/>
    <w:rsid w:val="002C7EA9"/>
    <w:rsid w:val="002F2C66"/>
    <w:rsid w:val="003578AB"/>
    <w:rsid w:val="003771CA"/>
    <w:rsid w:val="003A232C"/>
    <w:rsid w:val="003B6263"/>
    <w:rsid w:val="003B6E54"/>
    <w:rsid w:val="003C64A7"/>
    <w:rsid w:val="003D3FDA"/>
    <w:rsid w:val="003D4768"/>
    <w:rsid w:val="003F2317"/>
    <w:rsid w:val="00420822"/>
    <w:rsid w:val="004423EE"/>
    <w:rsid w:val="0045458F"/>
    <w:rsid w:val="00486F61"/>
    <w:rsid w:val="004F050A"/>
    <w:rsid w:val="005000F5"/>
    <w:rsid w:val="00530E8C"/>
    <w:rsid w:val="00545CF7"/>
    <w:rsid w:val="00551B76"/>
    <w:rsid w:val="00587875"/>
    <w:rsid w:val="005A33DF"/>
    <w:rsid w:val="005C7E76"/>
    <w:rsid w:val="00607E2B"/>
    <w:rsid w:val="00614171"/>
    <w:rsid w:val="00627E64"/>
    <w:rsid w:val="0063062B"/>
    <w:rsid w:val="00636AEC"/>
    <w:rsid w:val="00667229"/>
    <w:rsid w:val="0067040A"/>
    <w:rsid w:val="00682BE5"/>
    <w:rsid w:val="006C7574"/>
    <w:rsid w:val="0074190C"/>
    <w:rsid w:val="00762576"/>
    <w:rsid w:val="007A2FB0"/>
    <w:rsid w:val="007E6C90"/>
    <w:rsid w:val="007F7740"/>
    <w:rsid w:val="0080570B"/>
    <w:rsid w:val="008148E1"/>
    <w:rsid w:val="00865017"/>
    <w:rsid w:val="0088109B"/>
    <w:rsid w:val="008819A7"/>
    <w:rsid w:val="00895888"/>
    <w:rsid w:val="008D0E09"/>
    <w:rsid w:val="00906EB0"/>
    <w:rsid w:val="00922A59"/>
    <w:rsid w:val="00956024"/>
    <w:rsid w:val="009568CE"/>
    <w:rsid w:val="0097693B"/>
    <w:rsid w:val="009A4A6D"/>
    <w:rsid w:val="009C3A88"/>
    <w:rsid w:val="00A331AD"/>
    <w:rsid w:val="00A438A8"/>
    <w:rsid w:val="00A44BFA"/>
    <w:rsid w:val="00A53045"/>
    <w:rsid w:val="00A548EF"/>
    <w:rsid w:val="00A948CF"/>
    <w:rsid w:val="00AA41DB"/>
    <w:rsid w:val="00AA474C"/>
    <w:rsid w:val="00AB032C"/>
    <w:rsid w:val="00AD7E5F"/>
    <w:rsid w:val="00B25D6A"/>
    <w:rsid w:val="00B30C81"/>
    <w:rsid w:val="00BB4D83"/>
    <w:rsid w:val="00BF663E"/>
    <w:rsid w:val="00C12320"/>
    <w:rsid w:val="00C15633"/>
    <w:rsid w:val="00C357AD"/>
    <w:rsid w:val="00C52424"/>
    <w:rsid w:val="00CB06B2"/>
    <w:rsid w:val="00CC1DE7"/>
    <w:rsid w:val="00CD5431"/>
    <w:rsid w:val="00CD75B4"/>
    <w:rsid w:val="00CE74EB"/>
    <w:rsid w:val="00CF2491"/>
    <w:rsid w:val="00D57772"/>
    <w:rsid w:val="00D65FF5"/>
    <w:rsid w:val="00D75A4D"/>
    <w:rsid w:val="00D76B25"/>
    <w:rsid w:val="00D8478B"/>
    <w:rsid w:val="00D86151"/>
    <w:rsid w:val="00DA7595"/>
    <w:rsid w:val="00DB0A68"/>
    <w:rsid w:val="00DB25B9"/>
    <w:rsid w:val="00DC43A3"/>
    <w:rsid w:val="00DD68FC"/>
    <w:rsid w:val="00DE4D0D"/>
    <w:rsid w:val="00E035A1"/>
    <w:rsid w:val="00E11CD0"/>
    <w:rsid w:val="00E674D3"/>
    <w:rsid w:val="00EC1A88"/>
    <w:rsid w:val="00F373F5"/>
    <w:rsid w:val="00F80501"/>
    <w:rsid w:val="00F84067"/>
    <w:rsid w:val="00F9296C"/>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B1B466-C38C-4872-955F-2C2E8BF2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uiPriority w:val="39"/>
    <w:rsid w:val="009568CE"/>
    <w:rPr>
      <w:rFonts w:ascii="Calibri" w:eastAsia="Calibri" w:hAnsi="Calibri"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8CE"/>
    <w:rPr>
      <w:color w:val="0000FF"/>
      <w:u w:val="single"/>
    </w:rPr>
  </w:style>
  <w:style w:type="paragraph" w:styleId="ListParagraph">
    <w:name w:val="List Paragraph"/>
    <w:basedOn w:val="Normal"/>
    <w:uiPriority w:val="34"/>
    <w:qFormat/>
    <w:rsid w:val="009568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Arnold</dc:creator>
  <cp:keywords/>
  <cp:lastModifiedBy>APT Secretariat</cp:lastModifiedBy>
  <cp:revision>4</cp:revision>
  <cp:lastPrinted>2004-07-28T02:14:00Z</cp:lastPrinted>
  <dcterms:created xsi:type="dcterms:W3CDTF">2018-03-28T15:32:00Z</dcterms:created>
  <dcterms:modified xsi:type="dcterms:W3CDTF">2018-03-29T02:15:00Z</dcterms:modified>
</cp:coreProperties>
</file>