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171"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50"/>
        <w:gridCol w:w="6570"/>
        <w:gridCol w:w="2070"/>
      </w:tblGrid>
      <w:tr w:rsidR="003771CA" w:rsidRPr="00891D0B" w:rsidTr="003B6E54">
        <w:trPr>
          <w:cantSplit/>
        </w:trPr>
        <w:tc>
          <w:tcPr>
            <w:tcW w:w="1350" w:type="dxa"/>
            <w:vMerge w:val="restart"/>
          </w:tcPr>
          <w:p w:rsidR="003771CA" w:rsidRPr="00891D0B" w:rsidRDefault="00951AB8"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6570" w:type="dxa"/>
          </w:tcPr>
          <w:p w:rsidR="003771CA" w:rsidRPr="007E6C90" w:rsidRDefault="003771CA" w:rsidP="00906EB0">
            <w:pPr>
              <w:pStyle w:val="Heading8"/>
              <w:spacing w:line="276" w:lineRule="auto"/>
              <w:rPr>
                <w:b w:val="0"/>
                <w:sz w:val="24"/>
                <w:szCs w:val="24"/>
              </w:rPr>
            </w:pPr>
            <w:r w:rsidRPr="007E6C90">
              <w:rPr>
                <w:b w:val="0"/>
                <w:sz w:val="24"/>
                <w:szCs w:val="24"/>
              </w:rPr>
              <w:t>ASIA-PACIFIC TELECOMMUNITY</w:t>
            </w:r>
          </w:p>
        </w:tc>
        <w:tc>
          <w:tcPr>
            <w:tcW w:w="2070" w:type="dxa"/>
          </w:tcPr>
          <w:p w:rsidR="003771CA" w:rsidRPr="007E6C90" w:rsidRDefault="003771CA" w:rsidP="003771CA">
            <w:pPr>
              <w:rPr>
                <w:b/>
              </w:rPr>
            </w:pPr>
            <w:r w:rsidRPr="004D7A60">
              <w:rPr>
                <w:b/>
              </w:rPr>
              <w:t>Document</w:t>
            </w:r>
            <w:r w:rsidR="00EB42E0">
              <w:rPr>
                <w:b/>
              </w:rPr>
              <w:t xml:space="preserve"> No</w:t>
            </w:r>
            <w:r w:rsidR="00A93D66">
              <w:rPr>
                <w:b/>
              </w:rPr>
              <w:t>.</w:t>
            </w:r>
            <w:r>
              <w:rPr>
                <w:b/>
              </w:rPr>
              <w:t>:</w:t>
            </w:r>
          </w:p>
        </w:tc>
      </w:tr>
      <w:tr w:rsidR="00DA7595" w:rsidRPr="00891D0B" w:rsidTr="003B6E54">
        <w:trPr>
          <w:cantSplit/>
        </w:trPr>
        <w:tc>
          <w:tcPr>
            <w:tcW w:w="1350" w:type="dxa"/>
            <w:vMerge/>
          </w:tcPr>
          <w:p w:rsidR="00DA7595" w:rsidRPr="00891D0B" w:rsidRDefault="00DA7595" w:rsidP="0045458F"/>
        </w:tc>
        <w:tc>
          <w:tcPr>
            <w:tcW w:w="6570" w:type="dxa"/>
          </w:tcPr>
          <w:p w:rsidR="00DA7595" w:rsidRPr="00891D0B" w:rsidRDefault="00DA7595" w:rsidP="00F9296C">
            <w:pPr>
              <w:spacing w:line="0" w:lineRule="atLeast"/>
            </w:pPr>
            <w:r>
              <w:rPr>
                <w:b/>
              </w:rPr>
              <w:t xml:space="preserve">The </w:t>
            </w:r>
            <w:r w:rsidR="003B6E54">
              <w:rPr>
                <w:b/>
              </w:rPr>
              <w:t>23rd</w:t>
            </w:r>
            <w:r w:rsidR="0067040A">
              <w:rPr>
                <w:b/>
              </w:rPr>
              <w:t xml:space="preserve"> </w:t>
            </w:r>
            <w:r w:rsidR="00262EAB">
              <w:rPr>
                <w:b/>
              </w:rPr>
              <w:t>Meeting</w:t>
            </w:r>
            <w:r w:rsidR="00E035A1">
              <w:rPr>
                <w:b/>
              </w:rPr>
              <w:t xml:space="preserve"> of the APT Wireless </w:t>
            </w:r>
            <w:r w:rsidR="00AA41DB">
              <w:rPr>
                <w:b/>
              </w:rPr>
              <w:t>Group (AWG</w:t>
            </w:r>
            <w:r w:rsidR="003D4768">
              <w:rPr>
                <w:b/>
              </w:rPr>
              <w:t>-</w:t>
            </w:r>
            <w:r w:rsidR="003B6E54">
              <w:rPr>
                <w:b/>
              </w:rPr>
              <w:t>23</w:t>
            </w:r>
            <w:r w:rsidR="003D4768">
              <w:rPr>
                <w:b/>
              </w:rPr>
              <w:t>)</w:t>
            </w:r>
            <w:r w:rsidR="00BF663E">
              <w:rPr>
                <w:b/>
              </w:rPr>
              <w:t xml:space="preserve"> </w:t>
            </w:r>
          </w:p>
        </w:tc>
        <w:tc>
          <w:tcPr>
            <w:tcW w:w="2070" w:type="dxa"/>
          </w:tcPr>
          <w:p w:rsidR="00DA7595" w:rsidRPr="004D7A60" w:rsidRDefault="001D5D7E" w:rsidP="00D12318">
            <w:pPr>
              <w:rPr>
                <w:b/>
                <w:bCs/>
              </w:rPr>
            </w:pPr>
            <w:r>
              <w:rPr>
                <w:b/>
                <w:bCs/>
              </w:rPr>
              <w:t>A</w:t>
            </w:r>
            <w:r w:rsidR="00262EAB">
              <w:rPr>
                <w:b/>
                <w:bCs/>
              </w:rPr>
              <w:t>W</w:t>
            </w:r>
            <w:r w:rsidR="00AA41DB">
              <w:rPr>
                <w:b/>
                <w:bCs/>
              </w:rPr>
              <w:t>G</w:t>
            </w:r>
            <w:r w:rsidR="003771CA">
              <w:rPr>
                <w:b/>
                <w:bCs/>
              </w:rPr>
              <w:t>-2</w:t>
            </w:r>
            <w:r w:rsidR="00D12318">
              <w:rPr>
                <w:b/>
                <w:bCs/>
              </w:rPr>
              <w:t>3</w:t>
            </w:r>
            <w:r w:rsidR="00DA7595" w:rsidRPr="004D7A60">
              <w:rPr>
                <w:b/>
                <w:bCs/>
              </w:rPr>
              <w:t>/</w:t>
            </w:r>
            <w:r w:rsidR="000460BF">
              <w:rPr>
                <w:b/>
                <w:bCs/>
              </w:rPr>
              <w:t>INP</w:t>
            </w:r>
            <w:r w:rsidR="00D12318">
              <w:rPr>
                <w:b/>
                <w:bCs/>
              </w:rPr>
              <w:t>-1</w:t>
            </w:r>
            <w:r w:rsidR="000460BF">
              <w:rPr>
                <w:b/>
                <w:bCs/>
              </w:rPr>
              <w:t>2</w:t>
            </w:r>
          </w:p>
        </w:tc>
      </w:tr>
      <w:tr w:rsidR="003578AB" w:rsidRPr="00891D0B" w:rsidTr="003B6E54">
        <w:trPr>
          <w:cantSplit/>
          <w:trHeight w:val="219"/>
        </w:trPr>
        <w:tc>
          <w:tcPr>
            <w:tcW w:w="1350" w:type="dxa"/>
            <w:vMerge/>
          </w:tcPr>
          <w:p w:rsidR="003578AB" w:rsidRPr="00891D0B" w:rsidRDefault="003578AB" w:rsidP="0045458F"/>
        </w:tc>
        <w:tc>
          <w:tcPr>
            <w:tcW w:w="6570" w:type="dxa"/>
          </w:tcPr>
          <w:p w:rsidR="0018079A" w:rsidRDefault="0018079A" w:rsidP="003771CA"/>
          <w:p w:rsidR="003578AB" w:rsidRPr="0018079A" w:rsidRDefault="003B6E54" w:rsidP="003B6E54">
            <w:r>
              <w:t>9 – 13</w:t>
            </w:r>
            <w:r w:rsidR="0018079A">
              <w:t xml:space="preserve"> </w:t>
            </w:r>
            <w:r>
              <w:t>April 2018</w:t>
            </w:r>
            <w:r w:rsidR="0018079A" w:rsidRPr="00891D0B">
              <w:t xml:space="preserve">, </w:t>
            </w:r>
            <w:r>
              <w:t>Da Nang City</w:t>
            </w:r>
            <w:r w:rsidR="0018079A">
              <w:t xml:space="preserve">, </w:t>
            </w:r>
            <w:r>
              <w:t xml:space="preserve">Socialist </w:t>
            </w:r>
            <w:r w:rsidR="00F9296C">
              <w:t xml:space="preserve">Republic of </w:t>
            </w:r>
            <w:r>
              <w:t>Viet Nam</w:t>
            </w:r>
          </w:p>
        </w:tc>
        <w:tc>
          <w:tcPr>
            <w:tcW w:w="2070" w:type="dxa"/>
          </w:tcPr>
          <w:p w:rsidR="003771CA" w:rsidRDefault="003771CA" w:rsidP="000A6769">
            <w:pPr>
              <w:pStyle w:val="Heading1"/>
              <w:jc w:val="left"/>
              <w:rPr>
                <w:b w:val="0"/>
                <w:bCs w:val="0"/>
                <w:u w:val="none"/>
              </w:rPr>
            </w:pPr>
          </w:p>
          <w:p w:rsidR="003578AB" w:rsidRPr="003771CA" w:rsidRDefault="00FA2DA7" w:rsidP="00D12318">
            <w:pPr>
              <w:pStyle w:val="Heading1"/>
              <w:jc w:val="left"/>
              <w:rPr>
                <w:b w:val="0"/>
              </w:rPr>
            </w:pPr>
            <w:r>
              <w:rPr>
                <w:b w:val="0"/>
                <w:bCs w:val="0"/>
                <w:u w:val="none"/>
              </w:rPr>
              <w:t>28</w:t>
            </w:r>
            <w:r w:rsidR="00D12318">
              <w:rPr>
                <w:b w:val="0"/>
                <w:bCs w:val="0"/>
                <w:u w:val="none"/>
              </w:rPr>
              <w:t xml:space="preserve"> March </w:t>
            </w:r>
            <w:r w:rsidR="003578AB" w:rsidRPr="003771CA">
              <w:rPr>
                <w:b w:val="0"/>
                <w:bCs w:val="0"/>
                <w:u w:val="none"/>
              </w:rPr>
              <w:t>201</w:t>
            </w:r>
            <w:r w:rsidR="00CC1DE7">
              <w:rPr>
                <w:b w:val="0"/>
                <w:bCs w:val="0"/>
                <w:u w:val="none"/>
              </w:rPr>
              <w:t>8</w:t>
            </w:r>
          </w:p>
        </w:tc>
      </w:tr>
    </w:tbl>
    <w:p w:rsidR="00D12318" w:rsidRDefault="00D12318" w:rsidP="00D12318">
      <w:pPr>
        <w:rPr>
          <w:lang w:eastAsia="ja-JP"/>
        </w:rPr>
      </w:pPr>
    </w:p>
    <w:p w:rsidR="00D12318" w:rsidRPr="00C25DC5" w:rsidRDefault="00D12318" w:rsidP="00D12318">
      <w:pPr>
        <w:jc w:val="center"/>
        <w:rPr>
          <w:bCs/>
          <w:caps/>
          <w:sz w:val="28"/>
          <w:szCs w:val="28"/>
        </w:rPr>
      </w:pPr>
      <w:r>
        <w:rPr>
          <w:lang w:eastAsia="ja-JP"/>
        </w:rPr>
        <w:t>Australia</w:t>
      </w:r>
    </w:p>
    <w:p w:rsidR="00D12318" w:rsidRPr="00ED1311" w:rsidRDefault="00D12318" w:rsidP="00D12318">
      <w:pPr>
        <w:jc w:val="center"/>
        <w:rPr>
          <w:b/>
          <w:bCs/>
          <w:caps/>
          <w:sz w:val="28"/>
          <w:szCs w:val="28"/>
        </w:rPr>
      </w:pPr>
    </w:p>
    <w:p w:rsidR="00D12318" w:rsidRPr="00D87AF4" w:rsidRDefault="00D12318" w:rsidP="00D12318">
      <w:pPr>
        <w:jc w:val="center"/>
        <w:rPr>
          <w:b/>
          <w:bCs/>
          <w:caps/>
        </w:rPr>
      </w:pPr>
      <w:r>
        <w:rPr>
          <w:b/>
          <w:bCs/>
          <w:caps/>
        </w:rPr>
        <w:t xml:space="preserve">response to </w:t>
      </w:r>
      <w:r w:rsidRPr="00D87AF4">
        <w:rPr>
          <w:b/>
          <w:bCs/>
          <w:caps/>
        </w:rPr>
        <w:t xml:space="preserve">questionnaire ON </w:t>
      </w:r>
      <w:r w:rsidRPr="009D7B39">
        <w:rPr>
          <w:b/>
          <w:bCs/>
          <w:caps/>
        </w:rPr>
        <w:t xml:space="preserve">regulatory </w:t>
      </w:r>
      <w:r>
        <w:rPr>
          <w:b/>
          <w:bCs/>
          <w:caps/>
        </w:rPr>
        <w:t xml:space="preserve">information </w:t>
      </w:r>
      <w:r w:rsidRPr="009D7B39">
        <w:rPr>
          <w:b/>
          <w:bCs/>
          <w:caps/>
        </w:rPr>
        <w:t>for implementation IMT network in Asia-Pacific Region</w:t>
      </w:r>
    </w:p>
    <w:p w:rsidR="00D12318" w:rsidRPr="00D87AF4" w:rsidRDefault="00D12318" w:rsidP="00D12318">
      <w:pPr>
        <w:jc w:val="center"/>
        <w:rPr>
          <w:b/>
          <w:bCs/>
          <w:caps/>
        </w:rPr>
      </w:pPr>
    </w:p>
    <w:p w:rsidR="00D12318" w:rsidRDefault="00D12318" w:rsidP="00D12318">
      <w:pPr>
        <w:pStyle w:val="ListParagraph"/>
        <w:ind w:left="360" w:firstLineChars="0" w:firstLine="0"/>
        <w:jc w:val="both"/>
        <w:rPr>
          <w:b/>
        </w:rPr>
      </w:pPr>
      <w:bookmarkStart w:id="0" w:name="_GoBack"/>
      <w:bookmarkEnd w:id="0"/>
    </w:p>
    <w:p w:rsidR="00D12318" w:rsidRPr="00C01865" w:rsidRDefault="00D12318" w:rsidP="00D12318">
      <w:pPr>
        <w:pStyle w:val="ListParagraph"/>
        <w:ind w:left="360" w:firstLineChars="0" w:firstLine="0"/>
        <w:jc w:val="both"/>
        <w:rPr>
          <w:b/>
        </w:rPr>
      </w:pPr>
    </w:p>
    <w:p w:rsidR="00D12318" w:rsidRPr="00C01865" w:rsidRDefault="00D12318" w:rsidP="00D12318">
      <w:pPr>
        <w:jc w:val="both"/>
        <w:rPr>
          <w:b/>
        </w:rPr>
      </w:pPr>
      <w:r w:rsidRPr="00C01865">
        <w:rPr>
          <w:b/>
        </w:rPr>
        <w:t>Question 1:</w:t>
      </w:r>
    </w:p>
    <w:p w:rsidR="00D12318" w:rsidRPr="00C01865" w:rsidRDefault="00D12318" w:rsidP="00D12318">
      <w:pPr>
        <w:rPr>
          <w:b/>
          <w:lang w:val="id-ID" w:eastAsia="zh-CN"/>
        </w:rPr>
      </w:pPr>
      <w:r w:rsidRPr="00C01865">
        <w:rPr>
          <w:b/>
          <w:lang w:val="id-ID" w:eastAsia="zh-CN"/>
        </w:rPr>
        <w:t>Institution/Company Information and Profile</w:t>
      </w:r>
    </w:p>
    <w:p w:rsidR="00D12318" w:rsidRPr="00ED1311" w:rsidRDefault="00D12318" w:rsidP="00D12318">
      <w:pPr>
        <w:jc w:val="both"/>
        <w:rPr>
          <w:lang w:eastAsia="zh-CN"/>
        </w:rPr>
      </w:pPr>
    </w:p>
    <w:p w:rsidR="00D12318" w:rsidRPr="00DB73B5" w:rsidRDefault="00D12318" w:rsidP="00D12318">
      <w:pPr>
        <w:jc w:val="both"/>
        <w:rPr>
          <w:lang w:val="en-AU" w:eastAsia="zh-CN"/>
        </w:rPr>
      </w:pPr>
      <w:r w:rsidRPr="00C01865">
        <w:rPr>
          <w:lang w:val="id-ID" w:eastAsia="zh-CN"/>
        </w:rPr>
        <w:t>Name of the institution</w:t>
      </w:r>
      <w:r w:rsidRPr="00C01865">
        <w:rPr>
          <w:lang w:val="id-ID" w:eastAsia="zh-CN"/>
        </w:rPr>
        <w:tab/>
        <w:t xml:space="preserve">: </w:t>
      </w:r>
      <w:r>
        <w:rPr>
          <w:lang w:val="en-AU" w:eastAsia="zh-CN"/>
        </w:rPr>
        <w:t>Australian Communications and Media Authority</w:t>
      </w:r>
    </w:p>
    <w:p w:rsidR="00D12318" w:rsidRPr="00DB73B5" w:rsidRDefault="00D12318" w:rsidP="00D12318">
      <w:pPr>
        <w:jc w:val="both"/>
        <w:rPr>
          <w:lang w:val="en-AU" w:eastAsia="zh-CN"/>
        </w:rPr>
      </w:pPr>
      <w:r w:rsidRPr="00C01865">
        <w:rPr>
          <w:lang w:val="id-ID" w:eastAsia="zh-CN"/>
        </w:rPr>
        <w:t>Name of contact person</w:t>
      </w:r>
      <w:r w:rsidRPr="00C01865">
        <w:rPr>
          <w:lang w:val="id-ID" w:eastAsia="zh-CN"/>
        </w:rPr>
        <w:tab/>
        <w:t xml:space="preserve">: </w:t>
      </w:r>
      <w:r>
        <w:rPr>
          <w:lang w:val="en-AU" w:eastAsia="zh-CN"/>
        </w:rPr>
        <w:t>Chris Worley</w:t>
      </w:r>
    </w:p>
    <w:p w:rsidR="00D12318" w:rsidRPr="00DB73B5" w:rsidRDefault="00D12318" w:rsidP="00D12318">
      <w:pPr>
        <w:jc w:val="both"/>
        <w:rPr>
          <w:lang w:val="en-AU" w:eastAsia="zh-CN"/>
        </w:rPr>
      </w:pPr>
      <w:r w:rsidRPr="00ED1311">
        <w:rPr>
          <w:lang w:val="id-ID" w:eastAsia="zh-CN"/>
        </w:rPr>
        <w:t>Mailing Address</w:t>
      </w:r>
      <w:r w:rsidRPr="00ED1311">
        <w:rPr>
          <w:lang w:val="id-ID" w:eastAsia="zh-CN"/>
        </w:rPr>
        <w:tab/>
      </w:r>
      <w:r w:rsidRPr="00ED1311">
        <w:rPr>
          <w:lang w:val="id-ID" w:eastAsia="zh-CN"/>
        </w:rPr>
        <w:tab/>
        <w:t xml:space="preserve">: </w:t>
      </w:r>
    </w:p>
    <w:p w:rsidR="00D12318" w:rsidRPr="00DB73B5" w:rsidRDefault="00D12318" w:rsidP="00D12318">
      <w:pPr>
        <w:jc w:val="both"/>
        <w:rPr>
          <w:lang w:val="en-AU" w:eastAsia="zh-CN"/>
        </w:rPr>
      </w:pPr>
      <w:r w:rsidRPr="00ED1311">
        <w:rPr>
          <w:lang w:val="id-ID" w:eastAsia="zh-CN"/>
        </w:rPr>
        <w:t>Phone</w:t>
      </w:r>
      <w:r w:rsidRPr="00ED1311">
        <w:rPr>
          <w:lang w:val="id-ID" w:eastAsia="zh-CN"/>
        </w:rPr>
        <w:tab/>
      </w:r>
      <w:r w:rsidRPr="00ED1311">
        <w:rPr>
          <w:lang w:val="id-ID" w:eastAsia="zh-CN"/>
        </w:rPr>
        <w:tab/>
      </w:r>
      <w:r w:rsidRPr="00ED1311">
        <w:rPr>
          <w:lang w:val="id-ID" w:eastAsia="zh-CN"/>
        </w:rPr>
        <w:tab/>
      </w:r>
      <w:r w:rsidRPr="00ED1311">
        <w:rPr>
          <w:lang w:val="id-ID" w:eastAsia="zh-CN"/>
        </w:rPr>
        <w:tab/>
        <w:t xml:space="preserve">: </w:t>
      </w:r>
      <w:r>
        <w:rPr>
          <w:lang w:val="en-AU" w:eastAsia="zh-CN"/>
        </w:rPr>
        <w:t>+61 2 6219 5239</w:t>
      </w:r>
    </w:p>
    <w:p w:rsidR="00D12318" w:rsidRPr="00DB73B5" w:rsidRDefault="00D12318" w:rsidP="00D12318">
      <w:pPr>
        <w:jc w:val="both"/>
        <w:rPr>
          <w:lang w:val="en-AU" w:eastAsia="zh-CN"/>
        </w:rPr>
      </w:pPr>
      <w:r w:rsidRPr="00ED1311">
        <w:rPr>
          <w:lang w:val="id-ID" w:eastAsia="zh-CN"/>
        </w:rPr>
        <w:t xml:space="preserve">Email Address </w:t>
      </w:r>
      <w:r w:rsidRPr="00ED1311">
        <w:rPr>
          <w:lang w:val="id-ID" w:eastAsia="zh-CN"/>
        </w:rPr>
        <w:tab/>
      </w:r>
      <w:r w:rsidRPr="00ED1311">
        <w:rPr>
          <w:lang w:val="id-ID" w:eastAsia="zh-CN"/>
        </w:rPr>
        <w:tab/>
        <w:t xml:space="preserve">: </w:t>
      </w:r>
      <w:r>
        <w:rPr>
          <w:rStyle w:val="Hyperlink"/>
          <w:lang w:val="en-AU" w:eastAsia="zh-CN"/>
        </w:rPr>
        <w:t>christopher.worley@acma.gov.au</w:t>
      </w:r>
      <w:hyperlink r:id="rId8" w:history="1"/>
    </w:p>
    <w:p w:rsidR="00D12318" w:rsidRPr="00ED1311" w:rsidRDefault="00D12318" w:rsidP="00D12318">
      <w:pPr>
        <w:jc w:val="both"/>
        <w:rPr>
          <w:lang w:val="id-ID" w:eastAsia="zh-CN"/>
        </w:rPr>
      </w:pPr>
      <w:r w:rsidRPr="00ED1311">
        <w:rPr>
          <w:lang w:val="id-ID" w:eastAsia="zh-CN"/>
        </w:rPr>
        <w:t>My institution is (please choose) :</w:t>
      </w:r>
      <w:r w:rsidRPr="00ED1311">
        <w:rPr>
          <w:lang w:eastAsia="zh-CN"/>
        </w:rPr>
        <w:t xml:space="preserve"> </w:t>
      </w:r>
      <w:r w:rsidRPr="00ED1311">
        <w:rPr>
          <w:lang w:val="id-ID" w:eastAsia="zh-CN"/>
        </w:rPr>
        <w:t>Regulator</w:t>
      </w:r>
      <w:r w:rsidRPr="00ED1311">
        <w:rPr>
          <w:lang w:val="id-ID" w:eastAsia="zh-CN"/>
        </w:rPr>
        <w:tab/>
      </w:r>
    </w:p>
    <w:p w:rsidR="00D12318" w:rsidRPr="00D12318" w:rsidRDefault="00D12318" w:rsidP="00D12318">
      <w:pPr>
        <w:rPr>
          <w:rFonts w:eastAsia="Times New Roman"/>
          <w:b/>
          <w:lang w:eastAsia="zh-CN"/>
        </w:rPr>
      </w:pPr>
    </w:p>
    <w:p w:rsidR="00D12318" w:rsidRPr="00ED1311" w:rsidRDefault="00D12318" w:rsidP="00D12318">
      <w:pPr>
        <w:rPr>
          <w:b/>
        </w:rPr>
      </w:pPr>
      <w:r w:rsidRPr="00ED1311">
        <w:rPr>
          <w:b/>
        </w:rPr>
        <w:t>Question 2:</w:t>
      </w:r>
    </w:p>
    <w:p w:rsidR="00D12318" w:rsidRDefault="00D12318" w:rsidP="00D12318">
      <w:r>
        <w:t>Which IMT technology being use and will be used or technology neutral in these bands?</w:t>
      </w:r>
    </w:p>
    <w:p w:rsidR="00D12318" w:rsidRDefault="00D12318" w:rsidP="00D12318">
      <w:pPr>
        <w:pStyle w:val="ListParagraph"/>
        <w:ind w:firstLineChars="0" w:firstLine="0"/>
      </w:pPr>
      <w:r>
        <w:t>Please fill in the frequency bands used for IMT and specify which IMT technology (e.g. WCDMA, HSPA, LTE, LTE-A, TDD-LTE, 3GPP Release 10, …) being used, if not IMT please answer “non-IMT”.</w:t>
      </w:r>
    </w:p>
    <w:p w:rsidR="00D12318" w:rsidRDefault="00D12318" w:rsidP="00D12318">
      <w:pPr>
        <w:pStyle w:val="ListParagraph"/>
        <w:ind w:firstLineChars="0" w:firstLine="0"/>
      </w:pPr>
    </w:p>
    <w:p w:rsidR="00D12318" w:rsidRDefault="00D12318" w:rsidP="00D12318">
      <w:pPr>
        <w:pStyle w:val="ListParagraph"/>
        <w:ind w:firstLineChars="0" w:firstLine="0"/>
      </w:pPr>
      <w:r>
        <w:t>In Australia, the ACMA adopts a technology flexible approach for the regulatory arrangements in IMT bands.</w:t>
      </w:r>
    </w:p>
    <w:p w:rsidR="00D12318" w:rsidRDefault="00D12318" w:rsidP="00D12318">
      <w:pPr>
        <w:pStyle w:val="ListParagraph"/>
        <w:ind w:firstLineChars="0" w:firstLine="0"/>
      </w:pPr>
    </w:p>
    <w:p w:rsidR="00D12318" w:rsidRDefault="00D12318" w:rsidP="00D12318">
      <w:pPr>
        <w:pStyle w:val="ListParagraph"/>
        <w:ind w:firstLineChars="0" w:firstLine="0"/>
      </w:pPr>
      <w:r>
        <w:t xml:space="preserve">In the table below, the IMT technology indicated is a guide only to the technology that operators currently have deployed or are most likely to deploy. The operators can use any technology that meets the individual band’s technical requirements and may change the deployed technology at their discretion. </w:t>
      </w:r>
    </w:p>
    <w:p w:rsidR="00D12318" w:rsidRDefault="00D12318" w:rsidP="00D12318">
      <w:pPr>
        <w:pStyle w:val="ListParagraph"/>
        <w:ind w:firstLineChars="0" w:firstLine="0"/>
      </w:pPr>
    </w:p>
    <w:p w:rsidR="00D12318" w:rsidRDefault="00D12318" w:rsidP="00D12318">
      <w:pPr>
        <w:pStyle w:val="ListParagraph"/>
        <w:ind w:firstLineChars="0" w:firstLine="0"/>
      </w:pPr>
      <w:r>
        <w:t>Channel Bandwidths cannot be provided given the technology flexible regulations. Again, it is completely at the discretion of the operator and may change based on the operator’s needs.</w:t>
      </w:r>
    </w:p>
    <w:p w:rsidR="00D12318" w:rsidRDefault="00D12318" w:rsidP="00D12318">
      <w:pPr>
        <w:pStyle w:val="ListParagraph"/>
        <w:ind w:firstLineChars="0" w:firstLine="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701"/>
        <w:gridCol w:w="1701"/>
        <w:gridCol w:w="1417"/>
        <w:gridCol w:w="1418"/>
      </w:tblGrid>
      <w:tr w:rsidR="00D12318" w:rsidRPr="00D6004B" w:rsidTr="0016608A">
        <w:trPr>
          <w:trHeight w:val="375"/>
        </w:trPr>
        <w:tc>
          <w:tcPr>
            <w:tcW w:w="1560" w:type="dxa"/>
            <w:vMerge w:val="restart"/>
            <w:shd w:val="clear" w:color="auto" w:fill="FFCC99"/>
            <w:vAlign w:val="center"/>
          </w:tcPr>
          <w:p w:rsidR="00D12318" w:rsidRDefault="00D12318" w:rsidP="0016608A">
            <w:pPr>
              <w:jc w:val="center"/>
              <w:rPr>
                <w:b/>
                <w:bCs/>
                <w:lang w:eastAsia="zh-CN"/>
              </w:rPr>
            </w:pPr>
            <w:r>
              <w:rPr>
                <w:b/>
                <w:bCs/>
                <w:lang w:eastAsia="zh-CN"/>
              </w:rPr>
              <w:t>Frequency band</w:t>
            </w:r>
          </w:p>
          <w:p w:rsidR="00D12318" w:rsidRPr="0042077C" w:rsidRDefault="00D12318" w:rsidP="0016608A">
            <w:pPr>
              <w:jc w:val="center"/>
              <w:rPr>
                <w:rFonts w:eastAsia="MS Mincho"/>
                <w:b/>
                <w:bCs/>
                <w:lang w:eastAsia="ja-JP"/>
              </w:rPr>
            </w:pPr>
            <w:r>
              <w:rPr>
                <w:b/>
                <w:bCs/>
                <w:lang w:eastAsia="zh-CN"/>
              </w:rPr>
              <w:t>(MHz)</w:t>
            </w:r>
          </w:p>
        </w:tc>
        <w:tc>
          <w:tcPr>
            <w:tcW w:w="3402" w:type="dxa"/>
            <w:gridSpan w:val="2"/>
            <w:shd w:val="clear" w:color="auto" w:fill="FFCC99"/>
            <w:vAlign w:val="center"/>
          </w:tcPr>
          <w:p w:rsidR="00D12318" w:rsidRPr="00DA5446" w:rsidRDefault="00D12318" w:rsidP="0016608A">
            <w:pPr>
              <w:jc w:val="center"/>
              <w:rPr>
                <w:rFonts w:eastAsia="MS Mincho"/>
                <w:b/>
                <w:bCs/>
                <w:lang w:eastAsia="ja-JP"/>
              </w:rPr>
            </w:pPr>
            <w:r w:rsidRPr="0003454E">
              <w:rPr>
                <w:b/>
                <w:bCs/>
                <w:lang w:eastAsia="zh-CN"/>
              </w:rPr>
              <w:t>Frequency</w:t>
            </w:r>
            <w:r w:rsidRPr="0003454E">
              <w:rPr>
                <w:b/>
                <w:bCs/>
              </w:rPr>
              <w:t xml:space="preserve"> </w:t>
            </w:r>
            <w:r w:rsidRPr="0003454E">
              <w:rPr>
                <w:b/>
                <w:bCs/>
                <w:lang w:eastAsia="zh-CN"/>
              </w:rPr>
              <w:t>B</w:t>
            </w:r>
            <w:r>
              <w:rPr>
                <w:b/>
                <w:bCs/>
                <w:lang w:eastAsia="zh-CN"/>
              </w:rPr>
              <w:t>lock</w:t>
            </w:r>
            <w:r w:rsidRPr="0003454E">
              <w:rPr>
                <w:b/>
                <w:bCs/>
              </w:rPr>
              <w:t xml:space="preserve"> (</w:t>
            </w:r>
            <w:r w:rsidRPr="0003454E">
              <w:rPr>
                <w:b/>
                <w:bCs/>
                <w:lang w:eastAsia="zh-CN"/>
              </w:rPr>
              <w:t>MHz</w:t>
            </w:r>
            <w:r w:rsidRPr="0003454E">
              <w:rPr>
                <w:b/>
                <w:bCs/>
              </w:rPr>
              <w:t>)</w:t>
            </w:r>
          </w:p>
        </w:tc>
        <w:tc>
          <w:tcPr>
            <w:tcW w:w="1701" w:type="dxa"/>
            <w:vMerge w:val="restart"/>
            <w:shd w:val="clear" w:color="auto" w:fill="FFCC99"/>
          </w:tcPr>
          <w:p w:rsidR="00D12318" w:rsidRDefault="00D12318" w:rsidP="0016608A">
            <w:pPr>
              <w:jc w:val="center"/>
              <w:rPr>
                <w:b/>
                <w:bCs/>
                <w:lang w:eastAsia="zh-CN"/>
              </w:rPr>
            </w:pPr>
            <w:r>
              <w:rPr>
                <w:b/>
                <w:bCs/>
                <w:lang w:eastAsia="zh-CN"/>
              </w:rPr>
              <w:t>Operator</w:t>
            </w:r>
          </w:p>
        </w:tc>
        <w:tc>
          <w:tcPr>
            <w:tcW w:w="1417" w:type="dxa"/>
            <w:vMerge w:val="restart"/>
            <w:shd w:val="clear" w:color="auto" w:fill="FFCC99"/>
            <w:vAlign w:val="center"/>
          </w:tcPr>
          <w:p w:rsidR="00D12318" w:rsidRPr="0003454E" w:rsidRDefault="00D12318" w:rsidP="0016608A">
            <w:pPr>
              <w:jc w:val="center"/>
              <w:rPr>
                <w:rFonts w:eastAsia="MS Mincho"/>
                <w:b/>
                <w:bCs/>
                <w:lang w:eastAsia="ja-JP"/>
              </w:rPr>
            </w:pPr>
            <w:r>
              <w:rPr>
                <w:b/>
                <w:bCs/>
                <w:lang w:eastAsia="zh-CN"/>
              </w:rPr>
              <w:t xml:space="preserve">IMT </w:t>
            </w:r>
            <w:r w:rsidRPr="0003454E">
              <w:rPr>
                <w:b/>
                <w:bCs/>
                <w:lang w:eastAsia="zh-CN"/>
              </w:rPr>
              <w:t>Technology</w:t>
            </w:r>
          </w:p>
        </w:tc>
        <w:tc>
          <w:tcPr>
            <w:tcW w:w="1418" w:type="dxa"/>
            <w:vMerge w:val="restart"/>
            <w:shd w:val="clear" w:color="auto" w:fill="FFCC99"/>
            <w:vAlign w:val="center"/>
          </w:tcPr>
          <w:p w:rsidR="00D12318" w:rsidRDefault="00D12318" w:rsidP="0016608A">
            <w:pPr>
              <w:jc w:val="center"/>
              <w:rPr>
                <w:b/>
                <w:bCs/>
                <w:lang w:eastAsia="zh-CN"/>
              </w:rPr>
            </w:pPr>
            <w:r>
              <w:rPr>
                <w:b/>
                <w:bCs/>
                <w:lang w:eastAsia="zh-CN"/>
              </w:rPr>
              <w:t>Channel bandwidth (MHz)</w:t>
            </w:r>
          </w:p>
        </w:tc>
      </w:tr>
      <w:tr w:rsidR="00D12318" w:rsidRPr="00D6004B" w:rsidTr="0016608A">
        <w:trPr>
          <w:trHeight w:val="165"/>
        </w:trPr>
        <w:tc>
          <w:tcPr>
            <w:tcW w:w="1560" w:type="dxa"/>
            <w:vMerge/>
            <w:shd w:val="clear" w:color="auto" w:fill="FFCC99"/>
          </w:tcPr>
          <w:p w:rsidR="00D12318" w:rsidRPr="00D6004B" w:rsidRDefault="00D12318" w:rsidP="0016608A">
            <w:pPr>
              <w:rPr>
                <w:lang w:eastAsia="zh-CN"/>
              </w:rPr>
            </w:pPr>
          </w:p>
        </w:tc>
        <w:tc>
          <w:tcPr>
            <w:tcW w:w="1701" w:type="dxa"/>
            <w:shd w:val="clear" w:color="auto" w:fill="FFCC99"/>
          </w:tcPr>
          <w:p w:rsidR="00D12318" w:rsidRPr="0003454E" w:rsidRDefault="00D12318" w:rsidP="0016608A">
            <w:pPr>
              <w:jc w:val="center"/>
              <w:rPr>
                <w:b/>
                <w:bCs/>
              </w:rPr>
            </w:pPr>
            <w:r w:rsidRPr="0003454E">
              <w:rPr>
                <w:rFonts w:eastAsia="MS Mincho"/>
                <w:b/>
                <w:bCs/>
                <w:lang w:eastAsia="ja-JP"/>
              </w:rPr>
              <w:t>Uplink</w:t>
            </w:r>
          </w:p>
        </w:tc>
        <w:tc>
          <w:tcPr>
            <w:tcW w:w="1701" w:type="dxa"/>
            <w:shd w:val="clear" w:color="auto" w:fill="FFCC99"/>
          </w:tcPr>
          <w:p w:rsidR="00D12318" w:rsidRPr="0003454E" w:rsidRDefault="00D12318" w:rsidP="0016608A">
            <w:pPr>
              <w:jc w:val="center"/>
              <w:rPr>
                <w:b/>
                <w:bCs/>
              </w:rPr>
            </w:pPr>
            <w:r w:rsidRPr="0003454E">
              <w:rPr>
                <w:rFonts w:eastAsia="MS Mincho"/>
                <w:b/>
                <w:bCs/>
                <w:lang w:eastAsia="ja-JP"/>
              </w:rPr>
              <w:t>Downlink</w:t>
            </w:r>
          </w:p>
        </w:tc>
        <w:tc>
          <w:tcPr>
            <w:tcW w:w="1701" w:type="dxa"/>
            <w:vMerge/>
          </w:tcPr>
          <w:p w:rsidR="00D12318" w:rsidRPr="00D6004B" w:rsidRDefault="00D12318" w:rsidP="0016608A">
            <w:pPr>
              <w:rPr>
                <w:lang w:eastAsia="zh-CN"/>
              </w:rPr>
            </w:pPr>
          </w:p>
        </w:tc>
        <w:tc>
          <w:tcPr>
            <w:tcW w:w="1417" w:type="dxa"/>
            <w:vMerge/>
          </w:tcPr>
          <w:p w:rsidR="00D12318" w:rsidRPr="00D6004B" w:rsidRDefault="00D12318" w:rsidP="0016608A">
            <w:pPr>
              <w:rPr>
                <w:lang w:eastAsia="zh-CN"/>
              </w:rPr>
            </w:pPr>
          </w:p>
        </w:tc>
        <w:tc>
          <w:tcPr>
            <w:tcW w:w="1418" w:type="dxa"/>
            <w:vMerge/>
          </w:tcPr>
          <w:p w:rsidR="00D12318" w:rsidRPr="00D6004B" w:rsidRDefault="00D12318" w:rsidP="0016608A">
            <w:pPr>
              <w:rPr>
                <w:lang w:eastAsia="zh-CN"/>
              </w:rPr>
            </w:pPr>
          </w:p>
        </w:tc>
      </w:tr>
      <w:tr w:rsidR="00D12318" w:rsidRPr="00D6004B" w:rsidTr="0016608A">
        <w:trPr>
          <w:trHeight w:val="410"/>
        </w:trPr>
        <w:tc>
          <w:tcPr>
            <w:tcW w:w="1560" w:type="dxa"/>
            <w:vMerge w:val="restart"/>
            <w:vAlign w:val="center"/>
          </w:tcPr>
          <w:p w:rsidR="00D12318" w:rsidRPr="007D4E31" w:rsidRDefault="00D12318" w:rsidP="0016608A">
            <w:pPr>
              <w:jc w:val="both"/>
            </w:pPr>
            <w:r w:rsidRPr="007D4E31">
              <w:t>703 – 748</w:t>
            </w:r>
            <w:r w:rsidRPr="007D4E31">
              <w:rPr>
                <w:rFonts w:eastAsia="MS Mincho"/>
                <w:lang w:eastAsia="ja-JP"/>
              </w:rPr>
              <w:t xml:space="preserve"> </w:t>
            </w:r>
            <w:r w:rsidRPr="007D4E31">
              <w:t>/ 758 – 803</w:t>
            </w:r>
          </w:p>
        </w:tc>
        <w:tc>
          <w:tcPr>
            <w:tcW w:w="1701" w:type="dxa"/>
            <w:vAlign w:val="center"/>
          </w:tcPr>
          <w:p w:rsidR="00D12318" w:rsidRPr="007D4E31" w:rsidRDefault="00D12318" w:rsidP="0016608A">
            <w:pPr>
              <w:jc w:val="both"/>
              <w:rPr>
                <w:rFonts w:eastAsia="MS Mincho"/>
                <w:lang w:eastAsia="ja-JP"/>
              </w:rPr>
            </w:pPr>
            <w:r w:rsidRPr="007D4E31">
              <w:rPr>
                <w:rFonts w:eastAsia="MS Mincho" w:hint="eastAsia"/>
                <w:lang w:eastAsia="ja-JP"/>
              </w:rPr>
              <w:t xml:space="preserve">703 </w:t>
            </w:r>
            <w:r w:rsidRPr="007D4E31">
              <w:rPr>
                <w:rFonts w:eastAsia="MS Mincho"/>
                <w:lang w:eastAsia="ja-JP"/>
              </w:rPr>
              <w:t>–</w:t>
            </w:r>
            <w:r w:rsidRPr="007D4E31">
              <w:rPr>
                <w:rFonts w:eastAsia="MS Mincho" w:hint="eastAsia"/>
                <w:lang w:eastAsia="ja-JP"/>
              </w:rPr>
              <w:t xml:space="preserve"> 7</w:t>
            </w:r>
            <w:r w:rsidRPr="007D4E31">
              <w:rPr>
                <w:rFonts w:eastAsia="MS Mincho"/>
                <w:lang w:eastAsia="ja-JP"/>
              </w:rPr>
              <w:t>1</w:t>
            </w:r>
            <w:r w:rsidRPr="007D4E31">
              <w:rPr>
                <w:rFonts w:eastAsia="MS Mincho" w:hint="eastAsia"/>
                <w:lang w:eastAsia="ja-JP"/>
              </w:rPr>
              <w:t>3</w:t>
            </w:r>
          </w:p>
        </w:tc>
        <w:tc>
          <w:tcPr>
            <w:tcW w:w="1701" w:type="dxa"/>
            <w:vAlign w:val="center"/>
          </w:tcPr>
          <w:p w:rsidR="00D12318" w:rsidRPr="007D4E31" w:rsidRDefault="00D12318" w:rsidP="0016608A">
            <w:pPr>
              <w:jc w:val="both"/>
              <w:rPr>
                <w:rFonts w:eastAsia="MS Mincho"/>
                <w:lang w:eastAsia="ja-JP"/>
              </w:rPr>
            </w:pPr>
            <w:r w:rsidRPr="007D4E31">
              <w:rPr>
                <w:rFonts w:eastAsia="MS Mincho" w:hint="eastAsia"/>
                <w:lang w:eastAsia="ja-JP"/>
              </w:rPr>
              <w:t xml:space="preserve">758 </w:t>
            </w:r>
            <w:r w:rsidRPr="007D4E31">
              <w:rPr>
                <w:rFonts w:eastAsia="MS Mincho"/>
                <w:lang w:eastAsia="ja-JP"/>
              </w:rPr>
              <w:t>–</w:t>
            </w:r>
            <w:r w:rsidRPr="007D4E31">
              <w:rPr>
                <w:rFonts w:eastAsia="MS Mincho" w:hint="eastAsia"/>
                <w:lang w:eastAsia="ja-JP"/>
              </w:rPr>
              <w:t xml:space="preserve"> 7</w:t>
            </w:r>
            <w:r w:rsidRPr="007D4E31">
              <w:rPr>
                <w:rFonts w:eastAsia="MS Mincho"/>
                <w:lang w:eastAsia="ja-JP"/>
              </w:rPr>
              <w:t>6</w:t>
            </w:r>
            <w:r w:rsidRPr="007D4E31">
              <w:rPr>
                <w:rFonts w:eastAsia="MS Mincho" w:hint="eastAsia"/>
                <w:lang w:eastAsia="ja-JP"/>
              </w:rPr>
              <w:t>8</w:t>
            </w:r>
          </w:p>
        </w:tc>
        <w:tc>
          <w:tcPr>
            <w:tcW w:w="1701" w:type="dxa"/>
            <w:vAlign w:val="center"/>
          </w:tcPr>
          <w:p w:rsidR="00D12318" w:rsidRPr="007D4E31" w:rsidRDefault="00D12318" w:rsidP="0016608A">
            <w:pPr>
              <w:widowControl w:val="0"/>
              <w:jc w:val="both"/>
            </w:pPr>
            <w:r>
              <w:t>Optus</w:t>
            </w:r>
          </w:p>
        </w:tc>
        <w:tc>
          <w:tcPr>
            <w:tcW w:w="1417" w:type="dxa"/>
            <w:vAlign w:val="center"/>
          </w:tcPr>
          <w:p w:rsidR="00D12318" w:rsidRPr="007D4E31" w:rsidRDefault="00D12318" w:rsidP="0016608A">
            <w:pPr>
              <w:widowControl w:val="0"/>
              <w:jc w:val="both"/>
            </w:pPr>
            <w:r w:rsidRPr="007D4E31">
              <w:t>LTE</w:t>
            </w:r>
          </w:p>
        </w:tc>
        <w:tc>
          <w:tcPr>
            <w:tcW w:w="1418" w:type="dxa"/>
            <w:vAlign w:val="center"/>
          </w:tcPr>
          <w:p w:rsidR="00D12318" w:rsidRPr="007D4E31" w:rsidRDefault="00D12318" w:rsidP="0016608A">
            <w:pPr>
              <w:widowControl w:val="0"/>
              <w:jc w:val="both"/>
            </w:pPr>
          </w:p>
        </w:tc>
      </w:tr>
      <w:tr w:rsidR="00D12318" w:rsidRPr="00D6004B"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713 - 733</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768 - 788</w:t>
            </w:r>
          </w:p>
        </w:tc>
        <w:tc>
          <w:tcPr>
            <w:tcW w:w="1701" w:type="dxa"/>
          </w:tcPr>
          <w:p w:rsidR="00D12318" w:rsidRPr="007D4E31" w:rsidRDefault="00D12318" w:rsidP="0016608A">
            <w:pPr>
              <w:widowControl w:val="0"/>
              <w:jc w:val="both"/>
            </w:pPr>
            <w:r>
              <w:t>Telstra</w:t>
            </w:r>
          </w:p>
        </w:tc>
        <w:tc>
          <w:tcPr>
            <w:tcW w:w="1417" w:type="dxa"/>
            <w:vAlign w:val="center"/>
          </w:tcPr>
          <w:p w:rsidR="00D12318" w:rsidRPr="007D4E31" w:rsidRDefault="00D12318" w:rsidP="0016608A">
            <w:pPr>
              <w:widowControl w:val="0"/>
              <w:jc w:val="both"/>
            </w:pPr>
            <w:r w:rsidRPr="007D4E31">
              <w:t>LTE</w:t>
            </w:r>
          </w:p>
        </w:tc>
        <w:tc>
          <w:tcPr>
            <w:tcW w:w="1418" w:type="dxa"/>
          </w:tcPr>
          <w:p w:rsidR="00D12318" w:rsidRPr="007D4E31" w:rsidRDefault="00D12318" w:rsidP="0016608A">
            <w:pPr>
              <w:widowControl w:val="0"/>
              <w:jc w:val="both"/>
            </w:pPr>
          </w:p>
        </w:tc>
      </w:tr>
      <w:tr w:rsidR="00D12318" w:rsidRPr="00D6004B"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733 - 738</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788 - 793</w:t>
            </w:r>
          </w:p>
        </w:tc>
        <w:tc>
          <w:tcPr>
            <w:tcW w:w="1701" w:type="dxa"/>
          </w:tcPr>
          <w:p w:rsidR="00D12318" w:rsidRDefault="00D12318" w:rsidP="0016608A">
            <w:pPr>
              <w:widowControl w:val="0"/>
              <w:jc w:val="both"/>
            </w:pPr>
            <w:r>
              <w:t>Vodafone</w:t>
            </w:r>
          </w:p>
        </w:tc>
        <w:tc>
          <w:tcPr>
            <w:tcW w:w="1417" w:type="dxa"/>
            <w:vAlign w:val="center"/>
          </w:tcPr>
          <w:p w:rsidR="00D12318" w:rsidRPr="007D4E31" w:rsidRDefault="00D12318" w:rsidP="0016608A">
            <w:pPr>
              <w:widowControl w:val="0"/>
              <w:jc w:val="both"/>
            </w:pPr>
            <w:r w:rsidRPr="007D4E31">
              <w:t>LTE</w:t>
            </w:r>
          </w:p>
        </w:tc>
        <w:tc>
          <w:tcPr>
            <w:tcW w:w="1418" w:type="dxa"/>
          </w:tcPr>
          <w:p w:rsidR="00D12318" w:rsidRPr="007D4E31" w:rsidRDefault="00D12318" w:rsidP="0016608A">
            <w:pPr>
              <w:widowControl w:val="0"/>
              <w:jc w:val="both"/>
            </w:pPr>
          </w:p>
        </w:tc>
      </w:tr>
      <w:tr w:rsidR="00D12318" w:rsidRPr="00D6004B"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73</w:t>
            </w:r>
            <w:r>
              <w:rPr>
                <w:rFonts w:eastAsia="MS Mincho"/>
                <w:lang w:eastAsia="ja-JP"/>
              </w:rPr>
              <w:t>8</w:t>
            </w:r>
            <w:r w:rsidRPr="007D4E31">
              <w:rPr>
                <w:rFonts w:eastAsia="MS Mincho"/>
                <w:lang w:eastAsia="ja-JP"/>
              </w:rPr>
              <w:t xml:space="preserve"> - 7</w:t>
            </w:r>
            <w:r>
              <w:rPr>
                <w:rFonts w:eastAsia="MS Mincho"/>
                <w:lang w:eastAsia="ja-JP"/>
              </w:rPr>
              <w:t>4</w:t>
            </w:r>
            <w:r w:rsidRPr="007D4E31">
              <w:rPr>
                <w:rFonts w:eastAsia="MS Mincho"/>
                <w:lang w:eastAsia="ja-JP"/>
              </w:rPr>
              <w:t>8</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7</w:t>
            </w:r>
            <w:r>
              <w:rPr>
                <w:rFonts w:eastAsia="MS Mincho"/>
                <w:lang w:eastAsia="ja-JP"/>
              </w:rPr>
              <w:t>93</w:t>
            </w:r>
            <w:r w:rsidRPr="007D4E31">
              <w:rPr>
                <w:rFonts w:eastAsia="MS Mincho"/>
                <w:lang w:eastAsia="ja-JP"/>
              </w:rPr>
              <w:t xml:space="preserve"> - </w:t>
            </w:r>
            <w:r>
              <w:rPr>
                <w:rFonts w:eastAsia="MS Mincho"/>
                <w:lang w:eastAsia="ja-JP"/>
              </w:rPr>
              <w:t>80</w:t>
            </w:r>
            <w:r w:rsidRPr="007D4E31">
              <w:rPr>
                <w:rFonts w:eastAsia="MS Mincho"/>
                <w:lang w:eastAsia="ja-JP"/>
              </w:rPr>
              <w:t>3</w:t>
            </w:r>
          </w:p>
        </w:tc>
        <w:tc>
          <w:tcPr>
            <w:tcW w:w="1701" w:type="dxa"/>
          </w:tcPr>
          <w:p w:rsidR="00D12318" w:rsidRPr="007D4E31" w:rsidRDefault="00D12318" w:rsidP="0016608A">
            <w:pPr>
              <w:widowControl w:val="0"/>
              <w:jc w:val="both"/>
            </w:pPr>
            <w:r>
              <w:t>TPG</w:t>
            </w:r>
          </w:p>
        </w:tc>
        <w:tc>
          <w:tcPr>
            <w:tcW w:w="1417" w:type="dxa"/>
            <w:vAlign w:val="center"/>
          </w:tcPr>
          <w:p w:rsidR="00D12318" w:rsidRPr="007D4E31" w:rsidRDefault="00D12318" w:rsidP="0016608A">
            <w:pPr>
              <w:widowControl w:val="0"/>
              <w:jc w:val="both"/>
            </w:pPr>
            <w:r w:rsidRPr="007D4E31">
              <w:t>LTE</w:t>
            </w:r>
          </w:p>
        </w:tc>
        <w:tc>
          <w:tcPr>
            <w:tcW w:w="1418" w:type="dxa"/>
          </w:tcPr>
          <w:p w:rsidR="00D12318" w:rsidRPr="007D4E31" w:rsidRDefault="00D12318" w:rsidP="0016608A">
            <w:pPr>
              <w:widowControl w:val="0"/>
              <w:jc w:val="both"/>
            </w:pPr>
          </w:p>
        </w:tc>
      </w:tr>
      <w:tr w:rsidR="00D12318" w:rsidRPr="00D6004B" w:rsidTr="0016608A">
        <w:trPr>
          <w:trHeight w:val="410"/>
        </w:trPr>
        <w:tc>
          <w:tcPr>
            <w:tcW w:w="1560" w:type="dxa"/>
            <w:vMerge w:val="restart"/>
            <w:vAlign w:val="center"/>
          </w:tcPr>
          <w:p w:rsidR="00D12318" w:rsidRPr="007D4E31" w:rsidRDefault="00D12318" w:rsidP="0016608A">
            <w:pPr>
              <w:jc w:val="both"/>
            </w:pPr>
            <w:r w:rsidRPr="007D4E31">
              <w:lastRenderedPageBreak/>
              <w:t>825 - 845/ 870 - 890</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825-835</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870 - 880</w:t>
            </w:r>
          </w:p>
        </w:tc>
        <w:tc>
          <w:tcPr>
            <w:tcW w:w="1701" w:type="dxa"/>
          </w:tcPr>
          <w:p w:rsidR="00D12318" w:rsidRPr="007D4E31" w:rsidRDefault="00D12318" w:rsidP="0016608A">
            <w:pPr>
              <w:widowControl w:val="0"/>
              <w:jc w:val="both"/>
            </w:pPr>
            <w:r>
              <w:t>Vodafone</w:t>
            </w:r>
          </w:p>
        </w:tc>
        <w:tc>
          <w:tcPr>
            <w:tcW w:w="1417" w:type="dxa"/>
            <w:vAlign w:val="center"/>
          </w:tcPr>
          <w:p w:rsidR="00D12318" w:rsidRPr="007D4E31" w:rsidRDefault="00D12318" w:rsidP="0016608A">
            <w:pPr>
              <w:widowControl w:val="0"/>
              <w:jc w:val="both"/>
            </w:pPr>
            <w:r w:rsidRPr="007D4E31">
              <w:t>HSPA/ LTE</w:t>
            </w:r>
          </w:p>
        </w:tc>
        <w:tc>
          <w:tcPr>
            <w:tcW w:w="1418" w:type="dxa"/>
          </w:tcPr>
          <w:p w:rsidR="00D12318" w:rsidRPr="007D4E31" w:rsidRDefault="00D12318" w:rsidP="0016608A">
            <w:pPr>
              <w:widowControl w:val="0"/>
              <w:jc w:val="both"/>
            </w:pPr>
          </w:p>
        </w:tc>
      </w:tr>
      <w:tr w:rsidR="00D12318" w:rsidRPr="00D6004B"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835-840</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880 - 890</w:t>
            </w:r>
          </w:p>
        </w:tc>
        <w:tc>
          <w:tcPr>
            <w:tcW w:w="1701" w:type="dxa"/>
          </w:tcPr>
          <w:p w:rsidR="00D12318" w:rsidRPr="007D4E31" w:rsidRDefault="00D12318" w:rsidP="0016608A">
            <w:pPr>
              <w:widowControl w:val="0"/>
              <w:jc w:val="both"/>
            </w:pPr>
            <w:r>
              <w:t>Telstra</w:t>
            </w:r>
          </w:p>
        </w:tc>
        <w:tc>
          <w:tcPr>
            <w:tcW w:w="1417" w:type="dxa"/>
            <w:vAlign w:val="center"/>
          </w:tcPr>
          <w:p w:rsidR="00D12318" w:rsidRPr="007D4E31" w:rsidRDefault="00D12318" w:rsidP="0016608A">
            <w:pPr>
              <w:widowControl w:val="0"/>
              <w:jc w:val="both"/>
            </w:pPr>
            <w:r w:rsidRPr="007D4E31">
              <w:t>HSPA/ LTE</w:t>
            </w:r>
          </w:p>
        </w:tc>
        <w:tc>
          <w:tcPr>
            <w:tcW w:w="1418" w:type="dxa"/>
          </w:tcPr>
          <w:p w:rsidR="00D12318" w:rsidRPr="007D4E31" w:rsidRDefault="00D12318" w:rsidP="0016608A">
            <w:pPr>
              <w:widowControl w:val="0"/>
              <w:jc w:val="both"/>
            </w:pPr>
          </w:p>
        </w:tc>
      </w:tr>
      <w:tr w:rsidR="00D12318" w:rsidRPr="00D6004B" w:rsidTr="0016608A">
        <w:trPr>
          <w:trHeight w:val="410"/>
        </w:trPr>
        <w:tc>
          <w:tcPr>
            <w:tcW w:w="1560" w:type="dxa"/>
            <w:vMerge w:val="restart"/>
            <w:vAlign w:val="center"/>
          </w:tcPr>
          <w:p w:rsidR="00D12318" w:rsidRPr="007D4E31" w:rsidRDefault="00D12318" w:rsidP="0016608A">
            <w:pPr>
              <w:jc w:val="both"/>
            </w:pPr>
            <w:r w:rsidRPr="007D4E31">
              <w:t>890 – 915</w:t>
            </w:r>
            <w:r w:rsidRPr="007D4E31">
              <w:rPr>
                <w:rFonts w:eastAsia="MS Mincho"/>
                <w:lang w:eastAsia="ja-JP"/>
              </w:rPr>
              <w:t xml:space="preserve"> </w:t>
            </w:r>
            <w:r w:rsidRPr="007D4E31">
              <w:t>/ 935 – 960</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890 – 898.4</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935 – 943.4</w:t>
            </w:r>
          </w:p>
        </w:tc>
        <w:tc>
          <w:tcPr>
            <w:tcW w:w="1701" w:type="dxa"/>
          </w:tcPr>
          <w:p w:rsidR="00D12318" w:rsidRPr="007D4E31" w:rsidRDefault="00D12318" w:rsidP="0016608A">
            <w:pPr>
              <w:widowControl w:val="0"/>
              <w:jc w:val="both"/>
            </w:pPr>
            <w:r>
              <w:t>Telstra</w:t>
            </w:r>
          </w:p>
        </w:tc>
        <w:tc>
          <w:tcPr>
            <w:tcW w:w="1417" w:type="dxa"/>
            <w:vAlign w:val="center"/>
          </w:tcPr>
          <w:p w:rsidR="00D12318" w:rsidRPr="007D4E31" w:rsidRDefault="00D12318" w:rsidP="0016608A">
            <w:pPr>
              <w:widowControl w:val="0"/>
              <w:jc w:val="both"/>
            </w:pPr>
            <w:r>
              <w:t>No deployment</w:t>
            </w:r>
            <w:r w:rsidRPr="007D4E31">
              <w:t xml:space="preserve"> </w:t>
            </w:r>
          </w:p>
        </w:tc>
        <w:tc>
          <w:tcPr>
            <w:tcW w:w="1418" w:type="dxa"/>
          </w:tcPr>
          <w:p w:rsidR="00D12318" w:rsidRPr="007D4E31" w:rsidRDefault="00D12318" w:rsidP="0016608A">
            <w:pPr>
              <w:widowControl w:val="0"/>
              <w:jc w:val="both"/>
            </w:pPr>
          </w:p>
        </w:tc>
      </w:tr>
      <w:tr w:rsidR="00D12318" w:rsidRPr="00D6004B" w:rsidTr="0016608A">
        <w:trPr>
          <w:trHeight w:val="335"/>
        </w:trPr>
        <w:tc>
          <w:tcPr>
            <w:tcW w:w="1560" w:type="dxa"/>
            <w:vMerge/>
          </w:tcPr>
          <w:p w:rsidR="00D12318" w:rsidRPr="007D4E31" w:rsidRDefault="00D12318" w:rsidP="0016608A"/>
        </w:tc>
        <w:tc>
          <w:tcPr>
            <w:tcW w:w="1701" w:type="dxa"/>
          </w:tcPr>
          <w:p w:rsidR="00D12318" w:rsidRPr="007D4E31" w:rsidRDefault="00D12318" w:rsidP="0016608A">
            <w:pPr>
              <w:widowControl w:val="0"/>
              <w:jc w:val="both"/>
              <w:rPr>
                <w:rFonts w:eastAsia="MS Mincho"/>
                <w:lang w:eastAsia="ja-JP"/>
              </w:rPr>
            </w:pPr>
            <w:r w:rsidRPr="007D4E31">
              <w:rPr>
                <w:rFonts w:eastAsia="MS Mincho"/>
                <w:lang w:eastAsia="ja-JP"/>
              </w:rPr>
              <w:t>898.4 – 906.8</w:t>
            </w:r>
          </w:p>
        </w:tc>
        <w:tc>
          <w:tcPr>
            <w:tcW w:w="1701" w:type="dxa"/>
          </w:tcPr>
          <w:p w:rsidR="00D12318" w:rsidRPr="007D4E31" w:rsidRDefault="00D12318" w:rsidP="0016608A">
            <w:pPr>
              <w:widowControl w:val="0"/>
              <w:jc w:val="both"/>
            </w:pPr>
            <w:r w:rsidRPr="007D4E31">
              <w:t xml:space="preserve">943.4 </w:t>
            </w:r>
            <w:r w:rsidRPr="007D4E31">
              <w:rPr>
                <w:rFonts w:eastAsia="MS Mincho"/>
                <w:lang w:eastAsia="ja-JP"/>
              </w:rPr>
              <w:t>–</w:t>
            </w:r>
            <w:r w:rsidRPr="007D4E31">
              <w:t xml:space="preserve"> 951.8</w:t>
            </w:r>
          </w:p>
        </w:tc>
        <w:tc>
          <w:tcPr>
            <w:tcW w:w="1701" w:type="dxa"/>
          </w:tcPr>
          <w:p w:rsidR="00D12318" w:rsidRPr="007D4E31" w:rsidRDefault="00D12318" w:rsidP="0016608A">
            <w:pPr>
              <w:widowControl w:val="0"/>
              <w:jc w:val="both"/>
            </w:pPr>
            <w:r>
              <w:t>Optus</w:t>
            </w:r>
          </w:p>
        </w:tc>
        <w:tc>
          <w:tcPr>
            <w:tcW w:w="1417" w:type="dxa"/>
          </w:tcPr>
          <w:p w:rsidR="00D12318" w:rsidRPr="007D4E31" w:rsidRDefault="00D12318" w:rsidP="0016608A">
            <w:pPr>
              <w:widowControl w:val="0"/>
              <w:jc w:val="both"/>
            </w:pPr>
            <w:r w:rsidRPr="007D4E31">
              <w:t>HSPA</w:t>
            </w:r>
          </w:p>
        </w:tc>
        <w:tc>
          <w:tcPr>
            <w:tcW w:w="1418" w:type="dxa"/>
          </w:tcPr>
          <w:p w:rsidR="00D12318" w:rsidRPr="007D4E31" w:rsidRDefault="00D12318" w:rsidP="0016608A">
            <w:pPr>
              <w:widowControl w:val="0"/>
              <w:jc w:val="both"/>
            </w:pPr>
          </w:p>
        </w:tc>
      </w:tr>
      <w:tr w:rsidR="00D12318" w:rsidRPr="00D6004B" w:rsidTr="0016608A">
        <w:trPr>
          <w:trHeight w:val="455"/>
        </w:trPr>
        <w:tc>
          <w:tcPr>
            <w:tcW w:w="1560" w:type="dxa"/>
            <w:vMerge/>
            <w:vAlign w:val="center"/>
          </w:tcPr>
          <w:p w:rsidR="00D12318" w:rsidRPr="007D4E31" w:rsidRDefault="00D12318" w:rsidP="0016608A">
            <w:pPr>
              <w:jc w:val="both"/>
            </w:pPr>
          </w:p>
        </w:tc>
        <w:tc>
          <w:tcPr>
            <w:tcW w:w="1701" w:type="dxa"/>
          </w:tcPr>
          <w:p w:rsidR="00D12318" w:rsidRPr="007D4E31" w:rsidRDefault="00D12318" w:rsidP="0016608A">
            <w:pPr>
              <w:widowControl w:val="0"/>
              <w:jc w:val="both"/>
              <w:rPr>
                <w:rFonts w:eastAsia="MS Mincho"/>
                <w:lang w:eastAsia="ja-JP"/>
              </w:rPr>
            </w:pPr>
            <w:r w:rsidRPr="007D4E31">
              <w:rPr>
                <w:rFonts w:eastAsia="MS Mincho"/>
                <w:lang w:eastAsia="ja-JP"/>
              </w:rPr>
              <w:t>906.8 – 915</w:t>
            </w:r>
          </w:p>
        </w:tc>
        <w:tc>
          <w:tcPr>
            <w:tcW w:w="1701" w:type="dxa"/>
          </w:tcPr>
          <w:p w:rsidR="00D12318" w:rsidRPr="007D4E31" w:rsidRDefault="00D12318" w:rsidP="0016608A">
            <w:pPr>
              <w:widowControl w:val="0"/>
              <w:jc w:val="both"/>
            </w:pPr>
            <w:r w:rsidRPr="007D4E31">
              <w:t xml:space="preserve">951.8 </w:t>
            </w:r>
            <w:r w:rsidRPr="007D4E31">
              <w:rPr>
                <w:rFonts w:eastAsia="MS Mincho"/>
                <w:lang w:eastAsia="ja-JP"/>
              </w:rPr>
              <w:t>–</w:t>
            </w:r>
            <w:r w:rsidRPr="007D4E31">
              <w:t xml:space="preserve"> 960</w:t>
            </w:r>
          </w:p>
        </w:tc>
        <w:tc>
          <w:tcPr>
            <w:tcW w:w="1701" w:type="dxa"/>
          </w:tcPr>
          <w:p w:rsidR="00D12318" w:rsidRPr="007D4E31" w:rsidRDefault="00D12318" w:rsidP="0016608A">
            <w:pPr>
              <w:jc w:val="both"/>
              <w:rPr>
                <w:rFonts w:eastAsia="MS Mincho"/>
                <w:lang w:eastAsia="ja-JP"/>
              </w:rPr>
            </w:pPr>
            <w:r>
              <w:t>Vodafone</w:t>
            </w:r>
          </w:p>
        </w:tc>
        <w:tc>
          <w:tcPr>
            <w:tcW w:w="1417" w:type="dxa"/>
            <w:vAlign w:val="center"/>
          </w:tcPr>
          <w:p w:rsidR="00D12318" w:rsidRPr="007D4E31" w:rsidRDefault="00D12318" w:rsidP="0016608A">
            <w:pPr>
              <w:jc w:val="both"/>
              <w:rPr>
                <w:rFonts w:eastAsia="MS Mincho"/>
                <w:lang w:eastAsia="ja-JP"/>
              </w:rPr>
            </w:pPr>
            <w:r w:rsidRPr="007D4E31">
              <w:t>HSPA</w:t>
            </w:r>
          </w:p>
        </w:tc>
        <w:tc>
          <w:tcPr>
            <w:tcW w:w="1418" w:type="dxa"/>
          </w:tcPr>
          <w:p w:rsidR="00D12318" w:rsidRPr="007D4E31" w:rsidRDefault="00D12318" w:rsidP="0016608A">
            <w:pPr>
              <w:jc w:val="both"/>
              <w:rPr>
                <w:rFonts w:eastAsia="MS Mincho"/>
                <w:lang w:eastAsia="ja-JP"/>
              </w:rPr>
            </w:pPr>
          </w:p>
        </w:tc>
      </w:tr>
      <w:tr w:rsidR="00D12318" w:rsidRPr="00D6004B" w:rsidTr="0016608A">
        <w:trPr>
          <w:trHeight w:val="455"/>
        </w:trPr>
        <w:tc>
          <w:tcPr>
            <w:tcW w:w="1560" w:type="dxa"/>
            <w:vAlign w:val="center"/>
          </w:tcPr>
          <w:p w:rsidR="00D12318" w:rsidRPr="007D4E31" w:rsidRDefault="00D12318" w:rsidP="0016608A">
            <w:pPr>
              <w:jc w:val="both"/>
            </w:pPr>
            <w:r w:rsidRPr="007D4E31">
              <w:t>1710 – 1785</w:t>
            </w:r>
            <w:r w:rsidRPr="007D4E31">
              <w:rPr>
                <w:rFonts w:eastAsia="MS Mincho"/>
              </w:rPr>
              <w:t xml:space="preserve"> </w:t>
            </w:r>
            <w:r w:rsidRPr="007D4E31">
              <w:t>/ 1805 –1880</w:t>
            </w:r>
          </w:p>
        </w:tc>
        <w:tc>
          <w:tcPr>
            <w:tcW w:w="1701" w:type="dxa"/>
          </w:tcPr>
          <w:p w:rsidR="00D12318" w:rsidRPr="007D4E31" w:rsidRDefault="00D12318" w:rsidP="0016608A">
            <w:pPr>
              <w:widowControl w:val="0"/>
              <w:jc w:val="both"/>
              <w:rPr>
                <w:rFonts w:eastAsia="MS Mincho"/>
                <w:lang w:eastAsia="ja-JP"/>
              </w:rPr>
            </w:pPr>
            <w:r w:rsidRPr="007D4E31">
              <w:rPr>
                <w:rFonts w:eastAsia="MS Mincho"/>
                <w:lang w:eastAsia="ja-JP"/>
              </w:rPr>
              <w:t>1710 – 1730</w:t>
            </w:r>
          </w:p>
        </w:tc>
        <w:tc>
          <w:tcPr>
            <w:tcW w:w="1701" w:type="dxa"/>
          </w:tcPr>
          <w:p w:rsidR="00D12318" w:rsidRPr="007D4E31" w:rsidRDefault="00D12318" w:rsidP="0016608A">
            <w:pPr>
              <w:widowControl w:val="0"/>
              <w:jc w:val="both"/>
            </w:pPr>
            <w:r w:rsidRPr="007D4E31">
              <w:t xml:space="preserve">1805 </w:t>
            </w:r>
            <w:r w:rsidRPr="007D4E31">
              <w:rPr>
                <w:rFonts w:eastAsia="MS Mincho"/>
                <w:lang w:eastAsia="ja-JP"/>
              </w:rPr>
              <w:t>–</w:t>
            </w:r>
            <w:r w:rsidRPr="007D4E31">
              <w:t xml:space="preserve"> 1825</w:t>
            </w:r>
          </w:p>
        </w:tc>
        <w:tc>
          <w:tcPr>
            <w:tcW w:w="1701" w:type="dxa"/>
          </w:tcPr>
          <w:p w:rsidR="00D12318" w:rsidRPr="007D4E31" w:rsidRDefault="00D12318" w:rsidP="0016608A">
            <w:pPr>
              <w:jc w:val="both"/>
              <w:rPr>
                <w:rFonts w:eastAsia="MS Mincho"/>
                <w:lang w:eastAsia="ja-JP"/>
              </w:rPr>
            </w:pPr>
            <w:r w:rsidRPr="007D4E31">
              <w:rPr>
                <w:rFonts w:eastAsia="MS Mincho"/>
                <w:lang w:eastAsia="ja-JP"/>
              </w:rPr>
              <w:t>Various operators</w:t>
            </w:r>
          </w:p>
        </w:tc>
        <w:tc>
          <w:tcPr>
            <w:tcW w:w="1417" w:type="dxa"/>
            <w:vAlign w:val="center"/>
          </w:tcPr>
          <w:p w:rsidR="00D12318" w:rsidRPr="007D4E31" w:rsidRDefault="00D12318" w:rsidP="0016608A">
            <w:pPr>
              <w:jc w:val="both"/>
              <w:rPr>
                <w:rFonts w:eastAsia="MS Mincho"/>
                <w:lang w:eastAsia="ja-JP"/>
              </w:rPr>
            </w:pPr>
            <w:r w:rsidRPr="007D4E31">
              <w:t>LTE and GSM-R</w:t>
            </w:r>
          </w:p>
        </w:tc>
        <w:tc>
          <w:tcPr>
            <w:tcW w:w="1418" w:type="dxa"/>
          </w:tcPr>
          <w:p w:rsidR="00D12318" w:rsidRPr="007D4E31" w:rsidRDefault="00D12318" w:rsidP="0016608A">
            <w:pPr>
              <w:jc w:val="both"/>
              <w:rPr>
                <w:rFonts w:eastAsia="MS Mincho"/>
                <w:lang w:eastAsia="ja-JP"/>
              </w:rPr>
            </w:pPr>
          </w:p>
        </w:tc>
      </w:tr>
      <w:tr w:rsidR="00D12318" w:rsidRPr="00481109" w:rsidTr="0016608A">
        <w:trPr>
          <w:trHeight w:val="410"/>
        </w:trPr>
        <w:tc>
          <w:tcPr>
            <w:tcW w:w="1560" w:type="dxa"/>
            <w:vMerge w:val="restart"/>
            <w:vAlign w:val="center"/>
          </w:tcPr>
          <w:p w:rsidR="00D12318" w:rsidRPr="007D4E31" w:rsidRDefault="00D12318" w:rsidP="0016608A">
            <w:pPr>
              <w:jc w:val="both"/>
            </w:pPr>
            <w:r w:rsidRPr="007D4E31">
              <w:t>19</w:t>
            </w:r>
            <w:r>
              <w:t>2</w:t>
            </w:r>
            <w:r w:rsidRPr="007D4E31">
              <w:t>0 – 1980/ 2110 - 2170</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1920 - 1935</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2110 - 2125</w:t>
            </w:r>
          </w:p>
        </w:tc>
        <w:tc>
          <w:tcPr>
            <w:tcW w:w="1701" w:type="dxa"/>
          </w:tcPr>
          <w:p w:rsidR="00D12318" w:rsidRPr="007D4E31" w:rsidRDefault="00D12318" w:rsidP="0016608A">
            <w:pPr>
              <w:widowControl w:val="0"/>
              <w:jc w:val="both"/>
            </w:pPr>
            <w:r>
              <w:t>Vodafone</w:t>
            </w:r>
          </w:p>
        </w:tc>
        <w:tc>
          <w:tcPr>
            <w:tcW w:w="1417" w:type="dxa"/>
            <w:vAlign w:val="center"/>
          </w:tcPr>
          <w:p w:rsidR="00D12318" w:rsidRPr="007D4E31" w:rsidRDefault="00D12318" w:rsidP="0016608A">
            <w:pPr>
              <w:widowControl w:val="0"/>
              <w:jc w:val="both"/>
            </w:pPr>
            <w:r>
              <w:t>HSPA/</w:t>
            </w:r>
            <w:r w:rsidRPr="007D4E31">
              <w:t>LTE</w:t>
            </w:r>
          </w:p>
        </w:tc>
        <w:tc>
          <w:tcPr>
            <w:tcW w:w="1418" w:type="dxa"/>
          </w:tcPr>
          <w:p w:rsidR="00D12318" w:rsidRPr="007D4E31" w:rsidRDefault="00D12318" w:rsidP="0016608A">
            <w:pPr>
              <w:widowControl w:val="0"/>
              <w:jc w:val="both"/>
            </w:pPr>
          </w:p>
        </w:tc>
      </w:tr>
      <w:tr w:rsidR="00D12318" w:rsidRPr="00481109"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1935 - 1940</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2125 - 2130</w:t>
            </w:r>
          </w:p>
        </w:tc>
        <w:tc>
          <w:tcPr>
            <w:tcW w:w="1701" w:type="dxa"/>
          </w:tcPr>
          <w:p w:rsidR="00D12318" w:rsidRPr="007D4E31" w:rsidRDefault="00D12318" w:rsidP="0016608A">
            <w:pPr>
              <w:widowControl w:val="0"/>
              <w:jc w:val="both"/>
            </w:pPr>
            <w:r>
              <w:t>Telstra</w:t>
            </w:r>
          </w:p>
        </w:tc>
        <w:tc>
          <w:tcPr>
            <w:tcW w:w="1417" w:type="dxa"/>
            <w:vAlign w:val="center"/>
          </w:tcPr>
          <w:p w:rsidR="00D12318" w:rsidRPr="007D4E31" w:rsidRDefault="00D12318" w:rsidP="0016608A">
            <w:pPr>
              <w:widowControl w:val="0"/>
              <w:jc w:val="both"/>
            </w:pPr>
            <w:r>
              <w:t>HSPA/</w:t>
            </w:r>
            <w:r w:rsidRPr="007D4E31">
              <w:t>LTE</w:t>
            </w:r>
          </w:p>
        </w:tc>
        <w:tc>
          <w:tcPr>
            <w:tcW w:w="1418" w:type="dxa"/>
          </w:tcPr>
          <w:p w:rsidR="00D12318" w:rsidRPr="007D4E31" w:rsidRDefault="00D12318" w:rsidP="0016608A">
            <w:pPr>
              <w:widowControl w:val="0"/>
              <w:jc w:val="both"/>
            </w:pPr>
          </w:p>
        </w:tc>
      </w:tr>
      <w:tr w:rsidR="00D12318" w:rsidRPr="00481109"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1940 - 1960</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2130 - 2150</w:t>
            </w:r>
          </w:p>
        </w:tc>
        <w:tc>
          <w:tcPr>
            <w:tcW w:w="1701" w:type="dxa"/>
          </w:tcPr>
          <w:p w:rsidR="00D12318" w:rsidRPr="007D4E31" w:rsidRDefault="00D12318" w:rsidP="0016608A">
            <w:pPr>
              <w:widowControl w:val="0"/>
              <w:jc w:val="both"/>
            </w:pPr>
            <w:r>
              <w:t>Optus</w:t>
            </w:r>
          </w:p>
        </w:tc>
        <w:tc>
          <w:tcPr>
            <w:tcW w:w="1417" w:type="dxa"/>
            <w:vAlign w:val="center"/>
          </w:tcPr>
          <w:p w:rsidR="00D12318" w:rsidRPr="007D4E31" w:rsidRDefault="00D12318" w:rsidP="0016608A">
            <w:pPr>
              <w:widowControl w:val="0"/>
              <w:jc w:val="both"/>
            </w:pPr>
            <w:r>
              <w:t>HSPA/</w:t>
            </w:r>
            <w:r w:rsidRPr="007D4E31">
              <w:t>LTE</w:t>
            </w:r>
          </w:p>
        </w:tc>
        <w:tc>
          <w:tcPr>
            <w:tcW w:w="1418" w:type="dxa"/>
          </w:tcPr>
          <w:p w:rsidR="00D12318" w:rsidRPr="007D4E31" w:rsidRDefault="00D12318" w:rsidP="0016608A">
            <w:pPr>
              <w:widowControl w:val="0"/>
              <w:jc w:val="both"/>
            </w:pPr>
          </w:p>
        </w:tc>
      </w:tr>
      <w:tr w:rsidR="00D12318" w:rsidRPr="00481109"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1960 - 1970</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2150 - 2160</w:t>
            </w:r>
          </w:p>
        </w:tc>
        <w:tc>
          <w:tcPr>
            <w:tcW w:w="1701" w:type="dxa"/>
          </w:tcPr>
          <w:p w:rsidR="00D12318" w:rsidRPr="007D4E31" w:rsidRDefault="00D12318" w:rsidP="0016608A">
            <w:pPr>
              <w:widowControl w:val="0"/>
              <w:jc w:val="both"/>
            </w:pPr>
            <w:r>
              <w:t>Telstra</w:t>
            </w:r>
          </w:p>
        </w:tc>
        <w:tc>
          <w:tcPr>
            <w:tcW w:w="1417" w:type="dxa"/>
            <w:vAlign w:val="center"/>
          </w:tcPr>
          <w:p w:rsidR="00D12318" w:rsidRPr="007D4E31" w:rsidRDefault="00D12318" w:rsidP="0016608A">
            <w:pPr>
              <w:widowControl w:val="0"/>
              <w:jc w:val="both"/>
            </w:pPr>
            <w:r>
              <w:t>HSPA/</w:t>
            </w:r>
            <w:r w:rsidRPr="007D4E31">
              <w:t>LTE</w:t>
            </w:r>
          </w:p>
        </w:tc>
        <w:tc>
          <w:tcPr>
            <w:tcW w:w="1418" w:type="dxa"/>
          </w:tcPr>
          <w:p w:rsidR="00D12318" w:rsidRPr="007D4E31" w:rsidRDefault="00D12318" w:rsidP="0016608A">
            <w:pPr>
              <w:widowControl w:val="0"/>
              <w:jc w:val="both"/>
            </w:pPr>
          </w:p>
        </w:tc>
      </w:tr>
      <w:tr w:rsidR="00D12318" w:rsidRPr="00481109"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1970 - 1980</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2160 - 2170</w:t>
            </w:r>
          </w:p>
        </w:tc>
        <w:tc>
          <w:tcPr>
            <w:tcW w:w="1701" w:type="dxa"/>
          </w:tcPr>
          <w:p w:rsidR="00D12318" w:rsidRPr="007D4E31" w:rsidRDefault="00D12318" w:rsidP="0016608A">
            <w:pPr>
              <w:widowControl w:val="0"/>
              <w:jc w:val="both"/>
            </w:pPr>
            <w:r>
              <w:t>Vodafone</w:t>
            </w:r>
          </w:p>
        </w:tc>
        <w:tc>
          <w:tcPr>
            <w:tcW w:w="1417" w:type="dxa"/>
            <w:vAlign w:val="center"/>
          </w:tcPr>
          <w:p w:rsidR="00D12318" w:rsidRPr="007D4E31" w:rsidRDefault="00D12318" w:rsidP="0016608A">
            <w:pPr>
              <w:widowControl w:val="0"/>
              <w:jc w:val="both"/>
            </w:pPr>
            <w:r>
              <w:t>HSPA/</w:t>
            </w:r>
            <w:r w:rsidRPr="007D4E31">
              <w:t>LTE</w:t>
            </w:r>
          </w:p>
        </w:tc>
        <w:tc>
          <w:tcPr>
            <w:tcW w:w="1418" w:type="dxa"/>
          </w:tcPr>
          <w:p w:rsidR="00D12318" w:rsidRPr="007D4E31" w:rsidRDefault="00D12318" w:rsidP="0016608A">
            <w:pPr>
              <w:widowControl w:val="0"/>
              <w:jc w:val="both"/>
            </w:pPr>
          </w:p>
        </w:tc>
      </w:tr>
      <w:tr w:rsidR="00D12318" w:rsidRPr="00481109" w:rsidTr="0016608A">
        <w:trPr>
          <w:trHeight w:val="410"/>
        </w:trPr>
        <w:tc>
          <w:tcPr>
            <w:tcW w:w="1560" w:type="dxa"/>
            <w:vMerge w:val="restart"/>
            <w:vAlign w:val="center"/>
          </w:tcPr>
          <w:p w:rsidR="00D12318" w:rsidRPr="007D4E31" w:rsidRDefault="00D12318" w:rsidP="0016608A">
            <w:pPr>
              <w:jc w:val="both"/>
            </w:pPr>
            <w:r>
              <w:t xml:space="preserve">2302-2400 </w:t>
            </w:r>
          </w:p>
        </w:tc>
        <w:tc>
          <w:tcPr>
            <w:tcW w:w="1701" w:type="dxa"/>
            <w:vAlign w:val="center"/>
          </w:tcPr>
          <w:p w:rsidR="00D12318" w:rsidRPr="007D4E31" w:rsidRDefault="00D12318" w:rsidP="0016608A">
            <w:pPr>
              <w:jc w:val="both"/>
              <w:rPr>
                <w:rFonts w:eastAsia="MS Mincho"/>
                <w:lang w:eastAsia="ja-JP"/>
              </w:rPr>
            </w:pPr>
            <w:r>
              <w:t>2302-2400 (Cities)</w:t>
            </w:r>
          </w:p>
        </w:tc>
        <w:tc>
          <w:tcPr>
            <w:tcW w:w="1701" w:type="dxa"/>
            <w:vAlign w:val="center"/>
          </w:tcPr>
          <w:p w:rsidR="00D12318" w:rsidRPr="007D4E31" w:rsidRDefault="00D12318" w:rsidP="0016608A">
            <w:pPr>
              <w:jc w:val="both"/>
              <w:rPr>
                <w:rFonts w:eastAsia="MS Mincho"/>
                <w:lang w:eastAsia="ja-JP"/>
              </w:rPr>
            </w:pPr>
          </w:p>
        </w:tc>
        <w:tc>
          <w:tcPr>
            <w:tcW w:w="1701" w:type="dxa"/>
          </w:tcPr>
          <w:p w:rsidR="00D12318" w:rsidRPr="007D4E31" w:rsidRDefault="00D12318" w:rsidP="0016608A">
            <w:pPr>
              <w:widowControl w:val="0"/>
              <w:jc w:val="both"/>
            </w:pPr>
            <w:r>
              <w:t>Optus</w:t>
            </w:r>
          </w:p>
        </w:tc>
        <w:tc>
          <w:tcPr>
            <w:tcW w:w="1417" w:type="dxa"/>
            <w:vAlign w:val="center"/>
          </w:tcPr>
          <w:p w:rsidR="00D12318" w:rsidRDefault="00D12318" w:rsidP="0016608A">
            <w:pPr>
              <w:widowControl w:val="0"/>
              <w:jc w:val="both"/>
            </w:pPr>
            <w:r>
              <w:t>LTE</w:t>
            </w:r>
          </w:p>
        </w:tc>
        <w:tc>
          <w:tcPr>
            <w:tcW w:w="1418" w:type="dxa"/>
          </w:tcPr>
          <w:p w:rsidR="00D12318" w:rsidRPr="007D4E31" w:rsidRDefault="00D12318" w:rsidP="0016608A">
            <w:pPr>
              <w:widowControl w:val="0"/>
              <w:jc w:val="both"/>
            </w:pPr>
          </w:p>
        </w:tc>
      </w:tr>
      <w:tr w:rsidR="00D12318" w:rsidRPr="00481109"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Pr="007D4E31" w:rsidRDefault="00D12318" w:rsidP="0016608A">
            <w:pPr>
              <w:jc w:val="both"/>
              <w:rPr>
                <w:rFonts w:eastAsia="MS Mincho"/>
                <w:lang w:eastAsia="ja-JP"/>
              </w:rPr>
            </w:pPr>
            <w:r>
              <w:t>2302-2400 (rural)</w:t>
            </w:r>
          </w:p>
        </w:tc>
        <w:tc>
          <w:tcPr>
            <w:tcW w:w="1701" w:type="dxa"/>
            <w:vAlign w:val="center"/>
          </w:tcPr>
          <w:p w:rsidR="00D12318" w:rsidRPr="007D4E31" w:rsidRDefault="00D12318" w:rsidP="0016608A">
            <w:pPr>
              <w:jc w:val="both"/>
              <w:rPr>
                <w:rFonts w:eastAsia="MS Mincho"/>
                <w:lang w:eastAsia="ja-JP"/>
              </w:rPr>
            </w:pPr>
          </w:p>
        </w:tc>
        <w:tc>
          <w:tcPr>
            <w:tcW w:w="1701" w:type="dxa"/>
          </w:tcPr>
          <w:p w:rsidR="00D12318" w:rsidRPr="007D4E31" w:rsidRDefault="00D12318" w:rsidP="0016608A">
            <w:pPr>
              <w:widowControl w:val="0"/>
              <w:jc w:val="both"/>
            </w:pPr>
            <w:r>
              <w:t>NBN</w:t>
            </w:r>
          </w:p>
        </w:tc>
        <w:tc>
          <w:tcPr>
            <w:tcW w:w="1417" w:type="dxa"/>
            <w:vAlign w:val="center"/>
          </w:tcPr>
          <w:p w:rsidR="00D12318" w:rsidRDefault="00D12318" w:rsidP="0016608A">
            <w:pPr>
              <w:widowControl w:val="0"/>
              <w:jc w:val="both"/>
            </w:pPr>
            <w:r>
              <w:t>LTE</w:t>
            </w:r>
          </w:p>
        </w:tc>
        <w:tc>
          <w:tcPr>
            <w:tcW w:w="1418" w:type="dxa"/>
          </w:tcPr>
          <w:p w:rsidR="00D12318" w:rsidRPr="007D4E31" w:rsidRDefault="00D12318" w:rsidP="0016608A">
            <w:pPr>
              <w:widowControl w:val="0"/>
              <w:jc w:val="both"/>
            </w:pPr>
          </w:p>
        </w:tc>
      </w:tr>
      <w:tr w:rsidR="00D12318" w:rsidRPr="00481109" w:rsidTr="0016608A">
        <w:trPr>
          <w:trHeight w:val="410"/>
        </w:trPr>
        <w:tc>
          <w:tcPr>
            <w:tcW w:w="1560" w:type="dxa"/>
            <w:vMerge w:val="restart"/>
            <w:vAlign w:val="center"/>
          </w:tcPr>
          <w:p w:rsidR="00D12318" w:rsidRPr="007D4E31" w:rsidRDefault="00D12318" w:rsidP="0016608A">
            <w:pPr>
              <w:jc w:val="both"/>
            </w:pPr>
            <w:r w:rsidRPr="007D4E31">
              <w:t>2500 – 2570/ 2620 - 2690</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2500 - 2510</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2620 - 2630</w:t>
            </w:r>
          </w:p>
        </w:tc>
        <w:tc>
          <w:tcPr>
            <w:tcW w:w="1701" w:type="dxa"/>
          </w:tcPr>
          <w:p w:rsidR="00D12318" w:rsidRPr="007D4E31" w:rsidRDefault="00D12318" w:rsidP="0016608A">
            <w:pPr>
              <w:widowControl w:val="0"/>
              <w:jc w:val="both"/>
            </w:pPr>
            <w:r w:rsidRPr="007D4E31">
              <w:t>TPG</w:t>
            </w:r>
          </w:p>
        </w:tc>
        <w:tc>
          <w:tcPr>
            <w:tcW w:w="1417" w:type="dxa"/>
            <w:vAlign w:val="center"/>
          </w:tcPr>
          <w:p w:rsidR="00D12318" w:rsidRPr="007D4E31" w:rsidRDefault="00D12318" w:rsidP="0016608A">
            <w:pPr>
              <w:widowControl w:val="0"/>
              <w:jc w:val="both"/>
            </w:pPr>
            <w:r>
              <w:t>LTE</w:t>
            </w:r>
          </w:p>
        </w:tc>
        <w:tc>
          <w:tcPr>
            <w:tcW w:w="1418" w:type="dxa"/>
          </w:tcPr>
          <w:p w:rsidR="00D12318" w:rsidRPr="007D4E31" w:rsidRDefault="00D12318" w:rsidP="0016608A">
            <w:pPr>
              <w:widowControl w:val="0"/>
              <w:jc w:val="both"/>
            </w:pPr>
          </w:p>
        </w:tc>
      </w:tr>
      <w:tr w:rsidR="00D12318" w:rsidRPr="00481109"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2510 - 2550</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2630 - 2670</w:t>
            </w:r>
          </w:p>
        </w:tc>
        <w:tc>
          <w:tcPr>
            <w:tcW w:w="1701" w:type="dxa"/>
          </w:tcPr>
          <w:p w:rsidR="00D12318" w:rsidRPr="007D4E31" w:rsidRDefault="00D12318" w:rsidP="0016608A">
            <w:pPr>
              <w:widowControl w:val="0"/>
              <w:jc w:val="both"/>
            </w:pPr>
            <w:r>
              <w:t>Telstra</w:t>
            </w:r>
          </w:p>
        </w:tc>
        <w:tc>
          <w:tcPr>
            <w:tcW w:w="1417" w:type="dxa"/>
            <w:vAlign w:val="center"/>
          </w:tcPr>
          <w:p w:rsidR="00D12318" w:rsidRPr="007D4E31" w:rsidRDefault="00D12318" w:rsidP="0016608A">
            <w:pPr>
              <w:widowControl w:val="0"/>
              <w:jc w:val="both"/>
            </w:pPr>
            <w:r w:rsidRPr="007D4E31">
              <w:t>LTE</w:t>
            </w:r>
          </w:p>
        </w:tc>
        <w:tc>
          <w:tcPr>
            <w:tcW w:w="1418" w:type="dxa"/>
          </w:tcPr>
          <w:p w:rsidR="00D12318" w:rsidRPr="007D4E31" w:rsidRDefault="00D12318" w:rsidP="0016608A">
            <w:pPr>
              <w:widowControl w:val="0"/>
              <w:jc w:val="both"/>
            </w:pPr>
          </w:p>
        </w:tc>
      </w:tr>
      <w:tr w:rsidR="00D12318" w:rsidRPr="00481109"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2550 - 2570</w:t>
            </w:r>
          </w:p>
        </w:tc>
        <w:tc>
          <w:tcPr>
            <w:tcW w:w="1701" w:type="dxa"/>
            <w:vAlign w:val="center"/>
          </w:tcPr>
          <w:p w:rsidR="00D12318" w:rsidRPr="007D4E31" w:rsidRDefault="00D12318" w:rsidP="0016608A">
            <w:pPr>
              <w:jc w:val="both"/>
              <w:rPr>
                <w:rFonts w:eastAsia="MS Mincho"/>
                <w:lang w:eastAsia="ja-JP"/>
              </w:rPr>
            </w:pPr>
            <w:r w:rsidRPr="007D4E31">
              <w:rPr>
                <w:rFonts w:eastAsia="MS Mincho"/>
                <w:lang w:eastAsia="ja-JP"/>
              </w:rPr>
              <w:t>2670 - 2690</w:t>
            </w:r>
          </w:p>
        </w:tc>
        <w:tc>
          <w:tcPr>
            <w:tcW w:w="1701" w:type="dxa"/>
          </w:tcPr>
          <w:p w:rsidR="00D12318" w:rsidRPr="007D4E31" w:rsidRDefault="00D12318" w:rsidP="0016608A">
            <w:pPr>
              <w:widowControl w:val="0"/>
              <w:jc w:val="both"/>
            </w:pPr>
            <w:r>
              <w:t>Optus</w:t>
            </w:r>
          </w:p>
        </w:tc>
        <w:tc>
          <w:tcPr>
            <w:tcW w:w="1417" w:type="dxa"/>
            <w:vAlign w:val="center"/>
          </w:tcPr>
          <w:p w:rsidR="00D12318" w:rsidRPr="007D4E31" w:rsidRDefault="00D12318" w:rsidP="0016608A">
            <w:pPr>
              <w:widowControl w:val="0"/>
              <w:jc w:val="both"/>
            </w:pPr>
            <w:r w:rsidRPr="007D4E31">
              <w:t>LTE</w:t>
            </w:r>
          </w:p>
        </w:tc>
        <w:tc>
          <w:tcPr>
            <w:tcW w:w="1418" w:type="dxa"/>
          </w:tcPr>
          <w:p w:rsidR="00D12318" w:rsidRPr="007D4E31" w:rsidRDefault="00D12318" w:rsidP="0016608A">
            <w:pPr>
              <w:widowControl w:val="0"/>
              <w:jc w:val="both"/>
            </w:pPr>
          </w:p>
        </w:tc>
      </w:tr>
      <w:tr w:rsidR="00D12318" w:rsidRPr="00481109" w:rsidTr="0016608A">
        <w:trPr>
          <w:trHeight w:val="410"/>
        </w:trPr>
        <w:tc>
          <w:tcPr>
            <w:tcW w:w="1560" w:type="dxa"/>
            <w:vMerge w:val="restart"/>
            <w:vAlign w:val="center"/>
          </w:tcPr>
          <w:p w:rsidR="00D12318" w:rsidRPr="007D4E31" w:rsidRDefault="00D12318" w:rsidP="0016608A">
            <w:pPr>
              <w:jc w:val="both"/>
            </w:pPr>
            <w:r>
              <w:t>3400-3575</w:t>
            </w:r>
          </w:p>
        </w:tc>
        <w:tc>
          <w:tcPr>
            <w:tcW w:w="1701" w:type="dxa"/>
            <w:vAlign w:val="center"/>
          </w:tcPr>
          <w:p w:rsidR="00D12318" w:rsidRPr="007D4E31" w:rsidRDefault="00D12318" w:rsidP="0016608A">
            <w:pPr>
              <w:jc w:val="both"/>
              <w:rPr>
                <w:rFonts w:eastAsia="MS Mincho"/>
                <w:lang w:eastAsia="ja-JP"/>
              </w:rPr>
            </w:pPr>
            <w:r>
              <w:rPr>
                <w:rFonts w:eastAsia="MS Mincho"/>
                <w:lang w:eastAsia="ja-JP"/>
              </w:rPr>
              <w:t>3400-3425</w:t>
            </w:r>
          </w:p>
        </w:tc>
        <w:tc>
          <w:tcPr>
            <w:tcW w:w="1701" w:type="dxa"/>
            <w:vAlign w:val="center"/>
          </w:tcPr>
          <w:p w:rsidR="00D12318" w:rsidRPr="007D4E31" w:rsidRDefault="00D12318" w:rsidP="0016608A">
            <w:pPr>
              <w:jc w:val="both"/>
              <w:rPr>
                <w:rFonts w:eastAsia="MS Mincho"/>
                <w:lang w:eastAsia="ja-JP"/>
              </w:rPr>
            </w:pPr>
          </w:p>
        </w:tc>
        <w:tc>
          <w:tcPr>
            <w:tcW w:w="1701" w:type="dxa"/>
          </w:tcPr>
          <w:p w:rsidR="00D12318" w:rsidRDefault="00D12318" w:rsidP="0016608A">
            <w:pPr>
              <w:widowControl w:val="0"/>
              <w:jc w:val="both"/>
            </w:pPr>
            <w:r>
              <w:t>NBN</w:t>
            </w:r>
          </w:p>
        </w:tc>
        <w:tc>
          <w:tcPr>
            <w:tcW w:w="1417" w:type="dxa"/>
            <w:vAlign w:val="center"/>
          </w:tcPr>
          <w:p w:rsidR="00D12318" w:rsidRPr="007D4E31" w:rsidRDefault="00D12318" w:rsidP="0016608A">
            <w:pPr>
              <w:widowControl w:val="0"/>
              <w:jc w:val="both"/>
            </w:pPr>
            <w:r>
              <w:t>LTE</w:t>
            </w:r>
          </w:p>
        </w:tc>
        <w:tc>
          <w:tcPr>
            <w:tcW w:w="1418" w:type="dxa"/>
          </w:tcPr>
          <w:p w:rsidR="00D12318" w:rsidRPr="007D4E31" w:rsidRDefault="00D12318" w:rsidP="0016608A">
            <w:pPr>
              <w:widowControl w:val="0"/>
              <w:jc w:val="both"/>
            </w:pPr>
          </w:p>
        </w:tc>
      </w:tr>
      <w:tr w:rsidR="00D12318" w:rsidRPr="00481109"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Default="00D12318" w:rsidP="0016608A">
            <w:pPr>
              <w:jc w:val="both"/>
              <w:rPr>
                <w:rFonts w:eastAsia="MS Mincho"/>
                <w:lang w:eastAsia="ja-JP"/>
              </w:rPr>
            </w:pPr>
            <w:r>
              <w:rPr>
                <w:rFonts w:eastAsia="MS Mincho"/>
                <w:lang w:eastAsia="ja-JP"/>
              </w:rPr>
              <w:t>3425-3492.5</w:t>
            </w:r>
          </w:p>
          <w:p w:rsidR="00D12318" w:rsidRPr="007D4E31" w:rsidRDefault="00D12318" w:rsidP="0016608A">
            <w:pPr>
              <w:jc w:val="both"/>
              <w:rPr>
                <w:rFonts w:eastAsia="MS Mincho"/>
                <w:lang w:eastAsia="ja-JP"/>
              </w:rPr>
            </w:pPr>
            <w:r>
              <w:rPr>
                <w:rFonts w:eastAsia="MS Mincho"/>
                <w:lang w:eastAsia="ja-JP"/>
              </w:rPr>
              <w:t>(Cities)</w:t>
            </w:r>
          </w:p>
        </w:tc>
        <w:tc>
          <w:tcPr>
            <w:tcW w:w="1701" w:type="dxa"/>
            <w:vAlign w:val="center"/>
          </w:tcPr>
          <w:p w:rsidR="00D12318" w:rsidRPr="007D4E31" w:rsidRDefault="00D12318" w:rsidP="0016608A">
            <w:pPr>
              <w:jc w:val="both"/>
              <w:rPr>
                <w:rFonts w:eastAsia="MS Mincho"/>
                <w:lang w:eastAsia="ja-JP"/>
              </w:rPr>
            </w:pPr>
          </w:p>
        </w:tc>
        <w:tc>
          <w:tcPr>
            <w:tcW w:w="1701" w:type="dxa"/>
          </w:tcPr>
          <w:p w:rsidR="00D12318" w:rsidRDefault="00D12318" w:rsidP="0016608A">
            <w:pPr>
              <w:widowControl w:val="0"/>
              <w:jc w:val="both"/>
            </w:pPr>
            <w:r>
              <w:t>Optus</w:t>
            </w:r>
          </w:p>
        </w:tc>
        <w:tc>
          <w:tcPr>
            <w:tcW w:w="1417" w:type="dxa"/>
            <w:vAlign w:val="center"/>
          </w:tcPr>
          <w:p w:rsidR="00D12318" w:rsidRPr="007D4E31" w:rsidRDefault="00D12318" w:rsidP="0016608A">
            <w:pPr>
              <w:widowControl w:val="0"/>
              <w:jc w:val="both"/>
            </w:pPr>
            <w:r>
              <w:t>Flexible regulation (No deployment)</w:t>
            </w:r>
          </w:p>
        </w:tc>
        <w:tc>
          <w:tcPr>
            <w:tcW w:w="1418" w:type="dxa"/>
          </w:tcPr>
          <w:p w:rsidR="00D12318" w:rsidRPr="007D4E31" w:rsidRDefault="00D12318" w:rsidP="0016608A">
            <w:pPr>
              <w:widowControl w:val="0"/>
              <w:jc w:val="both"/>
            </w:pPr>
          </w:p>
        </w:tc>
      </w:tr>
      <w:tr w:rsidR="00D12318" w:rsidRPr="00481109"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Default="00D12318" w:rsidP="0016608A">
            <w:pPr>
              <w:jc w:val="both"/>
              <w:rPr>
                <w:rFonts w:eastAsia="MS Mincho"/>
                <w:lang w:eastAsia="ja-JP"/>
              </w:rPr>
            </w:pPr>
            <w:r>
              <w:rPr>
                <w:rFonts w:eastAsia="MS Mincho"/>
                <w:lang w:eastAsia="ja-JP"/>
              </w:rPr>
              <w:t>3425-3492.5</w:t>
            </w:r>
          </w:p>
          <w:p w:rsidR="00D12318" w:rsidRPr="007D4E31" w:rsidRDefault="00D12318" w:rsidP="0016608A">
            <w:pPr>
              <w:jc w:val="both"/>
              <w:rPr>
                <w:rFonts w:eastAsia="MS Mincho"/>
                <w:lang w:eastAsia="ja-JP"/>
              </w:rPr>
            </w:pPr>
            <w:r>
              <w:rPr>
                <w:rFonts w:eastAsia="MS Mincho"/>
                <w:lang w:eastAsia="ja-JP"/>
              </w:rPr>
              <w:t>(Rural)</w:t>
            </w:r>
          </w:p>
        </w:tc>
        <w:tc>
          <w:tcPr>
            <w:tcW w:w="1701" w:type="dxa"/>
            <w:vAlign w:val="center"/>
          </w:tcPr>
          <w:p w:rsidR="00D12318" w:rsidRPr="007D4E31" w:rsidRDefault="00D12318" w:rsidP="0016608A">
            <w:pPr>
              <w:jc w:val="both"/>
              <w:rPr>
                <w:rFonts w:eastAsia="MS Mincho"/>
                <w:lang w:eastAsia="ja-JP"/>
              </w:rPr>
            </w:pPr>
          </w:p>
        </w:tc>
        <w:tc>
          <w:tcPr>
            <w:tcW w:w="1701" w:type="dxa"/>
          </w:tcPr>
          <w:p w:rsidR="00D12318" w:rsidRDefault="00D12318" w:rsidP="0016608A">
            <w:pPr>
              <w:widowControl w:val="0"/>
              <w:jc w:val="both"/>
            </w:pPr>
            <w:r>
              <w:t>NBN</w:t>
            </w:r>
          </w:p>
        </w:tc>
        <w:tc>
          <w:tcPr>
            <w:tcW w:w="1417" w:type="dxa"/>
            <w:vAlign w:val="center"/>
          </w:tcPr>
          <w:p w:rsidR="00D12318" w:rsidRPr="007D4E31" w:rsidRDefault="00D12318" w:rsidP="0016608A">
            <w:pPr>
              <w:widowControl w:val="0"/>
              <w:jc w:val="both"/>
            </w:pPr>
            <w:r>
              <w:t>LTE</w:t>
            </w:r>
          </w:p>
        </w:tc>
        <w:tc>
          <w:tcPr>
            <w:tcW w:w="1418" w:type="dxa"/>
          </w:tcPr>
          <w:p w:rsidR="00D12318" w:rsidRPr="007D4E31" w:rsidRDefault="00D12318" w:rsidP="0016608A">
            <w:pPr>
              <w:widowControl w:val="0"/>
              <w:jc w:val="both"/>
            </w:pPr>
          </w:p>
        </w:tc>
      </w:tr>
      <w:tr w:rsidR="00D12318" w:rsidRPr="00481109"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Pr="007D4E31" w:rsidRDefault="00D12318" w:rsidP="0016608A">
            <w:pPr>
              <w:jc w:val="both"/>
              <w:rPr>
                <w:rFonts w:eastAsia="MS Mincho"/>
                <w:lang w:eastAsia="ja-JP"/>
              </w:rPr>
            </w:pPr>
            <w:r>
              <w:rPr>
                <w:rFonts w:eastAsia="MS Mincho"/>
                <w:lang w:eastAsia="ja-JP"/>
              </w:rPr>
              <w:t>3492.5-3542.5</w:t>
            </w:r>
          </w:p>
        </w:tc>
        <w:tc>
          <w:tcPr>
            <w:tcW w:w="1701" w:type="dxa"/>
            <w:vAlign w:val="center"/>
          </w:tcPr>
          <w:p w:rsidR="00D12318" w:rsidRPr="007D4E31" w:rsidRDefault="00D12318" w:rsidP="0016608A">
            <w:pPr>
              <w:jc w:val="both"/>
              <w:rPr>
                <w:rFonts w:eastAsia="MS Mincho"/>
                <w:lang w:eastAsia="ja-JP"/>
              </w:rPr>
            </w:pPr>
          </w:p>
        </w:tc>
        <w:tc>
          <w:tcPr>
            <w:tcW w:w="1701" w:type="dxa"/>
          </w:tcPr>
          <w:p w:rsidR="00D12318" w:rsidRDefault="00D12318" w:rsidP="0016608A">
            <w:pPr>
              <w:widowControl w:val="0"/>
              <w:jc w:val="both"/>
            </w:pPr>
            <w:r>
              <w:t>NBN</w:t>
            </w:r>
          </w:p>
        </w:tc>
        <w:tc>
          <w:tcPr>
            <w:tcW w:w="1417" w:type="dxa"/>
            <w:vAlign w:val="center"/>
          </w:tcPr>
          <w:p w:rsidR="00D12318" w:rsidRPr="007D4E31" w:rsidRDefault="00D12318" w:rsidP="0016608A">
            <w:pPr>
              <w:widowControl w:val="0"/>
              <w:jc w:val="both"/>
            </w:pPr>
            <w:r>
              <w:t>LTE</w:t>
            </w:r>
          </w:p>
        </w:tc>
        <w:tc>
          <w:tcPr>
            <w:tcW w:w="1418" w:type="dxa"/>
          </w:tcPr>
          <w:p w:rsidR="00D12318" w:rsidRPr="007D4E31" w:rsidRDefault="00D12318" w:rsidP="0016608A">
            <w:pPr>
              <w:widowControl w:val="0"/>
              <w:jc w:val="both"/>
            </w:pPr>
          </w:p>
        </w:tc>
      </w:tr>
      <w:tr w:rsidR="00D12318" w:rsidRPr="00481109"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Default="00D12318" w:rsidP="0016608A">
            <w:pPr>
              <w:jc w:val="both"/>
              <w:rPr>
                <w:rFonts w:eastAsia="MS Mincho"/>
                <w:lang w:eastAsia="ja-JP"/>
              </w:rPr>
            </w:pPr>
            <w:r>
              <w:rPr>
                <w:rFonts w:eastAsia="MS Mincho"/>
                <w:lang w:eastAsia="ja-JP"/>
              </w:rPr>
              <w:t>3542.5-3575</w:t>
            </w:r>
          </w:p>
          <w:p w:rsidR="00D12318" w:rsidRPr="007D4E31" w:rsidRDefault="00D12318" w:rsidP="0016608A">
            <w:pPr>
              <w:jc w:val="both"/>
              <w:rPr>
                <w:rFonts w:eastAsia="MS Mincho"/>
                <w:lang w:eastAsia="ja-JP"/>
              </w:rPr>
            </w:pPr>
            <w:r>
              <w:rPr>
                <w:rFonts w:eastAsia="MS Mincho"/>
                <w:lang w:eastAsia="ja-JP"/>
              </w:rPr>
              <w:t>(Cities)</w:t>
            </w:r>
          </w:p>
        </w:tc>
        <w:tc>
          <w:tcPr>
            <w:tcW w:w="1701" w:type="dxa"/>
            <w:vAlign w:val="center"/>
          </w:tcPr>
          <w:p w:rsidR="00D12318" w:rsidRPr="007D4E31" w:rsidRDefault="00D12318" w:rsidP="0016608A">
            <w:pPr>
              <w:jc w:val="both"/>
              <w:rPr>
                <w:rFonts w:eastAsia="MS Mincho"/>
                <w:lang w:eastAsia="ja-JP"/>
              </w:rPr>
            </w:pPr>
          </w:p>
        </w:tc>
        <w:tc>
          <w:tcPr>
            <w:tcW w:w="1701" w:type="dxa"/>
          </w:tcPr>
          <w:p w:rsidR="00D12318" w:rsidRDefault="00D12318" w:rsidP="0016608A">
            <w:pPr>
              <w:widowControl w:val="0"/>
              <w:jc w:val="both"/>
            </w:pPr>
            <w:r>
              <w:t>Optus</w:t>
            </w:r>
          </w:p>
        </w:tc>
        <w:tc>
          <w:tcPr>
            <w:tcW w:w="1417" w:type="dxa"/>
            <w:vAlign w:val="center"/>
          </w:tcPr>
          <w:p w:rsidR="00D12318" w:rsidRPr="007D4E31" w:rsidRDefault="00D12318" w:rsidP="0016608A">
            <w:pPr>
              <w:widowControl w:val="0"/>
              <w:jc w:val="both"/>
            </w:pPr>
            <w:r>
              <w:t>(No deployment)</w:t>
            </w:r>
          </w:p>
        </w:tc>
        <w:tc>
          <w:tcPr>
            <w:tcW w:w="1418" w:type="dxa"/>
          </w:tcPr>
          <w:p w:rsidR="00D12318" w:rsidRPr="007D4E31" w:rsidRDefault="00D12318" w:rsidP="0016608A">
            <w:pPr>
              <w:widowControl w:val="0"/>
              <w:jc w:val="both"/>
            </w:pPr>
          </w:p>
        </w:tc>
      </w:tr>
      <w:tr w:rsidR="00D12318" w:rsidRPr="00481109" w:rsidTr="0016608A">
        <w:trPr>
          <w:trHeight w:val="410"/>
        </w:trPr>
        <w:tc>
          <w:tcPr>
            <w:tcW w:w="1560" w:type="dxa"/>
            <w:vMerge/>
            <w:vAlign w:val="center"/>
          </w:tcPr>
          <w:p w:rsidR="00D12318" w:rsidRPr="007D4E31" w:rsidRDefault="00D12318" w:rsidP="0016608A">
            <w:pPr>
              <w:jc w:val="both"/>
            </w:pPr>
          </w:p>
        </w:tc>
        <w:tc>
          <w:tcPr>
            <w:tcW w:w="1701" w:type="dxa"/>
            <w:vAlign w:val="center"/>
          </w:tcPr>
          <w:p w:rsidR="00D12318" w:rsidRDefault="00D12318" w:rsidP="0016608A">
            <w:pPr>
              <w:jc w:val="both"/>
              <w:rPr>
                <w:rFonts w:eastAsia="MS Mincho"/>
                <w:lang w:eastAsia="ja-JP"/>
              </w:rPr>
            </w:pPr>
            <w:r>
              <w:rPr>
                <w:rFonts w:eastAsia="MS Mincho"/>
                <w:lang w:eastAsia="ja-JP"/>
              </w:rPr>
              <w:t>3542.5-3575</w:t>
            </w:r>
          </w:p>
          <w:p w:rsidR="00D12318" w:rsidRPr="007D4E31" w:rsidRDefault="00D12318" w:rsidP="0016608A">
            <w:pPr>
              <w:jc w:val="both"/>
              <w:rPr>
                <w:rFonts w:eastAsia="MS Mincho"/>
                <w:lang w:eastAsia="ja-JP"/>
              </w:rPr>
            </w:pPr>
            <w:r>
              <w:rPr>
                <w:rFonts w:eastAsia="MS Mincho"/>
                <w:lang w:eastAsia="ja-JP"/>
              </w:rPr>
              <w:t>(Rural)</w:t>
            </w:r>
          </w:p>
        </w:tc>
        <w:tc>
          <w:tcPr>
            <w:tcW w:w="1701" w:type="dxa"/>
            <w:vAlign w:val="center"/>
          </w:tcPr>
          <w:p w:rsidR="00D12318" w:rsidRPr="007D4E31" w:rsidRDefault="00D12318" w:rsidP="0016608A">
            <w:pPr>
              <w:jc w:val="both"/>
              <w:rPr>
                <w:rFonts w:eastAsia="MS Mincho"/>
                <w:lang w:eastAsia="ja-JP"/>
              </w:rPr>
            </w:pPr>
          </w:p>
        </w:tc>
        <w:tc>
          <w:tcPr>
            <w:tcW w:w="1701" w:type="dxa"/>
          </w:tcPr>
          <w:p w:rsidR="00D12318" w:rsidRDefault="00D12318" w:rsidP="0016608A">
            <w:pPr>
              <w:widowControl w:val="0"/>
              <w:jc w:val="both"/>
            </w:pPr>
            <w:r>
              <w:t>NBN</w:t>
            </w:r>
          </w:p>
        </w:tc>
        <w:tc>
          <w:tcPr>
            <w:tcW w:w="1417" w:type="dxa"/>
            <w:vAlign w:val="center"/>
          </w:tcPr>
          <w:p w:rsidR="00D12318" w:rsidRPr="007D4E31" w:rsidRDefault="00D12318" w:rsidP="0016608A">
            <w:pPr>
              <w:widowControl w:val="0"/>
              <w:jc w:val="both"/>
            </w:pPr>
            <w:r>
              <w:t>LTE</w:t>
            </w:r>
          </w:p>
        </w:tc>
        <w:tc>
          <w:tcPr>
            <w:tcW w:w="1418" w:type="dxa"/>
          </w:tcPr>
          <w:p w:rsidR="00D12318" w:rsidRPr="007D4E31" w:rsidRDefault="00D12318" w:rsidP="0016608A">
            <w:pPr>
              <w:widowControl w:val="0"/>
              <w:jc w:val="both"/>
            </w:pPr>
          </w:p>
        </w:tc>
      </w:tr>
    </w:tbl>
    <w:p w:rsidR="00D12318" w:rsidRDefault="00D12318" w:rsidP="00D12318">
      <w:pPr>
        <w:rPr>
          <w:b/>
        </w:rPr>
      </w:pPr>
    </w:p>
    <w:p w:rsidR="00D12318" w:rsidRPr="00ED1311" w:rsidRDefault="00D12318" w:rsidP="00D12318">
      <w:pPr>
        <w:rPr>
          <w:b/>
        </w:rPr>
      </w:pPr>
      <w:r w:rsidRPr="00ED1311">
        <w:rPr>
          <w:b/>
        </w:rPr>
        <w:t xml:space="preserve">Question </w:t>
      </w:r>
      <w:r>
        <w:rPr>
          <w:b/>
        </w:rPr>
        <w:t>3</w:t>
      </w:r>
      <w:r w:rsidRPr="00ED1311">
        <w:rPr>
          <w:b/>
        </w:rPr>
        <w:t>:</w:t>
      </w:r>
    </w:p>
    <w:p w:rsidR="00D12318" w:rsidRDefault="00D12318" w:rsidP="00D12318">
      <w:r w:rsidRPr="00354060">
        <w:t>Please</w:t>
      </w:r>
      <w:r>
        <w:t xml:space="preserve"> provide (or refer to) characteristics,</w:t>
      </w:r>
      <w:r w:rsidRPr="00F12826">
        <w:t xml:space="preserve"> and protection criteria</w:t>
      </w:r>
      <w:r>
        <w:t>,</w:t>
      </w:r>
      <w:r w:rsidRPr="00F12826">
        <w:t xml:space="preserve"> </w:t>
      </w:r>
      <w:r>
        <w:t>for implementing the IMT systems/networks in Question 2, and similar information for non-IMT services, within the IMT band and in the neighboring bands.</w:t>
      </w:r>
    </w:p>
    <w:p w:rsidR="00D12318" w:rsidRDefault="00D12318" w:rsidP="00D12318"/>
    <w:p w:rsidR="00D12318" w:rsidRPr="005A62A7" w:rsidRDefault="00D12318" w:rsidP="00D12318">
      <w:r>
        <w:t xml:space="preserve">In Australia, each band has </w:t>
      </w:r>
      <w:proofErr w:type="spellStart"/>
      <w:r>
        <w:t>individualised</w:t>
      </w:r>
      <w:proofErr w:type="spellEnd"/>
      <w:r>
        <w:t xml:space="preserve"> detailed characteristics and protection criteria </w:t>
      </w:r>
      <w:r w:rsidRPr="005A62A7">
        <w:t>associated with them. A technical framework is developed for each band</w:t>
      </w:r>
      <w:r w:rsidRPr="00C25DC5">
        <w:rPr>
          <w:rFonts w:ascii="HelveticaNeueW01-45Ligh" w:eastAsia="Times New Roman" w:hAnsi="HelveticaNeueW01-45Ligh"/>
          <w:lang w:val="en" w:eastAsia="en-AU"/>
        </w:rPr>
        <w:t>. The framework consists of three interlocking elements:</w:t>
      </w:r>
    </w:p>
    <w:p w:rsidR="00D12318" w:rsidRPr="00C25DC5" w:rsidRDefault="00D12318" w:rsidP="00D12318">
      <w:pPr>
        <w:numPr>
          <w:ilvl w:val="0"/>
          <w:numId w:val="10"/>
        </w:numPr>
        <w:spacing w:before="100" w:beforeAutospacing="1" w:after="100" w:afterAutospacing="1" w:line="336" w:lineRule="atLeast"/>
        <w:ind w:left="0"/>
        <w:rPr>
          <w:rFonts w:ascii="HelveticaNeueW01-45Ligh" w:eastAsia="Times New Roman" w:hAnsi="HelveticaNeueW01-45Ligh"/>
          <w:lang w:val="en" w:eastAsia="en-AU"/>
        </w:rPr>
      </w:pPr>
      <w:r w:rsidRPr="00C25DC5">
        <w:rPr>
          <w:rFonts w:ascii="HelveticaNeueW01-45Ligh" w:hAnsi="HelveticaNeueW01-45Ligh" w:hint="eastAsia"/>
          <w:lang w:val="en"/>
        </w:rPr>
        <w:lastRenderedPageBreak/>
        <w:t xml:space="preserve">Conditions on the </w:t>
      </w:r>
      <w:proofErr w:type="spellStart"/>
      <w:r w:rsidRPr="00C25DC5">
        <w:rPr>
          <w:rFonts w:ascii="HelveticaNeueW01-45Ligh" w:hAnsi="HelveticaNeueW01-45Ligh" w:hint="eastAsia"/>
          <w:lang w:val="en"/>
        </w:rPr>
        <w:t>licence</w:t>
      </w:r>
      <w:proofErr w:type="spellEnd"/>
      <w:r w:rsidRPr="00C25DC5">
        <w:rPr>
          <w:rFonts w:ascii="HelveticaNeueW01-45Ligh" w:hAnsi="HelveticaNeueW01-45Ligh" w:hint="eastAsia"/>
          <w:lang w:val="en"/>
        </w:rPr>
        <w:t xml:space="preserve"> (including </w:t>
      </w:r>
      <w:hyperlink r:id="rId9" w:history="1">
        <w:proofErr w:type="spellStart"/>
        <w:r w:rsidRPr="00C25DC5">
          <w:rPr>
            <w:rStyle w:val="Strong"/>
            <w:rFonts w:hint="eastAsia"/>
            <w:u w:val="single"/>
            <w:lang w:val="en"/>
          </w:rPr>
          <w:t>licence</w:t>
        </w:r>
        <w:proofErr w:type="spellEnd"/>
        <w:r w:rsidRPr="00C25DC5">
          <w:rPr>
            <w:rStyle w:val="Strong"/>
            <w:rFonts w:hint="eastAsia"/>
            <w:u w:val="single"/>
            <w:lang w:val="en"/>
          </w:rPr>
          <w:t xml:space="preserve"> core conditions</w:t>
        </w:r>
      </w:hyperlink>
      <w:r w:rsidRPr="00C25DC5">
        <w:rPr>
          <w:rFonts w:ascii="HelveticaNeueW01-45Ligh" w:hAnsi="HelveticaNeueW01-45Ligh" w:hint="eastAsia"/>
          <w:lang w:val="en"/>
        </w:rPr>
        <w:t xml:space="preserve">) </w:t>
      </w:r>
    </w:p>
    <w:p w:rsidR="00D12318" w:rsidRPr="00C25DC5" w:rsidRDefault="00D12318" w:rsidP="00D12318">
      <w:pPr>
        <w:numPr>
          <w:ilvl w:val="0"/>
          <w:numId w:val="10"/>
        </w:numPr>
        <w:spacing w:before="100" w:beforeAutospacing="1" w:after="100" w:afterAutospacing="1" w:line="336" w:lineRule="atLeast"/>
        <w:ind w:left="0"/>
        <w:rPr>
          <w:rFonts w:ascii="HelveticaNeueW01-45Ligh" w:eastAsia="Times New Roman" w:hAnsi="HelveticaNeueW01-45Ligh"/>
          <w:lang w:val="en" w:eastAsia="en-AU"/>
        </w:rPr>
      </w:pPr>
      <w:r w:rsidRPr="00C25DC5">
        <w:rPr>
          <w:rFonts w:ascii="HelveticaNeueW01-45Ligh" w:eastAsia="Times New Roman" w:hAnsi="HelveticaNeueW01-45Ligh"/>
          <w:lang w:val="en" w:eastAsia="en-AU"/>
        </w:rPr>
        <w:t>a determination of unacceptable interference for the purpose of</w:t>
      </w:r>
      <w:r w:rsidRPr="00C25DC5">
        <w:rPr>
          <w:rFonts w:ascii="HelveticaNeueW01-45Ligh" w:eastAsia="Times New Roman" w:hAnsi="HelveticaNeueW01-45Ligh" w:hint="eastAsia"/>
          <w:lang w:val="en" w:eastAsia="en-AU"/>
        </w:rPr>
        <w:t> </w:t>
      </w:r>
      <w:hyperlink r:id="rId10" w:history="1">
        <w:r w:rsidRPr="00C25DC5">
          <w:rPr>
            <w:rFonts w:ascii="HelveticaNeueW01-75Bold" w:eastAsia="Times New Roman" w:hAnsi="HelveticaNeueW01-75Bold"/>
            <w:u w:val="single"/>
            <w:lang w:val="en" w:eastAsia="en-AU"/>
          </w:rPr>
          <w:t>device registration</w:t>
        </w:r>
      </w:hyperlink>
      <w:r w:rsidRPr="00C25DC5">
        <w:rPr>
          <w:rFonts w:ascii="HelveticaNeueW01-45Ligh" w:eastAsia="Times New Roman" w:hAnsi="HelveticaNeueW01-45Ligh"/>
          <w:lang w:val="en" w:eastAsia="en-AU"/>
        </w:rPr>
        <w:t xml:space="preserve"> </w:t>
      </w:r>
    </w:p>
    <w:p w:rsidR="00D12318" w:rsidRPr="00C25DC5" w:rsidRDefault="00D12318" w:rsidP="00D12318">
      <w:pPr>
        <w:numPr>
          <w:ilvl w:val="0"/>
          <w:numId w:val="10"/>
        </w:numPr>
        <w:spacing w:before="100" w:beforeAutospacing="1" w:after="100" w:afterAutospacing="1" w:line="336" w:lineRule="atLeast"/>
        <w:ind w:left="0"/>
        <w:rPr>
          <w:rFonts w:ascii="HelveticaNeueW01-45Ligh" w:eastAsia="Times New Roman" w:hAnsi="HelveticaNeueW01-45Ligh"/>
          <w:lang w:val="en" w:eastAsia="en-AU"/>
        </w:rPr>
      </w:pPr>
      <w:proofErr w:type="spellStart"/>
      <w:r w:rsidRPr="00C25DC5">
        <w:rPr>
          <w:rFonts w:ascii="HelveticaNeueW01-45Ligh" w:eastAsia="Times New Roman" w:hAnsi="HelveticaNeueW01-45Ligh"/>
          <w:lang w:val="en" w:eastAsia="en-AU"/>
        </w:rPr>
        <w:t>radiocommunications</w:t>
      </w:r>
      <w:proofErr w:type="spellEnd"/>
      <w:r w:rsidRPr="00C25DC5">
        <w:rPr>
          <w:rFonts w:ascii="HelveticaNeueW01-45Ligh" w:eastAsia="Times New Roman" w:hAnsi="HelveticaNeueW01-45Ligh"/>
          <w:lang w:val="en" w:eastAsia="en-AU"/>
        </w:rPr>
        <w:t xml:space="preserve"> advisory guidelines </w:t>
      </w:r>
    </w:p>
    <w:p w:rsidR="00D12318" w:rsidRDefault="00D12318" w:rsidP="00D12318">
      <w:r>
        <w:t>These can be found in the various documentation found at the following web location:</w:t>
      </w:r>
    </w:p>
    <w:p w:rsidR="00D12318" w:rsidRDefault="00D12318" w:rsidP="00D12318"/>
    <w:p w:rsidR="00D12318" w:rsidRDefault="00301510" w:rsidP="00D12318">
      <w:hyperlink r:id="rId11" w:history="1">
        <w:r w:rsidR="00D12318" w:rsidRPr="00153C1A">
          <w:rPr>
            <w:rStyle w:val="Hyperlink"/>
          </w:rPr>
          <w:t>https://www.acma.gov.au/Industry/Spectrum/Radiocomms-licensing/Spectrum-licences</w:t>
        </w:r>
      </w:hyperlink>
    </w:p>
    <w:p w:rsidR="00D12318" w:rsidRPr="00354060" w:rsidRDefault="00D12318" w:rsidP="00D12318">
      <w:r>
        <w:t xml:space="preserve"> </w:t>
      </w:r>
    </w:p>
    <w:p w:rsidR="00D12318" w:rsidRPr="00ED1311" w:rsidRDefault="00D12318" w:rsidP="00D12318">
      <w:pPr>
        <w:rPr>
          <w:b/>
        </w:rPr>
      </w:pPr>
      <w:r w:rsidRPr="00ED1311">
        <w:rPr>
          <w:b/>
        </w:rPr>
        <w:t xml:space="preserve">Question </w:t>
      </w:r>
      <w:r>
        <w:rPr>
          <w:b/>
        </w:rPr>
        <w:t>4</w:t>
      </w:r>
      <w:r w:rsidRPr="00ED1311">
        <w:rPr>
          <w:b/>
        </w:rPr>
        <w:t>:</w:t>
      </w:r>
    </w:p>
    <w:p w:rsidR="00D12318" w:rsidRDefault="00D12318" w:rsidP="00D12318">
      <w:pPr>
        <w:pStyle w:val="ListParagraph"/>
        <w:ind w:firstLineChars="0" w:firstLine="0"/>
      </w:pPr>
      <w:r>
        <w:t>Which case of coexistence as illustrated below and the technical conditions must be applied to each IMT block (</w:t>
      </w:r>
      <w:proofErr w:type="spellStart"/>
      <w:r>
        <w:t>e.g</w:t>
      </w:r>
      <w:proofErr w:type="spellEnd"/>
      <w:r>
        <w:t xml:space="preserve"> power limit, emission mask for spectrum block, </w:t>
      </w:r>
      <w:proofErr w:type="spellStart"/>
      <w:r>
        <w:t>pfd</w:t>
      </w:r>
      <w:proofErr w:type="spellEnd"/>
      <w:r>
        <w:t xml:space="preserve"> </w:t>
      </w:r>
      <w:proofErr w:type="gramStart"/>
      <w:r>
        <w:t>limit, …)</w:t>
      </w:r>
      <w:proofErr w:type="gramEnd"/>
      <w:r>
        <w:t xml:space="preserve"> to </w:t>
      </w:r>
      <w:r w:rsidRPr="001B08ED">
        <w:rPr>
          <w:rFonts w:eastAsia="MS Mincho"/>
          <w:bCs/>
          <w:lang w:val="en-GB"/>
        </w:rPr>
        <w:t>support technology neutrality and spectrum efficiency</w:t>
      </w:r>
      <w: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153"/>
        <w:gridCol w:w="5550"/>
      </w:tblGrid>
      <w:tr w:rsidR="00D12318" w:rsidTr="0016608A">
        <w:tc>
          <w:tcPr>
            <w:tcW w:w="2179" w:type="dxa"/>
            <w:shd w:val="clear" w:color="auto" w:fill="auto"/>
            <w:vAlign w:val="center"/>
          </w:tcPr>
          <w:p w:rsidR="00D12318" w:rsidRPr="0016608A" w:rsidRDefault="00D12318" w:rsidP="0016608A">
            <w:pPr>
              <w:pStyle w:val="ListParagraph"/>
              <w:ind w:firstLineChars="0" w:firstLine="0"/>
              <w:jc w:val="center"/>
              <w:rPr>
                <w:rFonts w:ascii="Calibri" w:hAnsi="Calibri" w:cs="Cordia New"/>
                <w:sz w:val="22"/>
                <w:szCs w:val="28"/>
              </w:rPr>
            </w:pPr>
            <w:r w:rsidRPr="0016608A">
              <w:rPr>
                <w:rFonts w:ascii="Calibri" w:hAnsi="Calibri" w:cs="Cordia New"/>
                <w:sz w:val="22"/>
                <w:szCs w:val="28"/>
              </w:rPr>
              <w:t>Frequency band (MHz)</w:t>
            </w:r>
          </w:p>
        </w:tc>
        <w:tc>
          <w:tcPr>
            <w:tcW w:w="1153" w:type="dxa"/>
            <w:shd w:val="clear" w:color="auto" w:fill="auto"/>
          </w:tcPr>
          <w:p w:rsidR="00D12318" w:rsidRPr="0016608A" w:rsidRDefault="00D12318" w:rsidP="0016608A">
            <w:pPr>
              <w:jc w:val="center"/>
              <w:rPr>
                <w:rFonts w:ascii="Calibri" w:hAnsi="Calibri" w:cs="Cordia New"/>
                <w:sz w:val="22"/>
                <w:szCs w:val="28"/>
              </w:rPr>
            </w:pPr>
            <w:r w:rsidRPr="0016608A">
              <w:rPr>
                <w:rFonts w:ascii="Calibri" w:hAnsi="Calibri" w:cs="Cordia New"/>
                <w:sz w:val="22"/>
                <w:szCs w:val="28"/>
              </w:rPr>
              <w:t>Case</w:t>
            </w:r>
          </w:p>
        </w:tc>
        <w:tc>
          <w:tcPr>
            <w:tcW w:w="5550" w:type="dxa"/>
            <w:shd w:val="clear" w:color="auto" w:fill="auto"/>
          </w:tcPr>
          <w:p w:rsidR="00D12318" w:rsidRPr="0016608A" w:rsidRDefault="00D12318" w:rsidP="0016608A">
            <w:pPr>
              <w:jc w:val="center"/>
              <w:rPr>
                <w:rFonts w:ascii="Calibri" w:hAnsi="Calibri" w:cs="Cordia New"/>
                <w:sz w:val="22"/>
                <w:szCs w:val="28"/>
              </w:rPr>
            </w:pPr>
            <w:r w:rsidRPr="0016608A">
              <w:rPr>
                <w:rFonts w:ascii="Calibri" w:hAnsi="Calibri" w:cs="Cordia New"/>
                <w:sz w:val="22"/>
                <w:szCs w:val="28"/>
              </w:rPr>
              <w:t>Technical condition</w:t>
            </w:r>
          </w:p>
        </w:tc>
      </w:tr>
      <w:tr w:rsidR="00D12318" w:rsidTr="0016608A">
        <w:tc>
          <w:tcPr>
            <w:tcW w:w="2179" w:type="dxa"/>
            <w:vMerge w:val="restart"/>
            <w:shd w:val="clear" w:color="auto" w:fill="auto"/>
            <w:vAlign w:val="center"/>
          </w:tcPr>
          <w:p w:rsidR="00D12318" w:rsidRPr="0016608A" w:rsidRDefault="00D12318" w:rsidP="0016608A">
            <w:pPr>
              <w:rPr>
                <w:rFonts w:ascii="Calibri" w:hAnsi="Calibri" w:cs="Cordia New"/>
                <w:sz w:val="22"/>
                <w:szCs w:val="28"/>
              </w:rPr>
            </w:pPr>
            <w:r w:rsidRPr="0016608A">
              <w:rPr>
                <w:rFonts w:ascii="Calibri" w:hAnsi="Calibri" w:cs="Cordia New"/>
                <w:sz w:val="22"/>
                <w:szCs w:val="28"/>
              </w:rPr>
              <w:t>All bands</w:t>
            </w:r>
          </w:p>
        </w:tc>
        <w:tc>
          <w:tcPr>
            <w:tcW w:w="1153" w:type="dxa"/>
            <w:shd w:val="clear" w:color="auto" w:fill="auto"/>
          </w:tcPr>
          <w:p w:rsidR="00D12318" w:rsidRPr="0016608A" w:rsidRDefault="00D12318" w:rsidP="0016608A">
            <w:pPr>
              <w:pStyle w:val="ListParagraph"/>
              <w:ind w:firstLine="440"/>
              <w:rPr>
                <w:rFonts w:ascii="Calibri" w:hAnsi="Calibri" w:cs="Cordia New"/>
                <w:sz w:val="22"/>
                <w:szCs w:val="28"/>
              </w:rPr>
            </w:pPr>
            <w:r w:rsidRPr="0016608A">
              <w:rPr>
                <w:rFonts w:ascii="Calibri" w:hAnsi="Calibri" w:cs="Cordia New"/>
                <w:sz w:val="22"/>
                <w:szCs w:val="28"/>
              </w:rPr>
              <w:t>A</w:t>
            </w:r>
          </w:p>
        </w:tc>
        <w:tc>
          <w:tcPr>
            <w:tcW w:w="5550" w:type="dxa"/>
            <w:shd w:val="clear" w:color="auto" w:fill="auto"/>
          </w:tcPr>
          <w:p w:rsidR="00D12318" w:rsidRPr="0016608A" w:rsidRDefault="00D12318" w:rsidP="0016608A">
            <w:pPr>
              <w:rPr>
                <w:rFonts w:ascii="Calibri" w:hAnsi="Calibri" w:cs="Cordia New"/>
                <w:sz w:val="22"/>
                <w:szCs w:val="28"/>
              </w:rPr>
            </w:pPr>
            <w:proofErr w:type="gramStart"/>
            <w:r w:rsidRPr="0016608A">
              <w:rPr>
                <w:rFonts w:ascii="Calibri" w:hAnsi="Calibri" w:cs="Cordia New"/>
                <w:sz w:val="22"/>
                <w:szCs w:val="28"/>
              </w:rPr>
              <w:t>power</w:t>
            </w:r>
            <w:proofErr w:type="gramEnd"/>
            <w:r w:rsidRPr="0016608A">
              <w:rPr>
                <w:rFonts w:ascii="Calibri" w:hAnsi="Calibri" w:cs="Cordia New"/>
                <w:sz w:val="22"/>
                <w:szCs w:val="28"/>
              </w:rPr>
              <w:t xml:space="preserve"> limit and emission mask for spectrum block. Additional restrictions for edge of block are placed on TDD spectrum </w:t>
            </w:r>
          </w:p>
        </w:tc>
      </w:tr>
      <w:tr w:rsidR="00D12318" w:rsidTr="0016608A">
        <w:tc>
          <w:tcPr>
            <w:tcW w:w="2179" w:type="dxa"/>
            <w:vMerge/>
            <w:shd w:val="clear" w:color="auto" w:fill="auto"/>
            <w:vAlign w:val="center"/>
          </w:tcPr>
          <w:p w:rsidR="00D12318" w:rsidRPr="0016608A" w:rsidRDefault="00D12318" w:rsidP="0016608A">
            <w:pPr>
              <w:pStyle w:val="ListParagraph"/>
              <w:ind w:firstLine="440"/>
              <w:rPr>
                <w:rFonts w:ascii="Calibri" w:hAnsi="Calibri" w:cs="Cordia New"/>
                <w:sz w:val="22"/>
                <w:szCs w:val="28"/>
                <w:highlight w:val="yellow"/>
              </w:rPr>
            </w:pPr>
          </w:p>
        </w:tc>
        <w:tc>
          <w:tcPr>
            <w:tcW w:w="1153" w:type="dxa"/>
            <w:shd w:val="clear" w:color="auto" w:fill="auto"/>
          </w:tcPr>
          <w:p w:rsidR="00D12318" w:rsidRPr="0016608A" w:rsidRDefault="00D12318" w:rsidP="0016608A">
            <w:pPr>
              <w:pStyle w:val="ListParagraph"/>
              <w:ind w:firstLine="440"/>
              <w:rPr>
                <w:rFonts w:ascii="Calibri" w:hAnsi="Calibri" w:cs="Cordia New"/>
                <w:sz w:val="22"/>
                <w:szCs w:val="28"/>
              </w:rPr>
            </w:pPr>
            <w:r w:rsidRPr="0016608A">
              <w:rPr>
                <w:rFonts w:ascii="Calibri" w:hAnsi="Calibri" w:cs="Cordia New"/>
                <w:sz w:val="22"/>
                <w:szCs w:val="28"/>
              </w:rPr>
              <w:t>B</w:t>
            </w:r>
          </w:p>
        </w:tc>
        <w:tc>
          <w:tcPr>
            <w:tcW w:w="5550" w:type="dxa"/>
            <w:shd w:val="clear" w:color="auto" w:fill="auto"/>
          </w:tcPr>
          <w:p w:rsidR="00D12318" w:rsidRPr="0016608A" w:rsidRDefault="00D12318" w:rsidP="0016608A">
            <w:pPr>
              <w:rPr>
                <w:rFonts w:ascii="Calibri" w:hAnsi="Calibri" w:cs="Cordia New"/>
                <w:sz w:val="22"/>
                <w:szCs w:val="28"/>
              </w:rPr>
            </w:pPr>
            <w:proofErr w:type="gramStart"/>
            <w:r w:rsidRPr="0016608A">
              <w:rPr>
                <w:rFonts w:ascii="Calibri" w:hAnsi="Calibri" w:cs="Cordia New"/>
                <w:sz w:val="22"/>
                <w:szCs w:val="28"/>
              </w:rPr>
              <w:t>power</w:t>
            </w:r>
            <w:proofErr w:type="gramEnd"/>
            <w:r w:rsidRPr="0016608A">
              <w:rPr>
                <w:rFonts w:ascii="Calibri" w:hAnsi="Calibri" w:cs="Cordia New"/>
                <w:sz w:val="22"/>
                <w:szCs w:val="28"/>
              </w:rPr>
              <w:t xml:space="preserve"> limit and emission mask for spectrum block. Notional receivers for the IMT services are derived for each band for coordination purposes. </w:t>
            </w:r>
          </w:p>
        </w:tc>
      </w:tr>
      <w:tr w:rsidR="00D12318" w:rsidTr="0016608A">
        <w:tc>
          <w:tcPr>
            <w:tcW w:w="2179" w:type="dxa"/>
            <w:vMerge/>
            <w:shd w:val="clear" w:color="auto" w:fill="auto"/>
            <w:vAlign w:val="center"/>
          </w:tcPr>
          <w:p w:rsidR="00D12318" w:rsidRPr="0016608A" w:rsidRDefault="00D12318" w:rsidP="0016608A">
            <w:pPr>
              <w:pStyle w:val="ListParagraph"/>
              <w:ind w:firstLine="440"/>
              <w:rPr>
                <w:rFonts w:ascii="Calibri" w:hAnsi="Calibri" w:cs="Cordia New"/>
                <w:sz w:val="22"/>
                <w:szCs w:val="28"/>
                <w:highlight w:val="yellow"/>
              </w:rPr>
            </w:pPr>
          </w:p>
        </w:tc>
        <w:tc>
          <w:tcPr>
            <w:tcW w:w="1153" w:type="dxa"/>
            <w:shd w:val="clear" w:color="auto" w:fill="auto"/>
          </w:tcPr>
          <w:p w:rsidR="00D12318" w:rsidRPr="0016608A" w:rsidRDefault="00D12318" w:rsidP="0016608A">
            <w:pPr>
              <w:pStyle w:val="ListParagraph"/>
              <w:ind w:firstLine="440"/>
              <w:rPr>
                <w:rFonts w:ascii="Calibri" w:hAnsi="Calibri" w:cs="Cordia New"/>
                <w:sz w:val="22"/>
                <w:szCs w:val="28"/>
              </w:rPr>
            </w:pPr>
            <w:r w:rsidRPr="0016608A">
              <w:rPr>
                <w:rFonts w:ascii="Calibri" w:hAnsi="Calibri" w:cs="Cordia New"/>
                <w:sz w:val="22"/>
                <w:szCs w:val="28"/>
              </w:rPr>
              <w:t>C</w:t>
            </w:r>
          </w:p>
        </w:tc>
        <w:tc>
          <w:tcPr>
            <w:tcW w:w="5550" w:type="dxa"/>
            <w:shd w:val="clear" w:color="auto" w:fill="auto"/>
          </w:tcPr>
          <w:p w:rsidR="00D12318" w:rsidRPr="0016608A" w:rsidRDefault="00D12318" w:rsidP="0016608A">
            <w:pPr>
              <w:rPr>
                <w:rFonts w:ascii="Calibri" w:hAnsi="Calibri" w:cs="Cordia New"/>
                <w:sz w:val="22"/>
                <w:szCs w:val="28"/>
              </w:rPr>
            </w:pPr>
            <w:proofErr w:type="gramStart"/>
            <w:r w:rsidRPr="0016608A">
              <w:rPr>
                <w:rFonts w:ascii="Calibri" w:hAnsi="Calibri" w:cs="Cordia New"/>
                <w:sz w:val="22"/>
                <w:szCs w:val="28"/>
              </w:rPr>
              <w:t>power</w:t>
            </w:r>
            <w:proofErr w:type="gramEnd"/>
            <w:r w:rsidRPr="0016608A">
              <w:rPr>
                <w:rFonts w:ascii="Calibri" w:hAnsi="Calibri" w:cs="Cordia New"/>
                <w:sz w:val="22"/>
                <w:szCs w:val="28"/>
              </w:rPr>
              <w:t xml:space="preserve"> limit and emission mask for spectrum block. Notional receivers for the IMT services are derived for each band for coordination purposes.</w:t>
            </w:r>
          </w:p>
        </w:tc>
      </w:tr>
      <w:tr w:rsidR="00D12318" w:rsidTr="0016608A">
        <w:tc>
          <w:tcPr>
            <w:tcW w:w="2179" w:type="dxa"/>
            <w:vMerge/>
            <w:shd w:val="clear" w:color="auto" w:fill="auto"/>
            <w:vAlign w:val="center"/>
          </w:tcPr>
          <w:p w:rsidR="00D12318" w:rsidRPr="0016608A" w:rsidRDefault="00D12318" w:rsidP="0016608A">
            <w:pPr>
              <w:pStyle w:val="ListParagraph"/>
              <w:ind w:firstLine="440"/>
              <w:rPr>
                <w:rFonts w:ascii="Calibri" w:hAnsi="Calibri" w:cs="Cordia New"/>
                <w:sz w:val="22"/>
                <w:szCs w:val="28"/>
                <w:highlight w:val="yellow"/>
              </w:rPr>
            </w:pPr>
          </w:p>
        </w:tc>
        <w:tc>
          <w:tcPr>
            <w:tcW w:w="1153" w:type="dxa"/>
            <w:shd w:val="clear" w:color="auto" w:fill="auto"/>
          </w:tcPr>
          <w:p w:rsidR="00D12318" w:rsidRPr="0016608A" w:rsidRDefault="00D12318" w:rsidP="0016608A">
            <w:pPr>
              <w:pStyle w:val="ListParagraph"/>
              <w:ind w:firstLine="440"/>
              <w:rPr>
                <w:rFonts w:ascii="Calibri" w:hAnsi="Calibri" w:cs="Cordia New"/>
                <w:sz w:val="22"/>
                <w:szCs w:val="28"/>
              </w:rPr>
            </w:pPr>
            <w:r w:rsidRPr="0016608A">
              <w:rPr>
                <w:rFonts w:ascii="Calibri" w:hAnsi="Calibri" w:cs="Cordia New"/>
                <w:sz w:val="22"/>
                <w:szCs w:val="28"/>
              </w:rPr>
              <w:t>D</w:t>
            </w:r>
          </w:p>
        </w:tc>
        <w:tc>
          <w:tcPr>
            <w:tcW w:w="5550" w:type="dxa"/>
            <w:shd w:val="clear" w:color="auto" w:fill="auto"/>
          </w:tcPr>
          <w:p w:rsidR="00D12318" w:rsidRPr="0016608A" w:rsidRDefault="00D12318" w:rsidP="0016608A">
            <w:pPr>
              <w:rPr>
                <w:rFonts w:ascii="Calibri" w:hAnsi="Calibri" w:cs="Cordia New"/>
                <w:sz w:val="22"/>
                <w:szCs w:val="28"/>
              </w:rPr>
            </w:pPr>
            <w:r w:rsidRPr="0016608A">
              <w:rPr>
                <w:rFonts w:ascii="Calibri" w:hAnsi="Calibri" w:cs="Cordia New"/>
                <w:sz w:val="22"/>
                <w:szCs w:val="28"/>
              </w:rPr>
              <w:t>Propagation model and Level of Protection limit at boundary</w:t>
            </w:r>
          </w:p>
        </w:tc>
      </w:tr>
      <w:tr w:rsidR="00D12318" w:rsidTr="0016608A">
        <w:tc>
          <w:tcPr>
            <w:tcW w:w="2179" w:type="dxa"/>
            <w:vMerge/>
            <w:shd w:val="clear" w:color="auto" w:fill="auto"/>
            <w:vAlign w:val="center"/>
          </w:tcPr>
          <w:p w:rsidR="00D12318" w:rsidRPr="0016608A" w:rsidRDefault="00D12318" w:rsidP="0016608A">
            <w:pPr>
              <w:pStyle w:val="ListParagraph"/>
              <w:ind w:firstLine="440"/>
              <w:rPr>
                <w:rFonts w:ascii="Calibri" w:hAnsi="Calibri" w:cs="Cordia New"/>
                <w:sz w:val="22"/>
                <w:szCs w:val="28"/>
                <w:highlight w:val="yellow"/>
              </w:rPr>
            </w:pPr>
          </w:p>
        </w:tc>
        <w:tc>
          <w:tcPr>
            <w:tcW w:w="1153" w:type="dxa"/>
            <w:shd w:val="clear" w:color="auto" w:fill="auto"/>
          </w:tcPr>
          <w:p w:rsidR="00D12318" w:rsidRPr="0016608A" w:rsidRDefault="00D12318" w:rsidP="0016608A">
            <w:pPr>
              <w:pStyle w:val="ListParagraph"/>
              <w:ind w:firstLine="440"/>
              <w:rPr>
                <w:rFonts w:ascii="Calibri" w:hAnsi="Calibri" w:cs="Cordia New"/>
                <w:sz w:val="22"/>
                <w:szCs w:val="28"/>
              </w:rPr>
            </w:pPr>
            <w:r w:rsidRPr="0016608A">
              <w:rPr>
                <w:rFonts w:ascii="Calibri" w:hAnsi="Calibri" w:cs="Cordia New"/>
                <w:sz w:val="22"/>
                <w:szCs w:val="28"/>
              </w:rPr>
              <w:t>E</w:t>
            </w:r>
          </w:p>
        </w:tc>
        <w:tc>
          <w:tcPr>
            <w:tcW w:w="5550" w:type="dxa"/>
            <w:shd w:val="clear" w:color="auto" w:fill="auto"/>
          </w:tcPr>
          <w:p w:rsidR="00D12318" w:rsidRPr="0016608A" w:rsidRDefault="00D12318" w:rsidP="0016608A">
            <w:pPr>
              <w:rPr>
                <w:rFonts w:ascii="Calibri" w:hAnsi="Calibri" w:cs="Cordia New"/>
                <w:sz w:val="22"/>
                <w:szCs w:val="28"/>
              </w:rPr>
            </w:pPr>
            <w:r w:rsidRPr="0016608A">
              <w:rPr>
                <w:rFonts w:ascii="Calibri" w:hAnsi="Calibri" w:cs="Cordia New"/>
                <w:sz w:val="22"/>
                <w:szCs w:val="28"/>
              </w:rPr>
              <w:t>Propagation model and Level of Protection limit at boundary</w:t>
            </w:r>
          </w:p>
        </w:tc>
      </w:tr>
    </w:tbl>
    <w:p w:rsidR="00D12318" w:rsidRDefault="00D12318" w:rsidP="00D12318">
      <w:pPr>
        <w:pStyle w:val="ListParagraph"/>
        <w:ind w:firstLine="480"/>
      </w:pPr>
    </w:p>
    <w:bookmarkStart w:id="1" w:name="_MON_1258028741"/>
    <w:bookmarkEnd w:id="1"/>
    <w:p w:rsidR="00D12318" w:rsidRDefault="00D12318" w:rsidP="00D12318">
      <w:pPr>
        <w:pStyle w:val="ListParagraph"/>
        <w:ind w:firstLine="480"/>
      </w:pPr>
      <w:r w:rsidRPr="00365339">
        <w:object w:dxaOrig="14940" w:dyaOrig="7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21.25pt" o:ole="">
            <v:imagedata r:id="rId12" o:title=""/>
          </v:shape>
          <o:OLEObject Type="Embed" ProgID="Word.Picture.8" ShapeID="_x0000_i1025" DrawAspect="Content" ObjectID="_1584420138" r:id="rId13"/>
        </w:object>
      </w:r>
    </w:p>
    <w:p w:rsidR="00D12318" w:rsidRDefault="00D12318" w:rsidP="00D12318">
      <w:r>
        <w:t xml:space="preserve">Case A: coexistence between IMT block and IMT in adjacent block in same IMT band </w:t>
      </w:r>
    </w:p>
    <w:p w:rsidR="00D12318" w:rsidRDefault="00D12318" w:rsidP="00D12318">
      <w:r>
        <w:t>Case B: coexistence between IMT block and non-IMT in adjacent block in same IMT band</w:t>
      </w:r>
    </w:p>
    <w:p w:rsidR="00D12318" w:rsidRDefault="00D12318" w:rsidP="00D12318">
      <w:pPr>
        <w:pStyle w:val="ListParagraph"/>
        <w:ind w:firstLineChars="0" w:firstLine="0"/>
      </w:pPr>
      <w:r>
        <w:t>Case C: coexistence between IMT block in IMT band and non-IMT block in adjacent band</w:t>
      </w:r>
    </w:p>
    <w:p w:rsidR="00D12318" w:rsidRDefault="00D12318" w:rsidP="00D12318">
      <w:pPr>
        <w:pStyle w:val="ListParagraph"/>
        <w:ind w:firstLineChars="0" w:firstLine="0"/>
      </w:pPr>
      <w:r>
        <w:t>Case D: coexistence between IMT block and non-IMT block co-channel but adjacent geographical area</w:t>
      </w:r>
    </w:p>
    <w:p w:rsidR="00D12318" w:rsidRDefault="00D12318" w:rsidP="00D12318">
      <w:pPr>
        <w:pStyle w:val="ListParagraph"/>
        <w:ind w:firstLineChars="0" w:firstLine="0"/>
      </w:pPr>
      <w:r>
        <w:t>Case E:</w:t>
      </w:r>
      <w:r w:rsidRPr="00220733">
        <w:t xml:space="preserve"> </w:t>
      </w:r>
      <w:r>
        <w:t>coexistence between IMT block and other IMT block co-channel but adjacent geographical area</w:t>
      </w:r>
    </w:p>
    <w:sectPr w:rsidR="00D12318" w:rsidSect="00DB0A68">
      <w:headerReference w:type="default" r:id="rId14"/>
      <w:footerReference w:type="even" r:id="rId15"/>
      <w:footerReference w:type="default" r:id="rId16"/>
      <w:footerReference w:type="first" r:id="rId17"/>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10" w:rsidRDefault="00301510">
      <w:r>
        <w:separator/>
      </w:r>
    </w:p>
  </w:endnote>
  <w:endnote w:type="continuationSeparator" w:id="0">
    <w:p w:rsidR="00301510" w:rsidRDefault="0030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roma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HelveticaNeueW01-75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NeueW01-45Ligh">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3771CA" w:rsidP="003771CA">
    <w:pPr>
      <w:pStyle w:val="Footer"/>
      <w:ind w:right="360"/>
      <w:rPr>
        <w:rStyle w:val="PageNumber"/>
      </w:rPr>
    </w:pPr>
    <w:r>
      <w:rPr>
        <w:rFonts w:hint="eastAsia"/>
        <w:lang w:eastAsia="ko-KR"/>
      </w:rPr>
      <w:t>A</w:t>
    </w:r>
    <w:r>
      <w:rPr>
        <w:lang w:eastAsia="ko-KR"/>
      </w:rPr>
      <w:t>WG</w:t>
    </w:r>
    <w:r>
      <w:rPr>
        <w:rFonts w:hint="eastAsia"/>
        <w:lang w:eastAsia="ko-KR"/>
      </w:rPr>
      <w:t>-</w:t>
    </w:r>
    <w:r w:rsidR="00CC1DE7">
      <w:rPr>
        <w:lang w:eastAsia="ko-KR"/>
      </w:rPr>
      <w:t>23</w:t>
    </w:r>
    <w:r>
      <w:rPr>
        <w:rFonts w:hint="eastAsia"/>
        <w:lang w:eastAsia="ko-KR"/>
      </w:rPr>
      <w:t>/</w:t>
    </w:r>
    <w:r w:rsidR="000460BF">
      <w:rPr>
        <w:lang w:eastAsia="ko-KR"/>
      </w:rPr>
      <w:t>INP-12</w:t>
    </w:r>
    <w:r>
      <w:rPr>
        <w:rStyle w:val="PageNumber"/>
      </w:rPr>
      <w:tab/>
    </w:r>
    <w:r>
      <w:rPr>
        <w:rStyle w:val="PageNumber"/>
      </w:rPr>
      <w:tab/>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663034">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663034">
      <w:rPr>
        <w:rStyle w:val="PageNumber"/>
        <w:noProof/>
      </w:rPr>
      <w:t>3</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3771CA">
      <w:trPr>
        <w:cantSplit/>
        <w:trHeight w:val="204"/>
        <w:jc w:val="center"/>
      </w:trPr>
      <w:tc>
        <w:tcPr>
          <w:tcW w:w="1617" w:type="dxa"/>
          <w:tcBorders>
            <w:top w:val="single" w:sz="12" w:space="0" w:color="auto"/>
          </w:tcBorders>
        </w:tcPr>
        <w:p w:rsidR="0097693B" w:rsidRPr="003771CA" w:rsidRDefault="0097693B" w:rsidP="00762576">
          <w:pPr>
            <w:rPr>
              <w:b/>
              <w:bCs/>
            </w:rPr>
          </w:pPr>
          <w:r w:rsidRPr="003771CA">
            <w:rPr>
              <w:b/>
              <w:bCs/>
            </w:rPr>
            <w:t>Contact:</w:t>
          </w:r>
        </w:p>
      </w:tc>
      <w:tc>
        <w:tcPr>
          <w:tcW w:w="4394" w:type="dxa"/>
          <w:tcBorders>
            <w:top w:val="single" w:sz="12" w:space="0" w:color="auto"/>
          </w:tcBorders>
        </w:tcPr>
        <w:p w:rsidR="0097693B" w:rsidRPr="003771CA" w:rsidRDefault="00C311D2" w:rsidP="00762576">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Chris Worley</w:t>
          </w:r>
          <w:r w:rsidR="0097693B" w:rsidRPr="003771CA">
            <w:rPr>
              <w:rFonts w:eastAsia="Batang"/>
              <w:szCs w:val="24"/>
              <w:lang w:eastAsia="ko-KR"/>
            </w:rPr>
            <w:t xml:space="preserve"> </w:t>
          </w:r>
        </w:p>
        <w:p w:rsidR="0097693B" w:rsidRPr="003771CA" w:rsidRDefault="00C311D2" w:rsidP="00C311D2">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lang w:eastAsia="ko-KR"/>
            </w:rPr>
            <w:t>Australian Communications and Media Authority, Australia</w:t>
          </w:r>
        </w:p>
      </w:tc>
      <w:tc>
        <w:tcPr>
          <w:tcW w:w="3912" w:type="dxa"/>
          <w:tcBorders>
            <w:top w:val="single" w:sz="12" w:space="0" w:color="auto"/>
          </w:tcBorders>
        </w:tcPr>
        <w:p w:rsidR="0097693B" w:rsidRPr="003771CA" w:rsidRDefault="0097693B" w:rsidP="00762576">
          <w:pPr>
            <w:rPr>
              <w:lang w:eastAsia="ja-JP"/>
            </w:rPr>
          </w:pPr>
          <w:r w:rsidRPr="003771CA">
            <w:t>Email</w:t>
          </w:r>
          <w:r w:rsidRPr="003771CA">
            <w:rPr>
              <w:rFonts w:hint="eastAsia"/>
            </w:rPr>
            <w:t xml:space="preserve">: </w:t>
          </w:r>
          <w:r w:rsidR="00C311D2">
            <w:t>Christopher.Worley@acma.gov.au</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10" w:rsidRDefault="00301510">
      <w:r>
        <w:separator/>
      </w:r>
    </w:p>
  </w:footnote>
  <w:footnote w:type="continuationSeparator" w:id="0">
    <w:p w:rsidR="00301510" w:rsidRDefault="00301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64C34C5A"/>
    <w:multiLevelType w:val="hybridMultilevel"/>
    <w:tmpl w:val="1FC87CD4"/>
    <w:lvl w:ilvl="0" w:tplc="52ECA97E">
      <w:start w:val="1"/>
      <w:numFmt w:val="upperRoman"/>
      <w:lvlText w:val="%1."/>
      <w:lvlJc w:val="left"/>
      <w:pPr>
        <w:ind w:left="360" w:hanging="360"/>
      </w:pPr>
      <w:rPr>
        <w:rFonts w:ascii="Times New Roman Bold" w:hAnsi="Times New Roman Bold"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71936A83"/>
    <w:multiLevelType w:val="multilevel"/>
    <w:tmpl w:val="D6F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8"/>
  </w:num>
  <w:num w:numId="5">
    <w:abstractNumId w:val="4"/>
  </w:num>
  <w:num w:numId="6">
    <w:abstractNumId w:val="6"/>
  </w:num>
  <w:num w:numId="7">
    <w:abstractNumId w:val="1"/>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B8"/>
    <w:rsid w:val="000011E8"/>
    <w:rsid w:val="00032A21"/>
    <w:rsid w:val="0003595B"/>
    <w:rsid w:val="000460BF"/>
    <w:rsid w:val="000A4256"/>
    <w:rsid w:val="000A6769"/>
    <w:rsid w:val="000F5540"/>
    <w:rsid w:val="0016608A"/>
    <w:rsid w:val="0018079A"/>
    <w:rsid w:val="00196568"/>
    <w:rsid w:val="001B18C2"/>
    <w:rsid w:val="001D5D7E"/>
    <w:rsid w:val="002458F8"/>
    <w:rsid w:val="00254A1B"/>
    <w:rsid w:val="00262EAB"/>
    <w:rsid w:val="0028454D"/>
    <w:rsid w:val="002926D4"/>
    <w:rsid w:val="002B16D9"/>
    <w:rsid w:val="002B2757"/>
    <w:rsid w:val="002C07DA"/>
    <w:rsid w:val="002C7EA9"/>
    <w:rsid w:val="002F2C66"/>
    <w:rsid w:val="00301510"/>
    <w:rsid w:val="003578AB"/>
    <w:rsid w:val="003771CA"/>
    <w:rsid w:val="003A232C"/>
    <w:rsid w:val="003A2F79"/>
    <w:rsid w:val="003B6263"/>
    <w:rsid w:val="003B6E54"/>
    <w:rsid w:val="003C64A7"/>
    <w:rsid w:val="003D3FDA"/>
    <w:rsid w:val="003D4768"/>
    <w:rsid w:val="003F2317"/>
    <w:rsid w:val="00420822"/>
    <w:rsid w:val="0045458F"/>
    <w:rsid w:val="00486F61"/>
    <w:rsid w:val="004F050A"/>
    <w:rsid w:val="00530E8C"/>
    <w:rsid w:val="00545CF7"/>
    <w:rsid w:val="00551B76"/>
    <w:rsid w:val="00587875"/>
    <w:rsid w:val="005A33DF"/>
    <w:rsid w:val="005C7E76"/>
    <w:rsid w:val="005E6958"/>
    <w:rsid w:val="00603355"/>
    <w:rsid w:val="00607E2B"/>
    <w:rsid w:val="00614171"/>
    <w:rsid w:val="00627E64"/>
    <w:rsid w:val="0063062B"/>
    <w:rsid w:val="00636AEC"/>
    <w:rsid w:val="00663034"/>
    <w:rsid w:val="00667229"/>
    <w:rsid w:val="0067040A"/>
    <w:rsid w:val="00682BE5"/>
    <w:rsid w:val="006C7574"/>
    <w:rsid w:val="0074190C"/>
    <w:rsid w:val="00762576"/>
    <w:rsid w:val="007A2FB0"/>
    <w:rsid w:val="007E6C90"/>
    <w:rsid w:val="007F7740"/>
    <w:rsid w:val="0080570B"/>
    <w:rsid w:val="008148E1"/>
    <w:rsid w:val="00865017"/>
    <w:rsid w:val="0088109B"/>
    <w:rsid w:val="008819A7"/>
    <w:rsid w:val="00895888"/>
    <w:rsid w:val="008D0E09"/>
    <w:rsid w:val="00906EB0"/>
    <w:rsid w:val="00922A59"/>
    <w:rsid w:val="00951AB8"/>
    <w:rsid w:val="0097693B"/>
    <w:rsid w:val="009A4A6D"/>
    <w:rsid w:val="009C3A88"/>
    <w:rsid w:val="00A331AD"/>
    <w:rsid w:val="00A438A8"/>
    <w:rsid w:val="00A44BFA"/>
    <w:rsid w:val="00A53045"/>
    <w:rsid w:val="00A548EF"/>
    <w:rsid w:val="00A93D66"/>
    <w:rsid w:val="00A948CF"/>
    <w:rsid w:val="00AA41DB"/>
    <w:rsid w:val="00AA474C"/>
    <w:rsid w:val="00AB032C"/>
    <w:rsid w:val="00AD7E5F"/>
    <w:rsid w:val="00B25D6A"/>
    <w:rsid w:val="00B30C81"/>
    <w:rsid w:val="00BB4D83"/>
    <w:rsid w:val="00BF663E"/>
    <w:rsid w:val="00C15633"/>
    <w:rsid w:val="00C311D2"/>
    <w:rsid w:val="00C357AD"/>
    <w:rsid w:val="00CC1DE7"/>
    <w:rsid w:val="00CD5431"/>
    <w:rsid w:val="00CD75B4"/>
    <w:rsid w:val="00CE74EB"/>
    <w:rsid w:val="00CF2491"/>
    <w:rsid w:val="00D12318"/>
    <w:rsid w:val="00D57772"/>
    <w:rsid w:val="00D65FF5"/>
    <w:rsid w:val="00D75A4D"/>
    <w:rsid w:val="00D8478B"/>
    <w:rsid w:val="00D86151"/>
    <w:rsid w:val="00DA7595"/>
    <w:rsid w:val="00DB0A68"/>
    <w:rsid w:val="00DB25B9"/>
    <w:rsid w:val="00DC43A3"/>
    <w:rsid w:val="00DD68FC"/>
    <w:rsid w:val="00DE4D0D"/>
    <w:rsid w:val="00E00E8A"/>
    <w:rsid w:val="00E035A1"/>
    <w:rsid w:val="00E11CD0"/>
    <w:rsid w:val="00E674D3"/>
    <w:rsid w:val="00EB42E0"/>
    <w:rsid w:val="00EC1A88"/>
    <w:rsid w:val="00F34781"/>
    <w:rsid w:val="00F373F5"/>
    <w:rsid w:val="00F80501"/>
    <w:rsid w:val="00F84067"/>
    <w:rsid w:val="00F9296C"/>
    <w:rsid w:val="00FA2DA7"/>
    <w:rsid w:val="00FC2CE0"/>
    <w:rsid w:val="00FD592E"/>
    <w:rsid w:val="00FE1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737B91-A8C8-4D19-AD1C-179F5974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val="en-US" w:eastAsia="en-US"/>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uiPriority w:val="39"/>
    <w:rsid w:val="00D12318"/>
    <w:rPr>
      <w:rFonts w:ascii="Calibri" w:eastAsia="Calibri" w:hAnsi="Calibri" w:cs="Cordia New"/>
      <w:sz w:val="22"/>
      <w:szCs w:val="28"/>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12318"/>
    <w:rPr>
      <w:color w:val="0000FF"/>
      <w:u w:val="single"/>
    </w:rPr>
  </w:style>
  <w:style w:type="paragraph" w:styleId="ListParagraph">
    <w:name w:val="List Paragraph"/>
    <w:basedOn w:val="Normal"/>
    <w:uiPriority w:val="34"/>
    <w:qFormat/>
    <w:rsid w:val="00D12318"/>
    <w:pPr>
      <w:ind w:firstLineChars="200" w:firstLine="420"/>
    </w:pPr>
  </w:style>
  <w:style w:type="character" w:styleId="Strong">
    <w:name w:val="Strong"/>
    <w:uiPriority w:val="22"/>
    <w:qFormat/>
    <w:rsid w:val="00D12318"/>
    <w:rPr>
      <w:rFonts w:ascii="HelveticaNeueW01-75Bold" w:hAnsi="HelveticaNeueW01-75Bold" w:hint="default"/>
      <w:b w:val="0"/>
      <w:bCs w:val="0"/>
    </w:rPr>
  </w:style>
  <w:style w:type="paragraph" w:styleId="BalloonText">
    <w:name w:val="Balloon Text"/>
    <w:basedOn w:val="Normal"/>
    <w:link w:val="BalloonTextChar"/>
    <w:rsid w:val="00C311D2"/>
    <w:rPr>
      <w:rFonts w:ascii="Segoe UI" w:hAnsi="Segoe UI" w:cs="Segoe UI"/>
      <w:sz w:val="18"/>
      <w:szCs w:val="18"/>
    </w:rPr>
  </w:style>
  <w:style w:type="character" w:customStyle="1" w:styleId="BalloonTextChar">
    <w:name w:val="Balloon Text Char"/>
    <w:basedOn w:val="DefaultParagraphFont"/>
    <w:link w:val="BalloonText"/>
    <w:rsid w:val="00C311D2"/>
    <w:rPr>
      <w:rFonts w:ascii="Segoe UI" w:eastAsia="BatangChe"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vio.marinelli@acma.gov.au"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ma.gov.au/Industry/Spectrum/Radiocomms-licensing/Spectrum-licen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cma.gov.au/Industry/Spectrum/Radiocomms-licensing/Spectrum-licences/spectrum_2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ma.gov.au/Industry/Spectrum/Radiocomms-licensing/Spectrum-licences/spectrum_2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5309</CharactersWithSpaces>
  <SharedDoc>false</SharedDoc>
  <HLinks>
    <vt:vector size="24" baseType="variant">
      <vt:variant>
        <vt:i4>458777</vt:i4>
      </vt:variant>
      <vt:variant>
        <vt:i4>8</vt:i4>
      </vt:variant>
      <vt:variant>
        <vt:i4>0</vt:i4>
      </vt:variant>
      <vt:variant>
        <vt:i4>5</vt:i4>
      </vt:variant>
      <vt:variant>
        <vt:lpwstr>https://www.acma.gov.au/Industry/Spectrum/Radiocomms-licensing/Spectrum-licences</vt:lpwstr>
      </vt:variant>
      <vt:variant>
        <vt:lpwstr/>
      </vt:variant>
      <vt:variant>
        <vt:i4>4980773</vt:i4>
      </vt:variant>
      <vt:variant>
        <vt:i4>5</vt:i4>
      </vt:variant>
      <vt:variant>
        <vt:i4>0</vt:i4>
      </vt:variant>
      <vt:variant>
        <vt:i4>5</vt:i4>
      </vt:variant>
      <vt:variant>
        <vt:lpwstr>https://www.acma.gov.au/Industry/Spectrum/Radiocomms-licensing/Spectrum-licences/spectrum_22-1</vt:lpwstr>
      </vt:variant>
      <vt:variant>
        <vt:lpwstr/>
      </vt:variant>
      <vt:variant>
        <vt:i4>8060936</vt:i4>
      </vt:variant>
      <vt:variant>
        <vt:i4>2</vt:i4>
      </vt:variant>
      <vt:variant>
        <vt:i4>0</vt:i4>
      </vt:variant>
      <vt:variant>
        <vt:i4>5</vt:i4>
      </vt:variant>
      <vt:variant>
        <vt:lpwstr>https://www.acma.gov.au/Industry/Spectrum/Radiocomms-licensing/Spectrum-licences/spectrum_24</vt:lpwstr>
      </vt:variant>
      <vt:variant>
        <vt:lpwstr/>
      </vt:variant>
      <vt:variant>
        <vt:i4>7798875</vt:i4>
      </vt:variant>
      <vt:variant>
        <vt:i4>0</vt:i4>
      </vt:variant>
      <vt:variant>
        <vt:i4>0</vt:i4>
      </vt:variant>
      <vt:variant>
        <vt:i4>5</vt:i4>
      </vt:variant>
      <vt:variant>
        <vt:lpwstr>mailto:nevio.marinelli@acma.gov.au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Phillip Sandercock</dc:creator>
  <cp:keywords/>
  <cp:lastModifiedBy>APT Secretariat</cp:lastModifiedBy>
  <cp:revision>7</cp:revision>
  <cp:lastPrinted>2018-03-28T04:45:00Z</cp:lastPrinted>
  <dcterms:created xsi:type="dcterms:W3CDTF">2018-03-28T04:43:00Z</dcterms:created>
  <dcterms:modified xsi:type="dcterms:W3CDTF">2018-04-05T00:56:00Z</dcterms:modified>
</cp:coreProperties>
</file>