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171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570"/>
        <w:gridCol w:w="2070"/>
      </w:tblGrid>
      <w:tr w:rsidR="003771CA" w:rsidRPr="00D62596" w:rsidTr="003B6E54">
        <w:trPr>
          <w:cantSplit/>
        </w:trPr>
        <w:tc>
          <w:tcPr>
            <w:tcW w:w="1350" w:type="dxa"/>
            <w:vMerge w:val="restart"/>
          </w:tcPr>
          <w:p w:rsidR="003771CA" w:rsidRPr="00D62596" w:rsidRDefault="00FE3D1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  <w:lang w:val="en-NZ"/>
              </w:rPr>
            </w:pPr>
            <w:r>
              <w:rPr>
                <w:noProof w:val="0"/>
                <w:kern w:val="2"/>
                <w:sz w:val="24"/>
                <w:szCs w:val="24"/>
                <w:lang w:val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0pt;height:56.25pt">
                  <v:imagedata r:id="rId8" o:title="APTlogogreen3"/>
                </v:shape>
              </w:pict>
            </w:r>
          </w:p>
        </w:tc>
        <w:tc>
          <w:tcPr>
            <w:tcW w:w="6570" w:type="dxa"/>
          </w:tcPr>
          <w:p w:rsidR="003771CA" w:rsidRPr="00D62596" w:rsidRDefault="003771CA" w:rsidP="00906EB0">
            <w:pPr>
              <w:pStyle w:val="Heading8"/>
              <w:spacing w:line="276" w:lineRule="auto"/>
              <w:rPr>
                <w:b w:val="0"/>
                <w:sz w:val="24"/>
                <w:szCs w:val="24"/>
                <w:lang w:val="en-NZ"/>
              </w:rPr>
            </w:pPr>
            <w:r w:rsidRPr="00D62596">
              <w:rPr>
                <w:b w:val="0"/>
                <w:sz w:val="24"/>
                <w:szCs w:val="24"/>
                <w:lang w:val="en-NZ"/>
              </w:rPr>
              <w:t>ASIA-PACIFIC TELECOMMUNITY</w:t>
            </w:r>
          </w:p>
        </w:tc>
        <w:tc>
          <w:tcPr>
            <w:tcW w:w="2070" w:type="dxa"/>
          </w:tcPr>
          <w:p w:rsidR="003771CA" w:rsidRPr="00D62596" w:rsidRDefault="003771CA" w:rsidP="003771CA">
            <w:pPr>
              <w:rPr>
                <w:b/>
                <w:lang w:val="en-NZ"/>
              </w:rPr>
            </w:pPr>
            <w:r w:rsidRPr="00D62596">
              <w:rPr>
                <w:b/>
                <w:lang w:val="en-NZ"/>
              </w:rPr>
              <w:t>Document</w:t>
            </w:r>
            <w:r w:rsidR="001A59F6">
              <w:rPr>
                <w:b/>
                <w:lang w:val="en-NZ"/>
              </w:rPr>
              <w:t xml:space="preserve"> No</w:t>
            </w:r>
            <w:r w:rsidR="000B24C0">
              <w:rPr>
                <w:b/>
                <w:lang w:val="en-NZ"/>
              </w:rPr>
              <w:t>.</w:t>
            </w:r>
            <w:r w:rsidRPr="00D62596">
              <w:rPr>
                <w:b/>
                <w:lang w:val="en-NZ"/>
              </w:rPr>
              <w:t>:</w:t>
            </w:r>
          </w:p>
        </w:tc>
      </w:tr>
      <w:tr w:rsidR="00DA7595" w:rsidRPr="00D62596" w:rsidTr="003B6E54">
        <w:trPr>
          <w:cantSplit/>
        </w:trPr>
        <w:tc>
          <w:tcPr>
            <w:tcW w:w="1350" w:type="dxa"/>
            <w:vMerge/>
          </w:tcPr>
          <w:p w:rsidR="00DA7595" w:rsidRPr="00D62596" w:rsidRDefault="00DA7595" w:rsidP="0045458F">
            <w:pPr>
              <w:rPr>
                <w:lang w:val="en-NZ"/>
              </w:rPr>
            </w:pPr>
          </w:p>
        </w:tc>
        <w:tc>
          <w:tcPr>
            <w:tcW w:w="6570" w:type="dxa"/>
          </w:tcPr>
          <w:p w:rsidR="00DA7595" w:rsidRPr="00D62596" w:rsidRDefault="00DA7595" w:rsidP="00F9296C">
            <w:pPr>
              <w:spacing w:line="0" w:lineRule="atLeast"/>
              <w:rPr>
                <w:lang w:val="en-NZ"/>
              </w:rPr>
            </w:pPr>
            <w:r w:rsidRPr="00D62596">
              <w:rPr>
                <w:b/>
                <w:lang w:val="en-NZ"/>
              </w:rPr>
              <w:t xml:space="preserve">The </w:t>
            </w:r>
            <w:r w:rsidR="003B6E54" w:rsidRPr="00D62596">
              <w:rPr>
                <w:b/>
                <w:lang w:val="en-NZ"/>
              </w:rPr>
              <w:t>23rd</w:t>
            </w:r>
            <w:r w:rsidR="0067040A" w:rsidRPr="00D62596">
              <w:rPr>
                <w:b/>
                <w:lang w:val="en-NZ"/>
              </w:rPr>
              <w:t xml:space="preserve"> </w:t>
            </w:r>
            <w:r w:rsidR="00262EAB" w:rsidRPr="00D62596">
              <w:rPr>
                <w:b/>
                <w:lang w:val="en-NZ"/>
              </w:rPr>
              <w:t>Meeting</w:t>
            </w:r>
            <w:r w:rsidR="00E035A1" w:rsidRPr="00D62596">
              <w:rPr>
                <w:b/>
                <w:lang w:val="en-NZ"/>
              </w:rPr>
              <w:t xml:space="preserve"> of the APT Wireless </w:t>
            </w:r>
            <w:r w:rsidR="00AA41DB" w:rsidRPr="00D62596">
              <w:rPr>
                <w:b/>
                <w:lang w:val="en-NZ"/>
              </w:rPr>
              <w:t>Group (AWG</w:t>
            </w:r>
            <w:r w:rsidR="003D4768" w:rsidRPr="00D62596">
              <w:rPr>
                <w:b/>
                <w:lang w:val="en-NZ"/>
              </w:rPr>
              <w:t>-</w:t>
            </w:r>
            <w:r w:rsidR="003B6E54" w:rsidRPr="00D62596">
              <w:rPr>
                <w:b/>
                <w:lang w:val="en-NZ"/>
              </w:rPr>
              <w:t>23</w:t>
            </w:r>
            <w:r w:rsidR="003D4768" w:rsidRPr="00D62596">
              <w:rPr>
                <w:b/>
                <w:lang w:val="en-NZ"/>
              </w:rPr>
              <w:t>)</w:t>
            </w:r>
            <w:r w:rsidR="00BF663E" w:rsidRPr="00D62596">
              <w:rPr>
                <w:b/>
                <w:lang w:val="en-NZ"/>
              </w:rPr>
              <w:t xml:space="preserve"> </w:t>
            </w:r>
          </w:p>
        </w:tc>
        <w:tc>
          <w:tcPr>
            <w:tcW w:w="2070" w:type="dxa"/>
          </w:tcPr>
          <w:p w:rsidR="00DA7595" w:rsidRDefault="001D5D7E" w:rsidP="00DE3900">
            <w:pPr>
              <w:rPr>
                <w:b/>
                <w:bCs/>
                <w:lang w:val="en-NZ"/>
              </w:rPr>
            </w:pPr>
            <w:r w:rsidRPr="00D62596">
              <w:rPr>
                <w:b/>
                <w:bCs/>
                <w:lang w:val="en-NZ"/>
              </w:rPr>
              <w:t>A</w:t>
            </w:r>
            <w:r w:rsidR="00262EAB" w:rsidRPr="00D62596">
              <w:rPr>
                <w:b/>
                <w:bCs/>
                <w:lang w:val="en-NZ"/>
              </w:rPr>
              <w:t>W</w:t>
            </w:r>
            <w:r w:rsidR="00AA41DB" w:rsidRPr="00D62596">
              <w:rPr>
                <w:b/>
                <w:bCs/>
                <w:lang w:val="en-NZ"/>
              </w:rPr>
              <w:t>G</w:t>
            </w:r>
            <w:r w:rsidR="003771CA" w:rsidRPr="00D62596">
              <w:rPr>
                <w:b/>
                <w:bCs/>
                <w:lang w:val="en-NZ"/>
              </w:rPr>
              <w:t>-2</w:t>
            </w:r>
            <w:r w:rsidR="00FE51F3">
              <w:rPr>
                <w:b/>
                <w:bCs/>
                <w:lang w:val="en-NZ"/>
              </w:rPr>
              <w:t>3</w:t>
            </w:r>
            <w:r w:rsidR="00DA7595" w:rsidRPr="00D62596">
              <w:rPr>
                <w:b/>
                <w:bCs/>
                <w:lang w:val="en-NZ"/>
              </w:rPr>
              <w:t>/</w:t>
            </w:r>
            <w:r w:rsidR="007E6C90" w:rsidRPr="00D62596">
              <w:rPr>
                <w:b/>
                <w:bCs/>
                <w:lang w:val="en-NZ"/>
              </w:rPr>
              <w:t>INP-</w:t>
            </w:r>
            <w:r w:rsidR="001A59F6">
              <w:rPr>
                <w:b/>
                <w:bCs/>
                <w:lang w:val="en-NZ"/>
              </w:rPr>
              <w:t>24</w:t>
            </w:r>
          </w:p>
          <w:p w:rsidR="000B24C0" w:rsidRPr="00D62596" w:rsidRDefault="000B24C0" w:rsidP="00DE3900">
            <w:pPr>
              <w:rPr>
                <w:b/>
                <w:bCs/>
                <w:lang w:val="en-NZ"/>
              </w:rPr>
            </w:pPr>
          </w:p>
        </w:tc>
      </w:tr>
      <w:tr w:rsidR="003578AB" w:rsidRPr="00D62596" w:rsidTr="003B6E54">
        <w:trPr>
          <w:cantSplit/>
          <w:trHeight w:val="219"/>
        </w:trPr>
        <w:tc>
          <w:tcPr>
            <w:tcW w:w="1350" w:type="dxa"/>
            <w:vMerge/>
          </w:tcPr>
          <w:p w:rsidR="003578AB" w:rsidRPr="00D62596" w:rsidRDefault="003578AB" w:rsidP="0045458F">
            <w:pPr>
              <w:rPr>
                <w:lang w:val="en-NZ"/>
              </w:rPr>
            </w:pPr>
          </w:p>
        </w:tc>
        <w:tc>
          <w:tcPr>
            <w:tcW w:w="6570" w:type="dxa"/>
          </w:tcPr>
          <w:p w:rsidR="003578AB" w:rsidRPr="00D62596" w:rsidRDefault="003B6E54" w:rsidP="003B6E54">
            <w:pPr>
              <w:rPr>
                <w:lang w:val="en-NZ"/>
              </w:rPr>
            </w:pPr>
            <w:r w:rsidRPr="00D62596">
              <w:rPr>
                <w:lang w:val="en-NZ"/>
              </w:rPr>
              <w:t>9 – 13</w:t>
            </w:r>
            <w:r w:rsidR="0018079A" w:rsidRPr="00D62596">
              <w:rPr>
                <w:lang w:val="en-NZ"/>
              </w:rPr>
              <w:t xml:space="preserve"> </w:t>
            </w:r>
            <w:r w:rsidRPr="00D62596">
              <w:rPr>
                <w:lang w:val="en-NZ"/>
              </w:rPr>
              <w:t>April 2018</w:t>
            </w:r>
            <w:r w:rsidR="0018079A" w:rsidRPr="00D62596">
              <w:rPr>
                <w:lang w:val="en-NZ"/>
              </w:rPr>
              <w:t xml:space="preserve">, </w:t>
            </w:r>
            <w:r w:rsidRPr="00D62596">
              <w:rPr>
                <w:lang w:val="en-NZ"/>
              </w:rPr>
              <w:t>Da Nang City</w:t>
            </w:r>
            <w:r w:rsidR="0018079A" w:rsidRPr="00D62596">
              <w:rPr>
                <w:lang w:val="en-NZ"/>
              </w:rPr>
              <w:t xml:space="preserve">, </w:t>
            </w:r>
            <w:r w:rsidRPr="00D62596">
              <w:rPr>
                <w:lang w:val="en-NZ"/>
              </w:rPr>
              <w:t xml:space="preserve">Socialist </w:t>
            </w:r>
            <w:r w:rsidR="00F9296C" w:rsidRPr="00D62596">
              <w:rPr>
                <w:lang w:val="en-NZ"/>
              </w:rPr>
              <w:t xml:space="preserve">Republic of </w:t>
            </w:r>
            <w:r w:rsidRPr="00D62596">
              <w:rPr>
                <w:lang w:val="en-NZ"/>
              </w:rPr>
              <w:t>Viet Nam</w:t>
            </w:r>
          </w:p>
        </w:tc>
        <w:tc>
          <w:tcPr>
            <w:tcW w:w="2070" w:type="dxa"/>
          </w:tcPr>
          <w:p w:rsidR="003578AB" w:rsidRPr="00D62596" w:rsidRDefault="001A59F6" w:rsidP="00CC1DE7">
            <w:pPr>
              <w:pStyle w:val="Heading1"/>
              <w:jc w:val="left"/>
              <w:rPr>
                <w:b w:val="0"/>
                <w:lang w:val="en-NZ"/>
              </w:rPr>
            </w:pPr>
            <w:r>
              <w:rPr>
                <w:b w:val="0"/>
                <w:bCs w:val="0"/>
                <w:u w:val="none"/>
                <w:lang w:val="en-NZ"/>
              </w:rPr>
              <w:t xml:space="preserve">29 March </w:t>
            </w:r>
            <w:r w:rsidR="003578AB" w:rsidRPr="00D62596">
              <w:rPr>
                <w:b w:val="0"/>
                <w:bCs w:val="0"/>
                <w:u w:val="none"/>
                <w:lang w:val="en-NZ"/>
              </w:rPr>
              <w:t>201</w:t>
            </w:r>
            <w:r w:rsidR="00CC1DE7" w:rsidRPr="00D62596">
              <w:rPr>
                <w:b w:val="0"/>
                <w:bCs w:val="0"/>
                <w:u w:val="none"/>
                <w:lang w:val="en-NZ"/>
              </w:rPr>
              <w:t>8</w:t>
            </w:r>
          </w:p>
        </w:tc>
      </w:tr>
    </w:tbl>
    <w:p w:rsidR="00DA7595" w:rsidRPr="00D62596" w:rsidRDefault="00DA7595" w:rsidP="00DA7595">
      <w:pPr>
        <w:jc w:val="center"/>
        <w:rPr>
          <w:b/>
          <w:sz w:val="28"/>
          <w:szCs w:val="28"/>
          <w:lang w:val="en-NZ" w:eastAsia="ko-KR"/>
        </w:rPr>
      </w:pPr>
    </w:p>
    <w:p w:rsidR="000A6769" w:rsidRPr="00D62596" w:rsidRDefault="005C3208" w:rsidP="000A6769">
      <w:pPr>
        <w:jc w:val="center"/>
        <w:rPr>
          <w:bCs/>
          <w:lang w:val="en-NZ" w:eastAsia="ko-KR"/>
        </w:rPr>
      </w:pPr>
      <w:r w:rsidRPr="00D62596">
        <w:rPr>
          <w:bCs/>
          <w:lang w:val="en-NZ" w:eastAsia="ko-KR"/>
        </w:rPr>
        <w:t>New Zealand</w:t>
      </w:r>
    </w:p>
    <w:p w:rsidR="000A6769" w:rsidRPr="00D62596" w:rsidRDefault="000A6769" w:rsidP="0063062B">
      <w:pPr>
        <w:jc w:val="center"/>
        <w:rPr>
          <w:b/>
          <w:bCs/>
          <w:caps/>
          <w:sz w:val="28"/>
          <w:szCs w:val="28"/>
          <w:lang w:val="en-NZ"/>
        </w:rPr>
      </w:pPr>
    </w:p>
    <w:p w:rsidR="00C357AD" w:rsidRPr="00D62596" w:rsidRDefault="005C3208" w:rsidP="0063062B">
      <w:pPr>
        <w:jc w:val="center"/>
        <w:rPr>
          <w:b/>
          <w:bCs/>
          <w:caps/>
          <w:lang w:val="en-NZ"/>
        </w:rPr>
      </w:pPr>
      <w:r w:rsidRPr="00D62596">
        <w:rPr>
          <w:b/>
          <w:bCs/>
          <w:caps/>
          <w:lang w:val="en-NZ"/>
        </w:rPr>
        <w:t xml:space="preserve">Response to QUESTIONNAIRE ON </w:t>
      </w:r>
      <w:r w:rsidR="00DE3900" w:rsidRPr="00DE3900">
        <w:rPr>
          <w:b/>
          <w:bCs/>
          <w:caps/>
          <w:lang w:val="en-NZ"/>
        </w:rPr>
        <w:t>REGULATORY INFORMATION FOR IMPLEMENTATION IMT NETWORK IN ASIA-PACIFIC REGION</w:t>
      </w:r>
    </w:p>
    <w:p w:rsidR="00DB0A68" w:rsidRPr="00D62596" w:rsidRDefault="00DB0A68" w:rsidP="00C357AD">
      <w:pPr>
        <w:jc w:val="center"/>
        <w:rPr>
          <w:lang w:val="en-NZ"/>
        </w:rPr>
      </w:pPr>
    </w:p>
    <w:p w:rsidR="00C357AD" w:rsidRPr="00D62596" w:rsidRDefault="00C357AD" w:rsidP="00C357AD">
      <w:pPr>
        <w:jc w:val="center"/>
        <w:rPr>
          <w:b/>
          <w:lang w:val="en-NZ"/>
        </w:rPr>
      </w:pPr>
    </w:p>
    <w:p w:rsidR="00DE3900" w:rsidRPr="001F103B" w:rsidRDefault="00DE3900" w:rsidP="00DE3900">
      <w:pPr>
        <w:jc w:val="both"/>
        <w:rPr>
          <w:b/>
          <w:lang w:val="en-NZ"/>
        </w:rPr>
      </w:pPr>
      <w:r w:rsidRPr="001F103B">
        <w:rPr>
          <w:b/>
          <w:lang w:val="en-NZ"/>
        </w:rPr>
        <w:t>Question 1:</w:t>
      </w:r>
    </w:p>
    <w:p w:rsidR="00DE3900" w:rsidRPr="001F103B" w:rsidRDefault="00DE3900" w:rsidP="00DE3900">
      <w:pPr>
        <w:rPr>
          <w:b/>
          <w:lang w:val="en-NZ" w:eastAsia="zh-CN"/>
        </w:rPr>
      </w:pPr>
      <w:r w:rsidRPr="001F103B">
        <w:rPr>
          <w:b/>
          <w:lang w:val="en-NZ" w:eastAsia="zh-CN"/>
        </w:rPr>
        <w:t>Institution/Company Information and Profile</w:t>
      </w:r>
    </w:p>
    <w:p w:rsidR="00DE3900" w:rsidRPr="001F103B" w:rsidRDefault="00DE3900" w:rsidP="00DE3900">
      <w:pPr>
        <w:jc w:val="both"/>
        <w:rPr>
          <w:lang w:val="en-NZ" w:eastAsia="zh-CN"/>
        </w:rPr>
      </w:pPr>
    </w:p>
    <w:p w:rsidR="00DE3900" w:rsidRPr="001F103B" w:rsidRDefault="00DE3900" w:rsidP="00DE3900">
      <w:pPr>
        <w:jc w:val="both"/>
        <w:rPr>
          <w:lang w:val="en-NZ" w:eastAsia="zh-CN"/>
        </w:rPr>
      </w:pPr>
      <w:r w:rsidRPr="001F103B">
        <w:rPr>
          <w:lang w:val="en-NZ" w:eastAsia="zh-CN"/>
        </w:rPr>
        <w:t>Name of the institution</w:t>
      </w:r>
      <w:r w:rsidRPr="001F103B">
        <w:rPr>
          <w:lang w:val="en-NZ" w:eastAsia="zh-CN"/>
        </w:rPr>
        <w:tab/>
        <w:t>:</w:t>
      </w:r>
      <w:r>
        <w:rPr>
          <w:lang w:val="en-NZ" w:eastAsia="zh-CN"/>
        </w:rPr>
        <w:tab/>
      </w:r>
      <w:r w:rsidRPr="001F103B">
        <w:rPr>
          <w:lang w:val="en-NZ" w:eastAsia="zh-CN"/>
        </w:rPr>
        <w:t>Ministry of Business</w:t>
      </w:r>
      <w:r>
        <w:rPr>
          <w:lang w:val="en-NZ" w:eastAsia="zh-CN"/>
        </w:rPr>
        <w:t xml:space="preserve">, </w:t>
      </w:r>
      <w:r w:rsidRPr="001F103B">
        <w:rPr>
          <w:lang w:val="en-NZ" w:eastAsia="zh-CN"/>
        </w:rPr>
        <w:t>Innovation and Employment</w:t>
      </w:r>
    </w:p>
    <w:p w:rsidR="00DE3900" w:rsidRPr="001F103B" w:rsidRDefault="00DE3900" w:rsidP="00DE3900">
      <w:pPr>
        <w:jc w:val="both"/>
        <w:rPr>
          <w:lang w:val="en-NZ" w:eastAsia="zh-CN"/>
        </w:rPr>
      </w:pPr>
      <w:r w:rsidRPr="001F103B">
        <w:rPr>
          <w:lang w:val="en-NZ" w:eastAsia="zh-CN"/>
        </w:rPr>
        <w:t>Name of contact person</w:t>
      </w:r>
      <w:r w:rsidRPr="001F103B">
        <w:rPr>
          <w:lang w:val="en-NZ" w:eastAsia="zh-CN"/>
        </w:rPr>
        <w:tab/>
        <w:t xml:space="preserve">: </w:t>
      </w:r>
      <w:r>
        <w:rPr>
          <w:lang w:val="en-NZ" w:eastAsia="zh-CN"/>
        </w:rPr>
        <w:tab/>
      </w:r>
      <w:proofErr w:type="spellStart"/>
      <w:r w:rsidRPr="001F103B">
        <w:rPr>
          <w:lang w:val="en-NZ" w:eastAsia="zh-CN"/>
        </w:rPr>
        <w:t>Nima</w:t>
      </w:r>
      <w:proofErr w:type="spellEnd"/>
      <w:r w:rsidRPr="001F103B">
        <w:rPr>
          <w:lang w:val="en-NZ" w:eastAsia="zh-CN"/>
        </w:rPr>
        <w:t xml:space="preserve"> </w:t>
      </w:r>
      <w:proofErr w:type="spellStart"/>
      <w:r w:rsidRPr="001F103B">
        <w:rPr>
          <w:lang w:val="en-NZ" w:eastAsia="zh-CN"/>
        </w:rPr>
        <w:t>Farhang</w:t>
      </w:r>
      <w:proofErr w:type="spellEnd"/>
    </w:p>
    <w:p w:rsidR="00DE3900" w:rsidRPr="001F103B" w:rsidRDefault="00DE3900" w:rsidP="00DE3900">
      <w:pPr>
        <w:jc w:val="both"/>
        <w:rPr>
          <w:lang w:val="en-NZ" w:eastAsia="zh-CN"/>
        </w:rPr>
      </w:pPr>
      <w:r w:rsidRPr="001F103B">
        <w:rPr>
          <w:lang w:val="en-NZ" w:eastAsia="zh-CN"/>
        </w:rPr>
        <w:t>Mailing Address</w:t>
      </w:r>
      <w:r w:rsidRPr="001F103B">
        <w:rPr>
          <w:lang w:val="en-NZ" w:eastAsia="zh-CN"/>
        </w:rPr>
        <w:tab/>
      </w:r>
      <w:r w:rsidRPr="001F103B">
        <w:rPr>
          <w:lang w:val="en-NZ" w:eastAsia="zh-CN"/>
        </w:rPr>
        <w:tab/>
        <w:t>:</w:t>
      </w:r>
      <w:r>
        <w:rPr>
          <w:lang w:val="en-NZ" w:eastAsia="zh-CN"/>
        </w:rPr>
        <w:tab/>
      </w:r>
      <w:r w:rsidRPr="001F103B">
        <w:rPr>
          <w:lang w:val="en-NZ" w:eastAsia="zh-CN"/>
        </w:rPr>
        <w:t xml:space="preserve">15 </w:t>
      </w:r>
      <w:r>
        <w:rPr>
          <w:lang w:val="en-NZ" w:eastAsia="zh-CN"/>
        </w:rPr>
        <w:t>S</w:t>
      </w:r>
      <w:r w:rsidRPr="001F103B">
        <w:rPr>
          <w:lang w:val="en-NZ" w:eastAsia="zh-CN"/>
        </w:rPr>
        <w:t xml:space="preserve">tout </w:t>
      </w:r>
      <w:r>
        <w:rPr>
          <w:lang w:val="en-NZ" w:eastAsia="zh-CN"/>
        </w:rPr>
        <w:t>S</w:t>
      </w:r>
      <w:r w:rsidRPr="001F103B">
        <w:rPr>
          <w:lang w:val="en-NZ" w:eastAsia="zh-CN"/>
        </w:rPr>
        <w:t xml:space="preserve">treet, </w:t>
      </w:r>
      <w:r>
        <w:rPr>
          <w:lang w:val="en-NZ" w:eastAsia="zh-CN"/>
        </w:rPr>
        <w:t>W</w:t>
      </w:r>
      <w:r w:rsidRPr="001F103B">
        <w:rPr>
          <w:lang w:val="en-NZ" w:eastAsia="zh-CN"/>
        </w:rPr>
        <w:t>ellington 6011, New Zealand</w:t>
      </w:r>
    </w:p>
    <w:p w:rsidR="00DE3900" w:rsidRPr="001F103B" w:rsidRDefault="00DE3900" w:rsidP="00DE3900">
      <w:pPr>
        <w:jc w:val="both"/>
        <w:rPr>
          <w:lang w:val="en-NZ" w:eastAsia="zh-CN"/>
        </w:rPr>
      </w:pPr>
      <w:r w:rsidRPr="001F103B">
        <w:rPr>
          <w:lang w:val="en-NZ" w:eastAsia="zh-CN"/>
        </w:rPr>
        <w:t>Phone</w:t>
      </w:r>
      <w:r w:rsidRPr="001F103B">
        <w:rPr>
          <w:lang w:val="en-NZ" w:eastAsia="zh-CN"/>
        </w:rPr>
        <w:tab/>
      </w:r>
      <w:r w:rsidRPr="001F103B">
        <w:rPr>
          <w:lang w:val="en-NZ" w:eastAsia="zh-CN"/>
        </w:rPr>
        <w:tab/>
      </w:r>
      <w:r w:rsidRPr="001F103B">
        <w:rPr>
          <w:lang w:val="en-NZ" w:eastAsia="zh-CN"/>
        </w:rPr>
        <w:tab/>
      </w:r>
      <w:r w:rsidRPr="001F103B">
        <w:rPr>
          <w:lang w:val="en-NZ" w:eastAsia="zh-CN"/>
        </w:rPr>
        <w:tab/>
        <w:t>:</w:t>
      </w:r>
      <w:r>
        <w:rPr>
          <w:lang w:val="en-NZ" w:eastAsia="zh-CN"/>
        </w:rPr>
        <w:tab/>
      </w:r>
      <w:r w:rsidRPr="001F103B">
        <w:rPr>
          <w:lang w:val="en-NZ" w:eastAsia="zh-CN"/>
        </w:rPr>
        <w:t>+</w:t>
      </w:r>
      <w:r w:rsidRPr="003233CE">
        <w:rPr>
          <w:lang w:val="en-NZ" w:eastAsia="zh-CN"/>
        </w:rPr>
        <w:t>64 4 901 1211 </w:t>
      </w:r>
    </w:p>
    <w:p w:rsidR="00DE3900" w:rsidRPr="001F103B" w:rsidRDefault="00DE3900" w:rsidP="00DE3900">
      <w:pPr>
        <w:jc w:val="both"/>
        <w:rPr>
          <w:lang w:val="en-NZ" w:eastAsia="zh-CN"/>
        </w:rPr>
      </w:pPr>
      <w:r w:rsidRPr="001F103B">
        <w:rPr>
          <w:lang w:val="en-NZ" w:eastAsia="zh-CN"/>
        </w:rPr>
        <w:t xml:space="preserve">Email Address </w:t>
      </w:r>
      <w:r w:rsidRPr="001F103B">
        <w:rPr>
          <w:lang w:val="en-NZ" w:eastAsia="zh-CN"/>
        </w:rPr>
        <w:tab/>
      </w:r>
      <w:r w:rsidRPr="001F103B">
        <w:rPr>
          <w:lang w:val="en-NZ" w:eastAsia="zh-CN"/>
        </w:rPr>
        <w:tab/>
        <w:t>:</w:t>
      </w:r>
      <w:r>
        <w:rPr>
          <w:lang w:val="en-NZ" w:eastAsia="zh-CN"/>
        </w:rPr>
        <w:tab/>
      </w:r>
      <w:r w:rsidRPr="001F103B">
        <w:rPr>
          <w:lang w:val="en-NZ" w:eastAsia="zh-CN"/>
        </w:rPr>
        <w:t>Radio.Spectrum@mbie.govt.nz</w:t>
      </w:r>
    </w:p>
    <w:p w:rsidR="00DE3900" w:rsidRPr="001F103B" w:rsidRDefault="00DE3900" w:rsidP="00DE3900">
      <w:pPr>
        <w:jc w:val="both"/>
        <w:rPr>
          <w:lang w:val="en-NZ" w:eastAsia="zh-CN"/>
        </w:rPr>
      </w:pPr>
      <w:r w:rsidRPr="001F103B">
        <w:rPr>
          <w:lang w:val="en-NZ" w:eastAsia="zh-CN"/>
        </w:rPr>
        <w:t xml:space="preserve">My institution is </w:t>
      </w:r>
      <w:r>
        <w:rPr>
          <w:lang w:val="en-NZ" w:eastAsia="zh-CN"/>
        </w:rPr>
        <w:tab/>
      </w:r>
      <w:r>
        <w:rPr>
          <w:lang w:val="en-NZ" w:eastAsia="zh-CN"/>
        </w:rPr>
        <w:tab/>
      </w:r>
      <w:r w:rsidRPr="001F103B">
        <w:rPr>
          <w:lang w:val="en-NZ" w:eastAsia="zh-CN"/>
        </w:rPr>
        <w:t>:</w:t>
      </w:r>
      <w:r>
        <w:rPr>
          <w:lang w:val="en-NZ" w:eastAsia="zh-CN"/>
        </w:rPr>
        <w:tab/>
      </w:r>
      <w:r w:rsidRPr="001F103B">
        <w:rPr>
          <w:lang w:val="en-NZ" w:eastAsia="zh-CN"/>
        </w:rPr>
        <w:t>Regulator</w:t>
      </w:r>
      <w:r w:rsidRPr="001F103B">
        <w:rPr>
          <w:lang w:val="en-NZ" w:eastAsia="zh-CN"/>
        </w:rPr>
        <w:tab/>
      </w:r>
    </w:p>
    <w:p w:rsidR="00DE3900" w:rsidRDefault="00DE3900" w:rsidP="00DE3900">
      <w:pPr>
        <w:rPr>
          <w:rFonts w:eastAsia="SimSun"/>
          <w:b/>
          <w:lang w:val="en-NZ" w:eastAsia="zh-CN"/>
        </w:rPr>
      </w:pPr>
    </w:p>
    <w:p w:rsidR="0071633A" w:rsidRPr="0071633A" w:rsidRDefault="0071633A" w:rsidP="00DE3900">
      <w:pPr>
        <w:rPr>
          <w:rFonts w:eastAsia="SimSun"/>
          <w:i/>
          <w:lang w:val="en-NZ" w:eastAsia="zh-CN"/>
        </w:rPr>
      </w:pPr>
      <w:r w:rsidRPr="0071633A">
        <w:rPr>
          <w:rFonts w:eastAsia="SimSun"/>
          <w:i/>
          <w:lang w:val="en-NZ" w:eastAsia="zh-CN"/>
        </w:rPr>
        <w:t>Remarks from New Zealand</w:t>
      </w:r>
    </w:p>
    <w:p w:rsidR="0071633A" w:rsidRPr="0071633A" w:rsidRDefault="0071633A" w:rsidP="00DE3900">
      <w:pPr>
        <w:rPr>
          <w:rFonts w:eastAsia="SimSun"/>
          <w:lang w:val="en-NZ" w:eastAsia="zh-CN"/>
        </w:rPr>
      </w:pPr>
      <w:r>
        <w:rPr>
          <w:rFonts w:eastAsia="SimSun"/>
          <w:lang w:val="en-NZ" w:eastAsia="zh-CN"/>
        </w:rPr>
        <w:t xml:space="preserve">This response from New Zealand only contains </w:t>
      </w:r>
      <w:r w:rsidR="00E26277">
        <w:rPr>
          <w:rFonts w:eastAsia="SimSun"/>
          <w:lang w:val="en-NZ" w:eastAsia="zh-CN"/>
        </w:rPr>
        <w:t xml:space="preserve">regulatory </w:t>
      </w:r>
      <w:r>
        <w:rPr>
          <w:rFonts w:eastAsia="SimSun"/>
          <w:lang w:val="en-NZ" w:eastAsia="zh-CN"/>
        </w:rPr>
        <w:t xml:space="preserve">information on the </w:t>
      </w:r>
      <w:r w:rsidR="00E26277">
        <w:rPr>
          <w:rFonts w:eastAsia="SimSun"/>
          <w:lang w:val="en-NZ" w:eastAsia="zh-CN"/>
        </w:rPr>
        <w:t xml:space="preserve">most recent </w:t>
      </w:r>
      <w:r>
        <w:rPr>
          <w:rFonts w:eastAsia="SimSun"/>
          <w:lang w:val="en-NZ" w:eastAsia="zh-CN"/>
        </w:rPr>
        <w:t xml:space="preserve">IMT </w:t>
      </w:r>
      <w:proofErr w:type="gramStart"/>
      <w:r w:rsidR="00E26277">
        <w:rPr>
          <w:rFonts w:eastAsia="SimSun"/>
          <w:lang w:val="en-NZ" w:eastAsia="zh-CN"/>
        </w:rPr>
        <w:t>spectrum</w:t>
      </w:r>
      <w:proofErr w:type="gramEnd"/>
      <w:r w:rsidR="00E26277">
        <w:rPr>
          <w:rFonts w:eastAsia="SimSun"/>
          <w:lang w:val="en-NZ" w:eastAsia="zh-CN"/>
        </w:rPr>
        <w:t xml:space="preserve"> auction</w:t>
      </w:r>
      <w:r>
        <w:rPr>
          <w:rFonts w:eastAsia="SimSun"/>
          <w:lang w:val="en-NZ" w:eastAsia="zh-CN"/>
        </w:rPr>
        <w:t xml:space="preserve"> in </w:t>
      </w:r>
      <w:r w:rsidR="00E26277">
        <w:rPr>
          <w:rFonts w:eastAsia="SimSun"/>
          <w:lang w:val="en-NZ" w:eastAsia="zh-CN"/>
        </w:rPr>
        <w:t xml:space="preserve">the </w:t>
      </w:r>
      <w:r>
        <w:rPr>
          <w:rFonts w:eastAsia="SimSun"/>
          <w:lang w:val="en-NZ" w:eastAsia="zh-CN"/>
        </w:rPr>
        <w:t xml:space="preserve">700 MHz band </w:t>
      </w:r>
      <w:r w:rsidR="00003806">
        <w:rPr>
          <w:rFonts w:eastAsia="SimSun"/>
          <w:lang w:val="en-NZ" w:eastAsia="zh-CN"/>
        </w:rPr>
        <w:t xml:space="preserve">that was conducted </w:t>
      </w:r>
      <w:r w:rsidR="00E26277">
        <w:rPr>
          <w:rFonts w:eastAsia="SimSun"/>
          <w:lang w:val="en-NZ" w:eastAsia="zh-CN"/>
        </w:rPr>
        <w:t>in 2013</w:t>
      </w:r>
      <w:r w:rsidR="00003806">
        <w:rPr>
          <w:rFonts w:eastAsia="SimSun"/>
          <w:lang w:val="en-NZ" w:eastAsia="zh-CN"/>
        </w:rPr>
        <w:t>/14</w:t>
      </w:r>
      <w:r w:rsidR="00E26277">
        <w:rPr>
          <w:rFonts w:eastAsia="SimSun"/>
          <w:lang w:val="en-NZ" w:eastAsia="zh-CN"/>
        </w:rPr>
        <w:t xml:space="preserve">. </w:t>
      </w:r>
    </w:p>
    <w:p w:rsidR="0071633A" w:rsidRDefault="0071633A" w:rsidP="00DE3900">
      <w:pPr>
        <w:rPr>
          <w:rFonts w:eastAsia="SimSun"/>
          <w:b/>
          <w:lang w:val="en-NZ" w:eastAsia="zh-CN"/>
        </w:rPr>
      </w:pPr>
    </w:p>
    <w:p w:rsidR="00DE3900" w:rsidRPr="00DE3900" w:rsidRDefault="00DE3900" w:rsidP="00DE3900">
      <w:pPr>
        <w:rPr>
          <w:rFonts w:eastAsia="SimSun"/>
          <w:b/>
          <w:lang w:val="en-NZ" w:eastAsia="zh-CN"/>
        </w:rPr>
      </w:pPr>
    </w:p>
    <w:p w:rsidR="00DE3900" w:rsidRPr="001F103B" w:rsidRDefault="00DE3900" w:rsidP="00DE3900">
      <w:pPr>
        <w:rPr>
          <w:b/>
          <w:lang w:val="en-NZ"/>
        </w:rPr>
      </w:pPr>
      <w:r w:rsidRPr="001F103B">
        <w:rPr>
          <w:b/>
          <w:lang w:val="en-NZ"/>
        </w:rPr>
        <w:t>Question 2:</w:t>
      </w:r>
    </w:p>
    <w:p w:rsidR="00DE3900" w:rsidRPr="001F103B" w:rsidRDefault="00DE3900" w:rsidP="00DE3900">
      <w:pPr>
        <w:rPr>
          <w:lang w:val="en-NZ"/>
        </w:rPr>
      </w:pPr>
      <w:r w:rsidRPr="001F103B">
        <w:rPr>
          <w:lang w:val="en-NZ"/>
        </w:rPr>
        <w:t>Which IMT technology being use and will be used or technology neutral in these bands?</w:t>
      </w:r>
    </w:p>
    <w:p w:rsidR="00DE3900" w:rsidRPr="001F103B" w:rsidRDefault="00DE3900" w:rsidP="00DE3900">
      <w:pPr>
        <w:pStyle w:val="ListParagraph"/>
        <w:ind w:firstLineChars="0" w:firstLine="0"/>
        <w:rPr>
          <w:lang w:val="en-NZ"/>
        </w:rPr>
      </w:pPr>
      <w:r w:rsidRPr="001F103B">
        <w:rPr>
          <w:lang w:val="en-NZ"/>
        </w:rPr>
        <w:t>Please fill in the frequency bands used for IMT and specify which IMT technology (e.g. WCDMA, HSPA, LTE, LTE-A, TDD-LTE, 3GPP Release 10, …) being used, if not IMT please answer “non-IMT”.</w:t>
      </w:r>
    </w:p>
    <w:p w:rsidR="00DE3900" w:rsidRPr="001F103B" w:rsidRDefault="00DE3900" w:rsidP="00DE3900">
      <w:pPr>
        <w:pStyle w:val="ListParagraph"/>
        <w:ind w:firstLineChars="0" w:firstLine="0"/>
        <w:rPr>
          <w:lang w:val="en-NZ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30"/>
        <w:gridCol w:w="1872"/>
        <w:gridCol w:w="1530"/>
        <w:gridCol w:w="1418"/>
      </w:tblGrid>
      <w:tr w:rsidR="00DE3900" w:rsidRPr="001F103B" w:rsidTr="00DE3900">
        <w:trPr>
          <w:trHeight w:val="375"/>
        </w:trPr>
        <w:tc>
          <w:tcPr>
            <w:tcW w:w="1560" w:type="dxa"/>
            <w:vMerge w:val="restart"/>
            <w:shd w:val="clear" w:color="auto" w:fill="FABF8F"/>
            <w:vAlign w:val="center"/>
          </w:tcPr>
          <w:p w:rsidR="00DE3900" w:rsidRPr="001F103B" w:rsidRDefault="00DE3900" w:rsidP="002E7A12">
            <w:pPr>
              <w:jc w:val="center"/>
              <w:rPr>
                <w:b/>
                <w:bCs/>
                <w:lang w:val="en-NZ" w:eastAsia="zh-CN"/>
              </w:rPr>
            </w:pPr>
            <w:r w:rsidRPr="001F103B">
              <w:rPr>
                <w:b/>
                <w:bCs/>
                <w:lang w:val="en-NZ" w:eastAsia="zh-CN"/>
              </w:rPr>
              <w:t>Frequency band</w:t>
            </w:r>
          </w:p>
          <w:p w:rsidR="00DE3900" w:rsidRPr="001F103B" w:rsidRDefault="00DE3900" w:rsidP="002E7A12">
            <w:pPr>
              <w:jc w:val="center"/>
              <w:rPr>
                <w:b/>
                <w:bCs/>
                <w:lang w:val="en-NZ" w:eastAsia="zh-CN"/>
              </w:rPr>
            </w:pPr>
            <w:r w:rsidRPr="001F103B">
              <w:rPr>
                <w:b/>
                <w:bCs/>
                <w:lang w:val="en-NZ" w:eastAsia="zh-CN"/>
              </w:rPr>
              <w:t>(MHz)</w:t>
            </w:r>
          </w:p>
        </w:tc>
        <w:tc>
          <w:tcPr>
            <w:tcW w:w="3231" w:type="dxa"/>
            <w:gridSpan w:val="2"/>
            <w:shd w:val="clear" w:color="auto" w:fill="FABF8F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b/>
                <w:bCs/>
                <w:lang w:val="en-NZ" w:eastAsia="ja-JP"/>
              </w:rPr>
            </w:pPr>
            <w:r w:rsidRPr="001F103B">
              <w:rPr>
                <w:b/>
                <w:bCs/>
                <w:lang w:val="en-NZ" w:eastAsia="zh-CN"/>
              </w:rPr>
              <w:t>Frequency</w:t>
            </w:r>
            <w:r w:rsidRPr="001F103B">
              <w:rPr>
                <w:b/>
                <w:bCs/>
                <w:lang w:val="en-NZ"/>
              </w:rPr>
              <w:t xml:space="preserve"> </w:t>
            </w:r>
            <w:r w:rsidRPr="001F103B">
              <w:rPr>
                <w:b/>
                <w:bCs/>
                <w:lang w:val="en-NZ" w:eastAsia="zh-CN"/>
              </w:rPr>
              <w:t>Block</w:t>
            </w:r>
            <w:r w:rsidRPr="001F103B">
              <w:rPr>
                <w:b/>
                <w:bCs/>
                <w:lang w:val="en-NZ"/>
              </w:rPr>
              <w:t xml:space="preserve"> (</w:t>
            </w:r>
            <w:r w:rsidRPr="001F103B">
              <w:rPr>
                <w:b/>
                <w:bCs/>
                <w:lang w:val="en-NZ" w:eastAsia="zh-CN"/>
              </w:rPr>
              <w:t>MHz</w:t>
            </w:r>
            <w:r w:rsidRPr="001F103B">
              <w:rPr>
                <w:b/>
                <w:bCs/>
                <w:lang w:val="en-NZ"/>
              </w:rPr>
              <w:t>)</w:t>
            </w:r>
          </w:p>
        </w:tc>
        <w:tc>
          <w:tcPr>
            <w:tcW w:w="1872" w:type="dxa"/>
            <w:vMerge w:val="restart"/>
            <w:shd w:val="clear" w:color="auto" w:fill="FABF8F"/>
          </w:tcPr>
          <w:p w:rsidR="00DE3900" w:rsidRPr="001F103B" w:rsidRDefault="00DE3900" w:rsidP="002E7A12">
            <w:pPr>
              <w:jc w:val="center"/>
              <w:rPr>
                <w:b/>
                <w:bCs/>
                <w:lang w:val="en-NZ" w:eastAsia="zh-CN"/>
              </w:rPr>
            </w:pPr>
            <w:r w:rsidRPr="001F103B">
              <w:rPr>
                <w:b/>
                <w:bCs/>
                <w:lang w:val="en-NZ" w:eastAsia="zh-CN"/>
              </w:rPr>
              <w:t>Operator</w:t>
            </w:r>
          </w:p>
        </w:tc>
        <w:tc>
          <w:tcPr>
            <w:tcW w:w="1530" w:type="dxa"/>
            <w:vMerge w:val="restart"/>
            <w:shd w:val="clear" w:color="auto" w:fill="FABF8F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b/>
                <w:bCs/>
                <w:lang w:val="en-NZ" w:eastAsia="ja-JP"/>
              </w:rPr>
            </w:pPr>
            <w:r w:rsidRPr="001F103B">
              <w:rPr>
                <w:b/>
                <w:bCs/>
                <w:lang w:val="en-NZ" w:eastAsia="zh-CN"/>
              </w:rPr>
              <w:t>IMT Technology</w:t>
            </w:r>
          </w:p>
        </w:tc>
        <w:tc>
          <w:tcPr>
            <w:tcW w:w="1418" w:type="dxa"/>
            <w:vMerge w:val="restart"/>
            <w:shd w:val="clear" w:color="auto" w:fill="FABF8F"/>
            <w:vAlign w:val="center"/>
          </w:tcPr>
          <w:p w:rsidR="00DE3900" w:rsidRPr="001F103B" w:rsidRDefault="00DE3900" w:rsidP="002E7A12">
            <w:pPr>
              <w:jc w:val="center"/>
              <w:rPr>
                <w:b/>
                <w:bCs/>
                <w:lang w:val="en-NZ" w:eastAsia="zh-CN"/>
              </w:rPr>
            </w:pPr>
            <w:r w:rsidRPr="001F103B">
              <w:rPr>
                <w:b/>
                <w:bCs/>
                <w:lang w:val="en-NZ" w:eastAsia="zh-CN"/>
              </w:rPr>
              <w:t>Channel bandwidth (MHz)</w:t>
            </w:r>
          </w:p>
        </w:tc>
      </w:tr>
      <w:tr w:rsidR="00DE3900" w:rsidRPr="001F103B" w:rsidTr="00DE3900">
        <w:trPr>
          <w:trHeight w:val="165"/>
        </w:trPr>
        <w:tc>
          <w:tcPr>
            <w:tcW w:w="1560" w:type="dxa"/>
            <w:vMerge/>
            <w:shd w:val="clear" w:color="auto" w:fill="FFCC99"/>
          </w:tcPr>
          <w:p w:rsidR="00DE3900" w:rsidRPr="001F103B" w:rsidRDefault="00DE3900" w:rsidP="002E7A12">
            <w:pPr>
              <w:rPr>
                <w:lang w:val="en-NZ" w:eastAsia="zh-CN"/>
              </w:rPr>
            </w:pPr>
          </w:p>
        </w:tc>
        <w:tc>
          <w:tcPr>
            <w:tcW w:w="1701" w:type="dxa"/>
            <w:shd w:val="clear" w:color="auto" w:fill="FABF8F"/>
          </w:tcPr>
          <w:p w:rsidR="00DE3900" w:rsidRPr="001F103B" w:rsidRDefault="00DE3900" w:rsidP="002E7A12">
            <w:pPr>
              <w:jc w:val="center"/>
              <w:rPr>
                <w:b/>
                <w:bCs/>
                <w:lang w:val="en-NZ"/>
              </w:rPr>
            </w:pPr>
            <w:r w:rsidRPr="001F103B">
              <w:rPr>
                <w:rFonts w:eastAsia="MS Mincho"/>
                <w:b/>
                <w:bCs/>
                <w:lang w:val="en-NZ" w:eastAsia="ja-JP"/>
              </w:rPr>
              <w:t>Uplink</w:t>
            </w:r>
          </w:p>
        </w:tc>
        <w:tc>
          <w:tcPr>
            <w:tcW w:w="1530" w:type="dxa"/>
            <w:shd w:val="clear" w:color="auto" w:fill="FABF8F"/>
          </w:tcPr>
          <w:p w:rsidR="00DE3900" w:rsidRPr="001F103B" w:rsidRDefault="00DE3900" w:rsidP="002E7A12">
            <w:pPr>
              <w:jc w:val="center"/>
              <w:rPr>
                <w:b/>
                <w:bCs/>
                <w:lang w:val="en-NZ"/>
              </w:rPr>
            </w:pPr>
            <w:r w:rsidRPr="001F103B">
              <w:rPr>
                <w:rFonts w:eastAsia="MS Mincho"/>
                <w:b/>
                <w:bCs/>
                <w:lang w:val="en-NZ" w:eastAsia="ja-JP"/>
              </w:rPr>
              <w:t>Downlink</w:t>
            </w:r>
          </w:p>
        </w:tc>
        <w:tc>
          <w:tcPr>
            <w:tcW w:w="1872" w:type="dxa"/>
            <w:vMerge/>
          </w:tcPr>
          <w:p w:rsidR="00DE3900" w:rsidRPr="001F103B" w:rsidRDefault="00DE3900" w:rsidP="002E7A12">
            <w:pPr>
              <w:rPr>
                <w:lang w:val="en-NZ" w:eastAsia="zh-CN"/>
              </w:rPr>
            </w:pPr>
          </w:p>
        </w:tc>
        <w:tc>
          <w:tcPr>
            <w:tcW w:w="1530" w:type="dxa"/>
            <w:vMerge/>
          </w:tcPr>
          <w:p w:rsidR="00DE3900" w:rsidRPr="001F103B" w:rsidRDefault="00DE3900" w:rsidP="002E7A12">
            <w:pPr>
              <w:rPr>
                <w:lang w:val="en-NZ" w:eastAsia="zh-CN"/>
              </w:rPr>
            </w:pPr>
          </w:p>
        </w:tc>
        <w:tc>
          <w:tcPr>
            <w:tcW w:w="1418" w:type="dxa"/>
            <w:vMerge/>
          </w:tcPr>
          <w:p w:rsidR="00DE3900" w:rsidRPr="001F103B" w:rsidRDefault="00DE3900" w:rsidP="002E7A12">
            <w:pPr>
              <w:rPr>
                <w:lang w:val="en-NZ" w:eastAsia="zh-CN"/>
              </w:rPr>
            </w:pPr>
          </w:p>
        </w:tc>
      </w:tr>
      <w:tr w:rsidR="00DE3900" w:rsidRPr="001F103B" w:rsidTr="002E7A12">
        <w:trPr>
          <w:trHeight w:val="410"/>
        </w:trPr>
        <w:tc>
          <w:tcPr>
            <w:tcW w:w="1560" w:type="dxa"/>
            <w:vMerge w:val="restart"/>
            <w:vAlign w:val="center"/>
          </w:tcPr>
          <w:p w:rsidR="00DE3900" w:rsidRPr="001F103B" w:rsidRDefault="00DE3900" w:rsidP="002E7A12">
            <w:pPr>
              <w:rPr>
                <w:lang w:val="en-NZ"/>
              </w:rPr>
            </w:pPr>
            <w:r w:rsidRPr="001F103B">
              <w:rPr>
                <w:lang w:val="en-NZ"/>
              </w:rPr>
              <w:t>703 – 748</w:t>
            </w:r>
            <w:r w:rsidRPr="001F103B">
              <w:rPr>
                <w:rFonts w:eastAsia="MS Mincho"/>
                <w:lang w:val="en-NZ" w:eastAsia="ja-JP"/>
              </w:rPr>
              <w:t xml:space="preserve"> </w:t>
            </w:r>
            <w:r w:rsidRPr="001F103B">
              <w:rPr>
                <w:lang w:val="en-NZ"/>
              </w:rPr>
              <w:t>/ 758 – 803</w:t>
            </w:r>
          </w:p>
        </w:tc>
        <w:tc>
          <w:tcPr>
            <w:tcW w:w="1701" w:type="dxa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lang w:val="en-NZ" w:eastAsia="ja-JP"/>
              </w:rPr>
            </w:pPr>
            <w:r w:rsidRPr="001F103B">
              <w:rPr>
                <w:rFonts w:eastAsia="MS Mincho"/>
                <w:lang w:val="en-NZ" w:eastAsia="ja-JP"/>
              </w:rPr>
              <w:t>703 – 723</w:t>
            </w:r>
          </w:p>
        </w:tc>
        <w:tc>
          <w:tcPr>
            <w:tcW w:w="1530" w:type="dxa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lang w:val="en-NZ" w:eastAsia="ja-JP"/>
              </w:rPr>
            </w:pPr>
            <w:r w:rsidRPr="001F103B">
              <w:rPr>
                <w:rFonts w:eastAsia="MS Mincho"/>
                <w:lang w:val="en-NZ" w:eastAsia="ja-JP"/>
              </w:rPr>
              <w:t>758 – 778</w:t>
            </w:r>
          </w:p>
        </w:tc>
        <w:tc>
          <w:tcPr>
            <w:tcW w:w="1872" w:type="dxa"/>
            <w:vAlign w:val="center"/>
          </w:tcPr>
          <w:p w:rsidR="00DE3900" w:rsidRPr="001F103B" w:rsidRDefault="00DE3900" w:rsidP="002E7A12">
            <w:pPr>
              <w:widowControl w:val="0"/>
              <w:jc w:val="both"/>
              <w:rPr>
                <w:lang w:val="en-NZ"/>
              </w:rPr>
            </w:pPr>
            <w:r w:rsidRPr="001F103B">
              <w:rPr>
                <w:color w:val="000000"/>
                <w:lang w:val="en-NZ" w:eastAsia="ko-KR"/>
              </w:rPr>
              <w:t>Spark NZ</w:t>
            </w:r>
          </w:p>
        </w:tc>
        <w:tc>
          <w:tcPr>
            <w:tcW w:w="1530" w:type="dxa"/>
            <w:vAlign w:val="center"/>
          </w:tcPr>
          <w:p w:rsidR="00DE3900" w:rsidRPr="001F103B" w:rsidRDefault="00DE3900" w:rsidP="002E7A12">
            <w:pPr>
              <w:widowControl w:val="0"/>
              <w:jc w:val="both"/>
              <w:rPr>
                <w:lang w:val="en-NZ"/>
              </w:rPr>
            </w:pPr>
            <w:r w:rsidRPr="001F103B">
              <w:rPr>
                <w:lang w:val="en-NZ"/>
              </w:rPr>
              <w:t>FDD-LTE</w:t>
            </w:r>
          </w:p>
        </w:tc>
        <w:tc>
          <w:tcPr>
            <w:tcW w:w="1418" w:type="dxa"/>
            <w:vAlign w:val="center"/>
          </w:tcPr>
          <w:p w:rsidR="00DE3900" w:rsidRPr="001F103B" w:rsidRDefault="00DE3900" w:rsidP="002E7A12">
            <w:pPr>
              <w:widowControl w:val="0"/>
              <w:jc w:val="both"/>
              <w:rPr>
                <w:lang w:val="en-NZ"/>
              </w:rPr>
            </w:pPr>
            <w:r w:rsidRPr="001F103B">
              <w:rPr>
                <w:lang w:val="en-NZ"/>
              </w:rPr>
              <w:t>20</w:t>
            </w:r>
          </w:p>
        </w:tc>
      </w:tr>
      <w:tr w:rsidR="00DE3900" w:rsidRPr="001F103B" w:rsidTr="002E7A12">
        <w:trPr>
          <w:trHeight w:val="410"/>
        </w:trPr>
        <w:tc>
          <w:tcPr>
            <w:tcW w:w="1560" w:type="dxa"/>
            <w:vMerge/>
            <w:vAlign w:val="center"/>
          </w:tcPr>
          <w:p w:rsidR="00DE3900" w:rsidRPr="001F103B" w:rsidRDefault="00DE3900" w:rsidP="002E7A12">
            <w:pPr>
              <w:jc w:val="both"/>
              <w:rPr>
                <w:lang w:val="en-NZ"/>
              </w:rPr>
            </w:pPr>
          </w:p>
        </w:tc>
        <w:tc>
          <w:tcPr>
            <w:tcW w:w="1701" w:type="dxa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lang w:val="en-NZ" w:eastAsia="ja-JP"/>
              </w:rPr>
            </w:pPr>
            <w:r w:rsidRPr="001F103B">
              <w:rPr>
                <w:rFonts w:eastAsia="MS Mincho"/>
                <w:lang w:val="en-NZ" w:eastAsia="ja-JP"/>
              </w:rPr>
              <w:t>723 – 738</w:t>
            </w:r>
          </w:p>
        </w:tc>
        <w:tc>
          <w:tcPr>
            <w:tcW w:w="1530" w:type="dxa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lang w:val="en-NZ" w:eastAsia="ja-JP"/>
              </w:rPr>
            </w:pPr>
            <w:r w:rsidRPr="001F103B">
              <w:rPr>
                <w:rFonts w:eastAsia="MS Mincho"/>
                <w:lang w:val="en-NZ" w:eastAsia="ja-JP"/>
              </w:rPr>
              <w:t>778 – 793</w:t>
            </w:r>
          </w:p>
        </w:tc>
        <w:tc>
          <w:tcPr>
            <w:tcW w:w="1872" w:type="dxa"/>
            <w:vAlign w:val="center"/>
          </w:tcPr>
          <w:p w:rsidR="00DE3900" w:rsidRPr="001F103B" w:rsidRDefault="00DE3900" w:rsidP="002E7A12">
            <w:pPr>
              <w:widowControl w:val="0"/>
              <w:rPr>
                <w:lang w:val="en-NZ"/>
              </w:rPr>
            </w:pPr>
            <w:r w:rsidRPr="001F103B">
              <w:rPr>
                <w:color w:val="000000"/>
                <w:lang w:val="en-NZ" w:eastAsia="ko-KR"/>
              </w:rPr>
              <w:t>Vodafone NZ Ltd</w:t>
            </w:r>
          </w:p>
        </w:tc>
        <w:tc>
          <w:tcPr>
            <w:tcW w:w="1530" w:type="dxa"/>
            <w:vAlign w:val="center"/>
          </w:tcPr>
          <w:p w:rsidR="00DE3900" w:rsidRPr="001F103B" w:rsidRDefault="00DE3900" w:rsidP="002E7A12">
            <w:pPr>
              <w:widowControl w:val="0"/>
              <w:jc w:val="both"/>
              <w:rPr>
                <w:lang w:val="en-NZ"/>
              </w:rPr>
            </w:pPr>
            <w:r w:rsidRPr="001F103B">
              <w:rPr>
                <w:lang w:val="en-NZ"/>
              </w:rPr>
              <w:t>FDD-LTE</w:t>
            </w:r>
          </w:p>
        </w:tc>
        <w:tc>
          <w:tcPr>
            <w:tcW w:w="1418" w:type="dxa"/>
            <w:vAlign w:val="center"/>
          </w:tcPr>
          <w:p w:rsidR="00DE3900" w:rsidRPr="001F103B" w:rsidRDefault="00DE3900" w:rsidP="002E7A12">
            <w:pPr>
              <w:widowControl w:val="0"/>
              <w:jc w:val="both"/>
              <w:rPr>
                <w:lang w:val="en-NZ"/>
              </w:rPr>
            </w:pPr>
            <w:r w:rsidRPr="001F103B">
              <w:rPr>
                <w:lang w:val="en-NZ"/>
              </w:rPr>
              <w:t>15</w:t>
            </w:r>
          </w:p>
        </w:tc>
      </w:tr>
      <w:tr w:rsidR="00DE3900" w:rsidRPr="001F103B" w:rsidTr="002E7A12">
        <w:trPr>
          <w:trHeight w:val="410"/>
        </w:trPr>
        <w:tc>
          <w:tcPr>
            <w:tcW w:w="1560" w:type="dxa"/>
            <w:vMerge/>
            <w:vAlign w:val="center"/>
          </w:tcPr>
          <w:p w:rsidR="00DE3900" w:rsidRPr="001F103B" w:rsidRDefault="00DE3900" w:rsidP="002E7A12">
            <w:pPr>
              <w:jc w:val="both"/>
              <w:rPr>
                <w:lang w:val="en-NZ"/>
              </w:rPr>
            </w:pPr>
          </w:p>
        </w:tc>
        <w:tc>
          <w:tcPr>
            <w:tcW w:w="1701" w:type="dxa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highlight w:val="yellow"/>
                <w:lang w:val="en-NZ" w:eastAsia="ja-JP"/>
              </w:rPr>
            </w:pPr>
            <w:r w:rsidRPr="001F103B">
              <w:rPr>
                <w:rFonts w:eastAsia="MS Mincho"/>
                <w:lang w:val="en-NZ" w:eastAsia="ja-JP"/>
              </w:rPr>
              <w:t>738 – 748</w:t>
            </w:r>
          </w:p>
        </w:tc>
        <w:tc>
          <w:tcPr>
            <w:tcW w:w="1530" w:type="dxa"/>
            <w:vAlign w:val="center"/>
          </w:tcPr>
          <w:p w:rsidR="00DE3900" w:rsidRPr="001F103B" w:rsidRDefault="00DE3900" w:rsidP="002E7A12">
            <w:pPr>
              <w:jc w:val="center"/>
              <w:rPr>
                <w:rFonts w:eastAsia="MS Mincho"/>
                <w:highlight w:val="yellow"/>
                <w:lang w:val="en-NZ" w:eastAsia="ja-JP"/>
              </w:rPr>
            </w:pPr>
            <w:r w:rsidRPr="001F103B">
              <w:rPr>
                <w:rFonts w:eastAsia="MS Mincho"/>
                <w:lang w:val="en-NZ" w:eastAsia="ja-JP"/>
              </w:rPr>
              <w:t>793 – 803</w:t>
            </w:r>
          </w:p>
        </w:tc>
        <w:tc>
          <w:tcPr>
            <w:tcW w:w="1872" w:type="dxa"/>
            <w:vAlign w:val="center"/>
          </w:tcPr>
          <w:p w:rsidR="00DE3900" w:rsidRPr="001F103B" w:rsidRDefault="00DE3900" w:rsidP="002E7A12">
            <w:pPr>
              <w:widowControl w:val="0"/>
              <w:rPr>
                <w:highlight w:val="yellow"/>
                <w:lang w:val="en-NZ"/>
              </w:rPr>
            </w:pPr>
            <w:r w:rsidRPr="001F103B">
              <w:rPr>
                <w:color w:val="000000"/>
                <w:lang w:val="en-NZ" w:eastAsia="ko-KR"/>
              </w:rPr>
              <w:t>Two Degrees Mobile Ltd</w:t>
            </w:r>
          </w:p>
        </w:tc>
        <w:tc>
          <w:tcPr>
            <w:tcW w:w="1530" w:type="dxa"/>
            <w:vAlign w:val="center"/>
          </w:tcPr>
          <w:p w:rsidR="00DE3900" w:rsidRPr="001F103B" w:rsidRDefault="00DE3900" w:rsidP="002E7A12">
            <w:pPr>
              <w:widowControl w:val="0"/>
              <w:jc w:val="both"/>
              <w:rPr>
                <w:highlight w:val="yellow"/>
                <w:lang w:val="en-NZ"/>
              </w:rPr>
            </w:pPr>
            <w:r w:rsidRPr="001F103B">
              <w:rPr>
                <w:lang w:val="en-NZ"/>
              </w:rPr>
              <w:t>FDD-LTE</w:t>
            </w:r>
          </w:p>
        </w:tc>
        <w:tc>
          <w:tcPr>
            <w:tcW w:w="1418" w:type="dxa"/>
            <w:vAlign w:val="center"/>
          </w:tcPr>
          <w:p w:rsidR="00DE3900" w:rsidRPr="001F103B" w:rsidRDefault="00DE3900" w:rsidP="002E7A12">
            <w:pPr>
              <w:widowControl w:val="0"/>
              <w:jc w:val="both"/>
              <w:rPr>
                <w:highlight w:val="yellow"/>
                <w:lang w:val="en-NZ"/>
              </w:rPr>
            </w:pPr>
            <w:r w:rsidRPr="001F103B">
              <w:rPr>
                <w:lang w:val="en-NZ"/>
              </w:rPr>
              <w:t>10</w:t>
            </w:r>
          </w:p>
        </w:tc>
      </w:tr>
    </w:tbl>
    <w:p w:rsidR="00DE3900" w:rsidRDefault="00DE3900" w:rsidP="00DE3900">
      <w:pPr>
        <w:rPr>
          <w:b/>
          <w:lang w:val="en-NZ"/>
        </w:rPr>
      </w:pPr>
    </w:p>
    <w:p w:rsidR="00DE3900" w:rsidRPr="001F103B" w:rsidRDefault="00DE3900" w:rsidP="00DE3900">
      <w:pPr>
        <w:rPr>
          <w:b/>
          <w:lang w:val="en-NZ"/>
        </w:rPr>
      </w:pPr>
    </w:p>
    <w:p w:rsidR="00DE3900" w:rsidRPr="001F103B" w:rsidRDefault="00DE3900" w:rsidP="00DE3900">
      <w:pPr>
        <w:rPr>
          <w:b/>
          <w:lang w:val="en-NZ"/>
        </w:rPr>
      </w:pPr>
      <w:r>
        <w:rPr>
          <w:b/>
          <w:lang w:val="en-NZ"/>
        </w:rPr>
        <w:br w:type="page"/>
      </w:r>
      <w:r w:rsidRPr="001F103B">
        <w:rPr>
          <w:b/>
          <w:lang w:val="en-NZ"/>
        </w:rPr>
        <w:lastRenderedPageBreak/>
        <w:t>Question 3:</w:t>
      </w:r>
    </w:p>
    <w:p w:rsidR="00DE3900" w:rsidRPr="001F103B" w:rsidRDefault="00DE3900" w:rsidP="00DE3900">
      <w:pPr>
        <w:rPr>
          <w:lang w:val="en-NZ"/>
        </w:rPr>
      </w:pPr>
      <w:r w:rsidRPr="001F103B">
        <w:rPr>
          <w:lang w:val="en-NZ"/>
        </w:rPr>
        <w:t>Please provide (or refer to) characteristics, and protection criteria, for implementing the IMT systems/networks in Question 2, and similar information for non-IMT services, within the IMT band and in the neighbo</w:t>
      </w:r>
      <w:r w:rsidR="0071633A">
        <w:rPr>
          <w:lang w:val="en-NZ"/>
        </w:rPr>
        <w:t>u</w:t>
      </w:r>
      <w:r w:rsidRPr="001F103B">
        <w:rPr>
          <w:lang w:val="en-NZ"/>
        </w:rPr>
        <w:t>ring bands.</w:t>
      </w:r>
    </w:p>
    <w:p w:rsidR="00DE3900" w:rsidRPr="001F103B" w:rsidRDefault="00DE3900" w:rsidP="00DE3900">
      <w:pPr>
        <w:ind w:left="720"/>
        <w:rPr>
          <w:lang w:val="en-NZ"/>
        </w:rPr>
      </w:pPr>
    </w:p>
    <w:p w:rsidR="00DE3900" w:rsidRPr="001F103B" w:rsidRDefault="00DE3900" w:rsidP="00DE3900">
      <w:pPr>
        <w:rPr>
          <w:b/>
          <w:lang w:val="en-NZ"/>
        </w:rPr>
      </w:pPr>
      <w:r w:rsidRPr="001F103B">
        <w:rPr>
          <w:b/>
          <w:lang w:val="en-NZ"/>
        </w:rPr>
        <w:t>About the IMT services in (703–748/758–803 MHz):</w:t>
      </w:r>
    </w:p>
    <w:p w:rsidR="00DE3900" w:rsidRPr="001F103B" w:rsidRDefault="00DE3900" w:rsidP="00DE3900">
      <w:pPr>
        <w:pStyle w:val="ListParagraph"/>
        <w:numPr>
          <w:ilvl w:val="0"/>
          <w:numId w:val="10"/>
        </w:numPr>
        <w:ind w:firstLineChars="0"/>
        <w:rPr>
          <w:lang w:val="en-NZ"/>
        </w:rPr>
      </w:pPr>
      <w:r w:rsidRPr="001F103B">
        <w:rPr>
          <w:lang w:val="en-NZ"/>
        </w:rPr>
        <w:t>In general, New Zealand adopted a technology-flexible approach where the type of technology used is not regulated within the spectrum blo</w:t>
      </w:r>
      <w:bookmarkStart w:id="0" w:name="_GoBack"/>
      <w:bookmarkEnd w:id="0"/>
      <w:r w:rsidRPr="001F103B">
        <w:rPr>
          <w:lang w:val="en-NZ"/>
        </w:rPr>
        <w:t xml:space="preserve">cks </w:t>
      </w:r>
      <w:r>
        <w:rPr>
          <w:lang w:val="en-NZ"/>
        </w:rPr>
        <w:t>assign</w:t>
      </w:r>
      <w:r w:rsidRPr="001F103B">
        <w:rPr>
          <w:lang w:val="en-NZ"/>
        </w:rPr>
        <w:t xml:space="preserve">ed to each </w:t>
      </w:r>
      <w:r>
        <w:rPr>
          <w:lang w:val="en-NZ"/>
        </w:rPr>
        <w:t xml:space="preserve">mobile network </w:t>
      </w:r>
      <w:r w:rsidRPr="001F103B">
        <w:rPr>
          <w:lang w:val="en-NZ"/>
        </w:rPr>
        <w:t xml:space="preserve">operator. </w:t>
      </w:r>
    </w:p>
    <w:p w:rsidR="00DE3900" w:rsidRPr="001F103B" w:rsidRDefault="00DE3900" w:rsidP="00DE3900">
      <w:pPr>
        <w:pStyle w:val="ListParagraph"/>
        <w:numPr>
          <w:ilvl w:val="0"/>
          <w:numId w:val="10"/>
        </w:numPr>
        <w:ind w:firstLineChars="0"/>
        <w:rPr>
          <w:lang w:val="en-NZ"/>
        </w:rPr>
      </w:pPr>
      <w:r w:rsidRPr="001F103B">
        <w:rPr>
          <w:lang w:val="en-NZ"/>
        </w:rPr>
        <w:t>Given the harmoni</w:t>
      </w:r>
      <w:r>
        <w:rPr>
          <w:lang w:val="en-NZ"/>
        </w:rPr>
        <w:t>s</w:t>
      </w:r>
      <w:r w:rsidRPr="001F103B">
        <w:rPr>
          <w:lang w:val="en-NZ"/>
        </w:rPr>
        <w:t xml:space="preserve">ation of the </w:t>
      </w:r>
      <w:r>
        <w:rPr>
          <w:lang w:val="en-NZ"/>
        </w:rPr>
        <w:t xml:space="preserve">APT </w:t>
      </w:r>
      <w:r w:rsidRPr="001F103B">
        <w:rPr>
          <w:lang w:val="en-NZ"/>
        </w:rPr>
        <w:t>700 MHz band plan for IMT, the technical characteristics of the spectrum blocks are configured in a frequency pairing arrangement to suit FDD-LTE.</w:t>
      </w:r>
    </w:p>
    <w:p w:rsidR="00DE3900" w:rsidRPr="001F103B" w:rsidRDefault="00DE3900" w:rsidP="00DE3900">
      <w:pPr>
        <w:pStyle w:val="ListParagraph"/>
        <w:numPr>
          <w:ilvl w:val="0"/>
          <w:numId w:val="10"/>
        </w:numPr>
        <w:ind w:firstLineChars="0"/>
        <w:rPr>
          <w:lang w:val="en-NZ"/>
        </w:rPr>
      </w:pPr>
      <w:r w:rsidRPr="001F103B">
        <w:rPr>
          <w:lang w:val="en-NZ"/>
        </w:rPr>
        <w:t xml:space="preserve">Protection criteria for preventing the intra-band interference between IMT systems, as well as inter-band interference between IMT systems and other </w:t>
      </w:r>
      <w:proofErr w:type="spellStart"/>
      <w:r w:rsidRPr="001F103B">
        <w:rPr>
          <w:lang w:val="en-NZ"/>
        </w:rPr>
        <w:t>radiocommunication</w:t>
      </w:r>
      <w:proofErr w:type="spellEnd"/>
      <w:r w:rsidRPr="001F103B">
        <w:rPr>
          <w:lang w:val="en-NZ"/>
        </w:rPr>
        <w:t xml:space="preserve"> services in adjacent frequency bands, are enforced in the form of emission mask for each spectrum block.</w:t>
      </w:r>
    </w:p>
    <w:p w:rsidR="00DE3900" w:rsidRPr="001F103B" w:rsidRDefault="00DE3900" w:rsidP="00DE3900">
      <w:pPr>
        <w:pStyle w:val="ListParagraph"/>
        <w:numPr>
          <w:ilvl w:val="0"/>
          <w:numId w:val="10"/>
        </w:numPr>
        <w:ind w:firstLineChars="0"/>
        <w:rPr>
          <w:lang w:val="en-NZ"/>
        </w:rPr>
      </w:pPr>
      <w:r w:rsidRPr="001F103B">
        <w:rPr>
          <w:lang w:val="en-NZ"/>
        </w:rPr>
        <w:t xml:space="preserve">These </w:t>
      </w:r>
      <w:r>
        <w:rPr>
          <w:lang w:val="en-NZ"/>
        </w:rPr>
        <w:t xml:space="preserve">out-of-band </w:t>
      </w:r>
      <w:r w:rsidRPr="001F103B">
        <w:rPr>
          <w:lang w:val="en-NZ"/>
        </w:rPr>
        <w:t>emission masks</w:t>
      </w:r>
      <w:r>
        <w:rPr>
          <w:lang w:val="en-NZ"/>
        </w:rPr>
        <w:t xml:space="preserve">, formally </w:t>
      </w:r>
      <w:r w:rsidRPr="001F103B">
        <w:rPr>
          <w:lang w:val="en-NZ"/>
        </w:rPr>
        <w:t>known as “Adjacent Frequencies Emission Limit” (AFEL)</w:t>
      </w:r>
      <w:r>
        <w:rPr>
          <w:lang w:val="en-NZ"/>
        </w:rPr>
        <w:t>,</w:t>
      </w:r>
      <w:r w:rsidRPr="001F103B">
        <w:rPr>
          <w:lang w:val="en-NZ"/>
        </w:rPr>
        <w:t xml:space="preserve"> are derived based on 3GPP specifications, such as 3GPP 36.104 and 3GPP 36.101.</w:t>
      </w:r>
    </w:p>
    <w:p w:rsidR="00DE3900" w:rsidRDefault="00DE3900" w:rsidP="00DE3900">
      <w:pPr>
        <w:pStyle w:val="ListParagraph"/>
        <w:keepNext/>
        <w:numPr>
          <w:ilvl w:val="0"/>
          <w:numId w:val="10"/>
        </w:numPr>
        <w:ind w:firstLineChars="0"/>
        <w:rPr>
          <w:lang w:val="en-NZ"/>
        </w:rPr>
      </w:pPr>
      <w:r w:rsidRPr="001F103B">
        <w:rPr>
          <w:lang w:val="en-NZ"/>
        </w:rPr>
        <w:t xml:space="preserve">The diagram below shows </w:t>
      </w:r>
      <w:r>
        <w:rPr>
          <w:lang w:val="en-NZ"/>
        </w:rPr>
        <w:t xml:space="preserve">an example of </w:t>
      </w:r>
      <w:r w:rsidRPr="001F103B">
        <w:rPr>
          <w:lang w:val="en-NZ"/>
        </w:rPr>
        <w:t xml:space="preserve">the </w:t>
      </w:r>
      <w:r w:rsidR="00DC2D9B">
        <w:rPr>
          <w:lang w:val="en-NZ"/>
        </w:rPr>
        <w:t xml:space="preserve">spectrum </w:t>
      </w:r>
      <w:r w:rsidRPr="001F103B">
        <w:rPr>
          <w:lang w:val="en-NZ"/>
        </w:rPr>
        <w:t xml:space="preserve">emission mask for </w:t>
      </w:r>
      <w:r w:rsidR="00DC2D9B">
        <w:rPr>
          <w:lang w:val="en-NZ"/>
        </w:rPr>
        <w:t xml:space="preserve">uplink transmission </w:t>
      </w:r>
      <w:r>
        <w:rPr>
          <w:lang w:val="en-NZ"/>
        </w:rPr>
        <w:t xml:space="preserve">where the </w:t>
      </w:r>
      <w:r w:rsidR="00DC2D9B">
        <w:rPr>
          <w:lang w:val="en-NZ"/>
        </w:rPr>
        <w:t xml:space="preserve">mobile network operator </w:t>
      </w:r>
      <w:r>
        <w:rPr>
          <w:lang w:val="en-NZ"/>
        </w:rPr>
        <w:t>amalgamate</w:t>
      </w:r>
      <w:r w:rsidR="00DC2D9B">
        <w:rPr>
          <w:lang w:val="en-NZ"/>
        </w:rPr>
        <w:t>d four</w:t>
      </w:r>
      <w:r>
        <w:rPr>
          <w:lang w:val="en-NZ"/>
        </w:rPr>
        <w:t xml:space="preserve"> blocks of 5 MHz </w:t>
      </w:r>
      <w:r w:rsidRPr="001F103B">
        <w:rPr>
          <w:lang w:val="en-NZ"/>
        </w:rPr>
        <w:t xml:space="preserve">within 703-723MHz:  </w:t>
      </w:r>
    </w:p>
    <w:p w:rsidR="00DE3900" w:rsidRPr="001F103B" w:rsidRDefault="00FE3D11" w:rsidP="00DC2D9B">
      <w:pPr>
        <w:pStyle w:val="ListParagraph"/>
        <w:keepNext/>
        <w:ind w:left="426" w:firstLineChars="0" w:firstLine="0"/>
        <w:rPr>
          <w:lang w:val="en-NZ"/>
        </w:rPr>
      </w:pPr>
      <w:r>
        <w:rPr>
          <w:noProof/>
          <w:lang w:val="en-NZ" w:eastAsia="zh-CN"/>
        </w:rPr>
      </w:r>
      <w:r>
        <w:rPr>
          <w:noProof/>
          <w:lang w:val="en-NZ" w:eastAsia="zh-CN"/>
        </w:rPr>
        <w:pict>
          <v:group id="_x0000_s1028" editas="canvas" style="width:474pt;height:252.8pt;mso-position-horizontal-relative:char;mso-position-vertical-relative:line" coordorigin="2160,7154" coordsize="9480,5056">
            <o:lock v:ext="edit" aspectratio="t"/>
            <v:shape id="_x0000_s1027" type="#_x0000_t75" style="position:absolute;left:2160;top:7154;width:9480;height:505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2160;top:7275;width:9069;height:4730">
              <v:imagedata r:id="rId9" o:title=""/>
            </v:shape>
            <w10:anchorlock/>
          </v:group>
        </w:pict>
      </w:r>
    </w:p>
    <w:p w:rsidR="00DE3900" w:rsidRPr="001F103B" w:rsidRDefault="00DE3900" w:rsidP="00DE3900">
      <w:pPr>
        <w:pStyle w:val="Caption"/>
        <w:ind w:left="720"/>
        <w:jc w:val="center"/>
        <w:rPr>
          <w:lang w:val="en-NZ"/>
        </w:rPr>
      </w:pPr>
      <w:r w:rsidRPr="001F103B">
        <w:rPr>
          <w:lang w:val="en-NZ"/>
        </w:rPr>
        <w:t xml:space="preserve">Figure </w:t>
      </w:r>
      <w:r w:rsidRPr="001F103B">
        <w:rPr>
          <w:lang w:val="en-NZ"/>
        </w:rPr>
        <w:fldChar w:fldCharType="begin"/>
      </w:r>
      <w:r w:rsidRPr="001F103B">
        <w:rPr>
          <w:lang w:val="en-NZ"/>
        </w:rPr>
        <w:instrText xml:space="preserve"> SEQ Figure \* ARABIC </w:instrText>
      </w:r>
      <w:r w:rsidRPr="001F103B">
        <w:rPr>
          <w:lang w:val="en-NZ"/>
        </w:rPr>
        <w:fldChar w:fldCharType="separate"/>
      </w:r>
      <w:r w:rsidRPr="001F103B">
        <w:rPr>
          <w:noProof/>
          <w:lang w:val="en-NZ"/>
        </w:rPr>
        <w:t>1</w:t>
      </w:r>
      <w:r w:rsidRPr="001F103B">
        <w:rPr>
          <w:noProof/>
          <w:lang w:val="en-NZ"/>
        </w:rPr>
        <w:fldChar w:fldCharType="end"/>
      </w:r>
      <w:r w:rsidRPr="001F103B">
        <w:rPr>
          <w:lang w:val="en-NZ"/>
        </w:rPr>
        <w:t xml:space="preserve">: </w:t>
      </w:r>
      <w:r w:rsidR="00DC2D9B">
        <w:rPr>
          <w:lang w:val="en-NZ"/>
        </w:rPr>
        <w:t>Spectrum e</w:t>
      </w:r>
      <w:r w:rsidRPr="001F103B">
        <w:rPr>
          <w:lang w:val="en-NZ"/>
        </w:rPr>
        <w:t>mission mask for 703-723 MHz</w:t>
      </w:r>
    </w:p>
    <w:p w:rsidR="00DE3900" w:rsidRDefault="00DC2D9B" w:rsidP="00DE3900">
      <w:pPr>
        <w:pStyle w:val="ListParagraph"/>
        <w:numPr>
          <w:ilvl w:val="0"/>
          <w:numId w:val="10"/>
        </w:numPr>
        <w:ind w:firstLineChars="0"/>
        <w:rPr>
          <w:lang w:val="en-NZ"/>
        </w:rPr>
      </w:pPr>
      <w:r>
        <w:rPr>
          <w:lang w:val="en-NZ"/>
        </w:rPr>
        <w:br w:type="page"/>
      </w:r>
      <w:r w:rsidR="00DE3900" w:rsidRPr="001F103B">
        <w:rPr>
          <w:lang w:val="en-NZ"/>
        </w:rPr>
        <w:lastRenderedPageBreak/>
        <w:t xml:space="preserve">The diagram below shows </w:t>
      </w:r>
      <w:r>
        <w:rPr>
          <w:lang w:val="en-NZ"/>
        </w:rPr>
        <w:t xml:space="preserve">an example of </w:t>
      </w:r>
      <w:r w:rsidRPr="001F103B">
        <w:rPr>
          <w:lang w:val="en-NZ"/>
        </w:rPr>
        <w:t xml:space="preserve">the </w:t>
      </w:r>
      <w:r>
        <w:rPr>
          <w:lang w:val="en-NZ"/>
        </w:rPr>
        <w:t xml:space="preserve">spectrum </w:t>
      </w:r>
      <w:r w:rsidRPr="001F103B">
        <w:rPr>
          <w:lang w:val="en-NZ"/>
        </w:rPr>
        <w:t xml:space="preserve">emission mask for </w:t>
      </w:r>
      <w:r>
        <w:rPr>
          <w:lang w:val="en-NZ"/>
        </w:rPr>
        <w:t xml:space="preserve">downlink transmission where another mobile network operator amalgamated two blocks of 5 MHz </w:t>
      </w:r>
      <w:r w:rsidRPr="001F103B">
        <w:rPr>
          <w:lang w:val="en-NZ"/>
        </w:rPr>
        <w:t xml:space="preserve">within </w:t>
      </w:r>
      <w:r>
        <w:rPr>
          <w:lang w:val="en-NZ"/>
        </w:rPr>
        <w:t>7</w:t>
      </w:r>
      <w:r w:rsidR="00DE3900" w:rsidRPr="001F103B">
        <w:rPr>
          <w:lang w:val="en-NZ"/>
        </w:rPr>
        <w:t>93-803MHz:</w:t>
      </w:r>
    </w:p>
    <w:p w:rsidR="00DC2D9B" w:rsidRDefault="00FE3D11" w:rsidP="00DC2D9B">
      <w:pPr>
        <w:pStyle w:val="ListParagraph"/>
        <w:ind w:firstLineChars="0"/>
        <w:rPr>
          <w:lang w:val="en-NZ"/>
        </w:rPr>
      </w:pPr>
      <w:r>
        <w:rPr>
          <w:lang w:val="en-NZ"/>
        </w:rPr>
      </w:r>
      <w:r>
        <w:rPr>
          <w:lang w:val="en-NZ"/>
        </w:rPr>
        <w:pict>
          <v:group id="_x0000_s1031" editas="canvas" style="width:459.05pt;height:259.3pt;mso-position-horizontal-relative:char;mso-position-vertical-relative:line" coordorigin="2362,2895" coordsize="7095,4008">
            <o:lock v:ext="edit" aspectratio="t"/>
            <v:shape id="_x0000_s1030" type="#_x0000_t75" style="position:absolute;left:2362;top:2895;width:7095;height:4008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2362;top:3206;width:7095;height:3593">
              <v:imagedata r:id="rId10" o:title=""/>
            </v:shape>
            <w10:anchorlock/>
          </v:group>
        </w:pict>
      </w:r>
    </w:p>
    <w:p w:rsidR="00DE3900" w:rsidRPr="001F103B" w:rsidRDefault="00DE3900" w:rsidP="00DC2D9B">
      <w:pPr>
        <w:pStyle w:val="Caption"/>
        <w:ind w:left="720"/>
        <w:jc w:val="center"/>
        <w:rPr>
          <w:lang w:val="en-NZ"/>
        </w:rPr>
      </w:pPr>
      <w:r w:rsidRPr="001F103B">
        <w:rPr>
          <w:lang w:val="en-NZ"/>
        </w:rPr>
        <w:t xml:space="preserve">Figure </w:t>
      </w:r>
      <w:r w:rsidRPr="001F103B">
        <w:rPr>
          <w:lang w:val="en-NZ"/>
        </w:rPr>
        <w:fldChar w:fldCharType="begin"/>
      </w:r>
      <w:r w:rsidRPr="001F103B">
        <w:rPr>
          <w:lang w:val="en-NZ"/>
        </w:rPr>
        <w:instrText xml:space="preserve"> SEQ Figure \* ARABIC </w:instrText>
      </w:r>
      <w:r w:rsidRPr="001F103B">
        <w:rPr>
          <w:lang w:val="en-NZ"/>
        </w:rPr>
        <w:fldChar w:fldCharType="separate"/>
      </w:r>
      <w:r w:rsidRPr="001F103B">
        <w:rPr>
          <w:noProof/>
          <w:lang w:val="en-NZ"/>
        </w:rPr>
        <w:t>2</w:t>
      </w:r>
      <w:r w:rsidRPr="001F103B">
        <w:rPr>
          <w:noProof/>
          <w:lang w:val="en-NZ"/>
        </w:rPr>
        <w:fldChar w:fldCharType="end"/>
      </w:r>
      <w:r w:rsidRPr="001F103B">
        <w:rPr>
          <w:lang w:val="en-NZ"/>
        </w:rPr>
        <w:t xml:space="preserve">: </w:t>
      </w:r>
      <w:r w:rsidR="00DC2D9B">
        <w:rPr>
          <w:lang w:val="en-NZ"/>
        </w:rPr>
        <w:t>Spectrum e</w:t>
      </w:r>
      <w:r w:rsidRPr="001F103B">
        <w:rPr>
          <w:lang w:val="en-NZ"/>
        </w:rPr>
        <w:t>mission mask for 793-803 MHz</w:t>
      </w:r>
    </w:p>
    <w:p w:rsidR="00DE3900" w:rsidRPr="001F103B" w:rsidRDefault="00DE3900" w:rsidP="00DE3900">
      <w:pPr>
        <w:rPr>
          <w:b/>
          <w:lang w:val="en-NZ"/>
        </w:rPr>
      </w:pPr>
    </w:p>
    <w:p w:rsidR="00DE3900" w:rsidRPr="001F103B" w:rsidRDefault="00DE3900" w:rsidP="00DE3900">
      <w:pPr>
        <w:rPr>
          <w:b/>
          <w:lang w:val="en-NZ"/>
        </w:rPr>
      </w:pPr>
      <w:r w:rsidRPr="001F103B">
        <w:rPr>
          <w:b/>
          <w:lang w:val="en-NZ"/>
        </w:rPr>
        <w:t>About the neighbouring non-IMT service:</w:t>
      </w:r>
    </w:p>
    <w:p w:rsidR="00DE3900" w:rsidRPr="001F103B" w:rsidRDefault="00DE3900" w:rsidP="00DE3900">
      <w:pPr>
        <w:pStyle w:val="ListParagraph"/>
        <w:numPr>
          <w:ilvl w:val="0"/>
          <w:numId w:val="10"/>
        </w:numPr>
        <w:ind w:firstLineChars="0"/>
        <w:rPr>
          <w:lang w:val="en-NZ"/>
        </w:rPr>
      </w:pPr>
      <w:r>
        <w:rPr>
          <w:lang w:val="en-NZ"/>
        </w:rPr>
        <w:t>A</w:t>
      </w:r>
      <w:r w:rsidRPr="001F103B">
        <w:rPr>
          <w:lang w:val="en-NZ"/>
        </w:rPr>
        <w:t xml:space="preserve"> guard band is </w:t>
      </w:r>
      <w:r>
        <w:rPr>
          <w:lang w:val="en-NZ"/>
        </w:rPr>
        <w:t>considered f</w:t>
      </w:r>
      <w:r w:rsidRPr="001F103B">
        <w:rPr>
          <w:lang w:val="en-NZ"/>
        </w:rPr>
        <w:t xml:space="preserve">or protection of interference between IMT and </w:t>
      </w:r>
      <w:r w:rsidR="00103E2C">
        <w:rPr>
          <w:lang w:val="en-NZ"/>
        </w:rPr>
        <w:t>n</w:t>
      </w:r>
      <w:r w:rsidRPr="001F103B">
        <w:rPr>
          <w:lang w:val="en-NZ"/>
        </w:rPr>
        <w:t>on-IMT systems in neighbo</w:t>
      </w:r>
      <w:r>
        <w:rPr>
          <w:lang w:val="en-NZ"/>
        </w:rPr>
        <w:t>u</w:t>
      </w:r>
      <w:r w:rsidRPr="001F103B">
        <w:rPr>
          <w:lang w:val="en-NZ"/>
        </w:rPr>
        <w:t>ring bands</w:t>
      </w:r>
      <w:r>
        <w:rPr>
          <w:lang w:val="en-NZ"/>
        </w:rPr>
        <w:t>.</w:t>
      </w:r>
      <w:r w:rsidRPr="001F103B">
        <w:rPr>
          <w:lang w:val="en-NZ"/>
        </w:rPr>
        <w:t xml:space="preserve"> </w:t>
      </w:r>
    </w:p>
    <w:p w:rsidR="00DE3900" w:rsidRPr="001F103B" w:rsidRDefault="00DE3900" w:rsidP="00DE3900">
      <w:pPr>
        <w:pStyle w:val="ListParagraph"/>
        <w:numPr>
          <w:ilvl w:val="0"/>
          <w:numId w:val="10"/>
        </w:numPr>
        <w:ind w:firstLineChars="0"/>
        <w:rPr>
          <w:lang w:val="en-NZ"/>
        </w:rPr>
      </w:pPr>
      <w:r w:rsidRPr="001F103B">
        <w:rPr>
          <w:lang w:val="en-NZ"/>
        </w:rPr>
        <w:t xml:space="preserve">For the </w:t>
      </w:r>
      <w:r>
        <w:rPr>
          <w:lang w:val="en-NZ"/>
        </w:rPr>
        <w:t>size</w:t>
      </w:r>
      <w:r w:rsidRPr="001F103B">
        <w:rPr>
          <w:lang w:val="en-NZ"/>
        </w:rPr>
        <w:t xml:space="preserve"> of guard bands, please refer to next question</w:t>
      </w:r>
      <w:r w:rsidR="00103E2C">
        <w:rPr>
          <w:lang w:val="en-NZ"/>
        </w:rPr>
        <w:t>.</w:t>
      </w:r>
      <w:r w:rsidRPr="001F103B">
        <w:rPr>
          <w:lang w:val="en-NZ"/>
        </w:rPr>
        <w:t xml:space="preserve"> </w:t>
      </w:r>
    </w:p>
    <w:p w:rsidR="00DE3900" w:rsidRPr="001F103B" w:rsidRDefault="00DE3900" w:rsidP="00DE3900">
      <w:pPr>
        <w:rPr>
          <w:lang w:val="en-NZ"/>
        </w:rPr>
      </w:pPr>
    </w:p>
    <w:p w:rsidR="00DE3900" w:rsidRPr="001F103B" w:rsidRDefault="00DE3900" w:rsidP="00DE3900">
      <w:pPr>
        <w:rPr>
          <w:b/>
          <w:lang w:val="en-NZ"/>
        </w:rPr>
      </w:pPr>
    </w:p>
    <w:p w:rsidR="00DE3900" w:rsidRPr="001F103B" w:rsidRDefault="00103E2C" w:rsidP="00DE3900">
      <w:pPr>
        <w:rPr>
          <w:b/>
          <w:lang w:val="en-NZ"/>
        </w:rPr>
      </w:pPr>
      <w:r>
        <w:rPr>
          <w:b/>
          <w:lang w:val="en-NZ"/>
        </w:rPr>
        <w:br w:type="page"/>
      </w:r>
      <w:r w:rsidR="00DE3900" w:rsidRPr="001F103B">
        <w:rPr>
          <w:b/>
          <w:lang w:val="en-NZ"/>
        </w:rPr>
        <w:lastRenderedPageBreak/>
        <w:t>Question 4:</w:t>
      </w:r>
    </w:p>
    <w:p w:rsidR="00DE3900" w:rsidRPr="001F103B" w:rsidRDefault="00DE3900" w:rsidP="00DE3900">
      <w:pPr>
        <w:pStyle w:val="ListParagraph"/>
        <w:ind w:firstLineChars="0" w:firstLine="0"/>
        <w:rPr>
          <w:lang w:val="en-NZ"/>
        </w:rPr>
      </w:pPr>
      <w:r w:rsidRPr="001F103B">
        <w:rPr>
          <w:lang w:val="en-NZ"/>
        </w:rPr>
        <w:t>Which case of coexistence as illustrated below and the technical conditions must be applied to each IMT block (</w:t>
      </w:r>
      <w:proofErr w:type="spellStart"/>
      <w:r w:rsidRPr="001F103B">
        <w:rPr>
          <w:lang w:val="en-NZ"/>
        </w:rPr>
        <w:t>e.g</w:t>
      </w:r>
      <w:proofErr w:type="spellEnd"/>
      <w:r w:rsidRPr="001F103B">
        <w:rPr>
          <w:lang w:val="en-NZ"/>
        </w:rPr>
        <w:t xml:space="preserve"> power limit, emission mask for spectrum block, </w:t>
      </w:r>
      <w:proofErr w:type="spellStart"/>
      <w:r w:rsidRPr="001F103B">
        <w:rPr>
          <w:lang w:val="en-NZ"/>
        </w:rPr>
        <w:t>pfd</w:t>
      </w:r>
      <w:proofErr w:type="spellEnd"/>
      <w:r w:rsidRPr="001F103B">
        <w:rPr>
          <w:lang w:val="en-NZ"/>
        </w:rPr>
        <w:t xml:space="preserve"> </w:t>
      </w:r>
      <w:proofErr w:type="gramStart"/>
      <w:r w:rsidRPr="001F103B">
        <w:rPr>
          <w:lang w:val="en-NZ"/>
        </w:rPr>
        <w:t>limit, …)</w:t>
      </w:r>
      <w:proofErr w:type="gramEnd"/>
      <w:r w:rsidRPr="001F103B">
        <w:rPr>
          <w:lang w:val="en-NZ"/>
        </w:rPr>
        <w:t xml:space="preserve"> to </w:t>
      </w:r>
      <w:r w:rsidRPr="001F103B">
        <w:rPr>
          <w:rFonts w:eastAsia="MS Mincho"/>
          <w:bCs/>
          <w:lang w:val="en-NZ"/>
        </w:rPr>
        <w:t>support technology neutrality and spectrum efficiency</w:t>
      </w:r>
      <w:r w:rsidRPr="001F103B">
        <w:rPr>
          <w:lang w:val="en-NZ"/>
        </w:rPr>
        <w:t xml:space="preserve">? </w:t>
      </w:r>
    </w:p>
    <w:p w:rsidR="00DE3900" w:rsidRPr="001F103B" w:rsidRDefault="00DE3900" w:rsidP="00DE3900">
      <w:pPr>
        <w:pStyle w:val="ListParagraph"/>
        <w:ind w:firstLineChars="0" w:firstLine="0"/>
        <w:rPr>
          <w:lang w:val="en-NZ"/>
        </w:rPr>
      </w:pPr>
    </w:p>
    <w:bookmarkStart w:id="1" w:name="_MON_1258028741"/>
    <w:bookmarkEnd w:id="1"/>
    <w:p w:rsidR="00DE3900" w:rsidRPr="001F103B" w:rsidRDefault="00DE3900" w:rsidP="00DE3900">
      <w:pPr>
        <w:pStyle w:val="ListParagraph"/>
        <w:ind w:firstLine="480"/>
        <w:rPr>
          <w:lang w:val="en-NZ"/>
        </w:rPr>
      </w:pPr>
      <w:r w:rsidRPr="001F103B">
        <w:rPr>
          <w:lang w:val="en-NZ"/>
        </w:rPr>
        <w:object w:dxaOrig="14940" w:dyaOrig="7761">
          <v:shape id="_x0000_i1028" type="#_x0000_t75" style="width:414.75pt;height:221.25pt" o:ole="">
            <v:imagedata r:id="rId11" o:title=""/>
          </v:shape>
          <o:OLEObject Type="Embed" ProgID="Word.Picture.8" ShapeID="_x0000_i1028" DrawAspect="Content" ObjectID="_1584373242" r:id="rId12"/>
        </w:object>
      </w:r>
    </w:p>
    <w:p w:rsidR="00DE3900" w:rsidRPr="001F103B" w:rsidRDefault="00DE3900" w:rsidP="00DE3900">
      <w:pPr>
        <w:rPr>
          <w:lang w:val="en-NZ"/>
        </w:rPr>
      </w:pPr>
      <w:r w:rsidRPr="001F103B">
        <w:rPr>
          <w:lang w:val="en-NZ"/>
        </w:rPr>
        <w:t xml:space="preserve">Case A: coexistence between IMT block and IMT in adjacent block in same IMT band </w:t>
      </w:r>
    </w:p>
    <w:p w:rsidR="00DE3900" w:rsidRPr="001F103B" w:rsidRDefault="00DE3900" w:rsidP="00DE3900">
      <w:pPr>
        <w:rPr>
          <w:lang w:val="en-NZ"/>
        </w:rPr>
      </w:pPr>
      <w:r w:rsidRPr="001F103B">
        <w:rPr>
          <w:lang w:val="en-NZ"/>
        </w:rPr>
        <w:t>Case B: coexistence between IMT block and non-IMT in adjacent block in same IMT band</w:t>
      </w:r>
    </w:p>
    <w:p w:rsidR="00DE3900" w:rsidRPr="001F103B" w:rsidRDefault="00DE3900" w:rsidP="00DE3900">
      <w:pPr>
        <w:pStyle w:val="ListParagraph"/>
        <w:ind w:firstLineChars="0" w:firstLine="0"/>
        <w:rPr>
          <w:lang w:val="en-NZ"/>
        </w:rPr>
      </w:pPr>
      <w:r w:rsidRPr="001F103B">
        <w:rPr>
          <w:lang w:val="en-NZ"/>
        </w:rPr>
        <w:t>Case C: coexistence between IMT block in IMT band and non-IMT block in adjacent band</w:t>
      </w:r>
    </w:p>
    <w:p w:rsidR="00DE3900" w:rsidRPr="001F103B" w:rsidRDefault="00DE3900" w:rsidP="00DE3900">
      <w:pPr>
        <w:pStyle w:val="ListParagraph"/>
        <w:ind w:firstLineChars="0" w:firstLine="0"/>
        <w:rPr>
          <w:lang w:val="en-NZ"/>
        </w:rPr>
      </w:pPr>
      <w:r w:rsidRPr="001F103B">
        <w:rPr>
          <w:lang w:val="en-NZ"/>
        </w:rPr>
        <w:t>Case D: coexistence between IMT block and non-IMT block co-channel but adjacent geographical area</w:t>
      </w:r>
    </w:p>
    <w:p w:rsidR="00DE3900" w:rsidRPr="001F103B" w:rsidRDefault="00DE3900" w:rsidP="00DE3900">
      <w:pPr>
        <w:pStyle w:val="ListParagraph"/>
        <w:ind w:firstLineChars="0" w:firstLine="0"/>
        <w:rPr>
          <w:lang w:val="en-NZ"/>
        </w:rPr>
      </w:pPr>
      <w:r w:rsidRPr="001F103B">
        <w:rPr>
          <w:lang w:val="en-NZ"/>
        </w:rPr>
        <w:t>Case E: coexistence between IMT block and other IMT block co-channel but adjacent geographical area</w:t>
      </w:r>
    </w:p>
    <w:p w:rsidR="00DE3900" w:rsidRPr="001F103B" w:rsidRDefault="00DE3900" w:rsidP="00DE3900">
      <w:pPr>
        <w:jc w:val="both"/>
        <w:rPr>
          <w:b/>
          <w:lang w:val="en-NZ"/>
        </w:rPr>
      </w:pPr>
    </w:p>
    <w:p w:rsidR="00DE3900" w:rsidRPr="001F103B" w:rsidRDefault="00DE3900" w:rsidP="00DE3900">
      <w:pPr>
        <w:jc w:val="both"/>
        <w:rPr>
          <w:lang w:val="en-NZ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76"/>
        <w:gridCol w:w="4091"/>
      </w:tblGrid>
      <w:tr w:rsidR="008F3712" w:rsidRPr="001F103B" w:rsidTr="008F3712">
        <w:tc>
          <w:tcPr>
            <w:tcW w:w="3515" w:type="dxa"/>
            <w:shd w:val="clear" w:color="auto" w:fill="FABF8F"/>
            <w:vAlign w:val="center"/>
          </w:tcPr>
          <w:p w:rsidR="00DE3900" w:rsidRPr="008F3712" w:rsidRDefault="00DE3900" w:rsidP="008F3712">
            <w:pPr>
              <w:jc w:val="center"/>
              <w:rPr>
                <w:b/>
                <w:bCs/>
                <w:sz w:val="22"/>
                <w:szCs w:val="28"/>
                <w:lang w:val="en-NZ" w:eastAsia="zh-CN"/>
              </w:rPr>
            </w:pPr>
            <w:r w:rsidRPr="008F3712">
              <w:rPr>
                <w:b/>
                <w:bCs/>
                <w:sz w:val="22"/>
                <w:szCs w:val="28"/>
                <w:lang w:val="en-NZ" w:eastAsia="zh-CN"/>
              </w:rPr>
              <w:t>Frequency band (MHz)</w:t>
            </w:r>
          </w:p>
        </w:tc>
        <w:tc>
          <w:tcPr>
            <w:tcW w:w="1276" w:type="dxa"/>
            <w:shd w:val="clear" w:color="auto" w:fill="FABF8F"/>
          </w:tcPr>
          <w:p w:rsidR="00DE3900" w:rsidRPr="008F3712" w:rsidRDefault="00DE3900" w:rsidP="008F3712">
            <w:pPr>
              <w:jc w:val="center"/>
              <w:rPr>
                <w:b/>
                <w:bCs/>
                <w:sz w:val="22"/>
                <w:szCs w:val="28"/>
                <w:lang w:val="en-NZ" w:eastAsia="zh-CN"/>
              </w:rPr>
            </w:pPr>
            <w:r w:rsidRPr="008F3712">
              <w:rPr>
                <w:b/>
                <w:bCs/>
                <w:sz w:val="22"/>
                <w:szCs w:val="28"/>
                <w:lang w:val="en-NZ" w:eastAsia="zh-CN"/>
              </w:rPr>
              <w:t>Case</w:t>
            </w:r>
          </w:p>
        </w:tc>
        <w:tc>
          <w:tcPr>
            <w:tcW w:w="4091" w:type="dxa"/>
            <w:shd w:val="clear" w:color="auto" w:fill="FABF8F"/>
          </w:tcPr>
          <w:p w:rsidR="00DE3900" w:rsidRPr="008F3712" w:rsidRDefault="00DE3900" w:rsidP="008F3712">
            <w:pPr>
              <w:jc w:val="center"/>
              <w:rPr>
                <w:b/>
                <w:bCs/>
                <w:sz w:val="22"/>
                <w:szCs w:val="28"/>
                <w:lang w:val="en-NZ" w:eastAsia="zh-CN"/>
              </w:rPr>
            </w:pPr>
            <w:r w:rsidRPr="008F3712">
              <w:rPr>
                <w:b/>
                <w:bCs/>
                <w:sz w:val="22"/>
                <w:szCs w:val="28"/>
                <w:lang w:val="en-NZ" w:eastAsia="zh-CN"/>
              </w:rPr>
              <w:t>Technical condition</w:t>
            </w:r>
          </w:p>
        </w:tc>
      </w:tr>
      <w:tr w:rsidR="008F3712" w:rsidRPr="001F103B" w:rsidTr="008F3712">
        <w:tc>
          <w:tcPr>
            <w:tcW w:w="3515" w:type="dxa"/>
            <w:shd w:val="clear" w:color="auto" w:fill="auto"/>
            <w:vAlign w:val="center"/>
          </w:tcPr>
          <w:p w:rsidR="00DE3900" w:rsidRPr="008F3712" w:rsidRDefault="00DE3900" w:rsidP="008F3712">
            <w:pPr>
              <w:pStyle w:val="ListParagraph"/>
              <w:ind w:firstLineChars="0" w:firstLine="0"/>
              <w:contextualSpacing/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622 – 698 (Currently unused) / 703 – 748 (IMT mobile transmit)</w:t>
            </w:r>
          </w:p>
        </w:tc>
        <w:tc>
          <w:tcPr>
            <w:tcW w:w="1276" w:type="dxa"/>
            <w:shd w:val="clear" w:color="auto" w:fill="auto"/>
          </w:tcPr>
          <w:p w:rsidR="00DE3900" w:rsidRPr="008F3712" w:rsidRDefault="00DE3900" w:rsidP="008F3712">
            <w:pPr>
              <w:pStyle w:val="ListParagraph"/>
              <w:ind w:firstLine="440"/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C</w:t>
            </w:r>
          </w:p>
        </w:tc>
        <w:tc>
          <w:tcPr>
            <w:tcW w:w="4091" w:type="dxa"/>
            <w:shd w:val="clear" w:color="auto" w:fill="auto"/>
          </w:tcPr>
          <w:p w:rsidR="00DE3900" w:rsidRPr="008F3712" w:rsidRDefault="00DE3900" w:rsidP="002E7A12">
            <w:pPr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5 MHz guard band</w:t>
            </w:r>
          </w:p>
        </w:tc>
      </w:tr>
      <w:tr w:rsidR="008F3712" w:rsidRPr="001F103B" w:rsidTr="008F3712">
        <w:tc>
          <w:tcPr>
            <w:tcW w:w="3515" w:type="dxa"/>
            <w:shd w:val="clear" w:color="auto" w:fill="auto"/>
            <w:vAlign w:val="center"/>
          </w:tcPr>
          <w:p w:rsidR="00DE3900" w:rsidRPr="008F3712" w:rsidRDefault="00DE3900" w:rsidP="008F3712">
            <w:pPr>
              <w:pStyle w:val="ListParagraph"/>
              <w:ind w:firstLineChars="0" w:firstLine="0"/>
              <w:contextualSpacing/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703 – 748</w:t>
            </w:r>
            <w:r w:rsidRPr="008F3712">
              <w:rPr>
                <w:rFonts w:ascii="Calibri" w:eastAsia="MS Mincho" w:hAnsi="Calibri" w:cs="Cordia New"/>
                <w:sz w:val="22"/>
                <w:szCs w:val="28"/>
                <w:lang w:val="en-NZ" w:eastAsia="ja-JP" w:bidi="th-TH"/>
              </w:rPr>
              <w:t xml:space="preserve"> </w:t>
            </w: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/ 758 – 803</w:t>
            </w:r>
          </w:p>
        </w:tc>
        <w:tc>
          <w:tcPr>
            <w:tcW w:w="1276" w:type="dxa"/>
            <w:shd w:val="clear" w:color="auto" w:fill="auto"/>
          </w:tcPr>
          <w:p w:rsidR="00DE3900" w:rsidRPr="008F3712" w:rsidRDefault="00DE3900" w:rsidP="008F3712">
            <w:pPr>
              <w:pStyle w:val="ListParagraph"/>
              <w:ind w:firstLine="440"/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A</w:t>
            </w:r>
          </w:p>
        </w:tc>
        <w:tc>
          <w:tcPr>
            <w:tcW w:w="4091" w:type="dxa"/>
            <w:shd w:val="clear" w:color="auto" w:fill="auto"/>
          </w:tcPr>
          <w:p w:rsidR="00DE3900" w:rsidRPr="008F3712" w:rsidRDefault="00103E2C" w:rsidP="00103E2C">
            <w:pPr>
              <w:pStyle w:val="ListParagraph"/>
              <w:ind w:firstLineChars="0" w:firstLine="0"/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Spectrum e</w:t>
            </w:r>
            <w:r w:rsidR="00DE3900"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mission mask</w:t>
            </w:r>
          </w:p>
        </w:tc>
      </w:tr>
      <w:tr w:rsidR="008F3712" w:rsidRPr="001F103B" w:rsidTr="008F3712">
        <w:tc>
          <w:tcPr>
            <w:tcW w:w="3515" w:type="dxa"/>
            <w:shd w:val="clear" w:color="auto" w:fill="auto"/>
            <w:vAlign w:val="center"/>
          </w:tcPr>
          <w:p w:rsidR="00DE3900" w:rsidRPr="008F3712" w:rsidRDefault="00DE3900" w:rsidP="008F3712">
            <w:pPr>
              <w:pStyle w:val="ListParagraph"/>
              <w:ind w:firstLineChars="0" w:firstLine="0"/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758 – 803 (IMT base transmit) / 806 – 812 (Fixed links)</w:t>
            </w:r>
          </w:p>
        </w:tc>
        <w:tc>
          <w:tcPr>
            <w:tcW w:w="1276" w:type="dxa"/>
            <w:shd w:val="clear" w:color="auto" w:fill="auto"/>
          </w:tcPr>
          <w:p w:rsidR="00DE3900" w:rsidRPr="008F3712" w:rsidRDefault="00DE3900" w:rsidP="008F3712">
            <w:pPr>
              <w:pStyle w:val="ListParagraph"/>
              <w:ind w:firstLine="440"/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C</w:t>
            </w:r>
          </w:p>
        </w:tc>
        <w:tc>
          <w:tcPr>
            <w:tcW w:w="4091" w:type="dxa"/>
            <w:shd w:val="clear" w:color="auto" w:fill="auto"/>
          </w:tcPr>
          <w:p w:rsidR="00DE3900" w:rsidRPr="008F3712" w:rsidRDefault="00DE3900" w:rsidP="002E7A12">
            <w:pPr>
              <w:rPr>
                <w:rFonts w:ascii="Calibri" w:hAnsi="Calibri" w:cs="Cordia New"/>
                <w:sz w:val="22"/>
                <w:szCs w:val="28"/>
                <w:lang w:val="en-NZ" w:bidi="th-TH"/>
              </w:rPr>
            </w:pPr>
            <w:r w:rsidRPr="008F3712">
              <w:rPr>
                <w:rFonts w:ascii="Calibri" w:hAnsi="Calibri" w:cs="Cordia New"/>
                <w:sz w:val="22"/>
                <w:szCs w:val="28"/>
                <w:lang w:val="en-NZ" w:bidi="th-TH"/>
              </w:rPr>
              <w:t>3 MHz guard band</w:t>
            </w:r>
          </w:p>
        </w:tc>
      </w:tr>
    </w:tbl>
    <w:p w:rsidR="00C357AD" w:rsidRPr="00D62596" w:rsidRDefault="00C357AD" w:rsidP="00C357AD">
      <w:pPr>
        <w:jc w:val="both"/>
        <w:rPr>
          <w:lang w:val="en-NZ"/>
        </w:rPr>
      </w:pPr>
    </w:p>
    <w:p w:rsidR="0067040A" w:rsidRPr="00D62596" w:rsidRDefault="0067040A" w:rsidP="00C357AD">
      <w:pPr>
        <w:jc w:val="both"/>
        <w:rPr>
          <w:lang w:val="en-NZ"/>
        </w:rPr>
      </w:pPr>
    </w:p>
    <w:p w:rsidR="00FD592E" w:rsidRPr="00D62596" w:rsidRDefault="00C357AD" w:rsidP="009A4A6D">
      <w:pPr>
        <w:jc w:val="center"/>
        <w:rPr>
          <w:snapToGrid w:val="0"/>
          <w:lang w:val="en-NZ"/>
        </w:rPr>
      </w:pPr>
      <w:r w:rsidRPr="00D62596">
        <w:rPr>
          <w:lang w:val="en-NZ"/>
        </w:rPr>
        <w:t>____________</w:t>
      </w:r>
    </w:p>
    <w:p w:rsidR="00FD592E" w:rsidRPr="00D62596" w:rsidRDefault="00FD592E" w:rsidP="00FD592E">
      <w:pPr>
        <w:rPr>
          <w:lang w:val="en-NZ"/>
        </w:rPr>
      </w:pPr>
    </w:p>
    <w:p w:rsidR="00FD592E" w:rsidRPr="00D62596" w:rsidRDefault="00FD592E" w:rsidP="00FD592E">
      <w:pPr>
        <w:rPr>
          <w:lang w:val="en-NZ"/>
        </w:rPr>
      </w:pPr>
    </w:p>
    <w:p w:rsidR="00DA7595" w:rsidRPr="00D62596" w:rsidRDefault="00FD592E" w:rsidP="00FD592E">
      <w:pPr>
        <w:tabs>
          <w:tab w:val="left" w:pos="1830"/>
        </w:tabs>
        <w:rPr>
          <w:lang w:val="en-NZ"/>
        </w:rPr>
      </w:pPr>
      <w:r w:rsidRPr="00D62596">
        <w:rPr>
          <w:lang w:val="en-NZ"/>
        </w:rPr>
        <w:tab/>
      </w:r>
    </w:p>
    <w:sectPr w:rsidR="00DA7595" w:rsidRPr="00D62596" w:rsidSect="00DB0A68"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11" w:rsidRDefault="00FE3D11">
      <w:r>
        <w:separator/>
      </w:r>
    </w:p>
  </w:endnote>
  <w:endnote w:type="continuationSeparator" w:id="0">
    <w:p w:rsidR="00FE3D11" w:rsidRDefault="00FE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3771CA" w:rsidP="003771CA">
    <w:pPr>
      <w:pStyle w:val="Footer"/>
      <w:ind w:right="360"/>
      <w:rPr>
        <w:rStyle w:val="PageNumber"/>
      </w:rPr>
    </w:pPr>
    <w:r>
      <w:rPr>
        <w:rFonts w:hint="eastAsia"/>
        <w:lang w:eastAsia="ko-KR"/>
      </w:rPr>
      <w:t>A</w:t>
    </w:r>
    <w:r>
      <w:rPr>
        <w:lang w:eastAsia="ko-KR"/>
      </w:rPr>
      <w:t>WG</w:t>
    </w:r>
    <w:r>
      <w:rPr>
        <w:rFonts w:hint="eastAsia"/>
        <w:lang w:eastAsia="ko-KR"/>
      </w:rPr>
      <w:t>-</w:t>
    </w:r>
    <w:r w:rsidR="00CC1DE7">
      <w:rPr>
        <w:lang w:eastAsia="ko-KR"/>
      </w:rPr>
      <w:t>23</w:t>
    </w:r>
    <w:r>
      <w:rPr>
        <w:rFonts w:hint="eastAsia"/>
        <w:lang w:eastAsia="ko-KR"/>
      </w:rPr>
      <w:t>/</w:t>
    </w:r>
    <w:r>
      <w:rPr>
        <w:lang w:eastAsia="ko-KR"/>
      </w:rPr>
      <w:t>INP-</w:t>
    </w:r>
    <w:r w:rsidR="00E406A6">
      <w:rPr>
        <w:lang w:eastAsia="ko-KR"/>
      </w:rPr>
      <w:t>24</w:t>
    </w: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E406A6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E406A6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3771C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b/>
              <w:bCs/>
            </w:rPr>
          </w:pPr>
          <w:r w:rsidRPr="003771CA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D62596" w:rsidRPr="00D62596" w:rsidRDefault="00D62596" w:rsidP="00D62596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 w:before="0" w:line="240" w:lineRule="auto"/>
            <w:rPr>
              <w:rFonts w:eastAsia="Batang"/>
              <w:lang w:eastAsia="ko-KR"/>
            </w:rPr>
          </w:pPr>
          <w:r w:rsidRPr="00D62596">
            <w:rPr>
              <w:rFonts w:eastAsia="Batang"/>
              <w:lang w:eastAsia="ko-KR"/>
            </w:rPr>
            <w:t>Dr Tommy Chee</w:t>
          </w:r>
        </w:p>
        <w:p w:rsidR="00D62596" w:rsidRPr="00D62596" w:rsidRDefault="00D62596" w:rsidP="00D62596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 w:before="0" w:line="240" w:lineRule="auto"/>
            <w:rPr>
              <w:rFonts w:eastAsia="Batang"/>
              <w:lang w:eastAsia="ko-KR"/>
            </w:rPr>
          </w:pPr>
          <w:r w:rsidRPr="00D62596">
            <w:rPr>
              <w:rFonts w:eastAsia="Batang"/>
              <w:lang w:eastAsia="ko-KR"/>
            </w:rPr>
            <w:t>Ministry of Business, Innovation and</w:t>
          </w:r>
        </w:p>
        <w:p w:rsidR="0097693B" w:rsidRPr="003771CA" w:rsidRDefault="00D62596" w:rsidP="00D6259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 w:line="240" w:lineRule="auto"/>
            <w:rPr>
              <w:rFonts w:eastAsia="Batang"/>
              <w:szCs w:val="24"/>
            </w:rPr>
          </w:pPr>
          <w:r w:rsidRPr="00D62596">
            <w:rPr>
              <w:rFonts w:eastAsia="Batang"/>
              <w:szCs w:val="24"/>
              <w:lang w:val="en-US" w:eastAsia="ko-KR"/>
            </w:rPr>
            <w:t xml:space="preserve">Employment, </w:t>
          </w:r>
          <w:smartTag w:uri="urn:schemas-microsoft-com:office:smarttags" w:element="place">
            <w:smartTag w:uri="urn:schemas-microsoft-com:office:smarttags" w:element="country-region">
              <w:r w:rsidRPr="00D62596">
                <w:rPr>
                  <w:rFonts w:eastAsia="Batang"/>
                  <w:szCs w:val="24"/>
                  <w:lang w:val="en-US" w:eastAsia="ko-KR"/>
                </w:rPr>
                <w:t>New Zealand</w:t>
              </w:r>
            </w:smartTag>
          </w:smartTag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lang w:eastAsia="ja-JP"/>
            </w:rPr>
          </w:pPr>
          <w:r w:rsidRPr="003771CA">
            <w:t>Email</w:t>
          </w:r>
          <w:r w:rsidRPr="003771CA">
            <w:rPr>
              <w:rFonts w:hint="eastAsia"/>
            </w:rPr>
            <w:t xml:space="preserve">: </w:t>
          </w:r>
          <w:r w:rsidR="00D62596" w:rsidRPr="00D62596">
            <w:t>Tommy.Chee@mbie.govt.nz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11" w:rsidRDefault="00FE3D11">
      <w:r>
        <w:separator/>
      </w:r>
    </w:p>
  </w:footnote>
  <w:footnote w:type="continuationSeparator" w:id="0">
    <w:p w:rsidR="00FE3D11" w:rsidRDefault="00FE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F977C90"/>
    <w:multiLevelType w:val="hybridMultilevel"/>
    <w:tmpl w:val="FF2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8BF0E9A"/>
    <w:multiLevelType w:val="hybridMultilevel"/>
    <w:tmpl w:val="C6763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740"/>
    <w:rsid w:val="000011E8"/>
    <w:rsid w:val="00003806"/>
    <w:rsid w:val="00032A21"/>
    <w:rsid w:val="0003595B"/>
    <w:rsid w:val="000A4256"/>
    <w:rsid w:val="000A6769"/>
    <w:rsid w:val="000B24C0"/>
    <w:rsid w:val="000C6462"/>
    <w:rsid w:val="000D5C0D"/>
    <w:rsid w:val="000F5540"/>
    <w:rsid w:val="00103E2C"/>
    <w:rsid w:val="0018079A"/>
    <w:rsid w:val="00196568"/>
    <w:rsid w:val="001A59F6"/>
    <w:rsid w:val="001B18C2"/>
    <w:rsid w:val="001D5D7E"/>
    <w:rsid w:val="002458F8"/>
    <w:rsid w:val="00254A1B"/>
    <w:rsid w:val="00262EAB"/>
    <w:rsid w:val="00263969"/>
    <w:rsid w:val="0028454D"/>
    <w:rsid w:val="002926D4"/>
    <w:rsid w:val="00296005"/>
    <w:rsid w:val="002B16D9"/>
    <w:rsid w:val="002B2757"/>
    <w:rsid w:val="002C07DA"/>
    <w:rsid w:val="002C7EA9"/>
    <w:rsid w:val="002F2C66"/>
    <w:rsid w:val="00321058"/>
    <w:rsid w:val="0035412C"/>
    <w:rsid w:val="003578AB"/>
    <w:rsid w:val="003771CA"/>
    <w:rsid w:val="003A232C"/>
    <w:rsid w:val="003B6263"/>
    <w:rsid w:val="003B6E54"/>
    <w:rsid w:val="003C49AD"/>
    <w:rsid w:val="003C64A7"/>
    <w:rsid w:val="003D3FDA"/>
    <w:rsid w:val="003D4768"/>
    <w:rsid w:val="003F2317"/>
    <w:rsid w:val="00420822"/>
    <w:rsid w:val="0045458F"/>
    <w:rsid w:val="00486F61"/>
    <w:rsid w:val="004F050A"/>
    <w:rsid w:val="00530E8C"/>
    <w:rsid w:val="00545CF7"/>
    <w:rsid w:val="00551B76"/>
    <w:rsid w:val="00564E78"/>
    <w:rsid w:val="00587875"/>
    <w:rsid w:val="005A33DF"/>
    <w:rsid w:val="005B3417"/>
    <w:rsid w:val="005C3208"/>
    <w:rsid w:val="005C5F4E"/>
    <w:rsid w:val="005C7E76"/>
    <w:rsid w:val="00607E2B"/>
    <w:rsid w:val="00614171"/>
    <w:rsid w:val="00627E64"/>
    <w:rsid w:val="0063062B"/>
    <w:rsid w:val="00636AEC"/>
    <w:rsid w:val="00667229"/>
    <w:rsid w:val="0067040A"/>
    <w:rsid w:val="00682BE5"/>
    <w:rsid w:val="006C7574"/>
    <w:rsid w:val="0071633A"/>
    <w:rsid w:val="0074190C"/>
    <w:rsid w:val="00762576"/>
    <w:rsid w:val="00763D7A"/>
    <w:rsid w:val="007A2FB0"/>
    <w:rsid w:val="007D4ADC"/>
    <w:rsid w:val="007E6C90"/>
    <w:rsid w:val="007F7740"/>
    <w:rsid w:val="0080570B"/>
    <w:rsid w:val="008148E1"/>
    <w:rsid w:val="00865017"/>
    <w:rsid w:val="0088109B"/>
    <w:rsid w:val="008819A7"/>
    <w:rsid w:val="00895888"/>
    <w:rsid w:val="008B04A4"/>
    <w:rsid w:val="008B4CAC"/>
    <w:rsid w:val="008D0E09"/>
    <w:rsid w:val="008F3712"/>
    <w:rsid w:val="00906EB0"/>
    <w:rsid w:val="00922A59"/>
    <w:rsid w:val="00940700"/>
    <w:rsid w:val="0097693B"/>
    <w:rsid w:val="009A4A6D"/>
    <w:rsid w:val="009C3A88"/>
    <w:rsid w:val="00A331AD"/>
    <w:rsid w:val="00A438A8"/>
    <w:rsid w:val="00A44BFA"/>
    <w:rsid w:val="00A51E43"/>
    <w:rsid w:val="00A53045"/>
    <w:rsid w:val="00A548EF"/>
    <w:rsid w:val="00A744C9"/>
    <w:rsid w:val="00A948CF"/>
    <w:rsid w:val="00AA41DB"/>
    <w:rsid w:val="00AA474C"/>
    <w:rsid w:val="00AB032C"/>
    <w:rsid w:val="00AD7E5F"/>
    <w:rsid w:val="00B25D6A"/>
    <w:rsid w:val="00B30C81"/>
    <w:rsid w:val="00B7600B"/>
    <w:rsid w:val="00BB4D83"/>
    <w:rsid w:val="00BF663E"/>
    <w:rsid w:val="00C15633"/>
    <w:rsid w:val="00C357AD"/>
    <w:rsid w:val="00CC1DE7"/>
    <w:rsid w:val="00CD5431"/>
    <w:rsid w:val="00CD75B4"/>
    <w:rsid w:val="00CE74EB"/>
    <w:rsid w:val="00CF2491"/>
    <w:rsid w:val="00D51345"/>
    <w:rsid w:val="00D57772"/>
    <w:rsid w:val="00D62596"/>
    <w:rsid w:val="00D65FF5"/>
    <w:rsid w:val="00D75A4D"/>
    <w:rsid w:val="00D8478B"/>
    <w:rsid w:val="00D86151"/>
    <w:rsid w:val="00DA7595"/>
    <w:rsid w:val="00DB0A68"/>
    <w:rsid w:val="00DB25B9"/>
    <w:rsid w:val="00DB5B3A"/>
    <w:rsid w:val="00DC2D9B"/>
    <w:rsid w:val="00DC43A3"/>
    <w:rsid w:val="00DD68FC"/>
    <w:rsid w:val="00DE3900"/>
    <w:rsid w:val="00DE4D0D"/>
    <w:rsid w:val="00E035A1"/>
    <w:rsid w:val="00E11CD0"/>
    <w:rsid w:val="00E26277"/>
    <w:rsid w:val="00E406A6"/>
    <w:rsid w:val="00E674D3"/>
    <w:rsid w:val="00E778A0"/>
    <w:rsid w:val="00EB7AAC"/>
    <w:rsid w:val="00EC1A88"/>
    <w:rsid w:val="00F373F5"/>
    <w:rsid w:val="00F80501"/>
    <w:rsid w:val="00F84067"/>
    <w:rsid w:val="00F9296C"/>
    <w:rsid w:val="00FC2CE0"/>
    <w:rsid w:val="00FD592E"/>
    <w:rsid w:val="00FD6893"/>
    <w:rsid w:val="00FE1665"/>
    <w:rsid w:val="00FE3D11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226F10E0-E082-405A-A14C-4962AE76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uiPriority w:val="99"/>
    <w:rsid w:val="005C320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unhideWhenUsed/>
    <w:rsid w:val="005C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2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3208"/>
    <w:rPr>
      <w:rFonts w:eastAsia="BatangChe"/>
      <w:lang w:val="en-US" w:eastAsia="en-US"/>
    </w:rPr>
  </w:style>
  <w:style w:type="paragraph" w:styleId="BalloonText">
    <w:name w:val="Balloon Text"/>
    <w:basedOn w:val="Normal"/>
    <w:link w:val="BalloonTextChar"/>
    <w:rsid w:val="005C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208"/>
    <w:rPr>
      <w:rFonts w:ascii="Tahoma" w:eastAsia="BatangChe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DB5B3A"/>
    <w:rPr>
      <w:color w:val="800080"/>
      <w:u w:val="single"/>
    </w:rPr>
  </w:style>
  <w:style w:type="table" w:styleId="TableGrid">
    <w:name w:val="Table Grid"/>
    <w:basedOn w:val="TableNormal"/>
    <w:uiPriority w:val="39"/>
    <w:rsid w:val="00DE3900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900"/>
    <w:pPr>
      <w:ind w:firstLineChars="200" w:firstLine="420"/>
    </w:pPr>
  </w:style>
  <w:style w:type="paragraph" w:styleId="Caption">
    <w:name w:val="caption"/>
    <w:basedOn w:val="Normal"/>
    <w:next w:val="Normal"/>
    <w:unhideWhenUsed/>
    <w:qFormat/>
    <w:rsid w:val="00DE3900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44A6-3DDD-4E3D-8F42-6627CC01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 Secretariat</cp:lastModifiedBy>
  <cp:revision>9</cp:revision>
  <cp:lastPrinted>2004-07-28T02:14:00Z</cp:lastPrinted>
  <dcterms:created xsi:type="dcterms:W3CDTF">2018-02-28T23:42:00Z</dcterms:created>
  <dcterms:modified xsi:type="dcterms:W3CDTF">2018-04-04T11:54:00Z</dcterms:modified>
</cp:coreProperties>
</file>