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0C704C" w:rsidRPr="000C704C" w14:paraId="59D88FCB" w14:textId="77777777" w:rsidTr="00A8746D">
        <w:trPr>
          <w:cantSplit/>
        </w:trPr>
        <w:tc>
          <w:tcPr>
            <w:tcW w:w="1350" w:type="dxa"/>
            <w:vMerge w:val="restart"/>
          </w:tcPr>
          <w:p w14:paraId="2DCF02D8" w14:textId="77777777" w:rsidR="000C704C" w:rsidRPr="000C704C" w:rsidRDefault="000C704C" w:rsidP="000C704C">
            <w:pPr>
              <w:widowControl w:val="0"/>
              <w:wordWrap w:val="0"/>
              <w:jc w:val="both"/>
              <w:rPr>
                <w:kern w:val="2"/>
                <w:lang w:eastAsia="ko-KR"/>
              </w:rPr>
            </w:pPr>
            <w:r w:rsidRPr="000C704C">
              <w:rPr>
                <w:noProof/>
                <w:kern w:val="2"/>
              </w:rPr>
              <w:drawing>
                <wp:inline distT="0" distB="0" distL="0" distR="0" wp14:anchorId="4BFCB11C" wp14:editId="38235544">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570" w:type="dxa"/>
          </w:tcPr>
          <w:p w14:paraId="79ACE784" w14:textId="77777777" w:rsidR="000C704C" w:rsidRPr="000C704C" w:rsidRDefault="000C704C" w:rsidP="000C704C">
            <w:pPr>
              <w:keepNext/>
              <w:widowControl w:val="0"/>
              <w:wordWrap w:val="0"/>
              <w:spacing w:line="276" w:lineRule="auto"/>
              <w:jc w:val="both"/>
              <w:outlineLvl w:val="7"/>
              <w:rPr>
                <w:bCs/>
                <w:kern w:val="2"/>
                <w:lang w:eastAsia="ko-KR"/>
              </w:rPr>
            </w:pPr>
            <w:r w:rsidRPr="000C704C">
              <w:rPr>
                <w:bCs/>
                <w:kern w:val="2"/>
                <w:lang w:eastAsia="ko-KR"/>
              </w:rPr>
              <w:t>ASIA-PACIFIC TELECOMMUNITY</w:t>
            </w:r>
          </w:p>
        </w:tc>
        <w:tc>
          <w:tcPr>
            <w:tcW w:w="2070" w:type="dxa"/>
          </w:tcPr>
          <w:p w14:paraId="793AA4FE" w14:textId="77777777" w:rsidR="000C704C" w:rsidRPr="000C704C" w:rsidRDefault="000C704C" w:rsidP="000C704C">
            <w:pPr>
              <w:rPr>
                <w:b/>
              </w:rPr>
            </w:pPr>
            <w:r w:rsidRPr="000C704C">
              <w:rPr>
                <w:b/>
              </w:rPr>
              <w:t>Document No.:</w:t>
            </w:r>
          </w:p>
        </w:tc>
      </w:tr>
      <w:tr w:rsidR="000C704C" w:rsidRPr="000C704C" w14:paraId="3E83CAA9" w14:textId="77777777" w:rsidTr="00A8746D">
        <w:trPr>
          <w:cantSplit/>
        </w:trPr>
        <w:tc>
          <w:tcPr>
            <w:tcW w:w="1350" w:type="dxa"/>
            <w:vMerge/>
          </w:tcPr>
          <w:p w14:paraId="641151C2" w14:textId="77777777" w:rsidR="000C704C" w:rsidRPr="000C704C" w:rsidRDefault="000C704C" w:rsidP="000C704C"/>
        </w:tc>
        <w:tc>
          <w:tcPr>
            <w:tcW w:w="6570" w:type="dxa"/>
          </w:tcPr>
          <w:p w14:paraId="077A78B7" w14:textId="77777777" w:rsidR="000C704C" w:rsidRPr="000C704C" w:rsidRDefault="000C704C" w:rsidP="000C704C">
            <w:pPr>
              <w:spacing w:line="0" w:lineRule="atLeast"/>
            </w:pPr>
            <w:r w:rsidRPr="000C704C">
              <w:rPr>
                <w:b/>
                <w:bCs/>
              </w:rPr>
              <w:t>The 24th Meeting of APT Wireless Group (AWG-24)</w:t>
            </w:r>
          </w:p>
        </w:tc>
        <w:tc>
          <w:tcPr>
            <w:tcW w:w="2070" w:type="dxa"/>
          </w:tcPr>
          <w:p w14:paraId="0075B3EA" w14:textId="2C70B534" w:rsidR="000C704C" w:rsidRPr="000C704C" w:rsidRDefault="000C704C" w:rsidP="000C704C">
            <w:pPr>
              <w:rPr>
                <w:b/>
                <w:bCs/>
              </w:rPr>
            </w:pPr>
            <w:r w:rsidRPr="000C704C">
              <w:rPr>
                <w:b/>
                <w:bCs/>
              </w:rPr>
              <w:t>AWG-24/INP-</w:t>
            </w:r>
            <w:r w:rsidR="00687D65">
              <w:rPr>
                <w:b/>
                <w:bCs/>
              </w:rPr>
              <w:t>48</w:t>
            </w:r>
          </w:p>
        </w:tc>
      </w:tr>
      <w:tr w:rsidR="000C704C" w:rsidRPr="000C704C" w14:paraId="0FAF1D1E" w14:textId="77777777" w:rsidTr="00A8746D">
        <w:trPr>
          <w:cantSplit/>
          <w:trHeight w:val="219"/>
        </w:trPr>
        <w:tc>
          <w:tcPr>
            <w:tcW w:w="1350" w:type="dxa"/>
            <w:vMerge/>
          </w:tcPr>
          <w:p w14:paraId="61028724" w14:textId="77777777" w:rsidR="000C704C" w:rsidRPr="000C704C" w:rsidRDefault="000C704C" w:rsidP="000C704C"/>
        </w:tc>
        <w:tc>
          <w:tcPr>
            <w:tcW w:w="6570" w:type="dxa"/>
          </w:tcPr>
          <w:p w14:paraId="39075BE7" w14:textId="77777777" w:rsidR="000C704C" w:rsidRPr="000C704C" w:rsidRDefault="000C704C" w:rsidP="000C704C"/>
          <w:p w14:paraId="6A5D6F01" w14:textId="77777777" w:rsidR="000C704C" w:rsidRPr="000C704C" w:rsidRDefault="000C704C" w:rsidP="000C704C">
            <w:r w:rsidRPr="000C704C">
              <w:t>17 - 21 September 2018, Bangkok, Thailand</w:t>
            </w:r>
          </w:p>
        </w:tc>
        <w:tc>
          <w:tcPr>
            <w:tcW w:w="2070" w:type="dxa"/>
          </w:tcPr>
          <w:p w14:paraId="1D785B26" w14:textId="77777777" w:rsidR="000C704C" w:rsidRPr="000C704C" w:rsidRDefault="000C704C" w:rsidP="000C704C">
            <w:pPr>
              <w:keepNext/>
              <w:outlineLvl w:val="0"/>
            </w:pPr>
          </w:p>
          <w:p w14:paraId="2D4D75DB" w14:textId="2C28621C" w:rsidR="000C704C" w:rsidRPr="000C704C" w:rsidRDefault="00D70D21" w:rsidP="00D70D21">
            <w:pPr>
              <w:keepNext/>
              <w:ind w:left="-198" w:firstLine="90"/>
              <w:outlineLvl w:val="0"/>
              <w:rPr>
                <w:bCs/>
                <w:u w:val="single"/>
              </w:rPr>
            </w:pPr>
            <w:r>
              <w:t>10</w:t>
            </w:r>
            <w:r w:rsidR="000C704C" w:rsidRPr="000C704C">
              <w:t xml:space="preserve"> September 2018</w:t>
            </w:r>
          </w:p>
        </w:tc>
      </w:tr>
    </w:tbl>
    <w:p w14:paraId="67ACA118" w14:textId="6F90C6AD" w:rsidR="00FF268D" w:rsidRPr="000C704C" w:rsidRDefault="00FF268D" w:rsidP="00FF268D">
      <w:pPr>
        <w:jc w:val="center"/>
        <w:rPr>
          <w:b/>
          <w:bCs/>
          <w:caps/>
          <w:sz w:val="28"/>
          <w:szCs w:val="28"/>
          <w:u w:val="single"/>
        </w:rPr>
      </w:pPr>
      <w:r w:rsidRPr="000C704C">
        <w:rPr>
          <w:b/>
          <w:u w:val="single"/>
          <w:lang w:eastAsia="ja-JP"/>
        </w:rPr>
        <w:t>India</w:t>
      </w:r>
    </w:p>
    <w:p w14:paraId="64AD1206" w14:textId="77777777" w:rsidR="00FF268D" w:rsidRPr="00ED1311" w:rsidRDefault="00FF268D" w:rsidP="00FF268D">
      <w:pPr>
        <w:jc w:val="center"/>
        <w:rPr>
          <w:b/>
          <w:bCs/>
          <w:caps/>
          <w:sz w:val="28"/>
          <w:szCs w:val="28"/>
        </w:rPr>
      </w:pPr>
    </w:p>
    <w:p w14:paraId="5E995721" w14:textId="77777777" w:rsidR="00FF268D" w:rsidRPr="00D87AF4" w:rsidRDefault="00FF268D" w:rsidP="00FF268D">
      <w:pPr>
        <w:jc w:val="center"/>
        <w:rPr>
          <w:b/>
          <w:bCs/>
          <w:caps/>
        </w:rPr>
      </w:pPr>
      <w:r>
        <w:rPr>
          <w:b/>
          <w:bCs/>
          <w:caps/>
        </w:rPr>
        <w:t xml:space="preserve">response to </w:t>
      </w:r>
      <w:r w:rsidRPr="00D87AF4">
        <w:rPr>
          <w:b/>
          <w:bCs/>
          <w:caps/>
        </w:rPr>
        <w:t xml:space="preserve">questionnaire ON </w:t>
      </w:r>
      <w:r w:rsidRPr="009D7B39">
        <w:rPr>
          <w:b/>
          <w:bCs/>
          <w:caps/>
        </w:rPr>
        <w:t xml:space="preserve">regulatory </w:t>
      </w:r>
      <w:r>
        <w:rPr>
          <w:b/>
          <w:bCs/>
          <w:caps/>
        </w:rPr>
        <w:t xml:space="preserve">information </w:t>
      </w:r>
      <w:r w:rsidRPr="009D7B39">
        <w:rPr>
          <w:b/>
          <w:bCs/>
          <w:caps/>
        </w:rPr>
        <w:t>for implementation IMT network in Asia-Pacific Region</w:t>
      </w:r>
    </w:p>
    <w:p w14:paraId="3BB07CDB" w14:textId="77777777" w:rsidR="00FF268D" w:rsidRPr="00D87AF4" w:rsidRDefault="00FF268D" w:rsidP="00FF268D">
      <w:pPr>
        <w:jc w:val="center"/>
        <w:rPr>
          <w:b/>
          <w:bCs/>
          <w:caps/>
        </w:rPr>
      </w:pPr>
    </w:p>
    <w:p w14:paraId="7CB2BEAA" w14:textId="77777777" w:rsidR="00FF268D" w:rsidRDefault="00FF268D" w:rsidP="00FF268D">
      <w:pPr>
        <w:pStyle w:val="ListParagraph"/>
        <w:ind w:left="360" w:firstLineChars="0" w:firstLine="0"/>
        <w:jc w:val="both"/>
        <w:rPr>
          <w:b/>
        </w:rPr>
      </w:pPr>
    </w:p>
    <w:p w14:paraId="7049692E" w14:textId="77777777" w:rsidR="00FF268D" w:rsidRPr="00C01865" w:rsidRDefault="00FF268D" w:rsidP="00FF268D">
      <w:pPr>
        <w:pStyle w:val="ListParagraph"/>
        <w:ind w:left="360" w:firstLineChars="0" w:firstLine="0"/>
        <w:jc w:val="both"/>
        <w:rPr>
          <w:b/>
        </w:rPr>
      </w:pPr>
    </w:p>
    <w:p w14:paraId="4B54F96E" w14:textId="77777777" w:rsidR="00FF268D" w:rsidRPr="00C01865" w:rsidRDefault="00FF268D" w:rsidP="00FF268D">
      <w:pPr>
        <w:jc w:val="both"/>
        <w:rPr>
          <w:b/>
        </w:rPr>
      </w:pPr>
      <w:r w:rsidRPr="00C01865">
        <w:rPr>
          <w:b/>
        </w:rPr>
        <w:t>Question 1:</w:t>
      </w:r>
    </w:p>
    <w:p w14:paraId="15F1C436" w14:textId="77777777" w:rsidR="00FF268D" w:rsidRPr="00C01865" w:rsidRDefault="00FF268D" w:rsidP="00FF268D">
      <w:pPr>
        <w:rPr>
          <w:b/>
          <w:lang w:val="id-ID" w:eastAsia="zh-CN"/>
        </w:rPr>
      </w:pPr>
      <w:r w:rsidRPr="00C01865">
        <w:rPr>
          <w:b/>
          <w:lang w:val="id-ID" w:eastAsia="zh-CN"/>
        </w:rPr>
        <w:t>Institution/Company Information and Profile</w:t>
      </w:r>
    </w:p>
    <w:p w14:paraId="7700F786" w14:textId="77777777" w:rsidR="00486E18" w:rsidRDefault="00486E18" w:rsidP="00FF268D">
      <w:pPr>
        <w:jc w:val="both"/>
        <w:rPr>
          <w:b/>
        </w:rPr>
      </w:pPr>
    </w:p>
    <w:p w14:paraId="7B24BA73" w14:textId="77777777" w:rsidR="00FF268D" w:rsidRPr="00ED1311" w:rsidRDefault="00486E18" w:rsidP="00FF268D">
      <w:pPr>
        <w:jc w:val="both"/>
        <w:rPr>
          <w:lang w:eastAsia="zh-CN"/>
        </w:rPr>
      </w:pPr>
      <w:r w:rsidRPr="001250BC">
        <w:rPr>
          <w:b/>
        </w:rPr>
        <w:t xml:space="preserve">Response </w:t>
      </w:r>
      <w:r>
        <w:rPr>
          <w:b/>
        </w:rPr>
        <w:t>1</w:t>
      </w:r>
      <w:r w:rsidRPr="001250BC">
        <w:rPr>
          <w:b/>
        </w:rPr>
        <w:t>:</w:t>
      </w:r>
    </w:p>
    <w:p w14:paraId="4B11C7D6" w14:textId="77777777" w:rsidR="00FF268D" w:rsidRPr="00DB73B5" w:rsidRDefault="00FF268D" w:rsidP="00FF268D">
      <w:pPr>
        <w:jc w:val="both"/>
        <w:rPr>
          <w:lang w:val="en-AU" w:eastAsia="zh-CN"/>
        </w:rPr>
      </w:pPr>
      <w:r w:rsidRPr="00C01865">
        <w:rPr>
          <w:lang w:val="id-ID" w:eastAsia="zh-CN"/>
        </w:rPr>
        <w:t>Name of the institution</w:t>
      </w:r>
      <w:r w:rsidRPr="00C01865">
        <w:rPr>
          <w:lang w:val="id-ID" w:eastAsia="zh-CN"/>
        </w:rPr>
        <w:tab/>
        <w:t xml:space="preserve">: </w:t>
      </w:r>
      <w:r>
        <w:rPr>
          <w:lang w:val="en-AU" w:eastAsia="zh-CN"/>
        </w:rPr>
        <w:t xml:space="preserve">Department of Telecommunication, India </w:t>
      </w:r>
    </w:p>
    <w:p w14:paraId="042C328A" w14:textId="0320EA6A" w:rsidR="00FF268D" w:rsidRPr="000922FE" w:rsidRDefault="00FF268D" w:rsidP="00FF268D">
      <w:pPr>
        <w:jc w:val="both"/>
        <w:rPr>
          <w:lang w:eastAsia="zh-CN"/>
        </w:rPr>
      </w:pPr>
      <w:r w:rsidRPr="00C01865">
        <w:rPr>
          <w:lang w:val="id-ID" w:eastAsia="zh-CN"/>
        </w:rPr>
        <w:t>Name of contact person</w:t>
      </w:r>
      <w:r w:rsidRPr="00C01865">
        <w:rPr>
          <w:lang w:val="id-ID" w:eastAsia="zh-CN"/>
        </w:rPr>
        <w:tab/>
        <w:t xml:space="preserve">: </w:t>
      </w:r>
      <w:r w:rsidR="00CE3C91">
        <w:rPr>
          <w:lang w:eastAsia="zh-CN"/>
        </w:rPr>
        <w:t>Wireless Adviser, to the Government of India</w:t>
      </w:r>
    </w:p>
    <w:p w14:paraId="2E9B8AC9" w14:textId="69AE8E5F" w:rsidR="00FF268D" w:rsidRPr="000922FE" w:rsidRDefault="00FF268D" w:rsidP="00FF268D">
      <w:pPr>
        <w:jc w:val="both"/>
        <w:rPr>
          <w:lang w:eastAsia="zh-CN"/>
        </w:rPr>
      </w:pPr>
      <w:r w:rsidRPr="00ED1311">
        <w:rPr>
          <w:lang w:val="id-ID" w:eastAsia="zh-CN"/>
        </w:rPr>
        <w:t>Mailing Address</w:t>
      </w:r>
      <w:r w:rsidRPr="00ED1311">
        <w:rPr>
          <w:lang w:val="id-ID" w:eastAsia="zh-CN"/>
        </w:rPr>
        <w:tab/>
      </w:r>
      <w:r w:rsidRPr="00ED1311">
        <w:rPr>
          <w:lang w:val="id-ID" w:eastAsia="zh-CN"/>
        </w:rPr>
        <w:tab/>
        <w:t xml:space="preserve">: </w:t>
      </w:r>
      <w:r w:rsidR="00CE3C91">
        <w:rPr>
          <w:lang w:eastAsia="zh-CN"/>
        </w:rPr>
        <w:t>Sanchar Bhawan, 20 Ashoka Road, New Delhi-110001</w:t>
      </w:r>
    </w:p>
    <w:p w14:paraId="202812C5" w14:textId="13C054B4" w:rsidR="00FF268D" w:rsidRPr="000922FE" w:rsidRDefault="00FF268D" w:rsidP="00FF268D">
      <w:pPr>
        <w:jc w:val="both"/>
        <w:rPr>
          <w:lang w:eastAsia="zh-CN"/>
        </w:rPr>
      </w:pPr>
      <w:r w:rsidRPr="00ED1311">
        <w:rPr>
          <w:lang w:val="id-ID" w:eastAsia="zh-CN"/>
        </w:rPr>
        <w:t>Phone</w:t>
      </w:r>
      <w:r w:rsidRPr="00ED1311">
        <w:rPr>
          <w:lang w:val="id-ID" w:eastAsia="zh-CN"/>
        </w:rPr>
        <w:tab/>
      </w:r>
      <w:r w:rsidRPr="00ED1311">
        <w:rPr>
          <w:lang w:val="id-ID" w:eastAsia="zh-CN"/>
        </w:rPr>
        <w:tab/>
      </w:r>
      <w:r w:rsidRPr="00ED1311">
        <w:rPr>
          <w:lang w:val="id-ID" w:eastAsia="zh-CN"/>
        </w:rPr>
        <w:tab/>
      </w:r>
      <w:r w:rsidRPr="00ED1311">
        <w:rPr>
          <w:lang w:val="id-ID" w:eastAsia="zh-CN"/>
        </w:rPr>
        <w:tab/>
        <w:t xml:space="preserve">: </w:t>
      </w:r>
      <w:r w:rsidR="00CE3C91">
        <w:rPr>
          <w:lang w:eastAsia="zh-CN"/>
        </w:rPr>
        <w:t xml:space="preserve"> +91-011-23755444</w:t>
      </w:r>
    </w:p>
    <w:p w14:paraId="3C64C990" w14:textId="73F46DCF" w:rsidR="00FF268D" w:rsidRPr="00DB73B5" w:rsidRDefault="00FF268D" w:rsidP="00FF268D">
      <w:pPr>
        <w:jc w:val="both"/>
        <w:rPr>
          <w:lang w:val="en-AU" w:eastAsia="zh-CN"/>
        </w:rPr>
      </w:pPr>
      <w:r w:rsidRPr="00ED1311">
        <w:rPr>
          <w:lang w:val="id-ID" w:eastAsia="zh-CN"/>
        </w:rPr>
        <w:t xml:space="preserve">Email Address </w:t>
      </w:r>
      <w:r w:rsidRPr="00ED1311">
        <w:rPr>
          <w:lang w:val="id-ID" w:eastAsia="zh-CN"/>
        </w:rPr>
        <w:tab/>
      </w:r>
      <w:r w:rsidRPr="00ED1311">
        <w:rPr>
          <w:lang w:val="id-ID" w:eastAsia="zh-CN"/>
        </w:rPr>
        <w:tab/>
        <w:t xml:space="preserve">: </w:t>
      </w:r>
      <w:r w:rsidR="00CE3C91">
        <w:rPr>
          <w:lang w:eastAsia="zh-CN"/>
        </w:rPr>
        <w:t>wawpc@nic.in</w:t>
      </w:r>
      <w:r w:rsidR="00CE3C91">
        <w:t xml:space="preserve"> </w:t>
      </w:r>
      <w:hyperlink r:id="rId8" w:history="1"/>
    </w:p>
    <w:p w14:paraId="0195636C" w14:textId="281A70C7" w:rsidR="00FF268D" w:rsidRPr="00ED1311" w:rsidRDefault="00FF268D" w:rsidP="00FF268D">
      <w:pPr>
        <w:jc w:val="both"/>
        <w:rPr>
          <w:lang w:val="id-ID" w:eastAsia="zh-CN"/>
        </w:rPr>
      </w:pPr>
      <w:r w:rsidRPr="00ED1311">
        <w:rPr>
          <w:lang w:val="id-ID" w:eastAsia="zh-CN"/>
        </w:rPr>
        <w:t>My institution is (please choose) :</w:t>
      </w:r>
      <w:r w:rsidR="00CE3C91">
        <w:rPr>
          <w:lang w:eastAsia="zh-CN"/>
        </w:rPr>
        <w:t xml:space="preserve"> </w:t>
      </w:r>
      <w:r w:rsidR="00CE3C91">
        <w:rPr>
          <w:lang w:val="en-AU" w:eastAsia="zh-CN"/>
        </w:rPr>
        <w:t>Department of Telecommunications, India</w:t>
      </w:r>
      <w:r w:rsidRPr="00ED1311">
        <w:rPr>
          <w:lang w:val="id-ID" w:eastAsia="zh-CN"/>
        </w:rPr>
        <w:tab/>
      </w:r>
    </w:p>
    <w:p w14:paraId="5B13CBFF" w14:textId="77777777" w:rsidR="00FF268D" w:rsidRPr="00D12318" w:rsidRDefault="00FF268D" w:rsidP="00FF268D">
      <w:pPr>
        <w:rPr>
          <w:rFonts w:eastAsia="Times New Roman"/>
          <w:b/>
          <w:lang w:eastAsia="zh-CN"/>
        </w:rPr>
      </w:pPr>
    </w:p>
    <w:p w14:paraId="2185E476" w14:textId="77777777" w:rsidR="00FF268D" w:rsidRPr="00ED1311" w:rsidRDefault="00FF268D" w:rsidP="00FF268D">
      <w:pPr>
        <w:rPr>
          <w:b/>
        </w:rPr>
      </w:pPr>
      <w:r w:rsidRPr="00ED1311">
        <w:rPr>
          <w:b/>
        </w:rPr>
        <w:t>Question 2:</w:t>
      </w:r>
    </w:p>
    <w:p w14:paraId="289A343F" w14:textId="77777777" w:rsidR="00FF268D" w:rsidRDefault="00FF268D" w:rsidP="00FF268D">
      <w:r>
        <w:t>Which IMT technology being use and will be used or technology neutral in these bands?</w:t>
      </w:r>
    </w:p>
    <w:p w14:paraId="3ED32343" w14:textId="77777777" w:rsidR="00FF268D" w:rsidRDefault="00FF268D" w:rsidP="00FF268D">
      <w:pPr>
        <w:pStyle w:val="ListParagraph"/>
        <w:ind w:firstLineChars="0" w:firstLine="0"/>
      </w:pPr>
      <w:r>
        <w:t>Please fill in the frequency bands used for IMT and specify which IMT technology (e.g. WCDMA, HSPA, LTE, LTE-A, TDD-LTE, 3GPP Release 10, …) being used, if not IMT please answer “non-IMT”.</w:t>
      </w:r>
    </w:p>
    <w:p w14:paraId="44FC9B07" w14:textId="77777777" w:rsidR="00FF268D" w:rsidRDefault="00FF268D" w:rsidP="00FF268D">
      <w:pPr>
        <w:pStyle w:val="ListParagraph"/>
        <w:ind w:firstLineChars="0" w:firstLine="0"/>
      </w:pPr>
    </w:p>
    <w:p w14:paraId="29D445A5" w14:textId="603FB9EA" w:rsidR="00FF268D" w:rsidRDefault="00486E18" w:rsidP="00CA2891">
      <w:pPr>
        <w:pStyle w:val="ListParagraph"/>
        <w:ind w:firstLineChars="0" w:firstLine="0"/>
        <w:jc w:val="both"/>
      </w:pPr>
      <w:r w:rsidRPr="001250BC">
        <w:rPr>
          <w:b/>
        </w:rPr>
        <w:t xml:space="preserve">Response </w:t>
      </w:r>
      <w:r>
        <w:rPr>
          <w:b/>
        </w:rPr>
        <w:t>2</w:t>
      </w:r>
      <w:r w:rsidRPr="001250BC">
        <w:rPr>
          <w:b/>
        </w:rPr>
        <w:t>:</w:t>
      </w:r>
      <w:r>
        <w:t xml:space="preserve"> </w:t>
      </w:r>
      <w:r w:rsidR="00FF268D">
        <w:t xml:space="preserve">In </w:t>
      </w:r>
      <w:r w:rsidR="00A97EF5">
        <w:t xml:space="preserve">India, DoT has adopted the policy of technology neutrality for IMT bands. </w:t>
      </w:r>
      <w:r w:rsidR="00A97EF5" w:rsidRPr="00A97EF5">
        <w:t xml:space="preserve">The </w:t>
      </w:r>
      <w:r w:rsidR="00A97EF5">
        <w:t>l</w:t>
      </w:r>
      <w:r w:rsidR="00A97EF5" w:rsidRPr="00A97EF5">
        <w:t xml:space="preserve">icensee </w:t>
      </w:r>
      <w:r w:rsidR="00A97EF5">
        <w:t>is responsible to</w:t>
      </w:r>
      <w:r w:rsidR="00A97EF5" w:rsidRPr="00A97EF5">
        <w:t xml:space="preserve"> provide the details of the technology proposed to be deployed for operation of the service. The technology </w:t>
      </w:r>
      <w:r w:rsidR="00A97EF5">
        <w:t xml:space="preserve">needs to be </w:t>
      </w:r>
      <w:r w:rsidR="00A97EF5" w:rsidRPr="00A97EF5">
        <w:t>based on standards issued by ITU/T</w:t>
      </w:r>
      <w:r w:rsidR="00CA2891">
        <w:t xml:space="preserve">elecom Engineering Center (TEC) of the Department of Telecommunications, Government of </w:t>
      </w:r>
      <w:proofErr w:type="gramStart"/>
      <w:r w:rsidR="00CA2891">
        <w:t xml:space="preserve">India </w:t>
      </w:r>
      <w:r w:rsidR="00A97EF5">
        <w:t xml:space="preserve"> (</w:t>
      </w:r>
      <w:proofErr w:type="gramEnd"/>
      <w:r w:rsidR="00A97EF5">
        <w:t xml:space="preserve">DoT) </w:t>
      </w:r>
      <w:r w:rsidR="00A97EF5" w:rsidRPr="00A97EF5">
        <w:t xml:space="preserve">or any other International Standards Organization/ bodies/Industry. Any digital technology having been used for a customer base of one lakh or more for a continuous period of one year anywhere in the world, </w:t>
      </w:r>
      <w:r w:rsidR="00A97EF5">
        <w:t>is</w:t>
      </w:r>
      <w:r w:rsidR="00A97EF5" w:rsidRPr="00A97EF5">
        <w:t xml:space="preserve"> permissible for use regardless of its changed versions.</w:t>
      </w:r>
    </w:p>
    <w:p w14:paraId="4F808636" w14:textId="77777777" w:rsidR="00FF268D" w:rsidRDefault="00FF268D" w:rsidP="00FF268D">
      <w:pPr>
        <w:pStyle w:val="ListParagraph"/>
        <w:ind w:firstLineChars="0" w:firstLine="0"/>
      </w:pPr>
    </w:p>
    <w:p w14:paraId="10A99319" w14:textId="7081AA57" w:rsidR="00FF268D" w:rsidRDefault="00A97EF5" w:rsidP="00FF268D">
      <w:pPr>
        <w:pStyle w:val="ListParagraph"/>
        <w:ind w:firstLineChars="0" w:firstLine="0"/>
      </w:pPr>
      <w:r>
        <w:t>T</w:t>
      </w:r>
      <w:r w:rsidR="00351019">
        <w:t>he T</w:t>
      </w:r>
      <w:r w:rsidR="00FF268D">
        <w:t xml:space="preserve">able </w:t>
      </w:r>
      <w:r w:rsidR="00351019">
        <w:t xml:space="preserve">1. </w:t>
      </w:r>
      <w:r w:rsidR="00FF268D">
        <w:t>below</w:t>
      </w:r>
      <w:r>
        <w:t xml:space="preserve"> indicates the technology currently in use by different operators in India.</w:t>
      </w:r>
      <w:r w:rsidDel="00A97EF5">
        <w:t xml:space="preserve"> </w:t>
      </w:r>
      <w:r>
        <w:t>It is difficult to provide exact frequency blocks and c</w:t>
      </w:r>
      <w:r w:rsidR="00FF268D">
        <w:t xml:space="preserve">hannel </w:t>
      </w:r>
      <w:r>
        <w:t>b</w:t>
      </w:r>
      <w:r w:rsidR="00FF268D">
        <w:t>andwidths</w:t>
      </w:r>
      <w:r>
        <w:t xml:space="preserve"> as India has 22 service areas with different assignments to different licenses.</w:t>
      </w:r>
      <w:r w:rsidR="00FF268D">
        <w:t xml:space="preserve"> </w:t>
      </w:r>
    </w:p>
    <w:tbl>
      <w:tblPr>
        <w:tblStyle w:val="TableGrid"/>
        <w:tblW w:w="0" w:type="auto"/>
        <w:jc w:val="center"/>
        <w:tblLook w:val="04A0" w:firstRow="1" w:lastRow="0" w:firstColumn="1" w:lastColumn="0" w:noHBand="0" w:noVBand="1"/>
      </w:tblPr>
      <w:tblGrid>
        <w:gridCol w:w="2376"/>
        <w:gridCol w:w="3119"/>
      </w:tblGrid>
      <w:tr w:rsidR="00712296" w14:paraId="10177388" w14:textId="77777777" w:rsidTr="00351019">
        <w:trPr>
          <w:jc w:val="center"/>
        </w:trPr>
        <w:tc>
          <w:tcPr>
            <w:tcW w:w="2376" w:type="dxa"/>
            <w:shd w:val="clear" w:color="auto" w:fill="F7CAAC" w:themeFill="accent2" w:themeFillTint="66"/>
            <w:vAlign w:val="center"/>
          </w:tcPr>
          <w:p w14:paraId="3F60E1B5" w14:textId="2E1ED943" w:rsidR="00712296" w:rsidRDefault="00351019" w:rsidP="00FF268D">
            <w:pPr>
              <w:rPr>
                <w:b/>
              </w:rPr>
            </w:pPr>
            <w:r>
              <w:rPr>
                <w:rFonts w:eastAsia="Times New Roman"/>
                <w:b/>
                <w:bCs/>
                <w:color w:val="000000"/>
                <w:lang w:eastAsia="zh-CN"/>
              </w:rPr>
              <w:t>Frequency B</w:t>
            </w:r>
            <w:r w:rsidR="00712296" w:rsidRPr="00330D67">
              <w:rPr>
                <w:rFonts w:eastAsia="Times New Roman"/>
                <w:b/>
                <w:bCs/>
                <w:color w:val="000000"/>
                <w:lang w:eastAsia="zh-CN"/>
              </w:rPr>
              <w:t xml:space="preserve">and </w:t>
            </w:r>
            <w:r w:rsidR="00712296" w:rsidRPr="00330D67">
              <w:rPr>
                <w:rFonts w:eastAsia="Times New Roman"/>
                <w:b/>
                <w:bCs/>
                <w:color w:val="000000"/>
                <w:lang w:eastAsia="zh-CN"/>
              </w:rPr>
              <w:br/>
              <w:t>(MHz)</w:t>
            </w:r>
          </w:p>
        </w:tc>
        <w:tc>
          <w:tcPr>
            <w:tcW w:w="3119" w:type="dxa"/>
            <w:shd w:val="clear" w:color="auto" w:fill="F7CAAC" w:themeFill="accent2" w:themeFillTint="66"/>
            <w:vAlign w:val="center"/>
          </w:tcPr>
          <w:p w14:paraId="02BFB88C" w14:textId="45660BB9" w:rsidR="00712296" w:rsidRDefault="00712296" w:rsidP="00FF268D">
            <w:pPr>
              <w:rPr>
                <w:b/>
              </w:rPr>
            </w:pPr>
            <w:r w:rsidRPr="00330D67">
              <w:rPr>
                <w:rFonts w:eastAsia="Times New Roman"/>
                <w:b/>
                <w:bCs/>
                <w:color w:val="000000"/>
                <w:lang w:eastAsia="zh-CN"/>
              </w:rPr>
              <w:t>IMT Technology</w:t>
            </w:r>
          </w:p>
        </w:tc>
      </w:tr>
      <w:tr w:rsidR="00712296" w14:paraId="1017E0C3" w14:textId="77777777" w:rsidTr="00351019">
        <w:trPr>
          <w:jc w:val="center"/>
        </w:trPr>
        <w:tc>
          <w:tcPr>
            <w:tcW w:w="2376" w:type="dxa"/>
            <w:vAlign w:val="center"/>
          </w:tcPr>
          <w:p w14:paraId="6EB7E360" w14:textId="77777777" w:rsidR="00712296" w:rsidRDefault="00712296" w:rsidP="00FF268D">
            <w:pPr>
              <w:rPr>
                <w:b/>
              </w:rPr>
            </w:pPr>
          </w:p>
        </w:tc>
        <w:tc>
          <w:tcPr>
            <w:tcW w:w="3119" w:type="dxa"/>
            <w:vAlign w:val="center"/>
          </w:tcPr>
          <w:p w14:paraId="1F9AC8D9" w14:textId="77777777" w:rsidR="00712296" w:rsidRDefault="00712296" w:rsidP="00FF268D">
            <w:pPr>
              <w:rPr>
                <w:b/>
              </w:rPr>
            </w:pPr>
          </w:p>
        </w:tc>
      </w:tr>
      <w:tr w:rsidR="00712296" w14:paraId="76C9366E" w14:textId="77777777" w:rsidTr="00351019">
        <w:trPr>
          <w:jc w:val="center"/>
        </w:trPr>
        <w:tc>
          <w:tcPr>
            <w:tcW w:w="2376" w:type="dxa"/>
            <w:vAlign w:val="center"/>
          </w:tcPr>
          <w:p w14:paraId="7F164797" w14:textId="76DC8BC0" w:rsidR="00712296" w:rsidRDefault="00712296" w:rsidP="00FF268D">
            <w:pPr>
              <w:rPr>
                <w:b/>
              </w:rPr>
            </w:pPr>
            <w:r w:rsidRPr="00330D67">
              <w:rPr>
                <w:rFonts w:eastAsia="Times New Roman"/>
                <w:color w:val="000000"/>
              </w:rPr>
              <w:t>B5 : 850</w:t>
            </w:r>
          </w:p>
        </w:tc>
        <w:tc>
          <w:tcPr>
            <w:tcW w:w="3119" w:type="dxa"/>
          </w:tcPr>
          <w:p w14:paraId="14C57940" w14:textId="05EA32E6" w:rsidR="00712296" w:rsidRDefault="00712296" w:rsidP="00FF268D">
            <w:pPr>
              <w:rPr>
                <w:b/>
              </w:rPr>
            </w:pPr>
            <w:r w:rsidRPr="00330D67">
              <w:rPr>
                <w:rFonts w:eastAsia="Times New Roman"/>
                <w:color w:val="000000"/>
              </w:rPr>
              <w:t>CDMA, LTE</w:t>
            </w:r>
          </w:p>
        </w:tc>
      </w:tr>
      <w:tr w:rsidR="00712296" w14:paraId="0741B0D6" w14:textId="77777777" w:rsidTr="00351019">
        <w:trPr>
          <w:jc w:val="center"/>
        </w:trPr>
        <w:tc>
          <w:tcPr>
            <w:tcW w:w="2376" w:type="dxa"/>
            <w:vAlign w:val="center"/>
          </w:tcPr>
          <w:p w14:paraId="203A2448" w14:textId="04AF55A2" w:rsidR="00712296" w:rsidRDefault="00712296" w:rsidP="00FF268D">
            <w:pPr>
              <w:rPr>
                <w:b/>
              </w:rPr>
            </w:pPr>
            <w:r w:rsidRPr="00330D67">
              <w:rPr>
                <w:rFonts w:eastAsia="Times New Roman"/>
                <w:color w:val="000000"/>
              </w:rPr>
              <w:t>B8 : 900</w:t>
            </w:r>
          </w:p>
        </w:tc>
        <w:tc>
          <w:tcPr>
            <w:tcW w:w="3119" w:type="dxa"/>
          </w:tcPr>
          <w:p w14:paraId="718E9D9E" w14:textId="3B5DA1FF" w:rsidR="00712296" w:rsidRDefault="00712296" w:rsidP="00FF268D">
            <w:pPr>
              <w:rPr>
                <w:b/>
              </w:rPr>
            </w:pPr>
            <w:r w:rsidRPr="00330D67">
              <w:rPr>
                <w:rFonts w:eastAsia="Times New Roman"/>
                <w:color w:val="000000"/>
              </w:rPr>
              <w:t>GSM</w:t>
            </w:r>
            <w:r w:rsidR="00881781">
              <w:rPr>
                <w:rFonts w:eastAsia="Times New Roman"/>
                <w:color w:val="000000"/>
              </w:rPr>
              <w:t>, HSPA</w:t>
            </w:r>
          </w:p>
        </w:tc>
      </w:tr>
      <w:tr w:rsidR="00712296" w14:paraId="68A4D0ED" w14:textId="77777777" w:rsidTr="00351019">
        <w:trPr>
          <w:jc w:val="center"/>
        </w:trPr>
        <w:tc>
          <w:tcPr>
            <w:tcW w:w="2376" w:type="dxa"/>
            <w:vAlign w:val="center"/>
          </w:tcPr>
          <w:p w14:paraId="7E29ADB9" w14:textId="00708749" w:rsidR="00712296" w:rsidRDefault="00712296" w:rsidP="00FF268D">
            <w:pPr>
              <w:rPr>
                <w:b/>
              </w:rPr>
            </w:pPr>
            <w:r w:rsidRPr="00330D67">
              <w:rPr>
                <w:rFonts w:eastAsia="Times New Roman"/>
                <w:color w:val="000000"/>
              </w:rPr>
              <w:t>B3 : 1800</w:t>
            </w:r>
          </w:p>
        </w:tc>
        <w:tc>
          <w:tcPr>
            <w:tcW w:w="3119" w:type="dxa"/>
          </w:tcPr>
          <w:p w14:paraId="1FFA83F3" w14:textId="7802A660" w:rsidR="00712296" w:rsidRDefault="00712296" w:rsidP="00FF268D">
            <w:pPr>
              <w:rPr>
                <w:b/>
              </w:rPr>
            </w:pPr>
            <w:r w:rsidRPr="00330D67">
              <w:rPr>
                <w:rFonts w:eastAsia="Times New Roman"/>
                <w:color w:val="000000"/>
              </w:rPr>
              <w:t>LTE ,  GSM</w:t>
            </w:r>
          </w:p>
        </w:tc>
      </w:tr>
      <w:tr w:rsidR="00712296" w14:paraId="6DC4579B" w14:textId="77777777" w:rsidTr="00351019">
        <w:trPr>
          <w:jc w:val="center"/>
        </w:trPr>
        <w:tc>
          <w:tcPr>
            <w:tcW w:w="2376" w:type="dxa"/>
            <w:vAlign w:val="center"/>
          </w:tcPr>
          <w:p w14:paraId="15EFF129" w14:textId="18B5AD2F" w:rsidR="00712296" w:rsidRDefault="00712296" w:rsidP="00FF268D">
            <w:pPr>
              <w:rPr>
                <w:b/>
              </w:rPr>
            </w:pPr>
            <w:r w:rsidRPr="00330D67">
              <w:rPr>
                <w:rFonts w:eastAsia="Times New Roman"/>
                <w:color w:val="000000"/>
              </w:rPr>
              <w:t>B1 : 2100</w:t>
            </w:r>
          </w:p>
        </w:tc>
        <w:tc>
          <w:tcPr>
            <w:tcW w:w="3119" w:type="dxa"/>
          </w:tcPr>
          <w:p w14:paraId="31037C4D" w14:textId="0CC1B048" w:rsidR="00712296" w:rsidRDefault="00712296" w:rsidP="00FF268D">
            <w:pPr>
              <w:rPr>
                <w:b/>
              </w:rPr>
            </w:pPr>
            <w:r w:rsidRPr="00330D67">
              <w:rPr>
                <w:rFonts w:eastAsia="Times New Roman"/>
                <w:color w:val="000000"/>
              </w:rPr>
              <w:t>HSPA</w:t>
            </w:r>
          </w:p>
        </w:tc>
      </w:tr>
      <w:tr w:rsidR="00712296" w14:paraId="115D590A" w14:textId="77777777" w:rsidTr="00351019">
        <w:trPr>
          <w:jc w:val="center"/>
        </w:trPr>
        <w:tc>
          <w:tcPr>
            <w:tcW w:w="2376" w:type="dxa"/>
            <w:vAlign w:val="center"/>
          </w:tcPr>
          <w:p w14:paraId="3A06F537" w14:textId="19F1BC58" w:rsidR="00712296" w:rsidRDefault="00712296" w:rsidP="00FF268D">
            <w:pPr>
              <w:rPr>
                <w:b/>
              </w:rPr>
            </w:pPr>
            <w:r w:rsidRPr="00330D67">
              <w:rPr>
                <w:rFonts w:eastAsia="Times New Roman"/>
                <w:color w:val="000000"/>
              </w:rPr>
              <w:t>B40 : 2300</w:t>
            </w:r>
          </w:p>
        </w:tc>
        <w:tc>
          <w:tcPr>
            <w:tcW w:w="3119" w:type="dxa"/>
          </w:tcPr>
          <w:p w14:paraId="37FA1DFE" w14:textId="69D34373" w:rsidR="00712296" w:rsidRDefault="00712296" w:rsidP="00FF268D">
            <w:pPr>
              <w:rPr>
                <w:b/>
              </w:rPr>
            </w:pPr>
            <w:r w:rsidRPr="00330D67">
              <w:rPr>
                <w:rFonts w:eastAsia="Times New Roman"/>
                <w:color w:val="000000"/>
              </w:rPr>
              <w:t>LTE (TDD)</w:t>
            </w:r>
          </w:p>
        </w:tc>
      </w:tr>
      <w:tr w:rsidR="00881781" w14:paraId="20EAF736" w14:textId="77777777" w:rsidTr="00351019">
        <w:trPr>
          <w:jc w:val="center"/>
        </w:trPr>
        <w:tc>
          <w:tcPr>
            <w:tcW w:w="2376" w:type="dxa"/>
            <w:vAlign w:val="center"/>
          </w:tcPr>
          <w:p w14:paraId="5215518D" w14:textId="6D9F623A" w:rsidR="00881781" w:rsidRPr="00330D67" w:rsidRDefault="00881781" w:rsidP="00FF268D">
            <w:pPr>
              <w:rPr>
                <w:rFonts w:eastAsia="Times New Roman"/>
                <w:color w:val="000000"/>
              </w:rPr>
            </w:pPr>
            <w:r>
              <w:rPr>
                <w:rFonts w:eastAsia="Times New Roman"/>
                <w:color w:val="000000"/>
              </w:rPr>
              <w:t>B41 : 2500</w:t>
            </w:r>
          </w:p>
        </w:tc>
        <w:tc>
          <w:tcPr>
            <w:tcW w:w="3119" w:type="dxa"/>
          </w:tcPr>
          <w:p w14:paraId="16E66CDC" w14:textId="6DEFE26D" w:rsidR="00881781" w:rsidRPr="00330D67" w:rsidRDefault="00881781" w:rsidP="00FF268D">
            <w:pPr>
              <w:rPr>
                <w:rFonts w:eastAsia="Times New Roman"/>
                <w:color w:val="000000"/>
              </w:rPr>
            </w:pPr>
            <w:r>
              <w:rPr>
                <w:rFonts w:eastAsia="Times New Roman"/>
                <w:color w:val="000000"/>
              </w:rPr>
              <w:t>LTE</w:t>
            </w:r>
          </w:p>
        </w:tc>
      </w:tr>
    </w:tbl>
    <w:p w14:paraId="670C63C3" w14:textId="1D45C15A" w:rsidR="00712296" w:rsidRDefault="00351019" w:rsidP="00351019">
      <w:pPr>
        <w:ind w:left="1440" w:firstLine="720"/>
        <w:rPr>
          <w:b/>
        </w:rPr>
      </w:pPr>
      <w:r>
        <w:rPr>
          <w:b/>
        </w:rPr>
        <w:lastRenderedPageBreak/>
        <w:t>Table 1. Frequency Band and Technology Used</w:t>
      </w:r>
    </w:p>
    <w:p w14:paraId="615C18F6" w14:textId="77777777" w:rsidR="00712296" w:rsidRDefault="00712296" w:rsidP="00FF268D">
      <w:pPr>
        <w:rPr>
          <w:b/>
        </w:rPr>
      </w:pPr>
    </w:p>
    <w:p w14:paraId="1B5411E0" w14:textId="77777777" w:rsidR="00D70D21" w:rsidRDefault="00D70D21" w:rsidP="00FF268D">
      <w:pPr>
        <w:rPr>
          <w:b/>
        </w:rPr>
      </w:pPr>
    </w:p>
    <w:p w14:paraId="1AEEA9DB" w14:textId="71C485F6" w:rsidR="00FF268D" w:rsidRPr="00ED1311" w:rsidRDefault="00FF268D" w:rsidP="00FF268D">
      <w:pPr>
        <w:rPr>
          <w:b/>
        </w:rPr>
      </w:pPr>
      <w:r w:rsidRPr="00ED1311">
        <w:rPr>
          <w:b/>
        </w:rPr>
        <w:t xml:space="preserve">Question </w:t>
      </w:r>
      <w:r>
        <w:rPr>
          <w:b/>
        </w:rPr>
        <w:t>3</w:t>
      </w:r>
      <w:r w:rsidRPr="00ED1311">
        <w:rPr>
          <w:b/>
        </w:rPr>
        <w:t>:</w:t>
      </w:r>
    </w:p>
    <w:p w14:paraId="50F6FFFD" w14:textId="77777777" w:rsidR="00FF268D" w:rsidRDefault="00FF268D" w:rsidP="00FF268D">
      <w:r w:rsidRPr="00354060">
        <w:t>Please</w:t>
      </w:r>
      <w:r>
        <w:t xml:space="preserve"> provide (or refer to) characteristics,</w:t>
      </w:r>
      <w:r w:rsidRPr="00F12826">
        <w:t xml:space="preserve"> and protection criteria</w:t>
      </w:r>
      <w:r>
        <w:t>,</w:t>
      </w:r>
      <w:r w:rsidRPr="00F12826">
        <w:t xml:space="preserve"> </w:t>
      </w:r>
      <w:r>
        <w:t>for implementing the IMT systems/networks in Question 2, and similar information for non-IMT services, within the IMT band and in the neighboring bands.</w:t>
      </w:r>
    </w:p>
    <w:p w14:paraId="2EC7670D" w14:textId="77777777" w:rsidR="00FF268D" w:rsidRDefault="00FF268D" w:rsidP="00FF268D"/>
    <w:p w14:paraId="32C924E8" w14:textId="77777777" w:rsidR="00FF268D" w:rsidRPr="00C25DC5" w:rsidRDefault="00486E18" w:rsidP="00486E18">
      <w:pPr>
        <w:rPr>
          <w:rFonts w:ascii="HelveticaNeueW01-45Ligh" w:eastAsia="Times New Roman" w:hAnsi="HelveticaNeueW01-45Ligh"/>
          <w:lang w:val="en" w:eastAsia="en-AU"/>
        </w:rPr>
      </w:pPr>
      <w:r w:rsidRPr="00486E18">
        <w:rPr>
          <w:b/>
        </w:rPr>
        <w:t xml:space="preserve">Response </w:t>
      </w:r>
      <w:r>
        <w:rPr>
          <w:b/>
        </w:rPr>
        <w:t>3</w:t>
      </w:r>
      <w:r w:rsidRPr="00486E18">
        <w:rPr>
          <w:b/>
        </w:rPr>
        <w:t>:</w:t>
      </w:r>
      <w:r>
        <w:t xml:space="preserve"> </w:t>
      </w:r>
      <w:r w:rsidR="00FF268D">
        <w:t xml:space="preserve">In </w:t>
      </w:r>
      <w:r>
        <w:t xml:space="preserve">India, the DoT has clearly demarcated the usage of IMT spectrum amongst various users and necessary protection in terms of suitable guard bands has been provided. All these assignments are monitored for any kind of interference including interference from across the borders. </w:t>
      </w:r>
    </w:p>
    <w:p w14:paraId="6999A12F" w14:textId="77777777" w:rsidR="00FF268D" w:rsidRDefault="00FF268D" w:rsidP="00FF268D"/>
    <w:p w14:paraId="45C97E29" w14:textId="77777777" w:rsidR="00FF268D" w:rsidRPr="00354060" w:rsidRDefault="00FF268D" w:rsidP="00FF268D">
      <w:r>
        <w:t xml:space="preserve"> </w:t>
      </w:r>
    </w:p>
    <w:p w14:paraId="5DF9CEEC" w14:textId="77777777" w:rsidR="00FF268D" w:rsidRPr="00ED1311" w:rsidRDefault="00FF268D" w:rsidP="00FF268D">
      <w:pPr>
        <w:rPr>
          <w:b/>
        </w:rPr>
      </w:pPr>
      <w:r w:rsidRPr="00ED1311">
        <w:rPr>
          <w:b/>
        </w:rPr>
        <w:t xml:space="preserve">Question </w:t>
      </w:r>
      <w:r>
        <w:rPr>
          <w:b/>
        </w:rPr>
        <w:t>4</w:t>
      </w:r>
      <w:r w:rsidRPr="00ED1311">
        <w:rPr>
          <w:b/>
        </w:rPr>
        <w:t>:</w:t>
      </w:r>
    </w:p>
    <w:p w14:paraId="53842061" w14:textId="77777777" w:rsidR="00FF268D" w:rsidRDefault="00FF268D" w:rsidP="00FF268D">
      <w:pPr>
        <w:pStyle w:val="ListParagraph"/>
        <w:ind w:firstLineChars="0" w:firstLine="0"/>
      </w:pPr>
      <w:r>
        <w:t>Which case of coexistence as illustrated below and the technical conditions must be applied to each IMT block (</w:t>
      </w:r>
      <w:proofErr w:type="spellStart"/>
      <w:r>
        <w:t>e.g</w:t>
      </w:r>
      <w:proofErr w:type="spellEnd"/>
      <w:r>
        <w:t xml:space="preserve"> power limit, emission mask for spectrum block, </w:t>
      </w:r>
      <w:proofErr w:type="spellStart"/>
      <w:r>
        <w:t>pfd</w:t>
      </w:r>
      <w:proofErr w:type="spellEnd"/>
      <w:r>
        <w:t xml:space="preserve"> limit, …) to </w:t>
      </w:r>
      <w:r w:rsidRPr="001B08ED">
        <w:rPr>
          <w:rFonts w:eastAsia="MS Mincho"/>
          <w:bCs/>
          <w:lang w:val="en-GB"/>
        </w:rPr>
        <w:t>support technology neutrality and spectrum efficiency</w:t>
      </w:r>
      <w: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FF268D" w14:paraId="342CB254" w14:textId="77777777" w:rsidTr="00F60DD2">
        <w:tc>
          <w:tcPr>
            <w:tcW w:w="2179" w:type="dxa"/>
            <w:shd w:val="clear" w:color="auto" w:fill="auto"/>
            <w:vAlign w:val="center"/>
          </w:tcPr>
          <w:p w14:paraId="0EDB119E" w14:textId="77777777" w:rsidR="00FF268D" w:rsidRPr="0016608A" w:rsidRDefault="00FF268D" w:rsidP="00F60DD2">
            <w:pPr>
              <w:pStyle w:val="ListParagraph"/>
              <w:ind w:firstLineChars="0" w:firstLine="0"/>
              <w:jc w:val="center"/>
              <w:rPr>
                <w:rFonts w:ascii="Calibri" w:hAnsi="Calibri" w:cs="Cordia New"/>
                <w:sz w:val="22"/>
                <w:szCs w:val="28"/>
              </w:rPr>
            </w:pPr>
            <w:r w:rsidRPr="0016608A">
              <w:rPr>
                <w:rFonts w:ascii="Calibri" w:hAnsi="Calibri" w:cs="Cordia New"/>
                <w:sz w:val="22"/>
                <w:szCs w:val="28"/>
              </w:rPr>
              <w:t>Frequency band (MHz)</w:t>
            </w:r>
          </w:p>
        </w:tc>
        <w:tc>
          <w:tcPr>
            <w:tcW w:w="1153" w:type="dxa"/>
            <w:shd w:val="clear" w:color="auto" w:fill="auto"/>
          </w:tcPr>
          <w:p w14:paraId="053F8EDA" w14:textId="77777777" w:rsidR="00FF268D" w:rsidRPr="0016608A" w:rsidRDefault="00FF268D" w:rsidP="00F60DD2">
            <w:pPr>
              <w:jc w:val="center"/>
              <w:rPr>
                <w:rFonts w:ascii="Calibri" w:hAnsi="Calibri" w:cs="Cordia New"/>
                <w:sz w:val="22"/>
                <w:szCs w:val="28"/>
              </w:rPr>
            </w:pPr>
            <w:r w:rsidRPr="0016608A">
              <w:rPr>
                <w:rFonts w:ascii="Calibri" w:hAnsi="Calibri" w:cs="Cordia New"/>
                <w:sz w:val="22"/>
                <w:szCs w:val="28"/>
              </w:rPr>
              <w:t>Case</w:t>
            </w:r>
          </w:p>
        </w:tc>
        <w:tc>
          <w:tcPr>
            <w:tcW w:w="5550" w:type="dxa"/>
            <w:shd w:val="clear" w:color="auto" w:fill="auto"/>
          </w:tcPr>
          <w:p w14:paraId="7257FA5D" w14:textId="77777777" w:rsidR="00FF268D" w:rsidRPr="0016608A" w:rsidRDefault="00FF268D" w:rsidP="00F60DD2">
            <w:pPr>
              <w:jc w:val="center"/>
              <w:rPr>
                <w:rFonts w:ascii="Calibri" w:hAnsi="Calibri" w:cs="Cordia New"/>
                <w:sz w:val="22"/>
                <w:szCs w:val="28"/>
              </w:rPr>
            </w:pPr>
            <w:r w:rsidRPr="0016608A">
              <w:rPr>
                <w:rFonts w:ascii="Calibri" w:hAnsi="Calibri" w:cs="Cordia New"/>
                <w:sz w:val="22"/>
                <w:szCs w:val="28"/>
              </w:rPr>
              <w:t>Technical condition</w:t>
            </w:r>
          </w:p>
        </w:tc>
      </w:tr>
      <w:tr w:rsidR="00FF268D" w14:paraId="4E54459C" w14:textId="77777777" w:rsidTr="00F60DD2">
        <w:tc>
          <w:tcPr>
            <w:tcW w:w="2179" w:type="dxa"/>
            <w:vMerge w:val="restart"/>
            <w:shd w:val="clear" w:color="auto" w:fill="auto"/>
            <w:vAlign w:val="center"/>
          </w:tcPr>
          <w:p w14:paraId="31C213C3" w14:textId="77777777" w:rsidR="00FF268D" w:rsidRPr="0016608A" w:rsidRDefault="00FF268D" w:rsidP="00F60DD2">
            <w:pPr>
              <w:rPr>
                <w:rFonts w:ascii="Calibri" w:hAnsi="Calibri" w:cs="Cordia New"/>
                <w:sz w:val="22"/>
                <w:szCs w:val="28"/>
              </w:rPr>
            </w:pPr>
            <w:r w:rsidRPr="0016608A">
              <w:rPr>
                <w:rFonts w:ascii="Calibri" w:hAnsi="Calibri" w:cs="Cordia New"/>
                <w:sz w:val="22"/>
                <w:szCs w:val="28"/>
              </w:rPr>
              <w:t>All bands</w:t>
            </w:r>
          </w:p>
        </w:tc>
        <w:tc>
          <w:tcPr>
            <w:tcW w:w="1153" w:type="dxa"/>
            <w:shd w:val="clear" w:color="auto" w:fill="auto"/>
          </w:tcPr>
          <w:p w14:paraId="7D7CF21C" w14:textId="77777777" w:rsidR="00FF268D" w:rsidRPr="0016608A" w:rsidRDefault="00FF268D" w:rsidP="00F60DD2">
            <w:pPr>
              <w:pStyle w:val="ListParagraph"/>
              <w:ind w:firstLine="440"/>
              <w:rPr>
                <w:rFonts w:ascii="Calibri" w:hAnsi="Calibri" w:cs="Cordia New"/>
                <w:sz w:val="22"/>
                <w:szCs w:val="28"/>
              </w:rPr>
            </w:pPr>
            <w:r w:rsidRPr="0016608A">
              <w:rPr>
                <w:rFonts w:ascii="Calibri" w:hAnsi="Calibri" w:cs="Cordia New"/>
                <w:sz w:val="22"/>
                <w:szCs w:val="28"/>
              </w:rPr>
              <w:t>A</w:t>
            </w:r>
          </w:p>
        </w:tc>
        <w:tc>
          <w:tcPr>
            <w:tcW w:w="5550" w:type="dxa"/>
            <w:shd w:val="clear" w:color="auto" w:fill="auto"/>
          </w:tcPr>
          <w:p w14:paraId="3D6106F2" w14:textId="77777777" w:rsidR="00FF268D" w:rsidRPr="0016608A" w:rsidRDefault="00FF268D" w:rsidP="00F60DD2">
            <w:pPr>
              <w:rPr>
                <w:rFonts w:ascii="Calibri" w:hAnsi="Calibri" w:cs="Cordia New"/>
                <w:sz w:val="22"/>
                <w:szCs w:val="28"/>
              </w:rPr>
            </w:pPr>
            <w:r w:rsidRPr="0016608A">
              <w:rPr>
                <w:rFonts w:ascii="Calibri" w:hAnsi="Calibri" w:cs="Cordia New"/>
                <w:sz w:val="22"/>
                <w:szCs w:val="28"/>
              </w:rPr>
              <w:t xml:space="preserve">power limit and emission mask for spectrum block. Additional restrictions for edge of block are placed on TDD spectrum </w:t>
            </w:r>
          </w:p>
        </w:tc>
      </w:tr>
      <w:tr w:rsidR="00FF268D" w14:paraId="4EBBD202" w14:textId="77777777" w:rsidTr="00F60DD2">
        <w:tc>
          <w:tcPr>
            <w:tcW w:w="2179" w:type="dxa"/>
            <w:vMerge/>
            <w:shd w:val="clear" w:color="auto" w:fill="auto"/>
            <w:vAlign w:val="center"/>
          </w:tcPr>
          <w:p w14:paraId="11FF4765" w14:textId="77777777" w:rsidR="00FF268D" w:rsidRPr="0016608A" w:rsidRDefault="00FF268D" w:rsidP="00F60DD2">
            <w:pPr>
              <w:pStyle w:val="ListParagraph"/>
              <w:ind w:firstLine="440"/>
              <w:rPr>
                <w:rFonts w:ascii="Calibri" w:hAnsi="Calibri" w:cs="Cordia New"/>
                <w:sz w:val="22"/>
                <w:szCs w:val="28"/>
                <w:highlight w:val="yellow"/>
              </w:rPr>
            </w:pPr>
          </w:p>
        </w:tc>
        <w:tc>
          <w:tcPr>
            <w:tcW w:w="1153" w:type="dxa"/>
            <w:shd w:val="clear" w:color="auto" w:fill="auto"/>
          </w:tcPr>
          <w:p w14:paraId="09629961" w14:textId="77777777" w:rsidR="00FF268D" w:rsidRPr="0016608A" w:rsidRDefault="00FF268D" w:rsidP="00F60DD2">
            <w:pPr>
              <w:pStyle w:val="ListParagraph"/>
              <w:ind w:firstLine="440"/>
              <w:rPr>
                <w:rFonts w:ascii="Calibri" w:hAnsi="Calibri" w:cs="Cordia New"/>
                <w:sz w:val="22"/>
                <w:szCs w:val="28"/>
              </w:rPr>
            </w:pPr>
            <w:r w:rsidRPr="0016608A">
              <w:rPr>
                <w:rFonts w:ascii="Calibri" w:hAnsi="Calibri" w:cs="Cordia New"/>
                <w:sz w:val="22"/>
                <w:szCs w:val="28"/>
              </w:rPr>
              <w:t>B</w:t>
            </w:r>
          </w:p>
        </w:tc>
        <w:tc>
          <w:tcPr>
            <w:tcW w:w="5550" w:type="dxa"/>
            <w:shd w:val="clear" w:color="auto" w:fill="auto"/>
          </w:tcPr>
          <w:p w14:paraId="26A2CDBF" w14:textId="77777777" w:rsidR="00FF268D" w:rsidRPr="0016608A" w:rsidRDefault="00FF268D" w:rsidP="00F60DD2">
            <w:pPr>
              <w:rPr>
                <w:rFonts w:ascii="Calibri" w:hAnsi="Calibri" w:cs="Cordia New"/>
                <w:sz w:val="22"/>
                <w:szCs w:val="28"/>
              </w:rPr>
            </w:pPr>
            <w:r w:rsidRPr="0016608A">
              <w:rPr>
                <w:rFonts w:ascii="Calibri" w:hAnsi="Calibri" w:cs="Cordia New"/>
                <w:sz w:val="22"/>
                <w:szCs w:val="28"/>
              </w:rPr>
              <w:t xml:space="preserve">power limit and emission mask for spectrum block. Notional receivers for the IMT services are derived for each band for coordination purposes. </w:t>
            </w:r>
          </w:p>
        </w:tc>
      </w:tr>
      <w:tr w:rsidR="00FF268D" w14:paraId="3850A562" w14:textId="77777777" w:rsidTr="00F60DD2">
        <w:tc>
          <w:tcPr>
            <w:tcW w:w="2179" w:type="dxa"/>
            <w:vMerge/>
            <w:shd w:val="clear" w:color="auto" w:fill="auto"/>
            <w:vAlign w:val="center"/>
          </w:tcPr>
          <w:p w14:paraId="1674645B" w14:textId="77777777" w:rsidR="00FF268D" w:rsidRPr="0016608A" w:rsidRDefault="00FF268D" w:rsidP="00F60DD2">
            <w:pPr>
              <w:pStyle w:val="ListParagraph"/>
              <w:ind w:firstLine="440"/>
              <w:rPr>
                <w:rFonts w:ascii="Calibri" w:hAnsi="Calibri" w:cs="Cordia New"/>
                <w:sz w:val="22"/>
                <w:szCs w:val="28"/>
                <w:highlight w:val="yellow"/>
              </w:rPr>
            </w:pPr>
          </w:p>
        </w:tc>
        <w:tc>
          <w:tcPr>
            <w:tcW w:w="1153" w:type="dxa"/>
            <w:shd w:val="clear" w:color="auto" w:fill="auto"/>
          </w:tcPr>
          <w:p w14:paraId="0A3AB16E" w14:textId="77777777" w:rsidR="00FF268D" w:rsidRPr="0016608A" w:rsidRDefault="00FF268D" w:rsidP="00F60DD2">
            <w:pPr>
              <w:pStyle w:val="ListParagraph"/>
              <w:ind w:firstLine="440"/>
              <w:rPr>
                <w:rFonts w:ascii="Calibri" w:hAnsi="Calibri" w:cs="Cordia New"/>
                <w:sz w:val="22"/>
                <w:szCs w:val="28"/>
              </w:rPr>
            </w:pPr>
            <w:r w:rsidRPr="0016608A">
              <w:rPr>
                <w:rFonts w:ascii="Calibri" w:hAnsi="Calibri" w:cs="Cordia New"/>
                <w:sz w:val="22"/>
                <w:szCs w:val="28"/>
              </w:rPr>
              <w:t>C</w:t>
            </w:r>
          </w:p>
        </w:tc>
        <w:tc>
          <w:tcPr>
            <w:tcW w:w="5550" w:type="dxa"/>
            <w:shd w:val="clear" w:color="auto" w:fill="auto"/>
          </w:tcPr>
          <w:p w14:paraId="08B58F8C" w14:textId="77777777" w:rsidR="00FF268D" w:rsidRPr="0016608A" w:rsidRDefault="00FF268D" w:rsidP="00F60DD2">
            <w:pPr>
              <w:rPr>
                <w:rFonts w:ascii="Calibri" w:hAnsi="Calibri" w:cs="Cordia New"/>
                <w:sz w:val="22"/>
                <w:szCs w:val="28"/>
              </w:rPr>
            </w:pPr>
            <w:r w:rsidRPr="0016608A">
              <w:rPr>
                <w:rFonts w:ascii="Calibri" w:hAnsi="Calibri" w:cs="Cordia New"/>
                <w:sz w:val="22"/>
                <w:szCs w:val="28"/>
              </w:rPr>
              <w:t>power limit and emission mask for spectrum block. Notional receivers for the IMT services are derived for each band for coordination purposes.</w:t>
            </w:r>
          </w:p>
        </w:tc>
      </w:tr>
      <w:tr w:rsidR="00FF268D" w14:paraId="56BF0DD5" w14:textId="77777777" w:rsidTr="00F60DD2">
        <w:tc>
          <w:tcPr>
            <w:tcW w:w="2179" w:type="dxa"/>
            <w:vMerge/>
            <w:shd w:val="clear" w:color="auto" w:fill="auto"/>
            <w:vAlign w:val="center"/>
          </w:tcPr>
          <w:p w14:paraId="08E56AEF" w14:textId="77777777" w:rsidR="00FF268D" w:rsidRPr="0016608A" w:rsidRDefault="00FF268D" w:rsidP="00F60DD2">
            <w:pPr>
              <w:pStyle w:val="ListParagraph"/>
              <w:ind w:firstLine="440"/>
              <w:rPr>
                <w:rFonts w:ascii="Calibri" w:hAnsi="Calibri" w:cs="Cordia New"/>
                <w:sz w:val="22"/>
                <w:szCs w:val="28"/>
                <w:highlight w:val="yellow"/>
              </w:rPr>
            </w:pPr>
          </w:p>
        </w:tc>
        <w:tc>
          <w:tcPr>
            <w:tcW w:w="1153" w:type="dxa"/>
            <w:shd w:val="clear" w:color="auto" w:fill="auto"/>
          </w:tcPr>
          <w:p w14:paraId="64440D7E" w14:textId="77777777" w:rsidR="00FF268D" w:rsidRPr="0016608A" w:rsidRDefault="00FF268D" w:rsidP="00F60DD2">
            <w:pPr>
              <w:pStyle w:val="ListParagraph"/>
              <w:ind w:firstLine="440"/>
              <w:rPr>
                <w:rFonts w:ascii="Calibri" w:hAnsi="Calibri" w:cs="Cordia New"/>
                <w:sz w:val="22"/>
                <w:szCs w:val="28"/>
              </w:rPr>
            </w:pPr>
            <w:r w:rsidRPr="0016608A">
              <w:rPr>
                <w:rFonts w:ascii="Calibri" w:hAnsi="Calibri" w:cs="Cordia New"/>
                <w:sz w:val="22"/>
                <w:szCs w:val="28"/>
              </w:rPr>
              <w:t>D</w:t>
            </w:r>
          </w:p>
        </w:tc>
        <w:tc>
          <w:tcPr>
            <w:tcW w:w="5550" w:type="dxa"/>
            <w:shd w:val="clear" w:color="auto" w:fill="auto"/>
          </w:tcPr>
          <w:p w14:paraId="21C67D3B" w14:textId="77777777" w:rsidR="00FF268D" w:rsidRPr="0016608A" w:rsidRDefault="00FF268D" w:rsidP="00F60DD2">
            <w:pPr>
              <w:rPr>
                <w:rFonts w:ascii="Calibri" w:hAnsi="Calibri" w:cs="Cordia New"/>
                <w:sz w:val="22"/>
                <w:szCs w:val="28"/>
              </w:rPr>
            </w:pPr>
            <w:r w:rsidRPr="0016608A">
              <w:rPr>
                <w:rFonts w:ascii="Calibri" w:hAnsi="Calibri" w:cs="Cordia New"/>
                <w:sz w:val="22"/>
                <w:szCs w:val="28"/>
              </w:rPr>
              <w:t>Propagation model and Level of Protection limit at boundary</w:t>
            </w:r>
          </w:p>
        </w:tc>
      </w:tr>
      <w:tr w:rsidR="00FF268D" w14:paraId="0562248B" w14:textId="77777777" w:rsidTr="00F60DD2">
        <w:tc>
          <w:tcPr>
            <w:tcW w:w="2179" w:type="dxa"/>
            <w:vMerge/>
            <w:shd w:val="clear" w:color="auto" w:fill="auto"/>
            <w:vAlign w:val="center"/>
          </w:tcPr>
          <w:p w14:paraId="7A829691" w14:textId="77777777" w:rsidR="00FF268D" w:rsidRPr="0016608A" w:rsidRDefault="00FF268D" w:rsidP="00F60DD2">
            <w:pPr>
              <w:pStyle w:val="ListParagraph"/>
              <w:ind w:firstLine="440"/>
              <w:rPr>
                <w:rFonts w:ascii="Calibri" w:hAnsi="Calibri" w:cs="Cordia New"/>
                <w:sz w:val="22"/>
                <w:szCs w:val="28"/>
                <w:highlight w:val="yellow"/>
              </w:rPr>
            </w:pPr>
          </w:p>
        </w:tc>
        <w:tc>
          <w:tcPr>
            <w:tcW w:w="1153" w:type="dxa"/>
            <w:shd w:val="clear" w:color="auto" w:fill="auto"/>
          </w:tcPr>
          <w:p w14:paraId="7ED731FB" w14:textId="77777777" w:rsidR="00FF268D" w:rsidRPr="0016608A" w:rsidRDefault="00FF268D" w:rsidP="00F60DD2">
            <w:pPr>
              <w:pStyle w:val="ListParagraph"/>
              <w:ind w:firstLine="440"/>
              <w:rPr>
                <w:rFonts w:ascii="Calibri" w:hAnsi="Calibri" w:cs="Cordia New"/>
                <w:sz w:val="22"/>
                <w:szCs w:val="28"/>
              </w:rPr>
            </w:pPr>
            <w:r w:rsidRPr="0016608A">
              <w:rPr>
                <w:rFonts w:ascii="Calibri" w:hAnsi="Calibri" w:cs="Cordia New"/>
                <w:sz w:val="22"/>
                <w:szCs w:val="28"/>
              </w:rPr>
              <w:t>E</w:t>
            </w:r>
          </w:p>
        </w:tc>
        <w:tc>
          <w:tcPr>
            <w:tcW w:w="5550" w:type="dxa"/>
            <w:shd w:val="clear" w:color="auto" w:fill="auto"/>
          </w:tcPr>
          <w:p w14:paraId="20A56D63" w14:textId="77777777" w:rsidR="00FF268D" w:rsidRPr="0016608A" w:rsidRDefault="00FF268D" w:rsidP="00F60DD2">
            <w:pPr>
              <w:rPr>
                <w:rFonts w:ascii="Calibri" w:hAnsi="Calibri" w:cs="Cordia New"/>
                <w:sz w:val="22"/>
                <w:szCs w:val="28"/>
              </w:rPr>
            </w:pPr>
            <w:r w:rsidRPr="0016608A">
              <w:rPr>
                <w:rFonts w:ascii="Calibri" w:hAnsi="Calibri" w:cs="Cordia New"/>
                <w:sz w:val="22"/>
                <w:szCs w:val="28"/>
              </w:rPr>
              <w:t>Propagation model and Level of Protection limit at boundary</w:t>
            </w:r>
          </w:p>
        </w:tc>
      </w:tr>
    </w:tbl>
    <w:p w14:paraId="2120971B" w14:textId="77777777" w:rsidR="00FF268D" w:rsidRDefault="00FF268D" w:rsidP="00FF268D">
      <w:pPr>
        <w:pStyle w:val="ListParagraph"/>
        <w:ind w:firstLine="480"/>
      </w:pPr>
    </w:p>
    <w:bookmarkStart w:id="0" w:name="_MON_1258028741"/>
    <w:bookmarkEnd w:id="0"/>
    <w:p w14:paraId="7A519988" w14:textId="77777777" w:rsidR="00FF268D" w:rsidRDefault="00FF268D" w:rsidP="00FF268D">
      <w:pPr>
        <w:pStyle w:val="ListParagraph"/>
        <w:ind w:firstLine="480"/>
      </w:pPr>
      <w:r w:rsidRPr="00365339">
        <w:object w:dxaOrig="14940" w:dyaOrig="7761" w14:anchorId="6668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1.25pt" o:ole="">
            <v:imagedata r:id="rId9" o:title=""/>
          </v:shape>
          <o:OLEObject Type="Embed" ProgID="Word.Picture.8" ShapeID="_x0000_i1025" DrawAspect="Content" ObjectID="_1598121567" r:id="rId10"/>
        </w:object>
      </w:r>
    </w:p>
    <w:p w14:paraId="277BF57D" w14:textId="77777777" w:rsidR="00FF268D" w:rsidRDefault="00FF268D" w:rsidP="00FF268D">
      <w:r>
        <w:t xml:space="preserve">Case A: coexistence between IMT block and IMT in adjacent block in same IMT band </w:t>
      </w:r>
    </w:p>
    <w:p w14:paraId="59857248" w14:textId="77777777" w:rsidR="00FF268D" w:rsidRDefault="00FF268D" w:rsidP="00FF268D">
      <w:r>
        <w:lastRenderedPageBreak/>
        <w:t>Case B: coexistence between IMT block and non-IMT in adjacent block in same IMT band</w:t>
      </w:r>
    </w:p>
    <w:p w14:paraId="6F7E24FF" w14:textId="77777777" w:rsidR="00FF268D" w:rsidRDefault="00FF268D" w:rsidP="00FF268D">
      <w:pPr>
        <w:pStyle w:val="ListParagraph"/>
        <w:ind w:firstLineChars="0" w:firstLine="0"/>
      </w:pPr>
      <w:r>
        <w:t>Case C: coexistence between IMT block in IMT band and non-IMT block in adjacent band</w:t>
      </w:r>
    </w:p>
    <w:p w14:paraId="555E399B" w14:textId="77777777" w:rsidR="00FF268D" w:rsidRDefault="00FF268D" w:rsidP="00FF268D">
      <w:pPr>
        <w:pStyle w:val="ListParagraph"/>
        <w:ind w:firstLineChars="0" w:firstLine="0"/>
      </w:pPr>
      <w:r>
        <w:t>Case D: coexistence between IMT block and non-IMT block co-channel but adjacent geographical area</w:t>
      </w:r>
    </w:p>
    <w:p w14:paraId="1AD4C99A" w14:textId="77777777" w:rsidR="00FF268D" w:rsidRDefault="00FF268D" w:rsidP="00FF268D">
      <w:pPr>
        <w:pStyle w:val="ListParagraph"/>
        <w:ind w:firstLineChars="0" w:firstLine="0"/>
      </w:pPr>
      <w:r>
        <w:t>Case E:</w:t>
      </w:r>
      <w:r w:rsidRPr="00220733">
        <w:t xml:space="preserve"> </w:t>
      </w:r>
      <w:r>
        <w:t>coexistence between IMT block and other IMT block co-channel but adjacent geographical area</w:t>
      </w:r>
    </w:p>
    <w:p w14:paraId="7046C7B3" w14:textId="77777777" w:rsidR="00445B3F" w:rsidRDefault="0063785F"/>
    <w:sectPr w:rsidR="00445B3F" w:rsidSect="00DB0A68">
      <w:headerReference w:type="even" r:id="rId11"/>
      <w:headerReference w:type="default" r:id="rId12"/>
      <w:footerReference w:type="even" r:id="rId13"/>
      <w:footerReference w:type="default" r:id="rId14"/>
      <w:headerReference w:type="firs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A6C6" w14:textId="77777777" w:rsidR="0063785F" w:rsidRDefault="0063785F">
      <w:r>
        <w:separator/>
      </w:r>
    </w:p>
  </w:endnote>
  <w:endnote w:type="continuationSeparator" w:id="0">
    <w:p w14:paraId="1467B598" w14:textId="77777777" w:rsidR="0063785F" w:rsidRDefault="0063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BatangChe">
    <w:altName w:val="Arial Unicode MS"/>
    <w:panose1 w:val="02030609000101010101"/>
    <w:charset w:val="81"/>
    <w:family w:val="modern"/>
    <w:pitch w:val="fixed"/>
    <w:sig w:usb0="00000000"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W01-75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W01-45Ligh">
    <w:altName w:val="Times New Roman"/>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58AE" w14:textId="77777777" w:rsidR="0097693B" w:rsidRDefault="00FF268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200EC" w14:textId="77777777" w:rsidR="0097693B" w:rsidRDefault="0063785F"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8B9F" w14:textId="7D1CBB96" w:rsidR="00687D65" w:rsidRDefault="00687D65" w:rsidP="00687D65">
    <w:pPr>
      <w:pStyle w:val="Footer"/>
      <w:ind w:right="360" w:firstLine="480"/>
      <w:rPr>
        <w:rStyle w:val="PageNumber"/>
      </w:rPr>
    </w:pPr>
    <w:r>
      <w:rPr>
        <w:rFonts w:hint="eastAsia"/>
        <w:lang w:eastAsia="ko-KR"/>
      </w:rPr>
      <w:t>A</w:t>
    </w:r>
    <w:r>
      <w:rPr>
        <w:lang w:eastAsia="ko-KR"/>
      </w:rPr>
      <w:t>WG</w:t>
    </w:r>
    <w:r>
      <w:rPr>
        <w:rFonts w:hint="eastAsia"/>
        <w:lang w:eastAsia="ko-KR"/>
      </w:rPr>
      <w:t>-</w:t>
    </w:r>
    <w:r>
      <w:rPr>
        <w:lang w:eastAsia="ko-KR"/>
      </w:rPr>
      <w:t>24</w:t>
    </w:r>
    <w:r>
      <w:rPr>
        <w:rFonts w:hint="eastAsia"/>
        <w:lang w:eastAsia="ko-KR"/>
      </w:rPr>
      <w:t>/</w:t>
    </w:r>
    <w:r>
      <w:rPr>
        <w:lang w:eastAsia="ko-KR"/>
      </w:rPr>
      <w:t>INP-4</w:t>
    </w:r>
    <w:r w:rsidR="004D1B4D">
      <w:rPr>
        <w:lang w:eastAsia="ko-KR"/>
      </w:rPr>
      <w:t>8</w:t>
    </w:r>
    <w:bookmarkStart w:id="1" w:name="_GoBack"/>
    <w:bookmarkEnd w:id="1"/>
    <w:r w:rsidRPr="002C7EA9">
      <w:rPr>
        <w:rStyle w:val="PageNumber"/>
      </w:rPr>
      <w:t xml:space="preserve"> </w:t>
    </w: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42F88">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42F88">
      <w:rPr>
        <w:rStyle w:val="PageNumber"/>
        <w:noProof/>
      </w:rPr>
      <w:t>3</w:t>
    </w:r>
    <w:r w:rsidRPr="002C7EA9">
      <w:rPr>
        <w:rStyle w:val="PageNumber"/>
      </w:rPr>
      <w:fldChar w:fldCharType="end"/>
    </w:r>
  </w:p>
  <w:p w14:paraId="1570DC69" w14:textId="337379D4" w:rsidR="0097693B" w:rsidRDefault="0063785F" w:rsidP="003771CA">
    <w:pPr>
      <w:pStyle w:val="Footer"/>
      <w:ind w:right="36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jc w:val="center"/>
      <w:tblLayout w:type="fixed"/>
      <w:tblCellMar>
        <w:left w:w="57" w:type="dxa"/>
        <w:right w:w="57" w:type="dxa"/>
      </w:tblCellMar>
      <w:tblLook w:val="0000" w:firstRow="0" w:lastRow="0" w:firstColumn="0" w:lastColumn="0" w:noHBand="0" w:noVBand="0"/>
    </w:tblPr>
    <w:tblGrid>
      <w:gridCol w:w="1080"/>
      <w:gridCol w:w="4394"/>
      <w:gridCol w:w="3912"/>
    </w:tblGrid>
    <w:tr w:rsidR="00687D65" w:rsidRPr="003771CA" w14:paraId="5431AB16" w14:textId="77777777" w:rsidTr="0048149E">
      <w:trPr>
        <w:cantSplit/>
        <w:trHeight w:val="204"/>
        <w:jc w:val="center"/>
      </w:trPr>
      <w:tc>
        <w:tcPr>
          <w:tcW w:w="1080" w:type="dxa"/>
          <w:tcBorders>
            <w:top w:val="single" w:sz="12" w:space="0" w:color="auto"/>
          </w:tcBorders>
        </w:tcPr>
        <w:p w14:paraId="6F0C8B2B" w14:textId="77777777" w:rsidR="00687D65" w:rsidRPr="003771CA" w:rsidRDefault="00687D65" w:rsidP="00687D65">
          <w:pPr>
            <w:rPr>
              <w:b/>
              <w:bCs/>
            </w:rPr>
          </w:pPr>
          <w:r w:rsidRPr="003771CA">
            <w:rPr>
              <w:b/>
              <w:bCs/>
            </w:rPr>
            <w:t>Contact:</w:t>
          </w:r>
        </w:p>
      </w:tc>
      <w:tc>
        <w:tcPr>
          <w:tcW w:w="4394" w:type="dxa"/>
          <w:tcBorders>
            <w:top w:val="single" w:sz="12" w:space="0" w:color="auto"/>
          </w:tcBorders>
        </w:tcPr>
        <w:p w14:paraId="4F43E296" w14:textId="77777777" w:rsidR="00687D65" w:rsidRPr="00C8257D" w:rsidRDefault="00687D65" w:rsidP="00542F88">
          <w:pPr>
            <w:pStyle w:val="Equation"/>
            <w:tabs>
              <w:tab w:val="left" w:pos="1191"/>
              <w:tab w:val="left" w:pos="1588"/>
              <w:tab w:val="left" w:pos="1985"/>
            </w:tabs>
            <w:spacing w:beforeLines="0" w:before="0"/>
            <w:rPr>
              <w:rFonts w:eastAsia="Batang"/>
              <w:szCs w:val="24"/>
              <w:lang w:eastAsia="ko-KR"/>
            </w:rPr>
          </w:pPr>
          <w:r w:rsidRPr="00C8257D">
            <w:rPr>
              <w:rFonts w:eastAsia="Batang"/>
              <w:szCs w:val="24"/>
              <w:lang w:eastAsia="ko-KR"/>
            </w:rPr>
            <w:t>Sachin Kumar, I.R.R.S.</w:t>
          </w:r>
          <w:r>
            <w:rPr>
              <w:rFonts w:eastAsia="Batang"/>
              <w:szCs w:val="24"/>
              <w:lang w:eastAsia="ko-KR"/>
            </w:rPr>
            <w:t xml:space="preserve">, </w:t>
          </w:r>
          <w:proofErr w:type="spellStart"/>
          <w:r w:rsidRPr="00C8257D">
            <w:rPr>
              <w:rFonts w:eastAsia="Batang"/>
              <w:szCs w:val="24"/>
              <w:lang w:eastAsia="ko-KR"/>
            </w:rPr>
            <w:t>Asstt</w:t>
          </w:r>
          <w:proofErr w:type="spellEnd"/>
          <w:r>
            <w:rPr>
              <w:rFonts w:eastAsia="Batang"/>
              <w:szCs w:val="24"/>
              <w:lang w:eastAsia="ko-KR"/>
            </w:rPr>
            <w:t xml:space="preserve">. Wireless Adviser (Conference), </w:t>
          </w:r>
          <w:r w:rsidRPr="00C8257D">
            <w:rPr>
              <w:rFonts w:eastAsia="Batang"/>
              <w:szCs w:val="24"/>
              <w:lang w:eastAsia="ko-KR"/>
            </w:rPr>
            <w:t>WPC Wing, Department of Telecommunications</w:t>
          </w:r>
        </w:p>
        <w:p w14:paraId="7A5878F8" w14:textId="77777777" w:rsidR="00687D65" w:rsidRPr="003771CA" w:rsidRDefault="00687D65" w:rsidP="00542F88">
          <w:pPr>
            <w:pStyle w:val="Equation"/>
            <w:tabs>
              <w:tab w:val="left" w:pos="1191"/>
              <w:tab w:val="left" w:pos="1588"/>
              <w:tab w:val="left" w:pos="1985"/>
            </w:tabs>
            <w:spacing w:beforeLines="0" w:before="0"/>
            <w:rPr>
              <w:rFonts w:eastAsia="Batang"/>
              <w:szCs w:val="24"/>
            </w:rPr>
          </w:pPr>
          <w:r w:rsidRPr="00C8257D">
            <w:rPr>
              <w:rFonts w:eastAsia="Batang"/>
              <w:szCs w:val="24"/>
              <w:lang w:eastAsia="ko-KR"/>
            </w:rPr>
            <w:t>Ministry of Communications</w:t>
          </w:r>
        </w:p>
      </w:tc>
      <w:tc>
        <w:tcPr>
          <w:tcW w:w="3912" w:type="dxa"/>
          <w:tcBorders>
            <w:top w:val="single" w:sz="12" w:space="0" w:color="auto"/>
          </w:tcBorders>
        </w:tcPr>
        <w:p w14:paraId="2F25B230" w14:textId="77777777" w:rsidR="00687D65" w:rsidRPr="003771CA" w:rsidRDefault="00687D65" w:rsidP="00687D65">
          <w:pPr>
            <w:rPr>
              <w:lang w:eastAsia="ja-JP"/>
            </w:rPr>
          </w:pPr>
          <w:r w:rsidRPr="003771CA">
            <w:t>Email</w:t>
          </w:r>
          <w:r w:rsidRPr="003771CA">
            <w:rPr>
              <w:rFonts w:hint="eastAsia"/>
            </w:rPr>
            <w:t xml:space="preserve">: </w:t>
          </w:r>
          <w:r w:rsidRPr="009074F5">
            <w:t>sachin.kumar46@gov.in</w:t>
          </w:r>
        </w:p>
      </w:tc>
    </w:tr>
  </w:tbl>
  <w:p w14:paraId="5585E38B" w14:textId="77777777" w:rsidR="00687D65" w:rsidRDefault="00687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CB9B" w14:textId="77777777" w:rsidR="0063785F" w:rsidRDefault="0063785F">
      <w:r>
        <w:separator/>
      </w:r>
    </w:p>
  </w:footnote>
  <w:footnote w:type="continuationSeparator" w:id="0">
    <w:p w14:paraId="3BC56A9F" w14:textId="77777777" w:rsidR="0063785F" w:rsidRDefault="0063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C6A0" w14:textId="77777777" w:rsidR="00687D65" w:rsidRDefault="00687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8845" w14:textId="77777777" w:rsidR="0097693B" w:rsidRDefault="00FF268D" w:rsidP="00C15633">
    <w:pPr>
      <w:pStyle w:val="Header"/>
      <w:tabs>
        <w:tab w:val="center" w:pos="4763"/>
        <w:tab w:val="left" w:pos="5820"/>
      </w:tabs>
      <w:rPr>
        <w:lang w:eastAsia="ko-KR"/>
      </w:rPr>
    </w:pPr>
    <w:r>
      <w:rPr>
        <w:lang w:eastAsia="ko-KR"/>
      </w:rPr>
      <w:tab/>
    </w:r>
  </w:p>
  <w:p w14:paraId="3C6072C4" w14:textId="77777777" w:rsidR="0097693B" w:rsidRDefault="0063785F"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5A17" w14:textId="77777777" w:rsidR="00687D65" w:rsidRDefault="00687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36A83"/>
    <w:multiLevelType w:val="multilevel"/>
    <w:tmpl w:val="D6F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8D"/>
    <w:rsid w:val="00027CE1"/>
    <w:rsid w:val="00046FDC"/>
    <w:rsid w:val="000922FE"/>
    <w:rsid w:val="000C704C"/>
    <w:rsid w:val="00174931"/>
    <w:rsid w:val="00183DB6"/>
    <w:rsid w:val="00330D67"/>
    <w:rsid w:val="00351019"/>
    <w:rsid w:val="003F014A"/>
    <w:rsid w:val="00446F20"/>
    <w:rsid w:val="00486E18"/>
    <w:rsid w:val="004A761F"/>
    <w:rsid w:val="004D1B4D"/>
    <w:rsid w:val="005134A7"/>
    <w:rsid w:val="00542F88"/>
    <w:rsid w:val="00590933"/>
    <w:rsid w:val="00630DF0"/>
    <w:rsid w:val="0063785F"/>
    <w:rsid w:val="006557E9"/>
    <w:rsid w:val="00687D65"/>
    <w:rsid w:val="006F5990"/>
    <w:rsid w:val="00712296"/>
    <w:rsid w:val="007214EB"/>
    <w:rsid w:val="00793D8A"/>
    <w:rsid w:val="007D7E7F"/>
    <w:rsid w:val="00881781"/>
    <w:rsid w:val="00893313"/>
    <w:rsid w:val="00912DC4"/>
    <w:rsid w:val="009F2DE1"/>
    <w:rsid w:val="009F7611"/>
    <w:rsid w:val="009F79DE"/>
    <w:rsid w:val="00A97EF5"/>
    <w:rsid w:val="00B02E6A"/>
    <w:rsid w:val="00CA2891"/>
    <w:rsid w:val="00CE3C91"/>
    <w:rsid w:val="00CF0CBB"/>
    <w:rsid w:val="00D70D21"/>
    <w:rsid w:val="00E50710"/>
    <w:rsid w:val="00E63903"/>
    <w:rsid w:val="00FA0E6F"/>
    <w:rsid w:val="00FB174E"/>
    <w:rsid w:val="00FC0B8E"/>
    <w:rsid w:val="00FF26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6331"/>
  <w15:docId w15:val="{C66739C2-BA8D-482F-AE57-D57C322A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8D"/>
    <w:pPr>
      <w:spacing w:after="0" w:line="240" w:lineRule="auto"/>
    </w:pPr>
    <w:rPr>
      <w:rFonts w:ascii="Times New Roman" w:eastAsia="BatangChe" w:hAnsi="Times New Roman" w:cs="Times New Roman"/>
      <w:sz w:val="24"/>
      <w:szCs w:val="24"/>
    </w:rPr>
  </w:style>
  <w:style w:type="paragraph" w:styleId="Heading1">
    <w:name w:val="heading 1"/>
    <w:basedOn w:val="Normal"/>
    <w:next w:val="Normal"/>
    <w:link w:val="Heading1Char"/>
    <w:qFormat/>
    <w:rsid w:val="00FF268D"/>
    <w:pPr>
      <w:keepNext/>
      <w:jc w:val="center"/>
      <w:outlineLvl w:val="0"/>
    </w:pPr>
    <w:rPr>
      <w:b/>
      <w:bCs/>
      <w:u w:val="single"/>
    </w:rPr>
  </w:style>
  <w:style w:type="paragraph" w:styleId="Heading8">
    <w:name w:val="heading 8"/>
    <w:basedOn w:val="Normal"/>
    <w:next w:val="Normal"/>
    <w:link w:val="Heading8Char"/>
    <w:qFormat/>
    <w:rsid w:val="00FF268D"/>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68D"/>
    <w:rPr>
      <w:rFonts w:ascii="Times New Roman" w:eastAsia="BatangChe" w:hAnsi="Times New Roman" w:cs="Times New Roman"/>
      <w:b/>
      <w:bCs/>
      <w:sz w:val="24"/>
      <w:szCs w:val="24"/>
      <w:u w:val="single"/>
    </w:rPr>
  </w:style>
  <w:style w:type="character" w:customStyle="1" w:styleId="Heading8Char">
    <w:name w:val="Heading 8 Char"/>
    <w:basedOn w:val="DefaultParagraphFont"/>
    <w:link w:val="Heading8"/>
    <w:rsid w:val="00FF268D"/>
    <w:rPr>
      <w:rFonts w:ascii="Times New Roman" w:eastAsia="BatangChe" w:hAnsi="Times New Roman" w:cs="Times New Roman"/>
      <w:b/>
      <w:bCs/>
      <w:kern w:val="2"/>
      <w:sz w:val="20"/>
      <w:szCs w:val="20"/>
      <w:lang w:eastAsia="ko-KR"/>
    </w:rPr>
  </w:style>
  <w:style w:type="paragraph" w:styleId="Footer">
    <w:name w:val="footer"/>
    <w:basedOn w:val="Normal"/>
    <w:link w:val="FooterChar"/>
    <w:rsid w:val="00FF268D"/>
    <w:pPr>
      <w:tabs>
        <w:tab w:val="center" w:pos="4320"/>
        <w:tab w:val="right" w:pos="8640"/>
      </w:tabs>
    </w:pPr>
  </w:style>
  <w:style w:type="character" w:customStyle="1" w:styleId="FooterChar">
    <w:name w:val="Footer Char"/>
    <w:basedOn w:val="DefaultParagraphFont"/>
    <w:link w:val="Footer"/>
    <w:uiPriority w:val="99"/>
    <w:rsid w:val="00FF268D"/>
    <w:rPr>
      <w:rFonts w:ascii="Times New Roman" w:eastAsia="BatangChe" w:hAnsi="Times New Roman" w:cs="Times New Roman"/>
      <w:sz w:val="24"/>
      <w:szCs w:val="24"/>
    </w:rPr>
  </w:style>
  <w:style w:type="character" w:styleId="PageNumber">
    <w:name w:val="page number"/>
    <w:basedOn w:val="DefaultParagraphFont"/>
    <w:rsid w:val="00FF268D"/>
  </w:style>
  <w:style w:type="paragraph" w:customStyle="1" w:styleId="Note">
    <w:name w:val="Note"/>
    <w:basedOn w:val="Normal"/>
    <w:rsid w:val="00FF268D"/>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FF268D"/>
    <w:pPr>
      <w:tabs>
        <w:tab w:val="center" w:pos="4320"/>
        <w:tab w:val="right" w:pos="8640"/>
      </w:tabs>
    </w:pPr>
  </w:style>
  <w:style w:type="character" w:customStyle="1" w:styleId="HeaderChar">
    <w:name w:val="Header Char"/>
    <w:basedOn w:val="DefaultParagraphFont"/>
    <w:link w:val="Header"/>
    <w:rsid w:val="00FF268D"/>
    <w:rPr>
      <w:rFonts w:ascii="Times New Roman" w:eastAsia="BatangChe" w:hAnsi="Times New Roman" w:cs="Times New Roman"/>
      <w:sz w:val="24"/>
      <w:szCs w:val="24"/>
    </w:rPr>
  </w:style>
  <w:style w:type="paragraph" w:customStyle="1" w:styleId="Equation">
    <w:name w:val="Equation"/>
    <w:basedOn w:val="Normal"/>
    <w:rsid w:val="00FF268D"/>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rsid w:val="00FF268D"/>
    <w:rPr>
      <w:color w:val="0000FF"/>
      <w:u w:val="single"/>
    </w:rPr>
  </w:style>
  <w:style w:type="paragraph" w:styleId="ListParagraph">
    <w:name w:val="List Paragraph"/>
    <w:basedOn w:val="Normal"/>
    <w:uiPriority w:val="34"/>
    <w:qFormat/>
    <w:rsid w:val="00FF268D"/>
    <w:pPr>
      <w:ind w:firstLineChars="200" w:firstLine="420"/>
    </w:pPr>
  </w:style>
  <w:style w:type="character" w:styleId="Strong">
    <w:name w:val="Strong"/>
    <w:uiPriority w:val="22"/>
    <w:qFormat/>
    <w:rsid w:val="00FF268D"/>
    <w:rPr>
      <w:rFonts w:ascii="HelveticaNeueW01-75Bold" w:hAnsi="HelveticaNeueW01-75Bold" w:hint="default"/>
      <w:b w:val="0"/>
      <w:bCs w:val="0"/>
    </w:rPr>
  </w:style>
  <w:style w:type="paragraph" w:styleId="BalloonText">
    <w:name w:val="Balloon Text"/>
    <w:basedOn w:val="Normal"/>
    <w:link w:val="BalloonTextChar"/>
    <w:uiPriority w:val="99"/>
    <w:semiHidden/>
    <w:unhideWhenUsed/>
    <w:rsid w:val="0065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E9"/>
    <w:rPr>
      <w:rFonts w:ascii="Segoe UI" w:eastAsia="BatangChe" w:hAnsi="Segoe UI" w:cs="Segoe UI"/>
      <w:sz w:val="18"/>
      <w:szCs w:val="18"/>
    </w:rPr>
  </w:style>
  <w:style w:type="character" w:styleId="CommentReference">
    <w:name w:val="annotation reference"/>
    <w:basedOn w:val="DefaultParagraphFont"/>
    <w:uiPriority w:val="99"/>
    <w:semiHidden/>
    <w:unhideWhenUsed/>
    <w:rsid w:val="00912DC4"/>
    <w:rPr>
      <w:sz w:val="16"/>
      <w:szCs w:val="16"/>
    </w:rPr>
  </w:style>
  <w:style w:type="paragraph" w:styleId="CommentText">
    <w:name w:val="annotation text"/>
    <w:basedOn w:val="Normal"/>
    <w:link w:val="CommentTextChar"/>
    <w:uiPriority w:val="99"/>
    <w:semiHidden/>
    <w:unhideWhenUsed/>
    <w:rsid w:val="00912DC4"/>
    <w:rPr>
      <w:sz w:val="20"/>
      <w:szCs w:val="20"/>
    </w:rPr>
  </w:style>
  <w:style w:type="character" w:customStyle="1" w:styleId="CommentTextChar">
    <w:name w:val="Comment Text Char"/>
    <w:basedOn w:val="DefaultParagraphFont"/>
    <w:link w:val="CommentText"/>
    <w:uiPriority w:val="99"/>
    <w:semiHidden/>
    <w:rsid w:val="00912DC4"/>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2DC4"/>
    <w:rPr>
      <w:b/>
      <w:bCs/>
    </w:rPr>
  </w:style>
  <w:style w:type="character" w:customStyle="1" w:styleId="CommentSubjectChar">
    <w:name w:val="Comment Subject Char"/>
    <w:basedOn w:val="CommentTextChar"/>
    <w:link w:val="CommentSubject"/>
    <w:uiPriority w:val="99"/>
    <w:semiHidden/>
    <w:rsid w:val="00912DC4"/>
    <w:rPr>
      <w:rFonts w:ascii="Times New Roman" w:eastAsia="BatangChe" w:hAnsi="Times New Roman" w:cs="Times New Roman"/>
      <w:b/>
      <w:bCs/>
      <w:sz w:val="20"/>
      <w:szCs w:val="20"/>
    </w:rPr>
  </w:style>
  <w:style w:type="paragraph" w:styleId="Revision">
    <w:name w:val="Revision"/>
    <w:hidden/>
    <w:uiPriority w:val="99"/>
    <w:semiHidden/>
    <w:rsid w:val="007214EB"/>
    <w:pPr>
      <w:spacing w:after="0" w:line="240" w:lineRule="auto"/>
    </w:pPr>
    <w:rPr>
      <w:rFonts w:ascii="Times New Roman" w:eastAsia="BatangChe" w:hAnsi="Times New Roman" w:cs="Times New Roman"/>
      <w:sz w:val="24"/>
      <w:szCs w:val="24"/>
    </w:rPr>
  </w:style>
  <w:style w:type="table" w:styleId="TableGrid">
    <w:name w:val="Table Grid"/>
    <w:basedOn w:val="TableNormal"/>
    <w:uiPriority w:val="39"/>
    <w:unhideWhenUsed/>
    <w:rsid w:val="0071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io.marinelli@acma.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 Singh</dc:creator>
  <cp:lastModifiedBy>APT Secretariat</cp:lastModifiedBy>
  <cp:revision>8</cp:revision>
  <dcterms:created xsi:type="dcterms:W3CDTF">2018-09-10T07:22:00Z</dcterms:created>
  <dcterms:modified xsi:type="dcterms:W3CDTF">2018-09-10T14:53:00Z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1604107734</vt:i4>
  </property>
  <property fmtid="{D5CDD505-2E9C-101B-9397-08002B2CF9AE}" pid="4" name="_EmailSubject">
    <vt:lpwstr>CONFIDENTIAL : Contributions for AWG#24</vt:lpwstr>
  </property>
  <property fmtid="{D5CDD505-2E9C-101B-9397-08002B2CF9AE}" pid="5" name="_AuthorEmail">
    <vt:lpwstr>jitendra@qti.qualcomm.com</vt:lpwstr>
  </property>
  <property fmtid="{D5CDD505-2E9C-101B-9397-08002B2CF9AE}" pid="6" name="_AuthorEmailDisplayName">
    <vt:lpwstr>Jitendra Singh</vt:lpwstr>
  </property>
  <property fmtid="{D5CDD505-2E9C-101B-9397-08002B2CF9AE}" pid="7" name="_PreviousAdHocReviewCycleID">
    <vt:i4>-650687053</vt:i4>
  </property>
  <property fmtid="{D5CDD505-2E9C-101B-9397-08002B2CF9AE}" pid="8" name="_ReviewingToolsShownOnce">
    <vt:lpwstr/>
  </property>
</Properties>
</file>