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19" w:type="dxa"/>
        <w:tblBorders>
          <w:bottom w:val="single" w:sz="12" w:space="0" w:color="auto"/>
        </w:tblBorders>
        <w:tblLayout w:type="fixed"/>
        <w:tblCellMar>
          <w:left w:w="99" w:type="dxa"/>
          <w:right w:w="99" w:type="dxa"/>
        </w:tblCellMar>
        <w:tblLook w:val="0000" w:firstRow="0" w:lastRow="0" w:firstColumn="0" w:lastColumn="0" w:noHBand="0" w:noVBand="0"/>
      </w:tblPr>
      <w:tblGrid>
        <w:gridCol w:w="1399"/>
        <w:gridCol w:w="5720"/>
        <w:gridCol w:w="2700"/>
      </w:tblGrid>
      <w:tr w:rsidR="008D5C12" w14:paraId="080737A9" w14:textId="77777777">
        <w:trPr>
          <w:cantSplit/>
        </w:trPr>
        <w:tc>
          <w:tcPr>
            <w:tcW w:w="1399" w:type="dxa"/>
            <w:vMerge w:val="restart"/>
          </w:tcPr>
          <w:p w14:paraId="32EF873C" w14:textId="77777777" w:rsidR="008D5C12" w:rsidRDefault="003C02E0">
            <w:pPr>
              <w:pStyle w:val="Note"/>
              <w:widowControl w:val="0"/>
              <w:tabs>
                <w:tab w:val="clear" w:pos="284"/>
                <w:tab w:val="clear" w:pos="1134"/>
                <w:tab w:val="clear" w:pos="1871"/>
                <w:tab w:val="clear" w:pos="2268"/>
              </w:tabs>
              <w:wordWrap w:val="0"/>
              <w:spacing w:before="0"/>
              <w:rPr>
                <w:noProof w:val="0"/>
                <w:kern w:val="2"/>
                <w:sz w:val="24"/>
                <w:szCs w:val="24"/>
              </w:rPr>
            </w:pPr>
            <w:r>
              <w:rPr>
                <w:kern w:val="2"/>
                <w:sz w:val="24"/>
                <w:szCs w:val="24"/>
                <w:lang w:eastAsia="en-US"/>
              </w:rPr>
              <w:drawing>
                <wp:inline distT="0" distB="0" distL="0" distR="0" wp14:anchorId="7055964C" wp14:editId="1E73DD3E">
                  <wp:extent cx="762000" cy="714375"/>
                  <wp:effectExtent l="0" t="0" r="0" b="9525"/>
                  <wp:docPr id="1" name="Picture 1"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720" w:type="dxa"/>
          </w:tcPr>
          <w:p w14:paraId="2A23D0F4" w14:textId="77777777" w:rsidR="008D5C12" w:rsidRDefault="003C02E0">
            <w:r>
              <w:t>ASIA-PACIFIC TELECOMMUNITY</w:t>
            </w:r>
          </w:p>
        </w:tc>
        <w:tc>
          <w:tcPr>
            <w:tcW w:w="2700" w:type="dxa"/>
          </w:tcPr>
          <w:p w14:paraId="3B13F769" w14:textId="77777777" w:rsidR="008D5C12" w:rsidRDefault="003C02E0">
            <w:pPr>
              <w:rPr>
                <w:b/>
                <w:bCs/>
                <w:lang w:val="fr-FR"/>
              </w:rPr>
            </w:pPr>
            <w:r>
              <w:rPr>
                <w:b/>
                <w:lang w:val="fr-FR"/>
              </w:rPr>
              <w:t xml:space="preserve">Document: </w:t>
            </w:r>
          </w:p>
        </w:tc>
      </w:tr>
      <w:tr w:rsidR="008D5C12" w14:paraId="1D0675B7" w14:textId="77777777">
        <w:trPr>
          <w:cantSplit/>
        </w:trPr>
        <w:tc>
          <w:tcPr>
            <w:tcW w:w="1399" w:type="dxa"/>
            <w:vMerge/>
          </w:tcPr>
          <w:p w14:paraId="17EF10EF" w14:textId="77777777" w:rsidR="008D5C12" w:rsidRDefault="008D5C12"/>
        </w:tc>
        <w:tc>
          <w:tcPr>
            <w:tcW w:w="5720" w:type="dxa"/>
          </w:tcPr>
          <w:p w14:paraId="49695FB0" w14:textId="77777777" w:rsidR="008D5C12" w:rsidRDefault="003C02E0">
            <w:pPr>
              <w:spacing w:line="0" w:lineRule="atLeast"/>
            </w:pPr>
            <w:r>
              <w:rPr>
                <w:b/>
              </w:rPr>
              <w:t xml:space="preserve">The 4th Meeting of the APT Conference </w:t>
            </w:r>
            <w:r w:rsidR="000172BB">
              <w:rPr>
                <w:b/>
              </w:rPr>
              <w:t>Preparatory Group</w:t>
            </w:r>
            <w:r>
              <w:rPr>
                <w:b/>
              </w:rPr>
              <w:t xml:space="preserve"> for WRC-19 (APG19-4)</w:t>
            </w:r>
          </w:p>
        </w:tc>
        <w:tc>
          <w:tcPr>
            <w:tcW w:w="2700" w:type="dxa"/>
          </w:tcPr>
          <w:p w14:paraId="6A88CBFC" w14:textId="6B5366EC" w:rsidR="008D5C12" w:rsidRDefault="00501B04" w:rsidP="00501B04">
            <w:pPr>
              <w:rPr>
                <w:b/>
                <w:bCs/>
                <w:lang w:val="fr-FR"/>
              </w:rPr>
            </w:pPr>
            <w:r>
              <w:rPr>
                <w:b/>
                <w:bCs/>
                <w:lang w:val="fr-FR"/>
              </w:rPr>
              <w:t>APG19-4/INF-07</w:t>
            </w:r>
          </w:p>
        </w:tc>
      </w:tr>
      <w:tr w:rsidR="008D5C12" w14:paraId="27EDEB3F" w14:textId="77777777">
        <w:trPr>
          <w:cantSplit/>
          <w:trHeight w:val="219"/>
        </w:trPr>
        <w:tc>
          <w:tcPr>
            <w:tcW w:w="1399" w:type="dxa"/>
            <w:vMerge/>
          </w:tcPr>
          <w:p w14:paraId="1BDEA7ED" w14:textId="77777777" w:rsidR="008D5C12" w:rsidRDefault="008D5C12">
            <w:pPr>
              <w:rPr>
                <w:lang w:val="fr-FR"/>
              </w:rPr>
            </w:pPr>
          </w:p>
        </w:tc>
        <w:tc>
          <w:tcPr>
            <w:tcW w:w="5720" w:type="dxa"/>
          </w:tcPr>
          <w:p w14:paraId="47DCFCA6" w14:textId="77777777" w:rsidR="008D5C12" w:rsidRDefault="003C02E0">
            <w:r>
              <w:t>7 – 12 January 2019, Busan, Republic of Korea</w:t>
            </w:r>
          </w:p>
        </w:tc>
        <w:tc>
          <w:tcPr>
            <w:tcW w:w="2700" w:type="dxa"/>
          </w:tcPr>
          <w:p w14:paraId="03D54613" w14:textId="16CD50CE" w:rsidR="008D5C12" w:rsidRDefault="00501B04">
            <w:pPr>
              <w:rPr>
                <w:b/>
              </w:rPr>
            </w:pPr>
            <w:r>
              <w:rPr>
                <w:b/>
              </w:rPr>
              <w:t>24</w:t>
            </w:r>
            <w:r w:rsidR="003C02E0">
              <w:rPr>
                <w:b/>
              </w:rPr>
              <w:t xml:space="preserve"> December 2018</w:t>
            </w:r>
          </w:p>
        </w:tc>
      </w:tr>
    </w:tbl>
    <w:p w14:paraId="6D668708" w14:textId="77777777" w:rsidR="008D5C12" w:rsidRDefault="008D5C12">
      <w:pPr>
        <w:rPr>
          <w:lang w:eastAsia="ko-KR"/>
        </w:rPr>
      </w:pPr>
    </w:p>
    <w:p w14:paraId="0062EC38" w14:textId="77777777" w:rsidR="006B6528" w:rsidRPr="006B6528" w:rsidRDefault="006B6528" w:rsidP="006B6528">
      <w:pPr>
        <w:jc w:val="center"/>
        <w:rPr>
          <w:sz w:val="26"/>
          <w:szCs w:val="26"/>
          <w:lang w:eastAsia="ko-KR"/>
        </w:rPr>
      </w:pPr>
      <w:r w:rsidRPr="006B6528">
        <w:rPr>
          <w:sz w:val="26"/>
          <w:szCs w:val="26"/>
          <w:lang w:eastAsia="ko-KR"/>
        </w:rPr>
        <w:t>Ericsson (Thailand) Limited, Ericsson Vietnam Co., Ltd.,</w:t>
      </w:r>
    </w:p>
    <w:p w14:paraId="5C1E9CEF" w14:textId="7BA5C24A" w:rsidR="009F2CE1" w:rsidRPr="009F2CE1" w:rsidRDefault="006B6528" w:rsidP="006B6528">
      <w:pPr>
        <w:jc w:val="center"/>
        <w:rPr>
          <w:sz w:val="26"/>
          <w:szCs w:val="26"/>
          <w:lang w:eastAsia="ko-KR"/>
        </w:rPr>
      </w:pPr>
      <w:r w:rsidRPr="006B6528">
        <w:rPr>
          <w:sz w:val="26"/>
          <w:szCs w:val="26"/>
          <w:lang w:eastAsia="ko-KR"/>
        </w:rPr>
        <w:t xml:space="preserve">Intel Microelectronics (Thailand) Limited, Nokia </w:t>
      </w:r>
      <w:proofErr w:type="spellStart"/>
      <w:r w:rsidRPr="006B6528">
        <w:rPr>
          <w:sz w:val="26"/>
          <w:szCs w:val="26"/>
          <w:lang w:eastAsia="ko-KR"/>
        </w:rPr>
        <w:t>Pte</w:t>
      </w:r>
      <w:proofErr w:type="spellEnd"/>
      <w:r w:rsidRPr="006B6528">
        <w:rPr>
          <w:sz w:val="26"/>
          <w:szCs w:val="26"/>
          <w:lang w:eastAsia="ko-KR"/>
        </w:rPr>
        <w:t xml:space="preserve"> Ltd., Qualcomm International and Samsung Electronics Co.,</w:t>
      </w:r>
      <w:r w:rsidR="009F2CE1" w:rsidRPr="009F2CE1">
        <w:rPr>
          <w:sz w:val="26"/>
          <w:szCs w:val="26"/>
          <w:lang w:eastAsia="ko-KR"/>
        </w:rPr>
        <w:t xml:space="preserve"> Limited</w:t>
      </w:r>
      <w:r w:rsidR="0036018D" w:rsidRPr="0036018D">
        <w:rPr>
          <w:rStyle w:val="FootnoteReference"/>
          <w:bCs/>
          <w:caps/>
        </w:rPr>
        <w:footnoteReference w:id="1"/>
      </w:r>
    </w:p>
    <w:p w14:paraId="592A9E9C" w14:textId="77777777" w:rsidR="00583271" w:rsidRDefault="00583271">
      <w:pPr>
        <w:jc w:val="center"/>
        <w:rPr>
          <w:sz w:val="26"/>
          <w:szCs w:val="26"/>
          <w:lang w:eastAsia="ko-KR"/>
        </w:rPr>
      </w:pPr>
    </w:p>
    <w:p w14:paraId="32D0FCB9" w14:textId="0D0BFCCA" w:rsidR="008D5C12" w:rsidRDefault="003C02E0">
      <w:pPr>
        <w:jc w:val="center"/>
        <w:rPr>
          <w:b/>
          <w:bCs/>
          <w:caps/>
        </w:rPr>
      </w:pPr>
      <w:r>
        <w:rPr>
          <w:b/>
          <w:bCs/>
          <w:caps/>
        </w:rPr>
        <w:t>GSA Views on WRC-19 AI 1.13</w:t>
      </w:r>
      <w:r w:rsidR="00C96038">
        <w:rPr>
          <w:b/>
          <w:bCs/>
          <w:caps/>
        </w:rPr>
        <w:t xml:space="preserve"> and the need to </w:t>
      </w:r>
      <w:r w:rsidR="00FE131B">
        <w:rPr>
          <w:b/>
          <w:bCs/>
          <w:caps/>
        </w:rPr>
        <w:t xml:space="preserve">take </w:t>
      </w:r>
      <w:r w:rsidR="00874487">
        <w:rPr>
          <w:b/>
          <w:bCs/>
          <w:caps/>
        </w:rPr>
        <w:t xml:space="preserve">realistic </w:t>
      </w:r>
      <w:r w:rsidR="0020518A">
        <w:rPr>
          <w:b/>
          <w:bCs/>
          <w:caps/>
        </w:rPr>
        <w:t>IMT equipment</w:t>
      </w:r>
      <w:r w:rsidR="00874487">
        <w:rPr>
          <w:b/>
          <w:bCs/>
          <w:caps/>
        </w:rPr>
        <w:t xml:space="preserve"> characteristics into account </w:t>
      </w:r>
      <w:r w:rsidR="00FE131B">
        <w:rPr>
          <w:b/>
          <w:bCs/>
          <w:caps/>
        </w:rPr>
        <w:t>in sharing studies</w:t>
      </w:r>
    </w:p>
    <w:p w14:paraId="167C0B45" w14:textId="77777777" w:rsidR="008D5C12" w:rsidRDefault="008D5C12">
      <w:pPr>
        <w:jc w:val="center"/>
      </w:pPr>
    </w:p>
    <w:p w14:paraId="2FC9032D" w14:textId="77777777" w:rsidR="008D5C12" w:rsidRDefault="00C96038">
      <w:pPr>
        <w:pStyle w:val="ListParagraph"/>
        <w:numPr>
          <w:ilvl w:val="0"/>
          <w:numId w:val="12"/>
        </w:numPr>
        <w:spacing w:before="240" w:after="240" w:line="240" w:lineRule="auto"/>
        <w:ind w:left="357" w:hanging="357"/>
        <w:jc w:val="both"/>
        <w:rPr>
          <w:rFonts w:ascii="Times New Roman" w:hAnsi="Times New Roman" w:cs="Times New Roman"/>
          <w:b/>
          <w:sz w:val="24"/>
        </w:rPr>
      </w:pPr>
      <w:r>
        <w:rPr>
          <w:rFonts w:ascii="Times New Roman" w:hAnsi="Times New Roman" w:cs="Times New Roman"/>
          <w:b/>
          <w:sz w:val="24"/>
        </w:rPr>
        <w:t>Summary</w:t>
      </w:r>
    </w:p>
    <w:p w14:paraId="4D8B9629" w14:textId="2AF561F9" w:rsidR="008D5C12" w:rsidRDefault="004867C8" w:rsidP="008735DC">
      <w:pPr>
        <w:spacing w:afterLines="50" w:after="120"/>
        <w:rPr>
          <w:rFonts w:eastAsia="SimSun"/>
          <w:lang w:val="en-GB"/>
        </w:rPr>
      </w:pPr>
      <w:r>
        <w:rPr>
          <w:rFonts w:eastAsia="SimSun"/>
          <w:lang w:val="en-GB"/>
        </w:rPr>
        <w:t>The GSA would like to bring to the attention of administrations the issue of</w:t>
      </w:r>
      <w:r w:rsidR="00874487">
        <w:rPr>
          <w:rFonts w:eastAsia="SimSun"/>
          <w:lang w:val="en-GB"/>
        </w:rPr>
        <w:t xml:space="preserve"> necessary</w:t>
      </w:r>
      <w:r>
        <w:rPr>
          <w:rFonts w:eastAsia="SimSun"/>
          <w:lang w:val="en-GB"/>
        </w:rPr>
        <w:t xml:space="preserve"> ‘</w:t>
      </w:r>
      <w:r w:rsidR="00113B22">
        <w:rPr>
          <w:rFonts w:eastAsia="SimSun"/>
          <w:lang w:val="en-GB"/>
        </w:rPr>
        <w:t>margin</w:t>
      </w:r>
      <w:r>
        <w:rPr>
          <w:rFonts w:eastAsia="SimSun"/>
          <w:lang w:val="en-GB"/>
        </w:rPr>
        <w:t>’</w:t>
      </w:r>
      <w:r w:rsidR="00113B22">
        <w:rPr>
          <w:rFonts w:eastAsia="SimSun"/>
          <w:lang w:val="en-GB"/>
        </w:rPr>
        <w:t xml:space="preserve"> </w:t>
      </w:r>
      <w:r w:rsidR="00874487">
        <w:rPr>
          <w:rFonts w:eastAsia="SimSun"/>
          <w:lang w:val="en-GB"/>
        </w:rPr>
        <w:t xml:space="preserve">to define realistic base stations characteristics, </w:t>
      </w:r>
      <w:r w:rsidR="00113B22">
        <w:rPr>
          <w:rFonts w:eastAsia="SimSun"/>
          <w:lang w:val="en-GB"/>
        </w:rPr>
        <w:t>how this has</w:t>
      </w:r>
      <w:r>
        <w:rPr>
          <w:rFonts w:eastAsia="SimSun"/>
          <w:lang w:val="en-GB"/>
        </w:rPr>
        <w:t xml:space="preserve"> a significant impact on agenda item 1.13 and in particular the level needed to protect adjacent Earth Exploration Satellite Services (Passive).  </w:t>
      </w:r>
    </w:p>
    <w:p w14:paraId="7F0C814D" w14:textId="23C999E5" w:rsidR="004867C8" w:rsidRDefault="00874487" w:rsidP="008735DC">
      <w:pPr>
        <w:spacing w:afterLines="50" w:after="120"/>
        <w:rPr>
          <w:rFonts w:eastAsia="SimSun"/>
          <w:lang w:val="en-GB"/>
        </w:rPr>
      </w:pPr>
      <w:r>
        <w:rPr>
          <w:rFonts w:eastAsia="SimSun"/>
          <w:lang w:val="en-GB"/>
        </w:rPr>
        <w:t>S</w:t>
      </w:r>
      <w:r w:rsidR="004867C8">
        <w:rPr>
          <w:rFonts w:eastAsia="SimSun"/>
          <w:lang w:val="en-GB"/>
        </w:rPr>
        <w:t xml:space="preserve">tudies have proposed </w:t>
      </w:r>
      <w:r w:rsidR="00A402AE">
        <w:rPr>
          <w:rFonts w:eastAsia="SimSun"/>
          <w:lang w:val="en-GB"/>
        </w:rPr>
        <w:t xml:space="preserve">a range of levels </w:t>
      </w:r>
      <w:r w:rsidR="004867C8">
        <w:rPr>
          <w:rFonts w:eastAsia="SimSun"/>
          <w:lang w:val="en-GB"/>
        </w:rPr>
        <w:t>needed for IMT-2020 Base Stations</w:t>
      </w:r>
      <w:r>
        <w:rPr>
          <w:rFonts w:eastAsia="SimSun"/>
          <w:lang w:val="en-GB"/>
        </w:rPr>
        <w:t xml:space="preserve"> unwanted emissions</w:t>
      </w:r>
      <w:r w:rsidR="004867C8">
        <w:rPr>
          <w:rFonts w:eastAsia="SimSun"/>
          <w:lang w:val="en-GB"/>
        </w:rPr>
        <w:t xml:space="preserve"> in order to protect </w:t>
      </w:r>
      <w:r w:rsidR="00083C1F">
        <w:rPr>
          <w:rFonts w:eastAsia="SimSun"/>
          <w:lang w:val="en-GB"/>
        </w:rPr>
        <w:t>EESS(p) systems</w:t>
      </w:r>
      <w:r w:rsidR="00E460AD" w:rsidRPr="00E460AD">
        <w:rPr>
          <w:rFonts w:eastAsia="SimSun"/>
          <w:lang w:val="en-GB"/>
        </w:rPr>
        <w:t xml:space="preserve"> </w:t>
      </w:r>
      <w:r w:rsidR="00E460AD">
        <w:rPr>
          <w:rFonts w:eastAsia="SimSun"/>
          <w:lang w:val="en-GB"/>
        </w:rPr>
        <w:t>in 23.6 – 24.0 GHz</w:t>
      </w:r>
      <w:r w:rsidR="00083C1F">
        <w:rPr>
          <w:rFonts w:eastAsia="SimSun"/>
          <w:lang w:val="en-GB"/>
        </w:rPr>
        <w:t>.  The GSA</w:t>
      </w:r>
      <w:r w:rsidR="004867C8">
        <w:rPr>
          <w:rFonts w:eastAsia="SimSun"/>
          <w:lang w:val="en-GB"/>
        </w:rPr>
        <w:t xml:space="preserve"> would like to point out that the</w:t>
      </w:r>
      <w:r w:rsidR="0079016C">
        <w:rPr>
          <w:rFonts w:eastAsia="SimSun"/>
          <w:lang w:val="en-GB"/>
        </w:rPr>
        <w:t xml:space="preserve"> majority of the</w:t>
      </w:r>
      <w:r w:rsidR="004867C8">
        <w:rPr>
          <w:rFonts w:eastAsia="SimSun"/>
          <w:lang w:val="en-GB"/>
        </w:rPr>
        <w:t xml:space="preserve">se studies have not addressed the </w:t>
      </w:r>
      <w:r w:rsidR="004867C8" w:rsidRPr="00D87457">
        <w:rPr>
          <w:rFonts w:eastAsia="SimSun"/>
          <w:lang w:val="en-GB"/>
        </w:rPr>
        <w:t>issue of ‘</w:t>
      </w:r>
      <w:r w:rsidR="00113B22" w:rsidRPr="00D87457">
        <w:rPr>
          <w:rFonts w:eastAsia="SimSun"/>
          <w:lang w:val="en-GB"/>
        </w:rPr>
        <w:t>margin</w:t>
      </w:r>
      <w:r w:rsidR="004867C8" w:rsidRPr="00D87457">
        <w:rPr>
          <w:rFonts w:eastAsia="SimSun"/>
          <w:lang w:val="en-GB"/>
        </w:rPr>
        <w:t>’</w:t>
      </w:r>
      <w:r w:rsidR="00F648EE" w:rsidRPr="00D87457">
        <w:rPr>
          <w:rFonts w:eastAsia="SimSun"/>
          <w:lang w:val="en-GB"/>
        </w:rPr>
        <w:t>, as</w:t>
      </w:r>
      <w:r w:rsidR="00F648EE">
        <w:rPr>
          <w:rFonts w:eastAsia="SimSun"/>
          <w:lang w:val="en-GB"/>
        </w:rPr>
        <w:t xml:space="preserve"> defined below, as they have assumed that all base stations are emitting unwanted emissions at </w:t>
      </w:r>
      <w:r w:rsidR="00F648EE" w:rsidRPr="00686100">
        <w:rPr>
          <w:rFonts w:eastAsia="SimSun"/>
          <w:i/>
          <w:lang w:val="en-GB"/>
        </w:rPr>
        <w:t>exactly</w:t>
      </w:r>
      <w:r w:rsidR="00F648EE">
        <w:rPr>
          <w:rFonts w:eastAsia="SimSun"/>
          <w:lang w:val="en-GB"/>
        </w:rPr>
        <w:t xml:space="preserve"> the same level, which can then be used as a required level for EESS(p) protection</w:t>
      </w:r>
      <w:r w:rsidR="004867C8">
        <w:rPr>
          <w:rFonts w:eastAsia="SimSun"/>
          <w:lang w:val="en-GB"/>
        </w:rPr>
        <w:t xml:space="preserve">. </w:t>
      </w:r>
      <w:r w:rsidR="00F648EE">
        <w:rPr>
          <w:rFonts w:eastAsia="SimSun"/>
          <w:lang w:val="en-GB"/>
        </w:rPr>
        <w:t>In reality this can obviously not be achieved.</w:t>
      </w:r>
      <w:r w:rsidR="004867C8">
        <w:rPr>
          <w:rFonts w:eastAsia="SimSun"/>
          <w:lang w:val="en-GB"/>
        </w:rPr>
        <w:t xml:space="preserve"> If -</w:t>
      </w:r>
      <w:r w:rsidR="00A402AE">
        <w:rPr>
          <w:rFonts w:eastAsia="SimSun"/>
          <w:lang w:val="en-GB"/>
        </w:rPr>
        <w:t>34</w:t>
      </w:r>
      <w:r w:rsidR="004867C8">
        <w:rPr>
          <w:rFonts w:eastAsia="SimSun"/>
          <w:lang w:val="en-GB"/>
        </w:rPr>
        <w:t xml:space="preserve"> </w:t>
      </w:r>
      <w:proofErr w:type="spellStart"/>
      <w:r w:rsidR="004867C8">
        <w:rPr>
          <w:rFonts w:eastAsia="SimSun"/>
          <w:lang w:val="en-GB"/>
        </w:rPr>
        <w:t>dBW</w:t>
      </w:r>
      <w:proofErr w:type="spellEnd"/>
      <w:r w:rsidR="004867C8">
        <w:rPr>
          <w:rFonts w:eastAsia="SimSun"/>
          <w:lang w:val="en-GB"/>
        </w:rPr>
        <w:t>/200 MHz (as an example for the purposes of this discussion) is included in the Radio Regulations</w:t>
      </w:r>
      <w:r w:rsidR="00E460AD">
        <w:rPr>
          <w:rFonts w:eastAsia="SimSun"/>
          <w:lang w:val="en-GB"/>
        </w:rPr>
        <w:t xml:space="preserve">, it will be applied to </w:t>
      </w:r>
      <w:r w:rsidR="00F648EE">
        <w:rPr>
          <w:rFonts w:eastAsia="SimSun"/>
          <w:lang w:val="en-GB"/>
        </w:rPr>
        <w:t>all base stations using the frequency band 24.25 – 27.5 GHz.</w:t>
      </w:r>
      <w:r w:rsidR="004867C8">
        <w:rPr>
          <w:rFonts w:eastAsia="SimSun"/>
          <w:lang w:val="en-GB"/>
        </w:rPr>
        <w:t xml:space="preserve"> In other words, </w:t>
      </w:r>
      <w:r w:rsidR="00583271">
        <w:rPr>
          <w:rFonts w:eastAsia="SimSun"/>
          <w:lang w:val="en-GB"/>
        </w:rPr>
        <w:t>it i</w:t>
      </w:r>
      <w:r w:rsidR="004867C8">
        <w:rPr>
          <w:rFonts w:eastAsia="SimSun"/>
          <w:lang w:val="en-GB"/>
        </w:rPr>
        <w:t xml:space="preserve">s a level which </w:t>
      </w:r>
      <w:r w:rsidR="0079016C">
        <w:rPr>
          <w:rFonts w:eastAsia="SimSun"/>
          <w:lang w:val="en-GB"/>
        </w:rPr>
        <w:t xml:space="preserve">all </w:t>
      </w:r>
      <w:r w:rsidR="004867C8">
        <w:rPr>
          <w:rFonts w:eastAsia="SimSun"/>
          <w:lang w:val="en-GB"/>
        </w:rPr>
        <w:t>equipment must never exceed.  This means</w:t>
      </w:r>
      <w:r w:rsidR="00A402AE">
        <w:rPr>
          <w:rFonts w:eastAsia="SimSun"/>
          <w:lang w:val="en-GB"/>
        </w:rPr>
        <w:t xml:space="preserve"> in this case</w:t>
      </w:r>
      <w:r w:rsidR="004867C8">
        <w:rPr>
          <w:rFonts w:eastAsia="SimSun"/>
          <w:lang w:val="en-GB"/>
        </w:rPr>
        <w:t xml:space="preserve"> that a margin of 6-8 dB would be added into the design of the equipment to take into account </w:t>
      </w:r>
      <w:r w:rsidR="00D87457">
        <w:rPr>
          <w:rFonts w:eastAsia="SimSun"/>
          <w:lang w:val="en-GB"/>
        </w:rPr>
        <w:t xml:space="preserve">measurement uncertainties, </w:t>
      </w:r>
      <w:r w:rsidR="004867C8">
        <w:rPr>
          <w:rFonts w:eastAsia="SimSun"/>
          <w:lang w:val="en-GB"/>
        </w:rPr>
        <w:t xml:space="preserve">variations in manufacturing, deployment </w:t>
      </w:r>
      <w:r w:rsidR="00583271">
        <w:rPr>
          <w:rFonts w:eastAsia="SimSun"/>
          <w:lang w:val="en-GB"/>
        </w:rPr>
        <w:t xml:space="preserve">variations due to </w:t>
      </w:r>
      <w:r w:rsidR="004867C8">
        <w:rPr>
          <w:rFonts w:eastAsia="SimSun"/>
          <w:lang w:val="en-GB"/>
        </w:rPr>
        <w:t xml:space="preserve">temperature performance and ageing variations </w:t>
      </w:r>
      <w:r w:rsidR="00083C1F">
        <w:rPr>
          <w:rFonts w:eastAsia="SimSun"/>
          <w:lang w:val="en-GB"/>
        </w:rPr>
        <w:t>over time. For this reason manufacturers add a margin so that this ‘absolute’ value is never exceeded.</w:t>
      </w:r>
      <w:r w:rsidR="00D87457">
        <w:rPr>
          <w:rFonts w:eastAsia="SimSun"/>
          <w:lang w:val="en-GB"/>
        </w:rPr>
        <w:t xml:space="preserve"> Such a </w:t>
      </w:r>
      <w:r w:rsidR="00F648EE">
        <w:rPr>
          <w:rFonts w:eastAsia="SimSun"/>
          <w:lang w:val="en-GB"/>
        </w:rPr>
        <w:t>margin need</w:t>
      </w:r>
      <w:r w:rsidR="00686100">
        <w:rPr>
          <w:rFonts w:eastAsia="SimSun"/>
          <w:lang w:val="en-GB"/>
        </w:rPr>
        <w:t>s</w:t>
      </w:r>
      <w:r w:rsidR="00F648EE">
        <w:rPr>
          <w:rFonts w:eastAsia="SimSun"/>
          <w:lang w:val="en-GB"/>
        </w:rPr>
        <w:t xml:space="preserve"> to be taken into account in the sharing studies to provide results that properly reflect reality. </w:t>
      </w:r>
    </w:p>
    <w:p w14:paraId="1DC96215" w14:textId="0821A476" w:rsidR="00083C1F" w:rsidRDefault="00083C1F" w:rsidP="008735DC">
      <w:pPr>
        <w:spacing w:afterLines="50" w:after="120"/>
        <w:rPr>
          <w:rFonts w:eastAsia="SimSun"/>
          <w:lang w:val="en-GB"/>
        </w:rPr>
      </w:pPr>
      <w:r>
        <w:rPr>
          <w:rFonts w:eastAsia="SimSun"/>
          <w:lang w:val="en-GB"/>
        </w:rPr>
        <w:t>Therefore a</w:t>
      </w:r>
      <w:r w:rsidR="00113B22">
        <w:rPr>
          <w:rFonts w:eastAsia="SimSun"/>
          <w:lang w:val="en-GB"/>
        </w:rPr>
        <w:t xml:space="preserve"> margin of 6-8 dB needs to factored</w:t>
      </w:r>
      <w:r>
        <w:rPr>
          <w:rFonts w:eastAsia="SimSun"/>
          <w:lang w:val="en-GB"/>
        </w:rPr>
        <w:t xml:space="preserve"> into </w:t>
      </w:r>
      <w:r w:rsidR="0079016C">
        <w:rPr>
          <w:rFonts w:eastAsia="SimSun"/>
          <w:lang w:val="en-GB"/>
        </w:rPr>
        <w:t xml:space="preserve">those </w:t>
      </w:r>
      <w:r w:rsidR="005F7F46">
        <w:rPr>
          <w:rFonts w:eastAsia="SimSun"/>
          <w:lang w:val="en-GB"/>
        </w:rPr>
        <w:t xml:space="preserve">studies which have not </w:t>
      </w:r>
      <w:r w:rsidR="00D87457">
        <w:rPr>
          <w:rFonts w:eastAsia="SimSun"/>
          <w:lang w:val="en-GB"/>
        </w:rPr>
        <w:t xml:space="preserve">already </w:t>
      </w:r>
      <w:r w:rsidR="005F7F46">
        <w:rPr>
          <w:rFonts w:eastAsia="SimSun"/>
          <w:lang w:val="en-GB"/>
        </w:rPr>
        <w:t>included</w:t>
      </w:r>
      <w:r w:rsidR="00D87457">
        <w:rPr>
          <w:rFonts w:eastAsia="SimSun"/>
          <w:lang w:val="en-GB"/>
        </w:rPr>
        <w:t xml:space="preserve"> such</w:t>
      </w:r>
      <w:r w:rsidR="005F7F46">
        <w:rPr>
          <w:rFonts w:eastAsia="SimSun"/>
          <w:lang w:val="en-GB"/>
        </w:rPr>
        <w:t xml:space="preserve"> a margin, </w:t>
      </w:r>
      <w:r w:rsidR="00D87457">
        <w:rPr>
          <w:rFonts w:eastAsia="SimSun"/>
          <w:lang w:val="en-GB"/>
        </w:rPr>
        <w:t>For</w:t>
      </w:r>
      <w:r w:rsidR="005F7F46">
        <w:rPr>
          <w:rFonts w:eastAsia="SimSun"/>
          <w:lang w:val="en-GB"/>
        </w:rPr>
        <w:t xml:space="preserve"> example, </w:t>
      </w:r>
      <w:r w:rsidR="00D87457">
        <w:rPr>
          <w:rFonts w:eastAsia="SimSun"/>
          <w:lang w:val="en-GB"/>
        </w:rPr>
        <w:t xml:space="preserve">for </w:t>
      </w:r>
      <w:r w:rsidR="005F7F46">
        <w:rPr>
          <w:rFonts w:eastAsia="SimSun"/>
          <w:lang w:val="en-GB"/>
        </w:rPr>
        <w:t xml:space="preserve">studies </w:t>
      </w:r>
      <w:r w:rsidR="00F648EE">
        <w:rPr>
          <w:rFonts w:eastAsia="SimSun"/>
          <w:lang w:val="en-GB"/>
        </w:rPr>
        <w:t xml:space="preserve">assuming that all base stations have exactly the same </w:t>
      </w:r>
      <w:r w:rsidR="00824586">
        <w:rPr>
          <w:rFonts w:eastAsia="SimSun"/>
          <w:lang w:val="en-GB"/>
        </w:rPr>
        <w:t>level of unwanted emissions and proposing</w:t>
      </w:r>
      <w:r w:rsidR="005F7F46">
        <w:rPr>
          <w:rFonts w:eastAsia="SimSun"/>
          <w:lang w:val="en-GB"/>
        </w:rPr>
        <w:t xml:space="preserve"> a </w:t>
      </w:r>
      <w:r w:rsidR="00824586">
        <w:rPr>
          <w:rFonts w:eastAsia="SimSun"/>
          <w:lang w:val="en-GB"/>
        </w:rPr>
        <w:t xml:space="preserve">protection </w:t>
      </w:r>
      <w:r w:rsidR="005F7F46">
        <w:rPr>
          <w:rFonts w:eastAsia="SimSun"/>
          <w:lang w:val="en-GB"/>
        </w:rPr>
        <w:t xml:space="preserve">level of -42 </w:t>
      </w:r>
      <w:proofErr w:type="spellStart"/>
      <w:r w:rsidR="005F7F46">
        <w:rPr>
          <w:rFonts w:eastAsia="SimSun"/>
          <w:lang w:val="en-GB"/>
        </w:rPr>
        <w:t>dBW</w:t>
      </w:r>
      <w:proofErr w:type="spellEnd"/>
      <w:r w:rsidR="005F7F46">
        <w:rPr>
          <w:rFonts w:eastAsia="SimSun"/>
          <w:lang w:val="en-GB"/>
        </w:rPr>
        <w:t>/200MHz then</w:t>
      </w:r>
      <w:r w:rsidR="00DF6689">
        <w:rPr>
          <w:rFonts w:eastAsia="SimSun"/>
          <w:lang w:val="en-GB"/>
        </w:rPr>
        <w:t xml:space="preserve">   </w:t>
      </w:r>
      <w:r w:rsidR="005F7F46">
        <w:rPr>
          <w:rFonts w:eastAsia="SimSun"/>
          <w:lang w:val="en-GB"/>
        </w:rPr>
        <w:t xml:space="preserve"> </w:t>
      </w:r>
      <w:r w:rsidR="00DF6689">
        <w:rPr>
          <w:rFonts w:eastAsia="SimSun"/>
          <w:lang w:val="en-GB"/>
        </w:rPr>
        <w:t>-</w:t>
      </w:r>
      <w:r w:rsidR="005F7F46">
        <w:rPr>
          <w:rFonts w:eastAsia="SimSun"/>
          <w:lang w:val="en-GB"/>
        </w:rPr>
        <w:t xml:space="preserve">34/36 </w:t>
      </w:r>
      <w:proofErr w:type="spellStart"/>
      <w:r w:rsidR="005F7F46">
        <w:rPr>
          <w:rFonts w:eastAsia="SimSun"/>
          <w:lang w:val="en-GB"/>
        </w:rPr>
        <w:t>dBW</w:t>
      </w:r>
      <w:proofErr w:type="spellEnd"/>
      <w:r w:rsidR="005F7F46">
        <w:rPr>
          <w:rFonts w:eastAsia="SimSun"/>
          <w:lang w:val="en-GB"/>
        </w:rPr>
        <w:t>/200 MHz</w:t>
      </w:r>
      <w:r w:rsidR="00595BFA">
        <w:rPr>
          <w:rFonts w:eastAsia="SimSun"/>
          <w:lang w:val="en-GB"/>
        </w:rPr>
        <w:t xml:space="preserve"> </w:t>
      </w:r>
      <w:r w:rsidR="00432CE8">
        <w:rPr>
          <w:rFonts w:eastAsia="SimSun"/>
          <w:lang w:val="en-GB"/>
        </w:rPr>
        <w:t xml:space="preserve">in the Radio Regulations </w:t>
      </w:r>
      <w:r w:rsidR="005F7F46">
        <w:rPr>
          <w:rFonts w:eastAsia="SimSun"/>
          <w:lang w:val="en-GB"/>
        </w:rPr>
        <w:t xml:space="preserve">would provide the same protection to </w:t>
      </w:r>
      <w:proofErr w:type="gramStart"/>
      <w:r w:rsidR="00824586">
        <w:rPr>
          <w:rFonts w:eastAsia="SimSun"/>
          <w:lang w:val="en-GB"/>
        </w:rPr>
        <w:t>EESS</w:t>
      </w:r>
      <w:r w:rsidR="005F7F46">
        <w:rPr>
          <w:rFonts w:eastAsia="SimSun"/>
          <w:lang w:val="en-GB"/>
        </w:rPr>
        <w:t>(</w:t>
      </w:r>
      <w:proofErr w:type="gramEnd"/>
      <w:r w:rsidR="005F7F46">
        <w:rPr>
          <w:rFonts w:eastAsia="SimSun"/>
          <w:lang w:val="en-GB"/>
        </w:rPr>
        <w:t>Passive)</w:t>
      </w:r>
      <w:r w:rsidR="00824586">
        <w:rPr>
          <w:rFonts w:eastAsia="SimSun"/>
          <w:lang w:val="en-GB"/>
        </w:rPr>
        <w:t xml:space="preserve"> when taking into account realistic </w:t>
      </w:r>
      <w:r w:rsidR="00D87457">
        <w:rPr>
          <w:rFonts w:eastAsia="SimSun"/>
          <w:lang w:val="en-GB"/>
        </w:rPr>
        <w:t>base station design</w:t>
      </w:r>
      <w:r w:rsidR="005F7F46">
        <w:rPr>
          <w:rFonts w:eastAsia="SimSun"/>
          <w:lang w:val="en-GB"/>
        </w:rPr>
        <w:t xml:space="preserve">. </w:t>
      </w:r>
    </w:p>
    <w:p w14:paraId="51C483E3" w14:textId="190D7DE1" w:rsidR="005F7F46" w:rsidRDefault="005F7F46" w:rsidP="008735DC">
      <w:pPr>
        <w:spacing w:afterLines="50" w:after="120"/>
        <w:rPr>
          <w:rFonts w:eastAsia="SimSun"/>
          <w:b/>
          <w:lang w:val="en-GB"/>
        </w:rPr>
      </w:pPr>
      <w:r w:rsidRPr="00CB1808">
        <w:rPr>
          <w:rFonts w:eastAsia="SimSun"/>
          <w:b/>
          <w:lang w:val="en-GB"/>
        </w:rPr>
        <w:t>-34</w:t>
      </w:r>
      <w:r w:rsidR="00CB1808">
        <w:rPr>
          <w:rFonts w:eastAsia="SimSun"/>
          <w:b/>
          <w:lang w:val="en-GB"/>
        </w:rPr>
        <w:t xml:space="preserve"> to -</w:t>
      </w:r>
      <w:r w:rsidRPr="00CB1808">
        <w:rPr>
          <w:rFonts w:eastAsia="SimSun"/>
          <w:b/>
          <w:lang w:val="en-GB"/>
        </w:rPr>
        <w:t xml:space="preserve">36 </w:t>
      </w:r>
      <w:proofErr w:type="spellStart"/>
      <w:r w:rsidRPr="00CB1808">
        <w:rPr>
          <w:rFonts w:eastAsia="SimSun"/>
          <w:b/>
          <w:lang w:val="en-GB"/>
        </w:rPr>
        <w:t>dBW</w:t>
      </w:r>
      <w:proofErr w:type="spellEnd"/>
      <w:r w:rsidRPr="00CB1808">
        <w:rPr>
          <w:rFonts w:eastAsia="SimSun"/>
          <w:b/>
          <w:lang w:val="en-GB"/>
        </w:rPr>
        <w:t xml:space="preserve">/200 MHz </w:t>
      </w:r>
      <w:r w:rsidR="003532F3">
        <w:rPr>
          <w:rFonts w:eastAsia="SimSun"/>
          <w:b/>
          <w:lang w:val="en-GB"/>
        </w:rPr>
        <w:t>in the Radio Regulations</w:t>
      </w:r>
      <w:r w:rsidR="00DF6689">
        <w:rPr>
          <w:rFonts w:eastAsia="SimSun"/>
          <w:b/>
          <w:lang w:val="en-GB"/>
        </w:rPr>
        <w:t xml:space="preserve"> for Base Stations</w:t>
      </w:r>
      <w:r w:rsidR="003532F3">
        <w:rPr>
          <w:rFonts w:eastAsia="SimSun"/>
          <w:b/>
          <w:lang w:val="en-GB"/>
        </w:rPr>
        <w:t xml:space="preserve"> = -42 </w:t>
      </w:r>
      <w:proofErr w:type="spellStart"/>
      <w:r w:rsidR="003532F3">
        <w:rPr>
          <w:rFonts w:eastAsia="SimSun"/>
          <w:b/>
          <w:lang w:val="en-GB"/>
        </w:rPr>
        <w:t>dBW</w:t>
      </w:r>
      <w:proofErr w:type="spellEnd"/>
      <w:r w:rsidR="003532F3">
        <w:rPr>
          <w:rFonts w:eastAsia="SimSun"/>
          <w:b/>
          <w:lang w:val="en-GB"/>
        </w:rPr>
        <w:t xml:space="preserve">/200MHz actual interference level </w:t>
      </w:r>
      <w:r w:rsidRPr="00CB1808">
        <w:rPr>
          <w:rFonts w:eastAsia="SimSun"/>
          <w:b/>
          <w:lang w:val="en-GB"/>
        </w:rPr>
        <w:t xml:space="preserve">if a </w:t>
      </w:r>
      <w:r w:rsidR="00CB1808">
        <w:rPr>
          <w:rFonts w:eastAsia="SimSun"/>
          <w:b/>
          <w:lang w:val="en-GB"/>
        </w:rPr>
        <w:t xml:space="preserve">6 to </w:t>
      </w:r>
      <w:r w:rsidR="00CB1808" w:rsidRPr="00CB1808">
        <w:rPr>
          <w:rFonts w:eastAsia="SimSun"/>
          <w:b/>
          <w:lang w:val="en-GB"/>
        </w:rPr>
        <w:t xml:space="preserve">8 dB </w:t>
      </w:r>
      <w:r w:rsidRPr="00CB1808">
        <w:rPr>
          <w:rFonts w:eastAsia="SimSun"/>
          <w:b/>
          <w:lang w:val="en-GB"/>
        </w:rPr>
        <w:t xml:space="preserve">margin is taken </w:t>
      </w:r>
      <w:r w:rsidR="00CB1808" w:rsidRPr="00CB1808">
        <w:rPr>
          <w:rFonts w:eastAsia="SimSun"/>
          <w:b/>
          <w:lang w:val="en-GB"/>
        </w:rPr>
        <w:t>into account.</w:t>
      </w:r>
    </w:p>
    <w:p w14:paraId="518DEF6E" w14:textId="460DCFCC" w:rsidR="00960710" w:rsidRDefault="00CB1808" w:rsidP="008735DC">
      <w:pPr>
        <w:spacing w:afterLines="50" w:after="120"/>
        <w:rPr>
          <w:color w:val="000000" w:themeColor="text1"/>
        </w:rPr>
      </w:pPr>
      <w:r>
        <w:rPr>
          <w:rFonts w:eastAsia="SimSun"/>
          <w:lang w:val="en-GB"/>
        </w:rPr>
        <w:t xml:space="preserve">GSA therefore would therefore encourage administrations to factor in the margin when determining the absolute </w:t>
      </w:r>
      <w:r w:rsidR="00113B22">
        <w:rPr>
          <w:rFonts w:eastAsia="SimSun"/>
          <w:lang w:val="en-GB"/>
        </w:rPr>
        <w:t>(</w:t>
      </w:r>
      <w:r>
        <w:rPr>
          <w:rFonts w:eastAsia="SimSun"/>
          <w:lang w:val="en-GB"/>
        </w:rPr>
        <w:t>never to be exceeded</w:t>
      </w:r>
      <w:r w:rsidR="00113B22">
        <w:rPr>
          <w:rFonts w:eastAsia="SimSun"/>
          <w:lang w:val="en-GB"/>
        </w:rPr>
        <w:t>)</w:t>
      </w:r>
      <w:r>
        <w:rPr>
          <w:rFonts w:eastAsia="SimSun"/>
          <w:lang w:val="en-GB"/>
        </w:rPr>
        <w:t xml:space="preserve"> level to be included in the Radio Regulations</w:t>
      </w:r>
      <w:r w:rsidR="00FE131B">
        <w:rPr>
          <w:rFonts w:eastAsia="SimSun"/>
          <w:lang w:val="en-GB"/>
        </w:rPr>
        <w:t>, to avoid overly conservative restrictions on IMT-2020 equipment, implying</w:t>
      </w:r>
      <w:r w:rsidR="00FE131B" w:rsidRPr="00FE131B">
        <w:rPr>
          <w:rFonts w:eastAsia="SimSun"/>
          <w:lang w:val="en-GB"/>
        </w:rPr>
        <w:t xml:space="preserve"> a large </w:t>
      </w:r>
      <w:proofErr w:type="spellStart"/>
      <w:r w:rsidR="00FE131B" w:rsidRPr="00FE131B">
        <w:rPr>
          <w:rFonts w:eastAsia="SimSun"/>
          <w:lang w:val="en-GB"/>
        </w:rPr>
        <w:t>guardband</w:t>
      </w:r>
      <w:proofErr w:type="spellEnd"/>
      <w:r w:rsidR="00FE131B" w:rsidRPr="00FE131B">
        <w:rPr>
          <w:rFonts w:eastAsia="SimSun"/>
          <w:lang w:val="en-GB"/>
        </w:rPr>
        <w:t xml:space="preserve"> between IMT-2020 and EESS(p).  The guard band is the subject of a separate </w:t>
      </w:r>
      <w:r w:rsidR="008A0E0B">
        <w:rPr>
          <w:rFonts w:eastAsia="SimSun"/>
          <w:lang w:val="en-GB"/>
        </w:rPr>
        <w:t xml:space="preserve">more detailed </w:t>
      </w:r>
      <w:r w:rsidR="00FE131B" w:rsidRPr="00FE131B">
        <w:rPr>
          <w:rFonts w:eastAsia="SimSun"/>
          <w:lang w:val="en-GB"/>
        </w:rPr>
        <w:t xml:space="preserve">discussion </w:t>
      </w:r>
      <w:r w:rsidR="008A0E0B">
        <w:rPr>
          <w:rFonts w:eastAsia="SimSun"/>
          <w:lang w:val="en-GB"/>
        </w:rPr>
        <w:t xml:space="preserve">but in summary </w:t>
      </w:r>
      <w:r w:rsidR="008A0E0B">
        <w:t xml:space="preserve">unwanted emission limits of -42 </w:t>
      </w:r>
      <w:proofErr w:type="spellStart"/>
      <w:r w:rsidR="008A0E0B">
        <w:t>dBW</w:t>
      </w:r>
      <w:proofErr w:type="spellEnd"/>
      <w:r w:rsidR="008A0E0B">
        <w:t xml:space="preserve">/200 MHz </w:t>
      </w:r>
      <w:r w:rsidR="00DF6689">
        <w:t xml:space="preserve">for Base Stations </w:t>
      </w:r>
      <w:r w:rsidR="008A0E0B">
        <w:t xml:space="preserve">without a margin being factored in are not workable for the IMT industry. This will seriously hamper the performance of network and in practice, can make a large part of the 26 GHz band </w:t>
      </w:r>
      <w:r w:rsidR="008A0E0B">
        <w:lastRenderedPageBreak/>
        <w:t>unusable. 3GPP has been studying the feasibility of meeting more stringent unwanted emission limits than their baseline requirement.</w:t>
      </w:r>
      <w:r w:rsidR="00DF6689">
        <w:rPr>
          <w:color w:val="000000" w:themeColor="text1"/>
        </w:rPr>
        <w:t xml:space="preserve">  </w:t>
      </w:r>
      <w:r w:rsidR="00960710" w:rsidRPr="00BE233C">
        <w:rPr>
          <w:color w:val="000000" w:themeColor="text1"/>
        </w:rPr>
        <w:t>It would be interesting to consider if the ITU-R and WRC has considered this ‘margin’ issue in previous discussions</w:t>
      </w:r>
      <w:r w:rsidR="00002FE6" w:rsidRPr="00BE233C">
        <w:rPr>
          <w:color w:val="000000" w:themeColor="text1"/>
        </w:rPr>
        <w:t xml:space="preserve"> for different frequency bands</w:t>
      </w:r>
      <w:r w:rsidR="00960710" w:rsidRPr="00BE233C">
        <w:rPr>
          <w:color w:val="000000" w:themeColor="text1"/>
        </w:rPr>
        <w:t xml:space="preserve">.  </w:t>
      </w:r>
      <w:r w:rsidR="00BE233C" w:rsidRPr="00BE233C">
        <w:rPr>
          <w:rFonts w:eastAsia="Times New Roman"/>
          <w:color w:val="000000"/>
        </w:rPr>
        <w:t>It is noted that a previous WRC has considered such margin based on ITU-R Report RS.2336</w:t>
      </w:r>
      <w:r w:rsidR="00BE233C" w:rsidRPr="00BE233C">
        <w:rPr>
          <w:color w:val="000000" w:themeColor="text1"/>
        </w:rPr>
        <w:t>.</w:t>
      </w:r>
    </w:p>
    <w:p w14:paraId="2CA7740A" w14:textId="0E97ACDF" w:rsidR="00DF6689" w:rsidRPr="007D6A23" w:rsidRDefault="00DF6689" w:rsidP="008735DC">
      <w:pPr>
        <w:spacing w:afterLines="50" w:after="120"/>
        <w:rPr>
          <w:rFonts w:eastAsia="SimSun"/>
          <w:lang w:val="en-GB"/>
        </w:rPr>
      </w:pPr>
      <w:r w:rsidRPr="007D6A23">
        <w:t>Similar margins/effects as described in this paper for IMT-2020 base stations also exist for IMT-2020 terminals. Due to measurement and calibration uncertainties, as well as variations due to yield requirements in the production process, not all terminals will produce unwanted emissions right up to the specified regulatory limit. Instead there will be a distribution of emission levels with some terminals operating close to the limit whereas other terminals will operate further below the limit, to ensure that all terminals within the distribution will indeed meet the regulatory limit. Therefore, for a large population of terminals as relevant for aggregate interference scenarios, the aggregate total emissions will always be a few dBs below the actual regulatory limit and this margin should be taken into account when developing the regulatory conditions.</w:t>
      </w:r>
    </w:p>
    <w:p w14:paraId="67624B6B" w14:textId="77777777" w:rsidR="00002FE6" w:rsidRDefault="00002FE6" w:rsidP="00FE131B">
      <w:pPr>
        <w:rPr>
          <w:b/>
          <w:sz w:val="28"/>
        </w:rPr>
      </w:pPr>
    </w:p>
    <w:p w14:paraId="31A57758" w14:textId="620D070A" w:rsidR="008D5C12" w:rsidRPr="006C394C" w:rsidRDefault="00FE131B" w:rsidP="00FE131B">
      <w:pPr>
        <w:rPr>
          <w:b/>
          <w:sz w:val="28"/>
        </w:rPr>
      </w:pPr>
      <w:r w:rsidRPr="006C394C">
        <w:rPr>
          <w:b/>
          <w:sz w:val="28"/>
        </w:rPr>
        <w:t>Annex:  Detailed consideration of necessary design margins</w:t>
      </w:r>
    </w:p>
    <w:p w14:paraId="42F5B660" w14:textId="77777777" w:rsidR="00FE131B" w:rsidRDefault="00FE131B" w:rsidP="004867C8">
      <w:pPr>
        <w:rPr>
          <w:lang w:eastAsia="fr-FR"/>
        </w:rPr>
      </w:pPr>
    </w:p>
    <w:p w14:paraId="0B76EF4C" w14:textId="1BFB83D8" w:rsidR="00DF6689" w:rsidRPr="00103A16" w:rsidRDefault="00C96038" w:rsidP="004867C8">
      <w:pPr>
        <w:rPr>
          <w:rFonts w:eastAsia="SimSun"/>
          <w:lang w:val="en-GB"/>
        </w:rPr>
      </w:pPr>
      <w:r>
        <w:rPr>
          <w:lang w:eastAsia="fr-FR"/>
        </w:rPr>
        <w:t xml:space="preserve">A margin is added into the design of equipment so that manufacturers can ensure that </w:t>
      </w:r>
      <w:r w:rsidR="004867C8">
        <w:rPr>
          <w:lang w:eastAsia="fr-FR"/>
        </w:rPr>
        <w:t xml:space="preserve">base stations and terminals do not exceed the regulatory limits. </w:t>
      </w:r>
      <w:r w:rsidR="00DF6689" w:rsidRPr="00662EE2">
        <w:rPr>
          <w:rFonts w:eastAsia="Times New Roman"/>
          <w:color w:val="000000"/>
          <w:lang w:eastAsia="fr-FR"/>
        </w:rPr>
        <w:t xml:space="preserve">In general, </w:t>
      </w:r>
      <w:r w:rsidR="00DF6689" w:rsidRPr="00662EE2">
        <w:rPr>
          <w:rFonts w:eastAsia="Times New Roman"/>
        </w:rPr>
        <w:t>the margin depends on the case, the limit itself, the output power, the size of the blocks being considered, the frequency separation, etc</w:t>
      </w:r>
      <w:r w:rsidR="00DF6689" w:rsidRPr="00DF6689">
        <w:rPr>
          <w:rFonts w:eastAsia="Times New Roman"/>
        </w:rPr>
        <w:t>.</w:t>
      </w:r>
      <w:r w:rsidR="00DF6689">
        <w:rPr>
          <w:rFonts w:eastAsia="Times New Roman"/>
        </w:rPr>
        <w:t xml:space="preserve"> </w:t>
      </w:r>
      <w:r w:rsidR="00A402AE">
        <w:rPr>
          <w:lang w:eastAsia="fr-FR"/>
        </w:rPr>
        <w:t xml:space="preserve">For this particular frequency range around 26 GHz </w:t>
      </w:r>
      <w:r w:rsidR="00DF6689">
        <w:rPr>
          <w:lang w:eastAsia="fr-FR"/>
        </w:rPr>
        <w:t>it is expected that a</w:t>
      </w:r>
      <w:r w:rsidR="00A402AE">
        <w:rPr>
          <w:rFonts w:eastAsia="SimSun"/>
          <w:lang w:val="en-GB"/>
        </w:rPr>
        <w:t>a</w:t>
      </w:r>
      <w:r w:rsidR="00083C1F">
        <w:rPr>
          <w:rFonts w:eastAsia="SimSun"/>
          <w:lang w:val="en-GB"/>
        </w:rPr>
        <w:t xml:space="preserve"> margin of 6-8 dB is added into the design of IMT-2020 base station equipment to take into account variations in manufacturing, dep</w:t>
      </w:r>
      <w:r w:rsidR="00CB1808">
        <w:rPr>
          <w:rFonts w:eastAsia="SimSun"/>
          <w:lang w:val="en-GB"/>
        </w:rPr>
        <w:t xml:space="preserve">loyment temperature </w:t>
      </w:r>
      <w:r w:rsidR="00083C1F">
        <w:rPr>
          <w:rFonts w:eastAsia="SimSun"/>
          <w:lang w:val="en-GB"/>
        </w:rPr>
        <w:t xml:space="preserve">and ageing variations performance over time.  </w:t>
      </w:r>
      <w:r w:rsidR="00113B22">
        <w:rPr>
          <w:rFonts w:eastAsia="SimSun"/>
          <w:lang w:val="en-GB"/>
        </w:rPr>
        <w:t>So</w:t>
      </w:r>
      <w:r w:rsidR="00824586">
        <w:rPr>
          <w:rFonts w:eastAsia="SimSun"/>
          <w:lang w:val="en-GB"/>
        </w:rPr>
        <w:t>,</w:t>
      </w:r>
      <w:r w:rsidR="00113B22">
        <w:rPr>
          <w:rFonts w:eastAsia="SimSun"/>
          <w:lang w:val="en-GB"/>
        </w:rPr>
        <w:t xml:space="preserve"> for example, the vast majority of the </w:t>
      </w:r>
      <w:r w:rsidR="00011EBA">
        <w:rPr>
          <w:rFonts w:eastAsia="SimSun"/>
          <w:lang w:val="en-GB"/>
        </w:rPr>
        <w:t>base stations</w:t>
      </w:r>
      <w:r w:rsidR="00113B22">
        <w:rPr>
          <w:rFonts w:eastAsia="SimSun"/>
          <w:lang w:val="en-GB"/>
        </w:rPr>
        <w:t xml:space="preserve"> would perform </w:t>
      </w:r>
      <w:r w:rsidR="00DF6689">
        <w:rPr>
          <w:rFonts w:eastAsia="SimSun"/>
          <w:lang w:val="en-GB"/>
        </w:rPr>
        <w:t xml:space="preserve">closer </w:t>
      </w:r>
      <w:r w:rsidR="00113B22">
        <w:rPr>
          <w:rFonts w:eastAsia="SimSun"/>
          <w:lang w:val="en-GB"/>
        </w:rPr>
        <w:t>to -4</w:t>
      </w:r>
      <w:r w:rsidR="00A402AE">
        <w:rPr>
          <w:rFonts w:eastAsia="SimSun"/>
          <w:lang w:val="en-GB"/>
        </w:rPr>
        <w:t>2</w:t>
      </w:r>
      <w:r w:rsidR="00113B22">
        <w:rPr>
          <w:rFonts w:eastAsia="SimSun"/>
          <w:lang w:val="en-GB"/>
        </w:rPr>
        <w:t xml:space="preserve"> </w:t>
      </w:r>
      <w:proofErr w:type="spellStart"/>
      <w:r w:rsidR="00113B22">
        <w:rPr>
          <w:rFonts w:eastAsia="SimSun"/>
          <w:lang w:val="en-GB"/>
        </w:rPr>
        <w:t>dBW</w:t>
      </w:r>
      <w:proofErr w:type="spellEnd"/>
      <w:r w:rsidR="00113B22">
        <w:rPr>
          <w:rFonts w:eastAsia="SimSun"/>
          <w:lang w:val="en-GB"/>
        </w:rPr>
        <w:t xml:space="preserve">/200 MHz (6-8 dB even more conservative than </w:t>
      </w:r>
      <w:r w:rsidR="00DF6689">
        <w:rPr>
          <w:rFonts w:eastAsia="SimSun"/>
          <w:lang w:val="en-GB"/>
        </w:rPr>
        <w:t>the regulatory limit (in this example) of</w:t>
      </w:r>
      <w:r w:rsidR="00113B22">
        <w:rPr>
          <w:rFonts w:eastAsia="SimSun"/>
          <w:lang w:val="en-GB"/>
        </w:rPr>
        <w:t>-</w:t>
      </w:r>
      <w:r w:rsidR="00A402AE">
        <w:rPr>
          <w:rFonts w:eastAsia="SimSun"/>
          <w:lang w:val="en-GB"/>
        </w:rPr>
        <w:t>34</w:t>
      </w:r>
      <w:r w:rsidR="00113B22">
        <w:rPr>
          <w:rFonts w:eastAsia="SimSun"/>
          <w:lang w:val="en-GB"/>
        </w:rPr>
        <w:t xml:space="preserve"> </w:t>
      </w:r>
      <w:proofErr w:type="spellStart"/>
      <w:r w:rsidR="00113B22">
        <w:rPr>
          <w:rFonts w:eastAsia="SimSun"/>
          <w:lang w:val="en-GB"/>
        </w:rPr>
        <w:t>dBW</w:t>
      </w:r>
      <w:proofErr w:type="spellEnd"/>
      <w:r w:rsidR="00113B22">
        <w:rPr>
          <w:rFonts w:eastAsia="SimSun"/>
          <w:lang w:val="en-GB"/>
        </w:rPr>
        <w:t xml:space="preserve">/200 MHz) but a small percentage </w:t>
      </w:r>
      <w:r w:rsidR="00DF6689">
        <w:rPr>
          <w:rFonts w:eastAsia="SimSun"/>
          <w:lang w:val="en-GB"/>
        </w:rPr>
        <w:t>would perform</w:t>
      </w:r>
      <w:r w:rsidR="00113B22">
        <w:rPr>
          <w:rFonts w:eastAsia="SimSun"/>
          <w:lang w:val="en-GB"/>
        </w:rPr>
        <w:t xml:space="preserve"> closer to -</w:t>
      </w:r>
      <w:r w:rsidR="0079016C">
        <w:rPr>
          <w:rFonts w:eastAsia="SimSun"/>
          <w:lang w:val="en-GB"/>
        </w:rPr>
        <w:t>34</w:t>
      </w:r>
      <w:r w:rsidR="00113B22">
        <w:rPr>
          <w:rFonts w:eastAsia="SimSun"/>
          <w:lang w:val="en-GB"/>
        </w:rPr>
        <w:t xml:space="preserve"> </w:t>
      </w:r>
      <w:proofErr w:type="spellStart"/>
      <w:r w:rsidR="00113B22">
        <w:rPr>
          <w:rFonts w:eastAsia="SimSun"/>
          <w:lang w:val="en-GB"/>
        </w:rPr>
        <w:t>dBW</w:t>
      </w:r>
      <w:proofErr w:type="spellEnd"/>
      <w:r w:rsidR="00113B22">
        <w:rPr>
          <w:rFonts w:eastAsia="SimSun"/>
          <w:lang w:val="en-GB"/>
        </w:rPr>
        <w:t xml:space="preserve">/200 MHz due to </w:t>
      </w:r>
      <w:r w:rsidR="00824586">
        <w:rPr>
          <w:rFonts w:eastAsia="SimSun"/>
          <w:lang w:val="en-GB"/>
        </w:rPr>
        <w:t xml:space="preserve">manufacturing variations, </w:t>
      </w:r>
      <w:r w:rsidR="00113B22">
        <w:rPr>
          <w:rFonts w:eastAsia="SimSun"/>
          <w:lang w:val="en-GB"/>
        </w:rPr>
        <w:t xml:space="preserve">performance variations from ageing or being deployed in hot places etc.  </w:t>
      </w:r>
      <w:r w:rsidR="00002FE6" w:rsidRPr="00A102E5">
        <w:rPr>
          <w:rFonts w:eastAsia="SimSun"/>
          <w:lang w:val="en-GB"/>
        </w:rPr>
        <w:t>As</w:t>
      </w:r>
      <w:r w:rsidR="00002FE6">
        <w:rPr>
          <w:rFonts w:eastAsia="SimSun"/>
          <w:lang w:val="en-GB"/>
        </w:rPr>
        <w:t xml:space="preserve"> confidence and experience grows over time in the manufacturing and deployment of leading edge </w:t>
      </w:r>
      <w:proofErr w:type="spellStart"/>
      <w:r w:rsidR="00002FE6">
        <w:rPr>
          <w:rFonts w:eastAsia="SimSun"/>
          <w:lang w:val="en-GB"/>
        </w:rPr>
        <w:t>mmWave</w:t>
      </w:r>
      <w:proofErr w:type="spellEnd"/>
      <w:r w:rsidR="00002FE6">
        <w:rPr>
          <w:rFonts w:eastAsia="SimSun"/>
          <w:lang w:val="en-GB"/>
        </w:rPr>
        <w:t xml:space="preserve"> components and base stations then this margin may be tightened and reduced to around </w:t>
      </w:r>
      <w:r w:rsidR="00002FE6" w:rsidRPr="00103A16">
        <w:rPr>
          <w:rFonts w:eastAsia="SimSun"/>
          <w:lang w:val="en-GB"/>
        </w:rPr>
        <w:t xml:space="preserve">6 </w:t>
      </w:r>
      <w:proofErr w:type="spellStart"/>
      <w:r w:rsidR="00002FE6" w:rsidRPr="00103A16">
        <w:rPr>
          <w:rFonts w:eastAsia="SimSun"/>
          <w:lang w:val="en-GB"/>
        </w:rPr>
        <w:t>d</w:t>
      </w:r>
      <w:r w:rsidR="00002FE6">
        <w:rPr>
          <w:rFonts w:eastAsia="SimSun"/>
          <w:lang w:val="en-GB"/>
        </w:rPr>
        <w:t>B.</w:t>
      </w:r>
      <w:proofErr w:type="spellEnd"/>
    </w:p>
    <w:p w14:paraId="3A4CF272" w14:textId="77777777" w:rsidR="00103A16" w:rsidRDefault="00103A16" w:rsidP="00103A16">
      <w:pPr>
        <w:pStyle w:val="Kopfzeile1"/>
        <w:rPr>
          <w:rFonts w:ascii="Times New Roman" w:eastAsiaTheme="minorHAnsi" w:hAnsi="Times New Roman"/>
          <w:b w:val="0"/>
          <w:sz w:val="24"/>
          <w:szCs w:val="24"/>
          <w:highlight w:val="yellow"/>
          <w:lang w:val="en-US" w:eastAsia="en-US"/>
        </w:rPr>
      </w:pPr>
    </w:p>
    <w:p w14:paraId="30D47434" w14:textId="2A198DA6" w:rsidR="0042353E" w:rsidRDefault="00103A16" w:rsidP="00103A16">
      <w:pPr>
        <w:pStyle w:val="Kopfzeile1"/>
        <w:rPr>
          <w:rFonts w:ascii="Times New Roman" w:eastAsiaTheme="minorHAnsi" w:hAnsi="Times New Roman"/>
          <w:b w:val="0"/>
          <w:sz w:val="24"/>
          <w:szCs w:val="24"/>
          <w:lang w:val="en-US" w:eastAsia="en-US"/>
        </w:rPr>
      </w:pPr>
      <w:r w:rsidRPr="00103A16">
        <w:rPr>
          <w:rFonts w:ascii="Times New Roman" w:eastAsiaTheme="minorHAnsi" w:hAnsi="Times New Roman"/>
          <w:b w:val="0"/>
          <w:sz w:val="24"/>
          <w:szCs w:val="24"/>
          <w:lang w:val="en-US" w:eastAsia="en-US"/>
        </w:rPr>
        <w:t>It is assumed in the sharing studies that all base stations and UEs have exactly the same unwanted emission characteristics. This is not a realistic approach, as there is variation in the production of equipment, and a certain margin is necessary in comparison with any stipulated requirement to ensure that all</w:t>
      </w:r>
      <w:r w:rsidR="00824586">
        <w:rPr>
          <w:rFonts w:ascii="Times New Roman" w:eastAsiaTheme="minorHAnsi" w:hAnsi="Times New Roman"/>
          <w:b w:val="0"/>
          <w:sz w:val="24"/>
          <w:szCs w:val="24"/>
          <w:lang w:val="en-US" w:eastAsia="en-US"/>
        </w:rPr>
        <w:t xml:space="preserve"> or a very large part of the</w:t>
      </w:r>
      <w:r w:rsidRPr="00103A16">
        <w:rPr>
          <w:rFonts w:ascii="Times New Roman" w:eastAsiaTheme="minorHAnsi" w:hAnsi="Times New Roman"/>
          <w:b w:val="0"/>
          <w:sz w:val="24"/>
          <w:szCs w:val="24"/>
          <w:lang w:val="en-US" w:eastAsia="en-US"/>
        </w:rPr>
        <w:t xml:space="preserve"> equipment meets the required level</w:t>
      </w:r>
      <w:r w:rsidR="00D87457">
        <w:rPr>
          <w:rFonts w:ascii="Times New Roman" w:eastAsiaTheme="minorHAnsi" w:hAnsi="Times New Roman"/>
          <w:b w:val="0"/>
          <w:sz w:val="24"/>
          <w:szCs w:val="24"/>
          <w:lang w:val="en-US" w:eastAsia="en-US"/>
        </w:rPr>
        <w:t xml:space="preserve">, i.e. </w:t>
      </w:r>
      <w:r w:rsidRPr="00103A16">
        <w:rPr>
          <w:rFonts w:ascii="Times New Roman" w:eastAsiaTheme="minorHAnsi" w:hAnsi="Times New Roman"/>
          <w:b w:val="0"/>
          <w:sz w:val="24"/>
          <w:szCs w:val="24"/>
          <w:lang w:val="en-US" w:eastAsia="en-US"/>
        </w:rPr>
        <w:t xml:space="preserve"> </w:t>
      </w:r>
      <w:r w:rsidR="00DF6689">
        <w:rPr>
          <w:rFonts w:ascii="Times New Roman" w:eastAsiaTheme="minorHAnsi" w:hAnsi="Times New Roman"/>
          <w:b w:val="0"/>
          <w:sz w:val="24"/>
          <w:szCs w:val="24"/>
          <w:lang w:val="en-US" w:eastAsia="en-US"/>
        </w:rPr>
        <w:t>m</w:t>
      </w:r>
      <w:r w:rsidR="00DF6689" w:rsidRPr="00103A16">
        <w:rPr>
          <w:rFonts w:ascii="Times New Roman" w:eastAsiaTheme="minorHAnsi" w:hAnsi="Times New Roman"/>
          <w:b w:val="0"/>
          <w:sz w:val="24"/>
          <w:szCs w:val="24"/>
          <w:lang w:val="en-US" w:eastAsia="en-US"/>
        </w:rPr>
        <w:t>aintaining</w:t>
      </w:r>
      <w:r w:rsidRPr="00103A16">
        <w:rPr>
          <w:rFonts w:ascii="Times New Roman" w:eastAsiaTheme="minorHAnsi" w:hAnsi="Times New Roman"/>
          <w:b w:val="0"/>
          <w:sz w:val="24"/>
          <w:szCs w:val="24"/>
          <w:lang w:val="en-US" w:eastAsia="en-US"/>
        </w:rPr>
        <w:t xml:space="preserve"> a certain yield in the production. Furthermore, margins are needed to ensure that variations due to temperature and age do not result in unwanted emissions exceeding the requirements in the regulation. In addition, measurement uncertainties imply that there is a need for an additional margin.</w:t>
      </w:r>
      <w:r w:rsidR="00862F57">
        <w:rPr>
          <w:rFonts w:ascii="Times New Roman" w:eastAsiaTheme="minorHAnsi" w:hAnsi="Times New Roman"/>
          <w:b w:val="0"/>
          <w:sz w:val="24"/>
          <w:szCs w:val="24"/>
          <w:lang w:val="en-US" w:eastAsia="en-US"/>
        </w:rPr>
        <w:t xml:space="preserve"> In summary, a</w:t>
      </w:r>
      <w:r w:rsidR="00862F57" w:rsidRPr="00862F57">
        <w:rPr>
          <w:rFonts w:ascii="Times New Roman" w:eastAsiaTheme="minorHAnsi" w:hAnsi="Times New Roman"/>
          <w:b w:val="0"/>
          <w:sz w:val="24"/>
          <w:szCs w:val="24"/>
          <w:lang w:val="en-US" w:eastAsia="en-US"/>
        </w:rPr>
        <w:t xml:space="preserve">ny design must include margins to cover at least ageing, temperature dependence, production variations </w:t>
      </w:r>
      <w:r w:rsidR="00862F57">
        <w:rPr>
          <w:rFonts w:ascii="Times New Roman" w:eastAsiaTheme="minorHAnsi" w:hAnsi="Times New Roman"/>
          <w:b w:val="0"/>
          <w:sz w:val="24"/>
          <w:szCs w:val="24"/>
          <w:lang w:val="en-US" w:eastAsia="en-US"/>
        </w:rPr>
        <w:t xml:space="preserve">and </w:t>
      </w:r>
      <w:r w:rsidR="00862F57" w:rsidRPr="00862F57">
        <w:rPr>
          <w:rFonts w:ascii="Times New Roman" w:eastAsiaTheme="minorHAnsi" w:hAnsi="Times New Roman"/>
          <w:b w:val="0"/>
          <w:sz w:val="24"/>
          <w:szCs w:val="24"/>
          <w:lang w:val="en-US" w:eastAsia="en-US"/>
        </w:rPr>
        <w:t xml:space="preserve">measurement uncertainties. </w:t>
      </w:r>
      <w:r w:rsidR="00862F57">
        <w:rPr>
          <w:rFonts w:ascii="Times New Roman" w:eastAsiaTheme="minorHAnsi" w:hAnsi="Times New Roman"/>
          <w:b w:val="0"/>
          <w:sz w:val="24"/>
          <w:szCs w:val="24"/>
          <w:lang w:val="en-US" w:eastAsia="en-US"/>
        </w:rPr>
        <w:t>Simulation analysis shows that</w:t>
      </w:r>
      <w:r w:rsidR="00862F57" w:rsidRPr="00862F57">
        <w:rPr>
          <w:rFonts w:ascii="Times New Roman" w:eastAsiaTheme="minorHAnsi" w:hAnsi="Times New Roman"/>
          <w:b w:val="0"/>
          <w:sz w:val="24"/>
          <w:szCs w:val="24"/>
          <w:lang w:val="en-US" w:eastAsia="en-US"/>
        </w:rPr>
        <w:t xml:space="preserve"> </w:t>
      </w:r>
      <w:r w:rsidR="00FE131B">
        <w:rPr>
          <w:rFonts w:ascii="Times New Roman" w:eastAsiaTheme="minorHAnsi" w:hAnsi="Times New Roman"/>
          <w:b w:val="0"/>
          <w:sz w:val="24"/>
          <w:szCs w:val="24"/>
          <w:lang w:val="en-US" w:eastAsia="en-US"/>
        </w:rPr>
        <w:t>a conservative</w:t>
      </w:r>
      <w:r w:rsidR="00862F57">
        <w:rPr>
          <w:rFonts w:ascii="Times New Roman" w:eastAsiaTheme="minorHAnsi" w:hAnsi="Times New Roman"/>
          <w:b w:val="0"/>
          <w:sz w:val="24"/>
          <w:szCs w:val="24"/>
          <w:lang w:val="en-US" w:eastAsia="en-US"/>
        </w:rPr>
        <w:t xml:space="preserve"> assumption of</w:t>
      </w:r>
      <w:r w:rsidR="00862F57" w:rsidRPr="00862F57">
        <w:rPr>
          <w:rFonts w:ascii="Times New Roman" w:eastAsiaTheme="minorHAnsi" w:hAnsi="Times New Roman"/>
          <w:b w:val="0"/>
          <w:sz w:val="24"/>
          <w:szCs w:val="24"/>
          <w:lang w:val="en-US" w:eastAsia="en-US"/>
        </w:rPr>
        <w:t xml:space="preserve"> a </w:t>
      </w:r>
      <w:r w:rsidR="00862F57">
        <w:rPr>
          <w:rFonts w:ascii="Times New Roman" w:eastAsiaTheme="minorHAnsi" w:hAnsi="Times New Roman"/>
          <w:b w:val="0"/>
          <w:sz w:val="24"/>
          <w:szCs w:val="24"/>
          <w:lang w:val="en-US" w:eastAsia="en-US"/>
        </w:rPr>
        <w:t xml:space="preserve">3 dB </w:t>
      </w:r>
      <w:r w:rsidR="00862F57" w:rsidRPr="00862F57">
        <w:rPr>
          <w:rFonts w:ascii="Times New Roman" w:eastAsiaTheme="minorHAnsi" w:hAnsi="Times New Roman"/>
          <w:b w:val="0"/>
          <w:sz w:val="24"/>
          <w:szCs w:val="24"/>
          <w:lang w:val="en-US" w:eastAsia="en-US"/>
        </w:rPr>
        <w:t xml:space="preserve">margin </w:t>
      </w:r>
      <w:r w:rsidR="00FE131B">
        <w:rPr>
          <w:rFonts w:ascii="Times New Roman" w:eastAsiaTheme="minorHAnsi" w:hAnsi="Times New Roman"/>
          <w:b w:val="0"/>
          <w:sz w:val="24"/>
          <w:szCs w:val="24"/>
          <w:lang w:val="en-US" w:eastAsia="en-US"/>
        </w:rPr>
        <w:t xml:space="preserve">for ageing, temperature and </w:t>
      </w:r>
      <w:r w:rsidR="00862F57" w:rsidRPr="00862F57">
        <w:rPr>
          <w:rFonts w:ascii="Times New Roman" w:eastAsiaTheme="minorHAnsi" w:hAnsi="Times New Roman"/>
          <w:b w:val="0"/>
          <w:sz w:val="24"/>
          <w:szCs w:val="24"/>
          <w:lang w:val="en-US" w:eastAsia="en-US"/>
        </w:rPr>
        <w:t>measurement uncertainties and a production spread of 2 dB standard deviation for a 95% production yield</w:t>
      </w:r>
      <w:r w:rsidR="00862F57">
        <w:rPr>
          <w:rFonts w:ascii="Times New Roman" w:eastAsiaTheme="minorHAnsi" w:hAnsi="Times New Roman"/>
          <w:b w:val="0"/>
          <w:sz w:val="24"/>
          <w:szCs w:val="24"/>
          <w:lang w:val="en-US" w:eastAsia="en-US"/>
        </w:rPr>
        <w:t xml:space="preserve"> provides a relaxation of 6 dB for the EESS(p) protection requirement</w:t>
      </w:r>
      <w:r w:rsidR="00862F57" w:rsidRPr="00862F57">
        <w:rPr>
          <w:rFonts w:ascii="Times New Roman" w:eastAsiaTheme="minorHAnsi" w:hAnsi="Times New Roman"/>
          <w:b w:val="0"/>
          <w:sz w:val="24"/>
          <w:szCs w:val="24"/>
          <w:lang w:val="en-US" w:eastAsia="en-US"/>
        </w:rPr>
        <w:t>.</w:t>
      </w:r>
      <w:r w:rsidR="00862F57">
        <w:rPr>
          <w:rFonts w:ascii="Times New Roman" w:eastAsiaTheme="minorHAnsi" w:hAnsi="Times New Roman"/>
          <w:b w:val="0"/>
          <w:sz w:val="24"/>
          <w:szCs w:val="24"/>
          <w:lang w:val="en-US" w:eastAsia="en-US"/>
        </w:rPr>
        <w:t xml:space="preserve"> For </w:t>
      </w:r>
      <w:r w:rsidR="0042353E">
        <w:rPr>
          <w:rFonts w:ascii="Times New Roman" w:eastAsiaTheme="minorHAnsi" w:hAnsi="Times New Roman"/>
          <w:b w:val="0"/>
          <w:sz w:val="24"/>
          <w:szCs w:val="24"/>
          <w:lang w:val="en-US" w:eastAsia="en-US"/>
        </w:rPr>
        <w:t xml:space="preserve">more </w:t>
      </w:r>
      <w:r w:rsidR="00862F57">
        <w:rPr>
          <w:rFonts w:ascii="Times New Roman" w:eastAsiaTheme="minorHAnsi" w:hAnsi="Times New Roman"/>
          <w:b w:val="0"/>
          <w:sz w:val="24"/>
          <w:szCs w:val="24"/>
          <w:lang w:val="en-US" w:eastAsia="en-US"/>
        </w:rPr>
        <w:t>details</w:t>
      </w:r>
      <w:r w:rsidR="0042353E">
        <w:rPr>
          <w:rFonts w:ascii="Times New Roman" w:eastAsiaTheme="minorHAnsi" w:hAnsi="Times New Roman"/>
          <w:b w:val="0"/>
          <w:sz w:val="24"/>
          <w:szCs w:val="24"/>
          <w:lang w:val="en-US" w:eastAsia="en-US"/>
        </w:rPr>
        <w:t>, readers are referred to</w:t>
      </w:r>
      <w:r w:rsidR="00862F57">
        <w:rPr>
          <w:rFonts w:ascii="Times New Roman" w:eastAsiaTheme="minorHAnsi" w:hAnsi="Times New Roman"/>
          <w:b w:val="0"/>
          <w:sz w:val="24"/>
          <w:szCs w:val="24"/>
          <w:lang w:val="en-US" w:eastAsia="en-US"/>
        </w:rPr>
        <w:t xml:space="preserve"> </w:t>
      </w:r>
      <w:r w:rsidR="00FE131B">
        <w:rPr>
          <w:rFonts w:ascii="Times New Roman" w:eastAsiaTheme="minorHAnsi" w:hAnsi="Times New Roman"/>
          <w:b w:val="0"/>
          <w:sz w:val="24"/>
          <w:szCs w:val="24"/>
          <w:lang w:val="en-US" w:eastAsia="en-US"/>
        </w:rPr>
        <w:t>Document TG5/1 3</w:t>
      </w:r>
      <w:r w:rsidR="0042353E">
        <w:rPr>
          <w:rFonts w:ascii="Times New Roman" w:eastAsiaTheme="minorHAnsi" w:hAnsi="Times New Roman"/>
          <w:b w:val="0"/>
          <w:sz w:val="24"/>
          <w:szCs w:val="24"/>
          <w:lang w:val="en-US" w:eastAsia="en-US"/>
        </w:rPr>
        <w:t>86</w:t>
      </w:r>
      <w:r w:rsidR="00FE131B">
        <w:rPr>
          <w:rFonts w:ascii="Times New Roman" w:eastAsiaTheme="minorHAnsi" w:hAnsi="Times New Roman"/>
          <w:b w:val="0"/>
          <w:sz w:val="24"/>
          <w:szCs w:val="24"/>
          <w:lang w:val="en-US" w:eastAsia="en-US"/>
        </w:rPr>
        <w:t xml:space="preserve">, Section 1.12.3.4. </w:t>
      </w:r>
    </w:p>
    <w:p w14:paraId="4EAE7C4C" w14:textId="77777777" w:rsidR="00DF6689" w:rsidRDefault="00DF6689" w:rsidP="00103A16">
      <w:pPr>
        <w:pStyle w:val="Kopfzeile1"/>
        <w:rPr>
          <w:rFonts w:ascii="Times New Roman" w:eastAsiaTheme="minorHAnsi" w:hAnsi="Times New Roman"/>
          <w:b w:val="0"/>
          <w:sz w:val="24"/>
          <w:szCs w:val="24"/>
          <w:lang w:val="en-US" w:eastAsia="en-US"/>
        </w:rPr>
      </w:pPr>
    </w:p>
    <w:p w14:paraId="0D9EA170" w14:textId="389B6A9B" w:rsidR="00862F57" w:rsidRDefault="00FE131B" w:rsidP="00103A16">
      <w:pPr>
        <w:pStyle w:val="Kopfzeile1"/>
        <w:rPr>
          <w:rFonts w:ascii="Times New Roman" w:eastAsiaTheme="minorHAnsi" w:hAnsi="Times New Roman"/>
          <w:b w:val="0"/>
          <w:sz w:val="24"/>
          <w:szCs w:val="24"/>
          <w:lang w:val="en-US" w:eastAsia="en-US"/>
        </w:rPr>
      </w:pPr>
      <w:r w:rsidRPr="00FE131B">
        <w:rPr>
          <w:rFonts w:ascii="Times New Roman" w:eastAsiaTheme="minorHAnsi" w:hAnsi="Times New Roman"/>
          <w:b w:val="0"/>
          <w:sz w:val="24"/>
          <w:szCs w:val="24"/>
          <w:lang w:val="en-US" w:eastAsia="en-US"/>
        </w:rPr>
        <w:t xml:space="preserve">Figure 1 </w:t>
      </w:r>
      <w:r>
        <w:rPr>
          <w:rFonts w:ascii="Times New Roman" w:eastAsiaTheme="minorHAnsi" w:hAnsi="Times New Roman"/>
          <w:b w:val="0"/>
          <w:sz w:val="24"/>
          <w:szCs w:val="24"/>
          <w:lang w:val="en-US" w:eastAsia="en-US"/>
        </w:rPr>
        <w:t xml:space="preserve">below </w:t>
      </w:r>
      <w:r w:rsidRPr="00FE131B">
        <w:rPr>
          <w:rFonts w:ascii="Times New Roman" w:eastAsiaTheme="minorHAnsi" w:hAnsi="Times New Roman"/>
          <w:b w:val="0"/>
          <w:sz w:val="24"/>
          <w:szCs w:val="24"/>
          <w:lang w:val="en-US" w:eastAsia="en-US"/>
        </w:rPr>
        <w:t>illustrates how the interference is reduced from -1</w:t>
      </w:r>
      <w:r w:rsidR="0079016C">
        <w:rPr>
          <w:rFonts w:ascii="Times New Roman" w:eastAsiaTheme="minorHAnsi" w:hAnsi="Times New Roman"/>
          <w:b w:val="0"/>
          <w:sz w:val="24"/>
          <w:szCs w:val="24"/>
          <w:lang w:val="en-US" w:eastAsia="en-US"/>
        </w:rPr>
        <w:t>58</w:t>
      </w:r>
      <w:r w:rsidRPr="00FE131B">
        <w:rPr>
          <w:rFonts w:ascii="Times New Roman" w:eastAsiaTheme="minorHAnsi" w:hAnsi="Times New Roman"/>
          <w:b w:val="0"/>
          <w:sz w:val="24"/>
          <w:szCs w:val="24"/>
          <w:lang w:val="en-US" w:eastAsia="en-US"/>
        </w:rPr>
        <w:t xml:space="preserve"> </w:t>
      </w:r>
      <w:proofErr w:type="spellStart"/>
      <w:r w:rsidRPr="00FE131B">
        <w:rPr>
          <w:rFonts w:ascii="Times New Roman" w:eastAsiaTheme="minorHAnsi" w:hAnsi="Times New Roman"/>
          <w:b w:val="0"/>
          <w:sz w:val="24"/>
          <w:szCs w:val="24"/>
          <w:lang w:val="en-US" w:eastAsia="en-US"/>
        </w:rPr>
        <w:t>dBW</w:t>
      </w:r>
      <w:proofErr w:type="spellEnd"/>
      <w:r w:rsidRPr="00FE131B">
        <w:rPr>
          <w:rFonts w:ascii="Times New Roman" w:eastAsiaTheme="minorHAnsi" w:hAnsi="Times New Roman"/>
          <w:b w:val="0"/>
          <w:sz w:val="24"/>
          <w:szCs w:val="24"/>
          <w:lang w:val="en-US" w:eastAsia="en-US"/>
        </w:rPr>
        <w:t xml:space="preserve"> to -1</w:t>
      </w:r>
      <w:r w:rsidR="0079016C">
        <w:rPr>
          <w:rFonts w:ascii="Times New Roman" w:eastAsiaTheme="minorHAnsi" w:hAnsi="Times New Roman"/>
          <w:b w:val="0"/>
          <w:sz w:val="24"/>
          <w:szCs w:val="24"/>
          <w:lang w:val="en-US" w:eastAsia="en-US"/>
        </w:rPr>
        <w:t>64</w:t>
      </w:r>
      <w:r w:rsidRPr="00FE131B">
        <w:rPr>
          <w:rFonts w:ascii="Times New Roman" w:eastAsiaTheme="minorHAnsi" w:hAnsi="Times New Roman"/>
          <w:b w:val="0"/>
          <w:sz w:val="24"/>
          <w:szCs w:val="24"/>
          <w:lang w:val="en-US" w:eastAsia="en-US"/>
        </w:rPr>
        <w:t>/</w:t>
      </w:r>
      <w:r>
        <w:rPr>
          <w:rFonts w:ascii="Times New Roman" w:eastAsiaTheme="minorHAnsi" w:hAnsi="Times New Roman"/>
          <w:b w:val="0"/>
          <w:sz w:val="24"/>
          <w:szCs w:val="24"/>
          <w:lang w:val="en-US" w:eastAsia="en-US"/>
        </w:rPr>
        <w:t>1</w:t>
      </w:r>
      <w:r w:rsidR="0079016C">
        <w:rPr>
          <w:rFonts w:ascii="Times New Roman" w:eastAsiaTheme="minorHAnsi" w:hAnsi="Times New Roman"/>
          <w:b w:val="0"/>
          <w:sz w:val="24"/>
          <w:szCs w:val="24"/>
          <w:lang w:val="en-US" w:eastAsia="en-US"/>
        </w:rPr>
        <w:t>66</w:t>
      </w:r>
      <w:r w:rsidRPr="00FE131B">
        <w:rPr>
          <w:rFonts w:ascii="Times New Roman" w:eastAsiaTheme="minorHAnsi" w:hAnsi="Times New Roman"/>
          <w:b w:val="0"/>
          <w:sz w:val="24"/>
          <w:szCs w:val="24"/>
          <w:lang w:val="en-US" w:eastAsia="en-US"/>
        </w:rPr>
        <w:t xml:space="preserve">dBW from IMT-2020 into EESS(p) </w:t>
      </w:r>
      <w:r>
        <w:rPr>
          <w:rFonts w:ascii="Times New Roman" w:eastAsiaTheme="minorHAnsi" w:hAnsi="Times New Roman"/>
          <w:b w:val="0"/>
          <w:sz w:val="24"/>
          <w:szCs w:val="24"/>
          <w:lang w:val="en-US" w:eastAsia="en-US"/>
        </w:rPr>
        <w:t xml:space="preserve">when this margin is not taken into account. </w:t>
      </w:r>
    </w:p>
    <w:p w14:paraId="095F4133" w14:textId="77777777" w:rsidR="00E20979" w:rsidRDefault="00E20979" w:rsidP="00E20979">
      <w:pPr>
        <w:rPr>
          <w:noProof/>
          <w:lang w:val="en-GB" w:eastAsia="en-GB"/>
        </w:rPr>
      </w:pPr>
    </w:p>
    <w:p w14:paraId="265500EB" w14:textId="77777777" w:rsidR="00E20979" w:rsidRDefault="00E20979" w:rsidP="00E20979">
      <w:pPr>
        <w:rPr>
          <w:noProof/>
          <w:lang w:val="en-GB" w:eastAsia="en-GB"/>
        </w:rPr>
      </w:pPr>
    </w:p>
    <w:p w14:paraId="26110479" w14:textId="082ADB70" w:rsidR="004867C8" w:rsidRDefault="0079016C" w:rsidP="00662EE2">
      <w:pPr>
        <w:jc w:val="center"/>
        <w:rPr>
          <w:lang w:eastAsia="fr-FR"/>
        </w:rPr>
      </w:pPr>
      <w:r>
        <w:rPr>
          <w:noProof/>
        </w:rPr>
        <w:lastRenderedPageBreak/>
        <w:drawing>
          <wp:inline distT="0" distB="0" distL="0" distR="0" wp14:anchorId="52A96DB9" wp14:editId="6475AF1E">
            <wp:extent cx="5438830" cy="2845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37761" cy="2845326"/>
                    </a:xfrm>
                    <a:prstGeom prst="rect">
                      <a:avLst/>
                    </a:prstGeom>
                    <a:noFill/>
                  </pic:spPr>
                </pic:pic>
              </a:graphicData>
            </a:graphic>
          </wp:inline>
        </w:drawing>
      </w:r>
    </w:p>
    <w:p w14:paraId="75E56C45" w14:textId="77777777" w:rsidR="004867C8" w:rsidRDefault="004867C8" w:rsidP="004867C8">
      <w:pPr>
        <w:rPr>
          <w:lang w:eastAsia="fr-FR"/>
        </w:rPr>
      </w:pPr>
    </w:p>
    <w:p w14:paraId="7D779CDB" w14:textId="77777777" w:rsidR="004867C8" w:rsidRPr="00A102E5" w:rsidRDefault="00A102E5" w:rsidP="00A102E5">
      <w:pPr>
        <w:jc w:val="center"/>
        <w:rPr>
          <w:u w:val="single"/>
          <w:lang w:eastAsia="fr-FR"/>
        </w:rPr>
      </w:pPr>
      <w:r w:rsidRPr="00A102E5">
        <w:rPr>
          <w:u w:val="single"/>
          <w:lang w:eastAsia="fr-FR"/>
        </w:rPr>
        <w:t>Figure 1: Illustration of actu</w:t>
      </w:r>
      <w:r w:rsidR="00113B22">
        <w:rPr>
          <w:u w:val="single"/>
          <w:lang w:eastAsia="fr-FR"/>
        </w:rPr>
        <w:t>al interference and</w:t>
      </w:r>
      <w:r w:rsidRPr="00A102E5">
        <w:rPr>
          <w:u w:val="single"/>
          <w:lang w:eastAsia="fr-FR"/>
        </w:rPr>
        <w:t xml:space="preserve"> margin</w:t>
      </w:r>
      <w:r w:rsidR="00113B22">
        <w:rPr>
          <w:u w:val="single"/>
          <w:lang w:eastAsia="fr-FR"/>
        </w:rPr>
        <w:t xml:space="preserve"> </w:t>
      </w:r>
    </w:p>
    <w:p w14:paraId="70C97F42" w14:textId="77777777" w:rsidR="004867C8" w:rsidRDefault="004867C8" w:rsidP="004867C8">
      <w:pPr>
        <w:rPr>
          <w:lang w:eastAsia="fr-FR"/>
        </w:rPr>
      </w:pPr>
    </w:p>
    <w:p w14:paraId="66E167BC" w14:textId="77777777" w:rsidR="008D5C12" w:rsidRDefault="008D5C12"/>
    <w:sectPr w:rsidR="008D5C12" w:rsidSect="00732D68">
      <w:headerReference w:type="default" r:id="rId10"/>
      <w:footerReference w:type="even" r:id="rId11"/>
      <w:footerReference w:type="default" r:id="rId12"/>
      <w:footerReference w:type="first" r:id="rId13"/>
      <w:pgSz w:w="11909" w:h="16834" w:code="9"/>
      <w:pgMar w:top="1195" w:right="1152" w:bottom="1138"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8FAED6" w16cid:durableId="1FA83E52"/>
  <w16cid:commentId w16cid:paraId="0F1C0529" w16cid:durableId="1FA84639"/>
  <w16cid:commentId w16cid:paraId="0FEA115A" w16cid:durableId="1FA8458F"/>
  <w16cid:commentId w16cid:paraId="68A8DC13" w16cid:durableId="1FA835D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BB9C9" w14:textId="77777777" w:rsidR="004F7DF9" w:rsidRDefault="004F7DF9">
      <w:r>
        <w:separator/>
      </w:r>
    </w:p>
  </w:endnote>
  <w:endnote w:type="continuationSeparator" w:id="0">
    <w:p w14:paraId="6E688710" w14:textId="77777777" w:rsidR="004F7DF9" w:rsidRDefault="004F7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ulimChe">
    <w:panose1 w:val="020B0609000101010101"/>
    <w:charset w:val="81"/>
    <w:family w:val="auto"/>
    <w:pitch w:val="variable"/>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Arial Unicode MS"/>
    <w:panose1 w:val="02030609000101010101"/>
    <w:charset w:val="81"/>
    <w:family w:val="auto"/>
    <w:pitch w:val="variable"/>
    <w:sig w:usb0="00000000"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Open Sans">
    <w:altName w:val="Times New 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2F7C2" w14:textId="77777777" w:rsidR="008D5C12" w:rsidRDefault="00732D68">
    <w:pPr>
      <w:pStyle w:val="Footer"/>
      <w:framePr w:wrap="around" w:vAnchor="text" w:hAnchor="margin" w:xAlign="right" w:y="1"/>
      <w:rPr>
        <w:rStyle w:val="PageNumber"/>
      </w:rPr>
    </w:pPr>
    <w:r>
      <w:rPr>
        <w:rStyle w:val="PageNumber"/>
      </w:rPr>
      <w:fldChar w:fldCharType="begin"/>
    </w:r>
    <w:r w:rsidR="003C02E0">
      <w:rPr>
        <w:rStyle w:val="PageNumber"/>
      </w:rPr>
      <w:instrText xml:space="preserve">PAGE  </w:instrText>
    </w:r>
    <w:r>
      <w:rPr>
        <w:rStyle w:val="PageNumber"/>
      </w:rPr>
      <w:fldChar w:fldCharType="end"/>
    </w:r>
  </w:p>
  <w:p w14:paraId="0F479436" w14:textId="77777777" w:rsidR="008D5C12" w:rsidRDefault="008D5C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93E5A" w14:textId="05C88B16" w:rsidR="008D5C12" w:rsidRDefault="003C02E0">
    <w:pPr>
      <w:pStyle w:val="Footer"/>
      <w:ind w:right="360"/>
    </w:pPr>
    <w:r>
      <w:rPr>
        <w:rFonts w:hint="eastAsia"/>
        <w:lang w:eastAsia="ko-KR"/>
      </w:rPr>
      <w:t>A</w:t>
    </w:r>
    <w:r>
      <w:rPr>
        <w:lang w:eastAsia="ko-KR"/>
      </w:rPr>
      <w:t>PG19</w:t>
    </w:r>
    <w:r>
      <w:rPr>
        <w:rFonts w:hint="eastAsia"/>
        <w:lang w:eastAsia="ko-KR"/>
      </w:rPr>
      <w:t>-</w:t>
    </w:r>
    <w:r>
      <w:rPr>
        <w:lang w:eastAsia="ko-KR"/>
      </w:rPr>
      <w:t>4</w:t>
    </w:r>
    <w:r>
      <w:rPr>
        <w:rFonts w:hint="eastAsia"/>
        <w:lang w:eastAsia="ko-KR"/>
      </w:rPr>
      <w:t>/</w:t>
    </w:r>
    <w:r w:rsidR="00037BAE">
      <w:rPr>
        <w:lang w:eastAsia="ko-KR"/>
      </w:rPr>
      <w:t>INF-07</w:t>
    </w:r>
    <w:r>
      <w:rPr>
        <w:rStyle w:val="PageNumber"/>
      </w:rPr>
      <w:tab/>
    </w:r>
    <w:r>
      <w:rPr>
        <w:rStyle w:val="PageNumber"/>
      </w:rPr>
      <w:tab/>
      <w:t xml:space="preserve">Page </w:t>
    </w:r>
    <w:r w:rsidR="00732D68">
      <w:rPr>
        <w:rStyle w:val="PageNumber"/>
      </w:rPr>
      <w:fldChar w:fldCharType="begin"/>
    </w:r>
    <w:r>
      <w:rPr>
        <w:rStyle w:val="PageNumber"/>
      </w:rPr>
      <w:instrText xml:space="preserve"> PAGE </w:instrText>
    </w:r>
    <w:r w:rsidR="00732D68">
      <w:rPr>
        <w:rStyle w:val="PageNumber"/>
      </w:rPr>
      <w:fldChar w:fldCharType="separate"/>
    </w:r>
    <w:r w:rsidR="00037BAE">
      <w:rPr>
        <w:rStyle w:val="PageNumber"/>
        <w:noProof/>
      </w:rPr>
      <w:t>2</w:t>
    </w:r>
    <w:r w:rsidR="00732D68">
      <w:rPr>
        <w:rStyle w:val="PageNumber"/>
      </w:rPr>
      <w:fldChar w:fldCharType="end"/>
    </w:r>
    <w:r>
      <w:rPr>
        <w:rStyle w:val="PageNumber"/>
      </w:rPr>
      <w:t xml:space="preserve"> of </w:t>
    </w:r>
    <w:r w:rsidR="00732D68">
      <w:rPr>
        <w:rStyle w:val="PageNumber"/>
      </w:rPr>
      <w:fldChar w:fldCharType="begin"/>
    </w:r>
    <w:r>
      <w:rPr>
        <w:rStyle w:val="PageNumber"/>
      </w:rPr>
      <w:instrText xml:space="preserve"> NUMPAGES </w:instrText>
    </w:r>
    <w:r w:rsidR="00732D68">
      <w:rPr>
        <w:rStyle w:val="PageNumber"/>
      </w:rPr>
      <w:fldChar w:fldCharType="separate"/>
    </w:r>
    <w:r w:rsidR="00037BAE">
      <w:rPr>
        <w:rStyle w:val="PageNumber"/>
        <w:noProof/>
      </w:rPr>
      <w:t>3</w:t>
    </w:r>
    <w:r w:rsidR="00732D68">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8D5C12" w14:paraId="232DD9D0" w14:textId="77777777">
      <w:trPr>
        <w:cantSplit/>
        <w:trHeight w:val="204"/>
        <w:jc w:val="center"/>
      </w:trPr>
      <w:tc>
        <w:tcPr>
          <w:tcW w:w="1617" w:type="dxa"/>
          <w:tcBorders>
            <w:top w:val="single" w:sz="12" w:space="0" w:color="auto"/>
          </w:tcBorders>
        </w:tcPr>
        <w:p w14:paraId="7E8EF7BB" w14:textId="77777777" w:rsidR="008D5C12" w:rsidRDefault="003C02E0">
          <w:pPr>
            <w:rPr>
              <w:b/>
              <w:bCs/>
            </w:rPr>
          </w:pPr>
          <w:r>
            <w:rPr>
              <w:b/>
              <w:bCs/>
            </w:rPr>
            <w:t>Contact:</w:t>
          </w:r>
        </w:p>
      </w:tc>
      <w:tc>
        <w:tcPr>
          <w:tcW w:w="4394" w:type="dxa"/>
          <w:tcBorders>
            <w:top w:val="single" w:sz="12" w:space="0" w:color="auto"/>
          </w:tcBorders>
        </w:tcPr>
        <w:p w14:paraId="4DC2B1DA" w14:textId="77777777" w:rsidR="008D5C12" w:rsidRDefault="003C02E0">
          <w:pPr>
            <w:pStyle w:val="Equation"/>
            <w:tabs>
              <w:tab w:val="clear" w:pos="4820"/>
              <w:tab w:val="clear" w:pos="9639"/>
              <w:tab w:val="left" w:pos="1191"/>
              <w:tab w:val="left" w:pos="1588"/>
              <w:tab w:val="left" w:pos="1985"/>
            </w:tabs>
            <w:spacing w:beforeLines="0"/>
            <w:rPr>
              <w:rFonts w:eastAsia="Batang"/>
              <w:szCs w:val="24"/>
              <w:lang w:eastAsia="ko-KR"/>
            </w:rPr>
          </w:pPr>
          <w:r>
            <w:rPr>
              <w:rFonts w:eastAsia="Batang" w:hint="eastAsia"/>
              <w:szCs w:val="24"/>
              <w:lang w:eastAsia="ko-KR"/>
            </w:rPr>
            <w:t>NAME</w:t>
          </w:r>
          <w:r>
            <w:rPr>
              <w:rFonts w:eastAsia="Batang"/>
              <w:szCs w:val="24"/>
              <w:lang w:eastAsia="ko-KR"/>
            </w:rPr>
            <w:t xml:space="preserve"> (In CAPITAL Letters)</w:t>
          </w:r>
        </w:p>
        <w:p w14:paraId="412DC7D8" w14:textId="77777777" w:rsidR="008D5C12" w:rsidRDefault="003C02E0">
          <w:pPr>
            <w:pStyle w:val="Equation"/>
            <w:tabs>
              <w:tab w:val="clear" w:pos="4820"/>
              <w:tab w:val="clear" w:pos="9639"/>
              <w:tab w:val="left" w:pos="1191"/>
              <w:tab w:val="left" w:pos="1588"/>
              <w:tab w:val="left" w:pos="1985"/>
            </w:tabs>
            <w:spacing w:beforeLines="0"/>
            <w:rPr>
              <w:rFonts w:eastAsia="Batang"/>
              <w:szCs w:val="24"/>
            </w:rPr>
          </w:pPr>
          <w:r>
            <w:rPr>
              <w:rFonts w:eastAsia="Batang" w:hint="eastAsia"/>
              <w:szCs w:val="24"/>
              <w:lang w:eastAsia="ko-KR"/>
            </w:rPr>
            <w:t>Organization, Country</w:t>
          </w:r>
        </w:p>
      </w:tc>
      <w:tc>
        <w:tcPr>
          <w:tcW w:w="3912" w:type="dxa"/>
          <w:tcBorders>
            <w:top w:val="single" w:sz="12" w:space="0" w:color="auto"/>
          </w:tcBorders>
        </w:tcPr>
        <w:p w14:paraId="14588688" w14:textId="77777777" w:rsidR="008D5C12" w:rsidRDefault="003C02E0">
          <w:pPr>
            <w:rPr>
              <w:lang w:eastAsia="ja-JP"/>
            </w:rPr>
          </w:pPr>
          <w:r>
            <w:t>Email</w:t>
          </w:r>
          <w:r>
            <w:rPr>
              <w:rFonts w:hint="eastAsia"/>
            </w:rPr>
            <w:t xml:space="preserve">: </w:t>
          </w:r>
        </w:p>
      </w:tc>
    </w:tr>
  </w:tbl>
  <w:p w14:paraId="3109C233" w14:textId="77777777" w:rsidR="008D5C12" w:rsidRDefault="008D5C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E5455" w14:textId="77777777" w:rsidR="004F7DF9" w:rsidRDefault="004F7DF9">
      <w:r>
        <w:separator/>
      </w:r>
    </w:p>
  </w:footnote>
  <w:footnote w:type="continuationSeparator" w:id="0">
    <w:p w14:paraId="4EF1D879" w14:textId="77777777" w:rsidR="004F7DF9" w:rsidRDefault="004F7DF9">
      <w:r>
        <w:continuationSeparator/>
      </w:r>
    </w:p>
  </w:footnote>
  <w:footnote w:id="1">
    <w:p w14:paraId="4D172C51" w14:textId="77777777" w:rsidR="0036018D" w:rsidRDefault="0036018D" w:rsidP="0036018D">
      <w:pPr>
        <w:pStyle w:val="FootnoteText"/>
        <w:ind w:left="142" w:hangingChars="71" w:hanging="142"/>
      </w:pPr>
      <w:r>
        <w:rPr>
          <w:rStyle w:val="FootnoteReference"/>
        </w:rPr>
        <w:footnoteRef/>
      </w:r>
      <w:r>
        <w:t xml:space="preserve"> </w:t>
      </w:r>
      <w:r>
        <w:rPr>
          <w:rFonts w:ascii="Times New Roman" w:hAnsi="Times New Roman"/>
          <w:lang w:eastAsia="zh-CN"/>
        </w:rPr>
        <w:t xml:space="preserve">This document has been discussed and agreed by GSA (Global mobile Suppliers Association, </w:t>
      </w:r>
      <w:r w:rsidRPr="00942331">
        <w:rPr>
          <w:rFonts w:ascii="Times New Roman" w:hAnsi="Times New Roman"/>
          <w:lang w:eastAsia="zh-CN"/>
        </w:rPr>
        <w:t>https://gsacom.com/</w:t>
      </w:r>
      <w:r>
        <w:rPr>
          <w:rFonts w:ascii="Times New Roman" w:hAnsi="Times New Roman"/>
          <w:lang w:eastAsia="zh-CN"/>
        </w:rPr>
        <w:t>), whose members include Ericsson, H</w:t>
      </w:r>
      <w:bookmarkStart w:id="0" w:name="_GoBack"/>
      <w:bookmarkEnd w:id="0"/>
      <w:r>
        <w:rPr>
          <w:rFonts w:ascii="Times New Roman" w:hAnsi="Times New Roman"/>
          <w:lang w:eastAsia="zh-CN"/>
        </w:rPr>
        <w:t>uawei, Intel, Nokia, Qualcomm and Samsung.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BB0C7" w14:textId="77777777" w:rsidR="008D5C12" w:rsidRDefault="003C02E0">
    <w:pPr>
      <w:pStyle w:val="Header"/>
      <w:tabs>
        <w:tab w:val="center" w:pos="4763"/>
        <w:tab w:val="left" w:pos="5820"/>
      </w:tabs>
      <w:rPr>
        <w:lang w:eastAsia="ko-KR"/>
      </w:rPr>
    </w:pPr>
    <w:r>
      <w:rPr>
        <w:lang w:eastAsia="ko-KR"/>
      </w:rPr>
      <w:tab/>
    </w:r>
  </w:p>
  <w:p w14:paraId="23699AA3" w14:textId="77777777" w:rsidR="008D5C12" w:rsidRDefault="008D5C12">
    <w:pPr>
      <w:pStyle w:val="Header"/>
      <w:tabs>
        <w:tab w:val="center" w:pos="4763"/>
        <w:tab w:val="left" w:pos="5820"/>
      </w:tabs>
      <w:rPr>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82F44"/>
    <w:multiLevelType w:val="hybridMultilevel"/>
    <w:tmpl w:val="680AA59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 w15:restartNumberingAfterBreak="0">
    <w:nsid w:val="0E952E36"/>
    <w:multiLevelType w:val="hybridMultilevel"/>
    <w:tmpl w:val="855805E8"/>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4" w15:restartNumberingAfterBreak="0">
    <w:nsid w:val="211C5548"/>
    <w:multiLevelType w:val="hybridMultilevel"/>
    <w:tmpl w:val="FF842F6C"/>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6"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28FE5BB0"/>
    <w:multiLevelType w:val="hybridMultilevel"/>
    <w:tmpl w:val="621A0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01C76"/>
    <w:multiLevelType w:val="hybridMultilevel"/>
    <w:tmpl w:val="A790F456"/>
    <w:lvl w:ilvl="0" w:tplc="2690AE34">
      <w:start w:val="1"/>
      <w:numFmt w:val="bullet"/>
      <w:suff w:val="space"/>
      <w:lvlText w:val=""/>
      <w:lvlJc w:val="left"/>
      <w:pPr>
        <w:ind w:left="340" w:firstLine="2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FD4234D"/>
    <w:multiLevelType w:val="hybridMultilevel"/>
    <w:tmpl w:val="F4E2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15:restartNumberingAfterBreak="0">
    <w:nsid w:val="358327CB"/>
    <w:multiLevelType w:val="hybridMultilevel"/>
    <w:tmpl w:val="8878D86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3"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15:restartNumberingAfterBreak="0">
    <w:nsid w:val="3CE569DC"/>
    <w:multiLevelType w:val="hybridMultilevel"/>
    <w:tmpl w:val="F822FC8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3DE53EE8"/>
    <w:multiLevelType w:val="hybridMultilevel"/>
    <w:tmpl w:val="CFFA549A"/>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hint="default"/>
      </w:rPr>
    </w:lvl>
    <w:lvl w:ilvl="2" w:tplc="04090005">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6" w15:restartNumberingAfterBreak="0">
    <w:nsid w:val="41004E20"/>
    <w:multiLevelType w:val="hybridMultilevel"/>
    <w:tmpl w:val="CDC233D8"/>
    <w:lvl w:ilvl="0" w:tplc="04090003">
      <w:start w:val="1"/>
      <w:numFmt w:val="bullet"/>
      <w:lvlText w:val="o"/>
      <w:lvlJc w:val="left"/>
      <w:pPr>
        <w:ind w:left="835" w:hanging="420"/>
      </w:pPr>
      <w:rPr>
        <w:rFonts w:ascii="Courier New" w:hAnsi="Courier New" w:cs="Courier New" w:hint="default"/>
      </w:rPr>
    </w:lvl>
    <w:lvl w:ilvl="1" w:tplc="04090003" w:tentative="1">
      <w:start w:val="1"/>
      <w:numFmt w:val="bullet"/>
      <w:lvlText w:val=""/>
      <w:lvlJc w:val="left"/>
      <w:pPr>
        <w:ind w:left="1255" w:hanging="420"/>
      </w:pPr>
      <w:rPr>
        <w:rFonts w:ascii="Wingdings" w:hAnsi="Wingdings" w:hint="default"/>
      </w:rPr>
    </w:lvl>
    <w:lvl w:ilvl="2" w:tplc="04090005" w:tentative="1">
      <w:start w:val="1"/>
      <w:numFmt w:val="bullet"/>
      <w:lvlText w:val=""/>
      <w:lvlJc w:val="left"/>
      <w:pPr>
        <w:ind w:left="1675" w:hanging="420"/>
      </w:pPr>
      <w:rPr>
        <w:rFonts w:ascii="Wingdings" w:hAnsi="Wingdings" w:hint="default"/>
      </w:rPr>
    </w:lvl>
    <w:lvl w:ilvl="3" w:tplc="04090001" w:tentative="1">
      <w:start w:val="1"/>
      <w:numFmt w:val="bullet"/>
      <w:lvlText w:val=""/>
      <w:lvlJc w:val="left"/>
      <w:pPr>
        <w:ind w:left="2095" w:hanging="420"/>
      </w:pPr>
      <w:rPr>
        <w:rFonts w:ascii="Wingdings" w:hAnsi="Wingdings" w:hint="default"/>
      </w:rPr>
    </w:lvl>
    <w:lvl w:ilvl="4" w:tplc="04090003" w:tentative="1">
      <w:start w:val="1"/>
      <w:numFmt w:val="bullet"/>
      <w:lvlText w:val=""/>
      <w:lvlJc w:val="left"/>
      <w:pPr>
        <w:ind w:left="2515" w:hanging="420"/>
      </w:pPr>
      <w:rPr>
        <w:rFonts w:ascii="Wingdings" w:hAnsi="Wingdings" w:hint="default"/>
      </w:rPr>
    </w:lvl>
    <w:lvl w:ilvl="5" w:tplc="04090005" w:tentative="1">
      <w:start w:val="1"/>
      <w:numFmt w:val="bullet"/>
      <w:lvlText w:val=""/>
      <w:lvlJc w:val="left"/>
      <w:pPr>
        <w:ind w:left="2935" w:hanging="420"/>
      </w:pPr>
      <w:rPr>
        <w:rFonts w:ascii="Wingdings" w:hAnsi="Wingdings" w:hint="default"/>
      </w:rPr>
    </w:lvl>
    <w:lvl w:ilvl="6" w:tplc="04090001" w:tentative="1">
      <w:start w:val="1"/>
      <w:numFmt w:val="bullet"/>
      <w:lvlText w:val=""/>
      <w:lvlJc w:val="left"/>
      <w:pPr>
        <w:ind w:left="3355" w:hanging="420"/>
      </w:pPr>
      <w:rPr>
        <w:rFonts w:ascii="Wingdings" w:hAnsi="Wingdings" w:hint="default"/>
      </w:rPr>
    </w:lvl>
    <w:lvl w:ilvl="7" w:tplc="04090003" w:tentative="1">
      <w:start w:val="1"/>
      <w:numFmt w:val="bullet"/>
      <w:lvlText w:val=""/>
      <w:lvlJc w:val="left"/>
      <w:pPr>
        <w:ind w:left="3775" w:hanging="420"/>
      </w:pPr>
      <w:rPr>
        <w:rFonts w:ascii="Wingdings" w:hAnsi="Wingdings" w:hint="default"/>
      </w:rPr>
    </w:lvl>
    <w:lvl w:ilvl="8" w:tplc="04090005" w:tentative="1">
      <w:start w:val="1"/>
      <w:numFmt w:val="bullet"/>
      <w:lvlText w:val=""/>
      <w:lvlJc w:val="left"/>
      <w:pPr>
        <w:ind w:left="4195" w:hanging="420"/>
      </w:pPr>
      <w:rPr>
        <w:rFonts w:ascii="Wingdings" w:hAnsi="Wingdings" w:hint="default"/>
      </w:rPr>
    </w:lvl>
  </w:abstractNum>
  <w:abstractNum w:abstractNumId="17" w15:restartNumberingAfterBreak="0">
    <w:nsid w:val="50050669"/>
    <w:multiLevelType w:val="multilevel"/>
    <w:tmpl w:val="C5DAEAA6"/>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A0774F8"/>
    <w:multiLevelType w:val="hybridMultilevel"/>
    <w:tmpl w:val="2E2495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195BD1"/>
    <w:multiLevelType w:val="multilevel"/>
    <w:tmpl w:val="38768B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1" w15:restartNumberingAfterBreak="0">
    <w:nsid w:val="74441AFC"/>
    <w:multiLevelType w:val="hybridMultilevel"/>
    <w:tmpl w:val="CADCD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ED3C65"/>
    <w:multiLevelType w:val="hybridMultilevel"/>
    <w:tmpl w:val="670215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7CD25B8C"/>
    <w:multiLevelType w:val="hybridMultilevel"/>
    <w:tmpl w:val="C58AB9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5"/>
  </w:num>
  <w:num w:numId="4">
    <w:abstractNumId w:val="20"/>
  </w:num>
  <w:num w:numId="5">
    <w:abstractNumId w:val="10"/>
  </w:num>
  <w:num w:numId="6">
    <w:abstractNumId w:val="13"/>
  </w:num>
  <w:num w:numId="7">
    <w:abstractNumId w:val="3"/>
  </w:num>
  <w:num w:numId="8">
    <w:abstractNumId w:val="1"/>
  </w:num>
  <w:num w:numId="9">
    <w:abstractNumId w:val="21"/>
  </w:num>
  <w:num w:numId="10">
    <w:abstractNumId w:val="4"/>
  </w:num>
  <w:num w:numId="11">
    <w:abstractNumId w:val="2"/>
  </w:num>
  <w:num w:numId="12">
    <w:abstractNumId w:val="17"/>
  </w:num>
  <w:num w:numId="13">
    <w:abstractNumId w:val="9"/>
  </w:num>
  <w:num w:numId="14">
    <w:abstractNumId w:val="11"/>
  </w:num>
  <w:num w:numId="15">
    <w:abstractNumId w:val="18"/>
  </w:num>
  <w:num w:numId="16">
    <w:abstractNumId w:val="15"/>
  </w:num>
  <w:num w:numId="17">
    <w:abstractNumId w:val="16"/>
  </w:num>
  <w:num w:numId="18">
    <w:abstractNumId w:val="7"/>
  </w:num>
  <w:num w:numId="19">
    <w:abstractNumId w:val="22"/>
  </w:num>
  <w:num w:numId="20">
    <w:abstractNumId w:val="23"/>
  </w:num>
  <w:num w:numId="21">
    <w:abstractNumId w:val="8"/>
  </w:num>
  <w:num w:numId="22">
    <w:abstractNumId w:val="0"/>
  </w:num>
  <w:num w:numId="23">
    <w:abstractNumId w:val="1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C12"/>
    <w:rsid w:val="00002FE6"/>
    <w:rsid w:val="00011EBA"/>
    <w:rsid w:val="000172BB"/>
    <w:rsid w:val="00037BAE"/>
    <w:rsid w:val="00066D4F"/>
    <w:rsid w:val="00083C1F"/>
    <w:rsid w:val="000B2491"/>
    <w:rsid w:val="000C2D3E"/>
    <w:rsid w:val="000D5F75"/>
    <w:rsid w:val="00103A16"/>
    <w:rsid w:val="00113B22"/>
    <w:rsid w:val="001B1419"/>
    <w:rsid w:val="001D3D2A"/>
    <w:rsid w:val="001F1A2B"/>
    <w:rsid w:val="001F1E20"/>
    <w:rsid w:val="0020518A"/>
    <w:rsid w:val="002470E1"/>
    <w:rsid w:val="00282D90"/>
    <w:rsid w:val="002E7E9F"/>
    <w:rsid w:val="00311DA7"/>
    <w:rsid w:val="0031355D"/>
    <w:rsid w:val="003532F3"/>
    <w:rsid w:val="0036018D"/>
    <w:rsid w:val="003607EA"/>
    <w:rsid w:val="003B7B55"/>
    <w:rsid w:val="003C02E0"/>
    <w:rsid w:val="0042353E"/>
    <w:rsid w:val="00432CE8"/>
    <w:rsid w:val="004867C8"/>
    <w:rsid w:val="0049635C"/>
    <w:rsid w:val="004F7DF9"/>
    <w:rsid w:val="00501B04"/>
    <w:rsid w:val="005245F2"/>
    <w:rsid w:val="0052597E"/>
    <w:rsid w:val="00583271"/>
    <w:rsid w:val="0059081A"/>
    <w:rsid w:val="00595BFA"/>
    <w:rsid w:val="00596A7B"/>
    <w:rsid w:val="005F7F46"/>
    <w:rsid w:val="00653E96"/>
    <w:rsid w:val="006608E4"/>
    <w:rsid w:val="00661107"/>
    <w:rsid w:val="00662EE2"/>
    <w:rsid w:val="00686100"/>
    <w:rsid w:val="006A7CE0"/>
    <w:rsid w:val="006B3D40"/>
    <w:rsid w:val="006B501E"/>
    <w:rsid w:val="006B6528"/>
    <w:rsid w:val="006C394C"/>
    <w:rsid w:val="00732D68"/>
    <w:rsid w:val="00741F64"/>
    <w:rsid w:val="0079016C"/>
    <w:rsid w:val="007D6A23"/>
    <w:rsid w:val="008063EE"/>
    <w:rsid w:val="00807F1D"/>
    <w:rsid w:val="00824586"/>
    <w:rsid w:val="00831CE5"/>
    <w:rsid w:val="00862F57"/>
    <w:rsid w:val="00862FBD"/>
    <w:rsid w:val="008735DC"/>
    <w:rsid w:val="00874487"/>
    <w:rsid w:val="008A0E0B"/>
    <w:rsid w:val="008A7B2B"/>
    <w:rsid w:val="008D46B2"/>
    <w:rsid w:val="008D4BD5"/>
    <w:rsid w:val="008D5C12"/>
    <w:rsid w:val="008F1953"/>
    <w:rsid w:val="00960710"/>
    <w:rsid w:val="00972C62"/>
    <w:rsid w:val="0099178F"/>
    <w:rsid w:val="00993D28"/>
    <w:rsid w:val="009953F8"/>
    <w:rsid w:val="009A3A83"/>
    <w:rsid w:val="009E1BA3"/>
    <w:rsid w:val="009F2CE1"/>
    <w:rsid w:val="00A102E5"/>
    <w:rsid w:val="00A110F8"/>
    <w:rsid w:val="00A163EA"/>
    <w:rsid w:val="00A402AE"/>
    <w:rsid w:val="00A61C8C"/>
    <w:rsid w:val="00A841C2"/>
    <w:rsid w:val="00AA220E"/>
    <w:rsid w:val="00AD2004"/>
    <w:rsid w:val="00B3318E"/>
    <w:rsid w:val="00B656DA"/>
    <w:rsid w:val="00B8534D"/>
    <w:rsid w:val="00BE233C"/>
    <w:rsid w:val="00C46D48"/>
    <w:rsid w:val="00C512DB"/>
    <w:rsid w:val="00C61DB6"/>
    <w:rsid w:val="00C96038"/>
    <w:rsid w:val="00CB1808"/>
    <w:rsid w:val="00D33B61"/>
    <w:rsid w:val="00D87457"/>
    <w:rsid w:val="00D91176"/>
    <w:rsid w:val="00DC287B"/>
    <w:rsid w:val="00DF6689"/>
    <w:rsid w:val="00E20979"/>
    <w:rsid w:val="00E269EB"/>
    <w:rsid w:val="00E34268"/>
    <w:rsid w:val="00E460AD"/>
    <w:rsid w:val="00E652BE"/>
    <w:rsid w:val="00F211E6"/>
    <w:rsid w:val="00F648EE"/>
    <w:rsid w:val="00F806AB"/>
    <w:rsid w:val="00FD3CA0"/>
    <w:rsid w:val="00FE131B"/>
    <w:rsid w:val="00FE256D"/>
    <w:rsid w:val="00FF0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AF51AD"/>
  <w15:docId w15:val="{2A8DB45A-103E-47FA-AB58-CF2BF4CF4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D68"/>
    <w:rPr>
      <w:rFonts w:eastAsia="BatangChe"/>
      <w:sz w:val="24"/>
      <w:szCs w:val="24"/>
    </w:rPr>
  </w:style>
  <w:style w:type="paragraph" w:styleId="Heading1">
    <w:name w:val="heading 1"/>
    <w:basedOn w:val="Normal"/>
    <w:next w:val="Normal"/>
    <w:qFormat/>
    <w:rsid w:val="00732D68"/>
    <w:pPr>
      <w:keepNext/>
      <w:jc w:val="center"/>
      <w:outlineLvl w:val="0"/>
    </w:pPr>
    <w:rPr>
      <w:b/>
      <w:bCs/>
      <w:u w:val="single"/>
    </w:rPr>
  </w:style>
  <w:style w:type="paragraph" w:styleId="Heading8">
    <w:name w:val="heading 8"/>
    <w:basedOn w:val="Normal"/>
    <w:next w:val="Normal"/>
    <w:qFormat/>
    <w:rsid w:val="00732D68"/>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32D68"/>
    <w:pPr>
      <w:tabs>
        <w:tab w:val="center" w:pos="4320"/>
        <w:tab w:val="right" w:pos="8640"/>
      </w:tabs>
    </w:pPr>
  </w:style>
  <w:style w:type="paragraph" w:customStyle="1" w:styleId="a">
    <w:name w:val="표"/>
    <w:basedOn w:val="Normal"/>
    <w:next w:val="Normal"/>
    <w:autoRedefine/>
    <w:rsid w:val="00732D68"/>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732D68"/>
  </w:style>
  <w:style w:type="paragraph" w:styleId="NormalIndent">
    <w:name w:val="Normal Indent"/>
    <w:basedOn w:val="Normal"/>
    <w:rsid w:val="00732D68"/>
    <w:pPr>
      <w:widowControl w:val="0"/>
      <w:wordWrap w:val="0"/>
      <w:ind w:left="851"/>
      <w:jc w:val="both"/>
    </w:pPr>
    <w:rPr>
      <w:kern w:val="2"/>
      <w:sz w:val="20"/>
      <w:szCs w:val="20"/>
      <w:lang w:eastAsia="ko-KR"/>
    </w:rPr>
  </w:style>
  <w:style w:type="paragraph" w:customStyle="1" w:styleId="Note">
    <w:name w:val="Note"/>
    <w:basedOn w:val="Normal"/>
    <w:rsid w:val="00732D68"/>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732D68"/>
    <w:pPr>
      <w:tabs>
        <w:tab w:val="center" w:pos="4320"/>
        <w:tab w:val="right" w:pos="8640"/>
      </w:tabs>
    </w:pPr>
  </w:style>
  <w:style w:type="paragraph" w:customStyle="1" w:styleId="Equation">
    <w:name w:val="Equation"/>
    <w:basedOn w:val="Normal"/>
    <w:rsid w:val="00732D68"/>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szCs w:val="22"/>
      <w:lang w:val="en-GB"/>
    </w:rPr>
  </w:style>
  <w:style w:type="paragraph" w:styleId="ListParagraph">
    <w:name w:val="List Paragraph"/>
    <w:basedOn w:val="Normal"/>
    <w:uiPriority w:val="34"/>
    <w:qFormat/>
    <w:rsid w:val="00732D68"/>
    <w:pPr>
      <w:tabs>
        <w:tab w:val="left" w:pos="1134"/>
        <w:tab w:val="left" w:pos="2268"/>
      </w:tabs>
      <w:spacing w:before="120" w:after="120" w:line="336" w:lineRule="auto"/>
      <w:ind w:left="720"/>
      <w:contextualSpacing/>
    </w:pPr>
    <w:rPr>
      <w:rFonts w:ascii="Open Sans" w:eastAsia="SimSun" w:hAnsi="Open Sans" w:cstheme="minorBidi"/>
      <w:sz w:val="22"/>
      <w:szCs w:val="22"/>
      <w:lang w:val="en-GB"/>
    </w:rPr>
  </w:style>
  <w:style w:type="paragraph" w:styleId="FootnoteText">
    <w:name w:val="footnote text"/>
    <w:basedOn w:val="Normal"/>
    <w:link w:val="FootnoteTextChar"/>
    <w:uiPriority w:val="99"/>
    <w:unhideWhenUsed/>
    <w:rsid w:val="00732D68"/>
    <w:rPr>
      <w:rFonts w:ascii="Calibri" w:eastAsiaTheme="minorEastAsia" w:hAnsi="Calibri"/>
      <w:sz w:val="20"/>
      <w:szCs w:val="20"/>
    </w:rPr>
  </w:style>
  <w:style w:type="character" w:customStyle="1" w:styleId="FootnoteTextChar">
    <w:name w:val="Footnote Text Char"/>
    <w:basedOn w:val="DefaultParagraphFont"/>
    <w:link w:val="FootnoteText"/>
    <w:uiPriority w:val="99"/>
    <w:rsid w:val="00732D68"/>
    <w:rPr>
      <w:rFonts w:ascii="Calibri" w:eastAsiaTheme="minorEastAsia" w:hAnsi="Calibri"/>
    </w:rPr>
  </w:style>
  <w:style w:type="character" w:styleId="FootnoteReference">
    <w:name w:val="footnote reference"/>
    <w:uiPriority w:val="99"/>
    <w:unhideWhenUsed/>
    <w:rsid w:val="00732D68"/>
    <w:rPr>
      <w:vertAlign w:val="superscript"/>
    </w:rPr>
  </w:style>
  <w:style w:type="character" w:customStyle="1" w:styleId="1-2Char">
    <w:name w:val="中等深浅网格 1 - 着色 2 Char"/>
    <w:link w:val="MediumGrid1-Accent2"/>
    <w:uiPriority w:val="34"/>
    <w:qFormat/>
    <w:locked/>
    <w:rsid w:val="00732D68"/>
    <w:rPr>
      <w:sz w:val="22"/>
      <w:szCs w:val="22"/>
      <w:lang w:val="en-US"/>
    </w:rPr>
  </w:style>
  <w:style w:type="character" w:styleId="Hyperlink">
    <w:name w:val="Hyperlink"/>
    <w:unhideWhenUsed/>
    <w:rsid w:val="00732D68"/>
    <w:rPr>
      <w:color w:val="0000FF"/>
      <w:u w:val="single"/>
    </w:rPr>
  </w:style>
  <w:style w:type="table" w:styleId="MediumGrid1-Accent2">
    <w:name w:val="Medium Grid 1 Accent 2"/>
    <w:basedOn w:val="TableNormal"/>
    <w:link w:val="1-2Char"/>
    <w:uiPriority w:val="34"/>
    <w:semiHidden/>
    <w:unhideWhenUsed/>
    <w:rsid w:val="00732D68"/>
    <w:rPr>
      <w:sz w:val="22"/>
      <w:szCs w:val="22"/>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customStyle="1" w:styleId="Default">
    <w:name w:val="Default"/>
    <w:rsid w:val="00732D68"/>
    <w:pPr>
      <w:widowControl w:val="0"/>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semiHidden/>
    <w:unhideWhenUsed/>
    <w:rsid w:val="00732D68"/>
    <w:rPr>
      <w:sz w:val="18"/>
      <w:szCs w:val="18"/>
    </w:rPr>
  </w:style>
  <w:style w:type="character" w:customStyle="1" w:styleId="BalloonTextChar">
    <w:name w:val="Balloon Text Char"/>
    <w:basedOn w:val="DefaultParagraphFont"/>
    <w:link w:val="BalloonText"/>
    <w:semiHidden/>
    <w:rsid w:val="00732D68"/>
    <w:rPr>
      <w:rFonts w:eastAsia="BatangChe"/>
      <w:sz w:val="18"/>
      <w:szCs w:val="18"/>
    </w:rPr>
  </w:style>
  <w:style w:type="paragraph" w:customStyle="1" w:styleId="xxmsonormal">
    <w:name w:val="x_xmsonormal"/>
    <w:basedOn w:val="Normal"/>
    <w:rsid w:val="00732D68"/>
    <w:rPr>
      <w:rFonts w:ascii="Calibri" w:eastAsia="Calibri" w:hAnsi="Calibri" w:cs="Calibri"/>
      <w:sz w:val="22"/>
      <w:szCs w:val="22"/>
      <w:lang w:val="de-DE" w:eastAsia="de-DE"/>
    </w:rPr>
  </w:style>
  <w:style w:type="character" w:styleId="CommentReference">
    <w:name w:val="annotation reference"/>
    <w:basedOn w:val="DefaultParagraphFont"/>
    <w:semiHidden/>
    <w:unhideWhenUsed/>
    <w:rsid w:val="00732D68"/>
    <w:rPr>
      <w:sz w:val="16"/>
      <w:szCs w:val="16"/>
    </w:rPr>
  </w:style>
  <w:style w:type="paragraph" w:styleId="CommentText">
    <w:name w:val="annotation text"/>
    <w:basedOn w:val="Normal"/>
    <w:link w:val="CommentTextChar"/>
    <w:semiHidden/>
    <w:unhideWhenUsed/>
    <w:rsid w:val="00732D68"/>
    <w:rPr>
      <w:sz w:val="20"/>
      <w:szCs w:val="20"/>
    </w:rPr>
  </w:style>
  <w:style w:type="character" w:customStyle="1" w:styleId="CommentTextChar">
    <w:name w:val="Comment Text Char"/>
    <w:basedOn w:val="DefaultParagraphFont"/>
    <w:link w:val="CommentText"/>
    <w:semiHidden/>
    <w:rsid w:val="00732D68"/>
    <w:rPr>
      <w:rFonts w:eastAsia="BatangChe"/>
    </w:rPr>
  </w:style>
  <w:style w:type="paragraph" w:styleId="CommentSubject">
    <w:name w:val="annotation subject"/>
    <w:basedOn w:val="CommentText"/>
    <w:next w:val="CommentText"/>
    <w:link w:val="CommentSubjectChar"/>
    <w:semiHidden/>
    <w:unhideWhenUsed/>
    <w:rsid w:val="00732D68"/>
    <w:rPr>
      <w:b/>
      <w:bCs/>
    </w:rPr>
  </w:style>
  <w:style w:type="character" w:customStyle="1" w:styleId="CommentSubjectChar">
    <w:name w:val="Comment Subject Char"/>
    <w:basedOn w:val="CommentTextChar"/>
    <w:link w:val="CommentSubject"/>
    <w:semiHidden/>
    <w:rsid w:val="00732D68"/>
    <w:rPr>
      <w:rFonts w:eastAsia="BatangChe"/>
      <w:b/>
      <w:bCs/>
    </w:rPr>
  </w:style>
  <w:style w:type="paragraph" w:customStyle="1" w:styleId="Source">
    <w:name w:val="Source"/>
    <w:basedOn w:val="Normal"/>
    <w:next w:val="Normal"/>
    <w:rsid w:val="00732D68"/>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val="en-GB"/>
    </w:rPr>
  </w:style>
  <w:style w:type="paragraph" w:customStyle="1" w:styleId="Title1">
    <w:name w:val="Title 1"/>
    <w:basedOn w:val="Source"/>
    <w:next w:val="Normal"/>
    <w:rsid w:val="00732D68"/>
    <w:pPr>
      <w:tabs>
        <w:tab w:val="left" w:pos="567"/>
        <w:tab w:val="left" w:pos="1701"/>
        <w:tab w:val="left" w:pos="2835"/>
      </w:tabs>
      <w:spacing w:before="240"/>
    </w:pPr>
    <w:rPr>
      <w:b w:val="0"/>
      <w:caps/>
    </w:rPr>
  </w:style>
  <w:style w:type="paragraph" w:customStyle="1" w:styleId="enumlev1">
    <w:name w:val="enumlev1"/>
    <w:basedOn w:val="Normal"/>
    <w:link w:val="enumlev1Char"/>
    <w:qFormat/>
    <w:rsid w:val="00732D68"/>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szCs w:val="20"/>
      <w:lang w:val="en-GB"/>
    </w:rPr>
  </w:style>
  <w:style w:type="character" w:customStyle="1" w:styleId="enumlev1Char">
    <w:name w:val="enumlev1 Char"/>
    <w:basedOn w:val="DefaultParagraphFont"/>
    <w:link w:val="enumlev1"/>
    <w:locked/>
    <w:rsid w:val="00732D68"/>
    <w:rPr>
      <w:rFonts w:eastAsia="Times New Roman"/>
      <w:sz w:val="24"/>
      <w:lang w:val="en-GB"/>
    </w:rPr>
  </w:style>
  <w:style w:type="paragraph" w:styleId="NormalWeb">
    <w:name w:val="Normal (Web)"/>
    <w:basedOn w:val="Normal"/>
    <w:uiPriority w:val="99"/>
    <w:semiHidden/>
    <w:unhideWhenUsed/>
    <w:rsid w:val="00583271"/>
    <w:pPr>
      <w:spacing w:before="100" w:beforeAutospacing="1" w:after="100" w:afterAutospacing="1"/>
    </w:pPr>
    <w:rPr>
      <w:rFonts w:eastAsiaTheme="minorEastAsia"/>
      <w:lang w:val="en-GB" w:eastAsia="en-GB"/>
    </w:rPr>
  </w:style>
  <w:style w:type="paragraph" w:customStyle="1" w:styleId="Kopfzeile1">
    <w:name w:val="Kopfzeile1"/>
    <w:basedOn w:val="Header"/>
    <w:rsid w:val="00103A16"/>
    <w:pPr>
      <w:tabs>
        <w:tab w:val="clear" w:pos="4320"/>
        <w:tab w:val="clear" w:pos="8640"/>
        <w:tab w:val="center" w:pos="4536"/>
        <w:tab w:val="right" w:pos="9072"/>
      </w:tabs>
    </w:pPr>
    <w:rPr>
      <w:rFonts w:ascii="Arial" w:eastAsia="Times New Roman" w:hAnsi="Arial"/>
      <w:b/>
      <w:sz w:val="22"/>
      <w:szCs w:val="20"/>
      <w:lang w:val="nb-NO"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340427">
      <w:bodyDiv w:val="1"/>
      <w:marLeft w:val="0"/>
      <w:marRight w:val="0"/>
      <w:marTop w:val="0"/>
      <w:marBottom w:val="0"/>
      <w:divBdr>
        <w:top w:val="none" w:sz="0" w:space="0" w:color="auto"/>
        <w:left w:val="none" w:sz="0" w:space="0" w:color="auto"/>
        <w:bottom w:val="none" w:sz="0" w:space="0" w:color="auto"/>
        <w:right w:val="none" w:sz="0" w:space="0" w:color="auto"/>
      </w:divBdr>
    </w:div>
    <w:div w:id="382171875">
      <w:bodyDiv w:val="1"/>
      <w:marLeft w:val="0"/>
      <w:marRight w:val="0"/>
      <w:marTop w:val="0"/>
      <w:marBottom w:val="0"/>
      <w:divBdr>
        <w:top w:val="none" w:sz="0" w:space="0" w:color="auto"/>
        <w:left w:val="none" w:sz="0" w:space="0" w:color="auto"/>
        <w:bottom w:val="none" w:sz="0" w:space="0" w:color="auto"/>
        <w:right w:val="none" w:sz="0" w:space="0" w:color="auto"/>
      </w:divBdr>
    </w:div>
    <w:div w:id="845555746">
      <w:bodyDiv w:val="1"/>
      <w:marLeft w:val="0"/>
      <w:marRight w:val="0"/>
      <w:marTop w:val="0"/>
      <w:marBottom w:val="0"/>
      <w:divBdr>
        <w:top w:val="none" w:sz="0" w:space="0" w:color="auto"/>
        <w:left w:val="none" w:sz="0" w:space="0" w:color="auto"/>
        <w:bottom w:val="none" w:sz="0" w:space="0" w:color="auto"/>
        <w:right w:val="none" w:sz="0" w:space="0" w:color="auto"/>
      </w:divBdr>
    </w:div>
    <w:div w:id="2017420636">
      <w:bodyDiv w:val="1"/>
      <w:marLeft w:val="0"/>
      <w:marRight w:val="0"/>
      <w:marTop w:val="0"/>
      <w:marBottom w:val="0"/>
      <w:divBdr>
        <w:top w:val="none" w:sz="0" w:space="0" w:color="auto"/>
        <w:left w:val="none" w:sz="0" w:space="0" w:color="auto"/>
        <w:bottom w:val="none" w:sz="0" w:space="0" w:color="auto"/>
        <w:right w:val="none" w:sz="0" w:space="0" w:color="auto"/>
      </w:divBdr>
    </w:div>
    <w:div w:id="205268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7021159-57EE-4EC5-BD50-994F54A27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1060</Words>
  <Characters>6043</Characters>
  <Application>Microsoft Office Word</Application>
  <DocSecurity>0</DocSecurity>
  <Lines>50</Lines>
  <Paragraphs>14</Paragraphs>
  <ScaleCrop>false</ScaleCrop>
  <HeadingPairs>
    <vt:vector size="2" baseType="variant">
      <vt:variant>
        <vt:lpstr>标题</vt:lpstr>
      </vt:variant>
      <vt:variant>
        <vt:i4>1</vt:i4>
      </vt:variant>
    </vt:vector>
  </HeadingPairs>
  <TitlesOfParts>
    <vt:vector size="1" baseType="lpstr">
      <vt:lpstr/>
    </vt:vector>
  </TitlesOfParts>
  <Manager/>
  <Company>GSA</Company>
  <LinksUpToDate>false</LinksUpToDate>
  <CharactersWithSpaces>7089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APT Secretariat</cp:lastModifiedBy>
  <cp:revision>11</cp:revision>
  <cp:lastPrinted>2004-07-28T02:14:00Z</cp:lastPrinted>
  <dcterms:created xsi:type="dcterms:W3CDTF">2018-12-20T14:57:00Z</dcterms:created>
  <dcterms:modified xsi:type="dcterms:W3CDTF">2018-12-24T06:44:00Z</dcterms:modified>
  <cp:category/>
</cp:coreProperties>
</file>