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5720"/>
        <w:gridCol w:w="2700"/>
      </w:tblGrid>
      <w:tr w:rsidR="001A25A5" w:rsidRPr="00441526" w:rsidTr="00BF12AF">
        <w:trPr>
          <w:cantSplit/>
        </w:trPr>
        <w:tc>
          <w:tcPr>
            <w:tcW w:w="1399" w:type="dxa"/>
            <w:vMerge w:val="restart"/>
          </w:tcPr>
          <w:p w:rsidR="001A25A5" w:rsidRPr="00441526" w:rsidRDefault="001A25A5" w:rsidP="00BF12AF">
            <w:pPr>
              <w:pStyle w:val="Note"/>
              <w:widowControl w:val="0"/>
              <w:tabs>
                <w:tab w:val="clear" w:pos="284"/>
                <w:tab w:val="clear" w:pos="1134"/>
                <w:tab w:val="clear" w:pos="1871"/>
                <w:tab w:val="clear" w:pos="2268"/>
              </w:tabs>
              <w:wordWrap w:val="0"/>
              <w:spacing w:before="0"/>
              <w:rPr>
                <w:noProof w:val="0"/>
                <w:kern w:val="2"/>
                <w:sz w:val="24"/>
                <w:szCs w:val="24"/>
              </w:rPr>
            </w:pPr>
            <w:r w:rsidRPr="00441526">
              <w:rPr>
                <w:kern w:val="2"/>
                <w:sz w:val="24"/>
                <w:szCs w:val="24"/>
                <w:lang w:eastAsia="en-US"/>
              </w:rPr>
              <w:drawing>
                <wp:inline distT="0" distB="0" distL="0" distR="0" wp14:anchorId="3D59BCC9" wp14:editId="36AC42C3">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720" w:type="dxa"/>
          </w:tcPr>
          <w:p w:rsidR="001A25A5" w:rsidRPr="00441526" w:rsidRDefault="001A25A5" w:rsidP="00BF12AF">
            <w:r w:rsidRPr="00441526">
              <w:t>ASIA-PACIFIC TELECOMMUNITY</w:t>
            </w:r>
          </w:p>
        </w:tc>
        <w:tc>
          <w:tcPr>
            <w:tcW w:w="2700" w:type="dxa"/>
          </w:tcPr>
          <w:p w:rsidR="001A25A5" w:rsidRPr="00441526" w:rsidRDefault="001A25A5" w:rsidP="00BF12AF">
            <w:pPr>
              <w:rPr>
                <w:b/>
                <w:bCs/>
                <w:lang w:val="fr-FR"/>
              </w:rPr>
            </w:pPr>
            <w:r w:rsidRPr="00441526">
              <w:rPr>
                <w:b/>
                <w:lang w:val="fr-FR"/>
              </w:rPr>
              <w:t>Document</w:t>
            </w:r>
            <w:r>
              <w:rPr>
                <w:b/>
                <w:lang w:val="fr-FR"/>
              </w:rPr>
              <w:t xml:space="preserve"> No</w:t>
            </w:r>
            <w:r w:rsidRPr="00441526">
              <w:rPr>
                <w:b/>
                <w:lang w:val="fr-FR"/>
              </w:rPr>
              <w:t xml:space="preserve">: </w:t>
            </w:r>
          </w:p>
        </w:tc>
      </w:tr>
      <w:tr w:rsidR="001A25A5" w:rsidRPr="00441526" w:rsidTr="00BF12AF">
        <w:trPr>
          <w:cantSplit/>
        </w:trPr>
        <w:tc>
          <w:tcPr>
            <w:tcW w:w="1399" w:type="dxa"/>
            <w:vMerge/>
          </w:tcPr>
          <w:p w:rsidR="001A25A5" w:rsidRPr="00441526" w:rsidRDefault="001A25A5" w:rsidP="00BF12AF"/>
        </w:tc>
        <w:tc>
          <w:tcPr>
            <w:tcW w:w="5720" w:type="dxa"/>
          </w:tcPr>
          <w:p w:rsidR="001A25A5" w:rsidRPr="00441526" w:rsidRDefault="001A25A5" w:rsidP="00BF12AF">
            <w:pPr>
              <w:spacing w:line="0" w:lineRule="atLeast"/>
            </w:pPr>
            <w:r w:rsidRPr="00441526">
              <w:rPr>
                <w:b/>
              </w:rPr>
              <w:t xml:space="preserve">The </w:t>
            </w:r>
            <w:r>
              <w:rPr>
                <w:b/>
              </w:rPr>
              <w:t xml:space="preserve">4th </w:t>
            </w:r>
            <w:r w:rsidRPr="00441526">
              <w:rPr>
                <w:b/>
              </w:rPr>
              <w:t>Meeting of the APT Conference Preparatory  Group for WRC-19 (APG19-</w:t>
            </w:r>
            <w:r>
              <w:rPr>
                <w:b/>
              </w:rPr>
              <w:t>4</w:t>
            </w:r>
            <w:r w:rsidRPr="00441526">
              <w:rPr>
                <w:b/>
              </w:rPr>
              <w:t>)</w:t>
            </w:r>
          </w:p>
        </w:tc>
        <w:tc>
          <w:tcPr>
            <w:tcW w:w="2700" w:type="dxa"/>
          </w:tcPr>
          <w:p w:rsidR="001A25A5" w:rsidRPr="00441526" w:rsidRDefault="001A25A5" w:rsidP="00BF12AF">
            <w:pPr>
              <w:rPr>
                <w:b/>
                <w:bCs/>
                <w:lang w:val="fr-FR"/>
              </w:rPr>
            </w:pPr>
            <w:r w:rsidRPr="00441526">
              <w:rPr>
                <w:b/>
                <w:bCs/>
                <w:lang w:val="fr-FR"/>
              </w:rPr>
              <w:t>APG19-</w:t>
            </w:r>
            <w:r>
              <w:rPr>
                <w:b/>
                <w:bCs/>
                <w:lang w:val="fr-FR"/>
              </w:rPr>
              <w:t>4</w:t>
            </w:r>
            <w:r w:rsidRPr="00441526">
              <w:rPr>
                <w:b/>
                <w:bCs/>
                <w:lang w:val="fr-FR"/>
              </w:rPr>
              <w:t>/</w:t>
            </w:r>
            <w:r w:rsidR="00B5143C">
              <w:rPr>
                <w:b/>
                <w:bCs/>
                <w:lang w:val="fr-FR"/>
              </w:rPr>
              <w:t>INF</w:t>
            </w:r>
            <w:r w:rsidRPr="00441526">
              <w:rPr>
                <w:b/>
                <w:bCs/>
                <w:lang w:val="fr-FR"/>
              </w:rPr>
              <w:t>-</w:t>
            </w:r>
            <w:r w:rsidR="00CB584E">
              <w:rPr>
                <w:b/>
                <w:bCs/>
                <w:lang w:val="fr-FR"/>
              </w:rPr>
              <w:t>10</w:t>
            </w:r>
          </w:p>
        </w:tc>
      </w:tr>
      <w:tr w:rsidR="001A25A5" w:rsidRPr="00441526" w:rsidTr="00BF12AF">
        <w:trPr>
          <w:cantSplit/>
          <w:trHeight w:val="219"/>
        </w:trPr>
        <w:tc>
          <w:tcPr>
            <w:tcW w:w="1399" w:type="dxa"/>
            <w:vMerge/>
          </w:tcPr>
          <w:p w:rsidR="001A25A5" w:rsidRPr="00441526" w:rsidRDefault="001A25A5" w:rsidP="00BF12AF">
            <w:pPr>
              <w:rPr>
                <w:lang w:val="fr-FR"/>
              </w:rPr>
            </w:pPr>
          </w:p>
        </w:tc>
        <w:tc>
          <w:tcPr>
            <w:tcW w:w="5720" w:type="dxa"/>
          </w:tcPr>
          <w:p w:rsidR="001A25A5" w:rsidRPr="00441526" w:rsidRDefault="001A25A5" w:rsidP="00BF12AF">
            <w:r>
              <w:t>7</w:t>
            </w:r>
            <w:r w:rsidRPr="00441526">
              <w:t xml:space="preserve"> – 1</w:t>
            </w:r>
            <w:r>
              <w:t>2</w:t>
            </w:r>
            <w:r w:rsidRPr="00441526">
              <w:t xml:space="preserve"> </w:t>
            </w:r>
            <w:r>
              <w:t xml:space="preserve">January </w:t>
            </w:r>
            <w:r w:rsidRPr="00441526">
              <w:t xml:space="preserve">2018, </w:t>
            </w:r>
            <w:r>
              <w:t>Busan</w:t>
            </w:r>
            <w:r w:rsidRPr="00441526">
              <w:t xml:space="preserve">, </w:t>
            </w:r>
            <w:r>
              <w:t>Republic of Korea</w:t>
            </w:r>
          </w:p>
        </w:tc>
        <w:tc>
          <w:tcPr>
            <w:tcW w:w="2700" w:type="dxa"/>
          </w:tcPr>
          <w:p w:rsidR="001A25A5" w:rsidRPr="00441526" w:rsidRDefault="00CB584E" w:rsidP="00BF12AF">
            <w:pPr>
              <w:rPr>
                <w:b/>
              </w:rPr>
            </w:pPr>
            <w:r>
              <w:rPr>
                <w:b/>
              </w:rPr>
              <w:t>29</w:t>
            </w:r>
            <w:r w:rsidR="001A25A5" w:rsidRPr="00441526">
              <w:rPr>
                <w:b/>
              </w:rPr>
              <w:t xml:space="preserve"> </w:t>
            </w:r>
            <w:r w:rsidR="001A25A5">
              <w:rPr>
                <w:b/>
              </w:rPr>
              <w:t xml:space="preserve">December </w:t>
            </w:r>
            <w:r w:rsidR="001A25A5" w:rsidRPr="00441526">
              <w:rPr>
                <w:b/>
              </w:rPr>
              <w:t>2018</w:t>
            </w:r>
          </w:p>
        </w:tc>
      </w:tr>
    </w:tbl>
    <w:p w:rsidR="00DA7595" w:rsidRPr="001A25A5" w:rsidRDefault="00DA7595" w:rsidP="00DA7595">
      <w:pPr>
        <w:rPr>
          <w:sz w:val="26"/>
          <w:szCs w:val="26"/>
          <w:lang w:eastAsia="ko-KR"/>
        </w:rPr>
      </w:pPr>
    </w:p>
    <w:p w:rsidR="00DA7595" w:rsidRPr="001A25A5" w:rsidRDefault="00AA005D" w:rsidP="00DA7595">
      <w:pPr>
        <w:jc w:val="center"/>
        <w:rPr>
          <w:sz w:val="26"/>
          <w:szCs w:val="26"/>
          <w:lang w:eastAsia="ko-KR"/>
        </w:rPr>
      </w:pPr>
      <w:r>
        <w:rPr>
          <w:sz w:val="26"/>
          <w:szCs w:val="26"/>
          <w:lang w:eastAsia="ko-KR"/>
        </w:rPr>
        <w:t xml:space="preserve">Inmarsat Singapore, </w:t>
      </w:r>
      <w:r w:rsidR="009A7BF5">
        <w:rPr>
          <w:sz w:val="26"/>
          <w:szCs w:val="26"/>
          <w:lang w:eastAsia="ko-KR"/>
        </w:rPr>
        <w:t>THAICOM</w:t>
      </w:r>
    </w:p>
    <w:p w:rsidR="00FE3DE5" w:rsidRPr="001A25A5" w:rsidRDefault="00FE3DE5" w:rsidP="0063062B">
      <w:pPr>
        <w:jc w:val="center"/>
        <w:rPr>
          <w:bCs/>
          <w:caps/>
          <w:sz w:val="26"/>
          <w:szCs w:val="26"/>
        </w:rPr>
      </w:pPr>
    </w:p>
    <w:p w:rsidR="00B5143C" w:rsidRDefault="00B5143C" w:rsidP="00B5143C">
      <w:pPr>
        <w:jc w:val="center"/>
        <w:rPr>
          <w:b/>
          <w:bCs/>
        </w:rPr>
      </w:pPr>
      <w:r>
        <w:rPr>
          <w:b/>
          <w:bCs/>
        </w:rPr>
        <w:t>INFORMATION PAPER ON WRC-19 AGENDA ITEM 1.13</w:t>
      </w:r>
    </w:p>
    <w:p w:rsidR="00B5143C" w:rsidRDefault="00B5143C" w:rsidP="00B5143C">
      <w:pPr>
        <w:jc w:val="center"/>
        <w:rPr>
          <w:b/>
          <w:bCs/>
        </w:rPr>
      </w:pPr>
      <w:r>
        <w:rPr>
          <w:b/>
          <w:bCs/>
        </w:rPr>
        <w:t xml:space="preserve">AVIA’S AND APSCC’S POSITION ON </w:t>
      </w:r>
    </w:p>
    <w:p w:rsidR="00B5143C" w:rsidRPr="00096326" w:rsidRDefault="00B5143C" w:rsidP="00B5143C">
      <w:pPr>
        <w:jc w:val="center"/>
        <w:rPr>
          <w:b/>
          <w:bCs/>
          <w:caps/>
        </w:rPr>
      </w:pPr>
      <w:r>
        <w:rPr>
          <w:b/>
          <w:bCs/>
        </w:rPr>
        <w:t xml:space="preserve">WRC-19 AGENDA ITEM 1.13 </w:t>
      </w:r>
    </w:p>
    <w:p w:rsidR="00DB0A68" w:rsidRDefault="00DB0A68" w:rsidP="00C357AD">
      <w:pPr>
        <w:jc w:val="center"/>
      </w:pPr>
    </w:p>
    <w:p w:rsidR="00C357AD" w:rsidRDefault="00C357AD" w:rsidP="00C357AD">
      <w:pPr>
        <w:jc w:val="center"/>
        <w:rPr>
          <w:b/>
        </w:rPr>
      </w:pPr>
    </w:p>
    <w:p w:rsidR="00C357AD" w:rsidRDefault="00C357AD" w:rsidP="00C357AD">
      <w:pPr>
        <w:jc w:val="both"/>
        <w:rPr>
          <w:b/>
        </w:rPr>
      </w:pPr>
    </w:p>
    <w:p w:rsidR="00B5143C" w:rsidRPr="00BD7129" w:rsidRDefault="00B5143C" w:rsidP="00B5143C">
      <w:pPr>
        <w:jc w:val="both"/>
        <w:rPr>
          <w:b/>
        </w:rPr>
      </w:pPr>
      <w:r>
        <w:rPr>
          <w:b/>
        </w:rPr>
        <w:t xml:space="preserve">This paper presents the position of the </w:t>
      </w:r>
      <w:r w:rsidRPr="0040334D">
        <w:rPr>
          <w:b/>
        </w:rPr>
        <w:t xml:space="preserve">Asia Video Association (AVIA) and </w:t>
      </w:r>
      <w:r>
        <w:rPr>
          <w:b/>
        </w:rPr>
        <w:t xml:space="preserve">the </w:t>
      </w:r>
      <w:r w:rsidRPr="0040334D">
        <w:rPr>
          <w:b/>
        </w:rPr>
        <w:t>Asia-Pacific Satellite Communications Council (APSCC)</w:t>
      </w:r>
      <w:r>
        <w:rPr>
          <w:b/>
        </w:rPr>
        <w:t xml:space="preserve"> on agenda item 1.13</w:t>
      </w:r>
      <w:r w:rsidRPr="00031759">
        <w:rPr>
          <w:rStyle w:val="FootnoteReference"/>
          <w:b/>
        </w:rPr>
        <w:footnoteReference w:customMarkFollows="1" w:id="1"/>
        <w:sym w:font="Symbol" w:char="F02A"/>
      </w:r>
      <w:r w:rsidRPr="0040334D">
        <w:rPr>
          <w:b/>
        </w:rPr>
        <w:t xml:space="preserve"> </w:t>
      </w:r>
      <w:r>
        <w:rPr>
          <w:rFonts w:asciiTheme="minorEastAsia" w:eastAsiaTheme="minorEastAsia" w:hAnsiTheme="minorEastAsia"/>
          <w:b/>
          <w:lang w:eastAsia="ja-JP"/>
        </w:rPr>
        <w:t xml:space="preserve"> </w:t>
      </w:r>
    </w:p>
    <w:p w:rsidR="00B5143C" w:rsidRDefault="00B5143C" w:rsidP="00B5143C">
      <w:pPr>
        <w:jc w:val="both"/>
        <w:rPr>
          <w:b/>
        </w:rPr>
      </w:pPr>
    </w:p>
    <w:p w:rsidR="00B5143C" w:rsidRDefault="00B5143C" w:rsidP="00B5143C">
      <w:pPr>
        <w:jc w:val="both"/>
        <w:rPr>
          <w:b/>
        </w:rPr>
      </w:pPr>
    </w:p>
    <w:p w:rsidR="00B5143C" w:rsidRDefault="00B5143C" w:rsidP="00B5143C">
      <w:pPr>
        <w:jc w:val="both"/>
      </w:pPr>
      <w:r>
        <w:rPr>
          <w:b/>
        </w:rPr>
        <w:t xml:space="preserve">Agenda Item 1.13: </w:t>
      </w:r>
    </w:p>
    <w:p w:rsidR="00B5143C" w:rsidRPr="00DB2D0E" w:rsidRDefault="00B5143C" w:rsidP="00B5143C">
      <w:pPr>
        <w:autoSpaceDE w:val="0"/>
        <w:autoSpaceDN w:val="0"/>
        <w:adjustRightInd w:val="0"/>
        <w:rPr>
          <w:i/>
        </w:rPr>
      </w:pPr>
      <w:proofErr w:type="gramStart"/>
      <w:r w:rsidRPr="00DB2D0E">
        <w:rPr>
          <w:i/>
        </w:rPr>
        <w:t>to</w:t>
      </w:r>
      <w:proofErr w:type="gramEnd"/>
      <w:r w:rsidRPr="00DB2D0E">
        <w:rPr>
          <w:i/>
        </w:rPr>
        <w:t xml:space="preserve"> consider identification of frequency bands for the future development of International</w:t>
      </w:r>
      <w:r>
        <w:rPr>
          <w:i/>
        </w:rPr>
        <w:t xml:space="preserve"> </w:t>
      </w:r>
      <w:r w:rsidRPr="00DB2D0E">
        <w:rPr>
          <w:i/>
        </w:rPr>
        <w:t>Mobile Telecommunications (IMT), including possible additional allocations to the mobile service</w:t>
      </w:r>
      <w:r>
        <w:rPr>
          <w:i/>
        </w:rPr>
        <w:t xml:space="preserve"> </w:t>
      </w:r>
      <w:r w:rsidRPr="00DB2D0E">
        <w:rPr>
          <w:i/>
        </w:rPr>
        <w:t xml:space="preserve">on a primary basis, in accordance with Resolution </w:t>
      </w:r>
      <w:r w:rsidRPr="00DB2D0E">
        <w:rPr>
          <w:b/>
          <w:i/>
        </w:rPr>
        <w:t>238</w:t>
      </w:r>
      <w:r w:rsidRPr="00DB2D0E">
        <w:rPr>
          <w:i/>
        </w:rPr>
        <w:t xml:space="preserve"> (</w:t>
      </w:r>
      <w:r w:rsidRPr="00DB2D0E">
        <w:rPr>
          <w:b/>
          <w:i/>
        </w:rPr>
        <w:t>WRC-15</w:t>
      </w:r>
      <w:r w:rsidRPr="00DB2D0E">
        <w:rPr>
          <w:i/>
        </w:rPr>
        <w:t>)</w:t>
      </w:r>
    </w:p>
    <w:p w:rsidR="00B5143C" w:rsidRPr="005C6DC7" w:rsidRDefault="00B5143C" w:rsidP="00B5143C">
      <w:pPr>
        <w:jc w:val="both"/>
        <w:rPr>
          <w:bCs/>
          <w:lang w:val="en-GB"/>
        </w:rPr>
      </w:pPr>
      <w:r>
        <w:rPr>
          <w:b/>
          <w:bCs/>
          <w:lang w:val="en-GB"/>
        </w:rPr>
        <w:tab/>
      </w:r>
    </w:p>
    <w:p w:rsidR="00B5143C" w:rsidRDefault="00B5143C" w:rsidP="00B5143C">
      <w:pPr>
        <w:jc w:val="both"/>
        <w:rPr>
          <w:b/>
          <w:bCs/>
          <w:lang w:val="en-GB"/>
        </w:rPr>
      </w:pPr>
    </w:p>
    <w:p w:rsidR="00B5143C" w:rsidRDefault="00B5143C" w:rsidP="00B5143C">
      <w:pPr>
        <w:pStyle w:val="ListParagraph"/>
        <w:numPr>
          <w:ilvl w:val="0"/>
          <w:numId w:val="12"/>
        </w:numPr>
        <w:jc w:val="both"/>
        <w:rPr>
          <w:b/>
          <w:bCs/>
        </w:rPr>
      </w:pPr>
      <w:r>
        <w:rPr>
          <w:b/>
          <w:bCs/>
        </w:rPr>
        <w:t>Background</w:t>
      </w:r>
    </w:p>
    <w:p w:rsidR="00B5143C" w:rsidRDefault="00B5143C" w:rsidP="00B5143C"/>
    <w:p w:rsidR="00B5143C" w:rsidRPr="004D3672" w:rsidRDefault="00B5143C" w:rsidP="00B5143C">
      <w:r w:rsidRPr="004D3672">
        <w:t xml:space="preserve">Agenda item 1.13 is studying a total of 33 GHz in frequency bands between 24.25 GHz and 86 GHz, many of which are allocated to satellite services on a co-primary basis. Some of these frequency bands already contain thriving satellite operations or are planned for future satellite systems. Therefore, careful consideration should be given to the bands identified for IMT under agenda item 1.13 in order to provide IMT 5G services with the spectrum resources that they realistically require without jeopardizing existing </w:t>
      </w:r>
      <w:r>
        <w:t xml:space="preserve">and future </w:t>
      </w:r>
      <w:r w:rsidRPr="004D3672">
        <w:t>satellite operations and investments in these frequency ranges.</w:t>
      </w:r>
    </w:p>
    <w:p w:rsidR="00B5143C" w:rsidRDefault="00B5143C" w:rsidP="00B5143C">
      <w:pPr>
        <w:rPr>
          <w:highlight w:val="yellow"/>
        </w:rPr>
      </w:pPr>
    </w:p>
    <w:p w:rsidR="00B5143C" w:rsidRPr="00DB2D0E" w:rsidRDefault="00B5143C" w:rsidP="00B5143C">
      <w:pPr>
        <w:pStyle w:val="ListParagraph"/>
        <w:numPr>
          <w:ilvl w:val="0"/>
          <w:numId w:val="13"/>
        </w:numPr>
        <w:jc w:val="both"/>
        <w:rPr>
          <w:b/>
          <w:bCs/>
          <w:lang w:val="en-GB"/>
        </w:rPr>
      </w:pPr>
      <w:r>
        <w:rPr>
          <w:b/>
          <w:bCs/>
          <w:lang w:val="en-GB"/>
        </w:rPr>
        <w:t xml:space="preserve">Satellites </w:t>
      </w:r>
      <w:r w:rsidRPr="00DB2D0E">
        <w:rPr>
          <w:b/>
          <w:bCs/>
          <w:lang w:val="en-GB"/>
        </w:rPr>
        <w:t>facilitate 5G Deployment and Innovation</w:t>
      </w:r>
    </w:p>
    <w:p w:rsidR="00B5143C" w:rsidRDefault="00B5143C" w:rsidP="00B5143C">
      <w:pPr>
        <w:pStyle w:val="ListParagraph"/>
        <w:ind w:left="0"/>
        <w:jc w:val="both"/>
        <w:rPr>
          <w:bCs/>
          <w:lang w:val="en-GB"/>
        </w:rPr>
      </w:pPr>
    </w:p>
    <w:p w:rsidR="00B5143C" w:rsidRPr="008B0D11" w:rsidRDefault="00B5143C" w:rsidP="00B5143C">
      <w:pPr>
        <w:pStyle w:val="ListParagraph"/>
        <w:ind w:left="0"/>
        <w:jc w:val="both"/>
        <w:rPr>
          <w:bCs/>
          <w:iCs/>
          <w:lang w:val="en-GB"/>
        </w:rPr>
      </w:pPr>
      <w:r>
        <w:rPr>
          <w:bCs/>
          <w:lang w:val="en-GB"/>
        </w:rPr>
        <w:t>Satellite is expected to play a significant role in the 5G service provisions</w:t>
      </w:r>
      <w:r w:rsidRPr="008B0D11">
        <w:rPr>
          <w:bCs/>
          <w:iCs/>
          <w:lang w:val="en-GB"/>
        </w:rPr>
        <w:t xml:space="preserve"> including: </w:t>
      </w:r>
    </w:p>
    <w:p w:rsidR="00B5143C" w:rsidRPr="008B0D11" w:rsidRDefault="00B5143C" w:rsidP="00B5143C">
      <w:pPr>
        <w:pStyle w:val="ListParagraph"/>
        <w:numPr>
          <w:ilvl w:val="0"/>
          <w:numId w:val="14"/>
        </w:numPr>
        <w:jc w:val="both"/>
        <w:rPr>
          <w:bCs/>
          <w:iCs/>
          <w:lang w:val="en-GB"/>
        </w:rPr>
      </w:pPr>
      <w:r>
        <w:rPr>
          <w:bCs/>
          <w:iCs/>
          <w:lang w:val="en-GB"/>
        </w:rPr>
        <w:t xml:space="preserve">Connecting the terrestrially unconnected: </w:t>
      </w:r>
      <w:r w:rsidRPr="008B0D11">
        <w:rPr>
          <w:bCs/>
          <w:iCs/>
          <w:lang w:val="en-GB"/>
        </w:rPr>
        <w:t>remote</w:t>
      </w:r>
      <w:r>
        <w:rPr>
          <w:bCs/>
          <w:iCs/>
          <w:lang w:val="en-GB"/>
        </w:rPr>
        <w:t xml:space="preserve">, unserved and underserved </w:t>
      </w:r>
      <w:r w:rsidRPr="008B0D11">
        <w:rPr>
          <w:bCs/>
          <w:iCs/>
          <w:lang w:val="en-GB"/>
        </w:rPr>
        <w:t>are</w:t>
      </w:r>
      <w:r>
        <w:rPr>
          <w:bCs/>
          <w:iCs/>
          <w:lang w:val="en-GB"/>
        </w:rPr>
        <w:t>as; aircraft, ships, cars and trains (ESIMs)</w:t>
      </w:r>
    </w:p>
    <w:p w:rsidR="00B5143C" w:rsidRPr="008B0D11" w:rsidRDefault="00B5143C" w:rsidP="00B5143C">
      <w:pPr>
        <w:pStyle w:val="ListParagraph"/>
        <w:numPr>
          <w:ilvl w:val="0"/>
          <w:numId w:val="14"/>
        </w:numPr>
        <w:jc w:val="both"/>
        <w:rPr>
          <w:bCs/>
          <w:iCs/>
          <w:lang w:val="en-GB"/>
        </w:rPr>
      </w:pPr>
      <w:r>
        <w:rPr>
          <w:bCs/>
          <w:iCs/>
          <w:lang w:val="en-GB"/>
        </w:rPr>
        <w:t>Directly connecting or backhauling aggregated</w:t>
      </w:r>
      <w:r w:rsidRPr="008B0D11">
        <w:rPr>
          <w:bCs/>
          <w:iCs/>
          <w:lang w:val="en-GB"/>
        </w:rPr>
        <w:t xml:space="preserve"> Machine-to-Machine (M2M) / Internet-of-Things (</w:t>
      </w:r>
      <w:proofErr w:type="spellStart"/>
      <w:r w:rsidRPr="008B0D11">
        <w:rPr>
          <w:bCs/>
          <w:iCs/>
          <w:lang w:val="en-GB"/>
        </w:rPr>
        <w:t>IoT</w:t>
      </w:r>
      <w:proofErr w:type="spellEnd"/>
      <w:r w:rsidRPr="008B0D11">
        <w:rPr>
          <w:bCs/>
          <w:iCs/>
          <w:lang w:val="en-GB"/>
        </w:rPr>
        <w:t>) data from multiple locations to support sensor networks</w:t>
      </w:r>
      <w:r>
        <w:rPr>
          <w:bCs/>
          <w:iCs/>
          <w:lang w:val="en-GB"/>
        </w:rPr>
        <w:t>,</w:t>
      </w:r>
      <w:r w:rsidRPr="008B0D11">
        <w:rPr>
          <w:bCs/>
          <w:iCs/>
          <w:lang w:val="en-GB"/>
        </w:rPr>
        <w:t xml:space="preserve"> Smart City applications, </w:t>
      </w:r>
      <w:r>
        <w:rPr>
          <w:bCs/>
          <w:iCs/>
          <w:lang w:val="en-GB"/>
        </w:rPr>
        <w:t>and</w:t>
      </w:r>
      <w:r w:rsidRPr="008B0D11">
        <w:rPr>
          <w:bCs/>
          <w:iCs/>
          <w:lang w:val="en-GB"/>
        </w:rPr>
        <w:t xml:space="preserve"> to enable c</w:t>
      </w:r>
      <w:r>
        <w:rPr>
          <w:bCs/>
          <w:iCs/>
          <w:lang w:val="en-GB"/>
        </w:rPr>
        <w:t>onnected cars, aircrafts and ships</w:t>
      </w:r>
    </w:p>
    <w:p w:rsidR="00B5143C" w:rsidRDefault="00B5143C" w:rsidP="00B5143C">
      <w:pPr>
        <w:pStyle w:val="ListParagraph"/>
        <w:numPr>
          <w:ilvl w:val="0"/>
          <w:numId w:val="14"/>
        </w:numPr>
        <w:jc w:val="both"/>
        <w:rPr>
          <w:bCs/>
          <w:iCs/>
          <w:lang w:val="en-GB"/>
        </w:rPr>
      </w:pPr>
      <w:r>
        <w:rPr>
          <w:bCs/>
          <w:iCs/>
          <w:lang w:val="en-GB"/>
        </w:rPr>
        <w:t>M</w:t>
      </w:r>
      <w:r w:rsidRPr="008B0D11">
        <w:rPr>
          <w:bCs/>
          <w:iCs/>
          <w:lang w:val="en-GB"/>
        </w:rPr>
        <w:t>ulticasting of commonly accessed content to storage caches at multiple 5G base stations</w:t>
      </w:r>
      <w:r>
        <w:rPr>
          <w:bCs/>
          <w:iCs/>
          <w:lang w:val="en-GB"/>
        </w:rPr>
        <w:t>,</w:t>
      </w:r>
      <w:r w:rsidRPr="008B0D11">
        <w:rPr>
          <w:bCs/>
          <w:iCs/>
          <w:lang w:val="en-GB"/>
        </w:rPr>
        <w:t xml:space="preserve"> </w:t>
      </w:r>
      <w:r>
        <w:rPr>
          <w:bCs/>
          <w:iCs/>
          <w:lang w:val="en-GB"/>
        </w:rPr>
        <w:t>to enable</w:t>
      </w:r>
      <w:r w:rsidRPr="008B0D11">
        <w:rPr>
          <w:bCs/>
          <w:iCs/>
          <w:lang w:val="en-GB"/>
        </w:rPr>
        <w:t xml:space="preserve"> terrestrial 5G networks </w:t>
      </w:r>
      <w:r>
        <w:rPr>
          <w:bCs/>
          <w:iCs/>
          <w:lang w:val="en-GB"/>
        </w:rPr>
        <w:t xml:space="preserve">to </w:t>
      </w:r>
      <w:r w:rsidRPr="008B0D11">
        <w:rPr>
          <w:bCs/>
          <w:iCs/>
          <w:lang w:val="en-GB"/>
        </w:rPr>
        <w:t xml:space="preserve">meet </w:t>
      </w:r>
      <w:r>
        <w:rPr>
          <w:bCs/>
          <w:iCs/>
          <w:lang w:val="en-GB"/>
        </w:rPr>
        <w:t>e</w:t>
      </w:r>
      <w:r w:rsidRPr="008B0D11">
        <w:rPr>
          <w:bCs/>
          <w:iCs/>
          <w:lang w:val="en-GB"/>
        </w:rPr>
        <w:t>xtremely low latency (&lt;1ms) requirements of 5G applications</w:t>
      </w:r>
      <w:r>
        <w:rPr>
          <w:bCs/>
          <w:iCs/>
          <w:lang w:val="en-GB"/>
        </w:rPr>
        <w:t>, such as virtual/augmented reality and autonomous vehicles</w:t>
      </w:r>
    </w:p>
    <w:p w:rsidR="00E44F8D" w:rsidRPr="00B5143C" w:rsidRDefault="00B5143C" w:rsidP="00B5143C">
      <w:pPr>
        <w:pStyle w:val="ListParagraph"/>
        <w:numPr>
          <w:ilvl w:val="0"/>
          <w:numId w:val="14"/>
        </w:numPr>
        <w:jc w:val="both"/>
        <w:rPr>
          <w:bCs/>
          <w:iCs/>
          <w:lang w:val="en-GB"/>
        </w:rPr>
      </w:pPr>
      <w:r w:rsidRPr="008B0D11">
        <w:rPr>
          <w:bCs/>
          <w:iCs/>
          <w:lang w:val="en-GB"/>
        </w:rPr>
        <w:t xml:space="preserve">By restoring connectivity when existing terrestrial networks have been disabled (e.g. after a natural disaster). </w:t>
      </w:r>
    </w:p>
    <w:p w:rsidR="00B5143C" w:rsidRDefault="00B5143C" w:rsidP="00B5143C">
      <w:pPr>
        <w:jc w:val="both"/>
        <w:rPr>
          <w:bCs/>
          <w:iCs/>
          <w:lang w:val="en-GB"/>
        </w:rPr>
      </w:pPr>
      <w:r w:rsidRPr="008B0D11">
        <w:rPr>
          <w:bCs/>
          <w:iCs/>
          <w:lang w:val="en-GB"/>
        </w:rPr>
        <w:lastRenderedPageBreak/>
        <w:t xml:space="preserve">Other 5G </w:t>
      </w:r>
      <w:r>
        <w:rPr>
          <w:bCs/>
          <w:iCs/>
          <w:lang w:val="en-GB"/>
        </w:rPr>
        <w:t xml:space="preserve">satellite </w:t>
      </w:r>
      <w:r w:rsidRPr="008B0D11">
        <w:rPr>
          <w:bCs/>
          <w:iCs/>
          <w:lang w:val="en-GB"/>
        </w:rPr>
        <w:t>applications include:</w:t>
      </w:r>
      <w:r>
        <w:rPr>
          <w:bCs/>
          <w:iCs/>
          <w:lang w:val="en-GB"/>
        </w:rPr>
        <w:t xml:space="preserve"> i) </w:t>
      </w:r>
      <w:r w:rsidRPr="008B0D11">
        <w:rPr>
          <w:bCs/>
          <w:iCs/>
        </w:rPr>
        <w:t>Backhaul for 5G terrestrial mobile networks</w:t>
      </w:r>
      <w:r>
        <w:rPr>
          <w:bCs/>
          <w:iCs/>
        </w:rPr>
        <w:t>, ii) go</w:t>
      </w:r>
      <w:proofErr w:type="spellStart"/>
      <w:r w:rsidRPr="008B0D11">
        <w:rPr>
          <w:bCs/>
          <w:iCs/>
          <w:lang w:val="en-GB"/>
        </w:rPr>
        <w:t>vernmental</w:t>
      </w:r>
      <w:proofErr w:type="spellEnd"/>
      <w:r w:rsidRPr="008B0D11">
        <w:rPr>
          <w:bCs/>
          <w:iCs/>
          <w:lang w:val="en-GB"/>
        </w:rPr>
        <w:t xml:space="preserve"> / institutional closed-user groups</w:t>
      </w:r>
      <w:r>
        <w:rPr>
          <w:bCs/>
          <w:iCs/>
          <w:lang w:val="en-GB"/>
        </w:rPr>
        <w:t>, iii) o</w:t>
      </w:r>
      <w:r w:rsidRPr="008B0D11">
        <w:rPr>
          <w:bCs/>
          <w:iCs/>
          <w:lang w:val="en-GB"/>
        </w:rPr>
        <w:t>il &amp; gas services at fixed locations</w:t>
      </w:r>
      <w:r>
        <w:rPr>
          <w:bCs/>
          <w:iCs/>
          <w:lang w:val="en-GB"/>
        </w:rPr>
        <w:t>, iv) d</w:t>
      </w:r>
      <w:r w:rsidRPr="008B0D11">
        <w:rPr>
          <w:bCs/>
          <w:iCs/>
          <w:lang w:val="en-GB"/>
        </w:rPr>
        <w:t>istance learning, telemedicine</w:t>
      </w:r>
      <w:r>
        <w:rPr>
          <w:bCs/>
          <w:iCs/>
          <w:lang w:val="en-GB"/>
        </w:rPr>
        <w:t xml:space="preserve"> and v) </w:t>
      </w:r>
      <w:r w:rsidRPr="008B0D11">
        <w:rPr>
          <w:bCs/>
          <w:iCs/>
          <w:lang w:val="en-GB"/>
        </w:rPr>
        <w:t>Voice over IP (VoIP).</w:t>
      </w:r>
    </w:p>
    <w:p w:rsidR="00B5143C" w:rsidRDefault="00B5143C" w:rsidP="00B5143C">
      <w:pPr>
        <w:pStyle w:val="ListParagraph"/>
        <w:ind w:left="0"/>
        <w:jc w:val="both"/>
        <w:rPr>
          <w:bCs/>
          <w:iCs/>
          <w:lang w:val="en-GB"/>
        </w:rPr>
      </w:pPr>
    </w:p>
    <w:p w:rsidR="00B5143C" w:rsidRDefault="00B5143C" w:rsidP="00B5143C">
      <w:pPr>
        <w:pStyle w:val="ListParagraph"/>
        <w:ind w:left="0"/>
        <w:jc w:val="both"/>
        <w:rPr>
          <w:bCs/>
          <w:iCs/>
          <w:lang w:val="en-GB"/>
        </w:rPr>
      </w:pPr>
      <w:r>
        <w:rPr>
          <w:bCs/>
          <w:iCs/>
          <w:lang w:val="en-GB"/>
        </w:rPr>
        <w:t xml:space="preserve">The satellite industry has been innovating and upgrading its space and ground segments to massively increase spectrum efficiency and enable orders of magnitude more data rates to be provided at much lower costs.  </w:t>
      </w:r>
    </w:p>
    <w:p w:rsidR="00B5143C" w:rsidRDefault="00B5143C" w:rsidP="00B5143C">
      <w:pPr>
        <w:pStyle w:val="ListParagraph"/>
        <w:ind w:left="0"/>
        <w:jc w:val="both"/>
        <w:rPr>
          <w:bCs/>
          <w:iCs/>
          <w:lang w:val="en-GB"/>
        </w:rPr>
      </w:pPr>
    </w:p>
    <w:p w:rsidR="00B5143C" w:rsidRPr="004D3672" w:rsidRDefault="00B5143C" w:rsidP="00B5143C">
      <w:pPr>
        <w:pStyle w:val="ListParagraph"/>
        <w:numPr>
          <w:ilvl w:val="0"/>
          <w:numId w:val="13"/>
        </w:numPr>
        <w:jc w:val="both"/>
        <w:rPr>
          <w:b/>
          <w:bCs/>
          <w:lang w:val="en-GB"/>
        </w:rPr>
      </w:pPr>
      <w:r w:rsidRPr="004D3672">
        <w:rPr>
          <w:b/>
          <w:bCs/>
          <w:lang w:val="en-GB"/>
        </w:rPr>
        <w:t>Satellite broadcast technology continues to evolve</w:t>
      </w:r>
    </w:p>
    <w:p w:rsidR="00B5143C" w:rsidRDefault="00B5143C" w:rsidP="00B5143C">
      <w:pPr>
        <w:pStyle w:val="ListParagraph"/>
        <w:ind w:left="0"/>
        <w:jc w:val="both"/>
        <w:rPr>
          <w:bCs/>
          <w:iCs/>
        </w:rPr>
      </w:pPr>
    </w:p>
    <w:p w:rsidR="00B5143C" w:rsidRDefault="00B5143C" w:rsidP="00B5143C">
      <w:pPr>
        <w:pStyle w:val="ListParagraph"/>
        <w:ind w:left="0"/>
        <w:jc w:val="both"/>
        <w:rPr>
          <w:bCs/>
          <w:iCs/>
          <w:lang w:val="en-GB"/>
        </w:rPr>
      </w:pPr>
      <w:r w:rsidRPr="00B671FB">
        <w:rPr>
          <w:bCs/>
          <w:iCs/>
        </w:rPr>
        <w:t>Wideband transponders</w:t>
      </w:r>
      <w:r w:rsidRPr="00B671FB">
        <w:rPr>
          <w:b/>
          <w:bCs/>
          <w:iCs/>
        </w:rPr>
        <w:t xml:space="preserve"> </w:t>
      </w:r>
      <w:r w:rsidRPr="00B671FB">
        <w:rPr>
          <w:bCs/>
          <w:iCs/>
        </w:rPr>
        <w:t xml:space="preserve">– compared to using multiple (say) 27, 36, 54 MHz transponders, using a smaller number of (say) 500 MHz transponders reduces satellite mass and launch cost. Used with appropriate wideband modulation, wideband transponders can also make more efficient use of the spectrum as a far lower proportion of spectrum is lost to guard bands between the adjacent transponder bands. Previously, use of wideband transponders necessitated multi-carrier operation, which itself both reduced the bandwidth efficiency, due to </w:t>
      </w:r>
      <w:proofErr w:type="spellStart"/>
      <w:r w:rsidRPr="00B671FB">
        <w:rPr>
          <w:bCs/>
          <w:iCs/>
        </w:rPr>
        <w:t>guardbands</w:t>
      </w:r>
      <w:proofErr w:type="spellEnd"/>
      <w:r w:rsidRPr="00B671FB">
        <w:rPr>
          <w:bCs/>
          <w:iCs/>
        </w:rPr>
        <w:t xml:space="preserve"> required between carriers, and reduced the power efficiency, due to the need for transponder </w:t>
      </w:r>
      <w:proofErr w:type="spellStart"/>
      <w:r w:rsidRPr="00B671FB">
        <w:rPr>
          <w:bCs/>
          <w:iCs/>
        </w:rPr>
        <w:t>backoff</w:t>
      </w:r>
      <w:proofErr w:type="spellEnd"/>
      <w:r w:rsidRPr="00B671FB">
        <w:rPr>
          <w:bCs/>
          <w:iCs/>
        </w:rPr>
        <w:t xml:space="preserve"> to operate the travelling wave tube amplifiers linearly. Use of advanced modulation (</w:t>
      </w:r>
      <w:r>
        <w:rPr>
          <w:bCs/>
          <w:iCs/>
        </w:rPr>
        <w:t>such as DVB-S2X standardized in 2014</w:t>
      </w:r>
      <w:r w:rsidRPr="00B671FB">
        <w:rPr>
          <w:bCs/>
          <w:iCs/>
        </w:rPr>
        <w:t xml:space="preserve">) and wideband tuner / demodulators in ground based reception equipment enable very high efficient bandwidth and power </w:t>
      </w:r>
      <w:proofErr w:type="spellStart"/>
      <w:r w:rsidRPr="00B671FB">
        <w:rPr>
          <w:bCs/>
          <w:iCs/>
        </w:rPr>
        <w:t>utilisation</w:t>
      </w:r>
      <w:proofErr w:type="spellEnd"/>
      <w:r w:rsidRPr="00B671FB">
        <w:rPr>
          <w:bCs/>
          <w:iCs/>
        </w:rPr>
        <w:t xml:space="preserve"> to be achieved with wideband transponders</w:t>
      </w:r>
      <w:r w:rsidRPr="004D3672">
        <w:rPr>
          <w:bCs/>
          <w:iCs/>
        </w:rPr>
        <w:t>, which, in turn, require large amount of spectrum.</w:t>
      </w:r>
    </w:p>
    <w:p w:rsidR="00B5143C" w:rsidRDefault="00B5143C" w:rsidP="00B5143C">
      <w:pPr>
        <w:pStyle w:val="ListParagraph"/>
        <w:ind w:left="0"/>
        <w:jc w:val="both"/>
        <w:rPr>
          <w:bCs/>
          <w:iCs/>
          <w:highlight w:val="magenta"/>
        </w:rPr>
      </w:pPr>
    </w:p>
    <w:p w:rsidR="00B5143C" w:rsidRPr="00032B00" w:rsidRDefault="00B5143C" w:rsidP="00B5143C">
      <w:pPr>
        <w:pStyle w:val="ListParagraph"/>
        <w:numPr>
          <w:ilvl w:val="0"/>
          <w:numId w:val="13"/>
        </w:numPr>
        <w:jc w:val="both"/>
        <w:rPr>
          <w:b/>
          <w:bCs/>
          <w:iCs/>
        </w:rPr>
      </w:pPr>
      <w:r w:rsidRPr="00032B00">
        <w:rPr>
          <w:b/>
          <w:bCs/>
          <w:iCs/>
        </w:rPr>
        <w:t xml:space="preserve">Satellite innovation in Phased Array Antenna Technology </w:t>
      </w:r>
    </w:p>
    <w:p w:rsidR="00B5143C" w:rsidRDefault="00B5143C" w:rsidP="00B5143C">
      <w:pPr>
        <w:pStyle w:val="ListParagraph"/>
        <w:ind w:left="0"/>
        <w:jc w:val="both"/>
        <w:rPr>
          <w:bCs/>
          <w:iCs/>
        </w:rPr>
      </w:pPr>
    </w:p>
    <w:p w:rsidR="00B5143C" w:rsidRDefault="00B5143C" w:rsidP="00B5143C">
      <w:pPr>
        <w:pStyle w:val="ListParagraph"/>
        <w:ind w:left="0"/>
        <w:jc w:val="both"/>
        <w:rPr>
          <w:bCs/>
          <w:iCs/>
        </w:rPr>
      </w:pPr>
      <w:r w:rsidRPr="00115C7A">
        <w:rPr>
          <w:bCs/>
          <w:iCs/>
        </w:rPr>
        <w:t>As satellite communication terminals continue to become cheaper, smaller and more power efficient, a wide variety of terminal technology is being made available. A new wave of flat panel antenna technology is emerging for satellite communications. These 'phased array' antennas have no mechanical components, relying on software and electronics for steering making them more suitable for mobile platforms like cars, boats, planes and more.</w:t>
      </w:r>
    </w:p>
    <w:p w:rsidR="00B5143C" w:rsidRDefault="00B5143C" w:rsidP="00B5143C">
      <w:pPr>
        <w:pStyle w:val="ListParagraph"/>
        <w:ind w:left="0"/>
        <w:jc w:val="both"/>
        <w:rPr>
          <w:bCs/>
          <w:iCs/>
        </w:rPr>
      </w:pPr>
    </w:p>
    <w:p w:rsidR="00B5143C" w:rsidRPr="001A3F14" w:rsidRDefault="00B5143C" w:rsidP="00B5143C">
      <w:pPr>
        <w:pStyle w:val="ListParagraph"/>
        <w:numPr>
          <w:ilvl w:val="0"/>
          <w:numId w:val="13"/>
        </w:numPr>
        <w:jc w:val="both"/>
        <w:rPr>
          <w:b/>
          <w:bCs/>
          <w:lang w:val="en-GB"/>
        </w:rPr>
      </w:pPr>
      <w:r>
        <w:rPr>
          <w:b/>
          <w:bCs/>
          <w:lang w:val="en-GB"/>
        </w:rPr>
        <w:t>HTS Satellites in the Asia Pacific Region require spectrum</w:t>
      </w:r>
    </w:p>
    <w:p w:rsidR="00B5143C" w:rsidRDefault="00B5143C" w:rsidP="00B5143C">
      <w:pPr>
        <w:pStyle w:val="ListParagraph"/>
        <w:ind w:left="0"/>
        <w:jc w:val="both"/>
        <w:rPr>
          <w:bCs/>
          <w:iCs/>
        </w:rPr>
      </w:pPr>
    </w:p>
    <w:p w:rsidR="00B5143C" w:rsidRDefault="00B5143C" w:rsidP="00B5143C">
      <w:pPr>
        <w:pStyle w:val="ListParagraph"/>
        <w:ind w:left="0"/>
        <w:jc w:val="both"/>
        <w:rPr>
          <w:bCs/>
          <w:iCs/>
        </w:rPr>
      </w:pPr>
      <w:r w:rsidRPr="008B0D11">
        <w:rPr>
          <w:bCs/>
          <w:iCs/>
        </w:rPr>
        <w:t>High throughput satellites (HTS)</w:t>
      </w:r>
      <w:r w:rsidRPr="008B0D11">
        <w:rPr>
          <w:b/>
          <w:bCs/>
          <w:iCs/>
        </w:rPr>
        <w:t xml:space="preserve"> </w:t>
      </w:r>
      <w:r w:rsidRPr="008B0D11">
        <w:rPr>
          <w:bCs/>
          <w:iCs/>
        </w:rPr>
        <w:t>– us</w:t>
      </w:r>
      <w:r>
        <w:rPr>
          <w:bCs/>
          <w:iCs/>
        </w:rPr>
        <w:t>e</w:t>
      </w:r>
      <w:r w:rsidRPr="008B0D11">
        <w:rPr>
          <w:bCs/>
          <w:iCs/>
        </w:rPr>
        <w:t xml:space="preserve"> multiple concentrated spot beams, with coverage areas of the order of 100 times smaller than regional beams, a high degree of frequency re-use, and in some cases ultra-wideband transponders</w:t>
      </w:r>
      <w:r>
        <w:rPr>
          <w:bCs/>
          <w:iCs/>
        </w:rPr>
        <w:t>.</w:t>
      </w:r>
      <w:r w:rsidRPr="008B0D11">
        <w:rPr>
          <w:bCs/>
          <w:iCs/>
        </w:rPr>
        <w:t xml:space="preserve"> </w:t>
      </w:r>
      <w:r>
        <w:rPr>
          <w:bCs/>
          <w:iCs/>
        </w:rPr>
        <w:t>HTSs</w:t>
      </w:r>
      <w:r w:rsidRPr="008B0D11">
        <w:rPr>
          <w:bCs/>
          <w:iCs/>
        </w:rPr>
        <w:t xml:space="preserve"> can achieve 20 times greater throughput (e.g. 30 – 100 </w:t>
      </w:r>
      <w:proofErr w:type="spellStart"/>
      <w:r w:rsidRPr="008B0D11">
        <w:rPr>
          <w:bCs/>
          <w:iCs/>
        </w:rPr>
        <w:t>Gbit</w:t>
      </w:r>
      <w:proofErr w:type="spellEnd"/>
      <w:r w:rsidRPr="008B0D11">
        <w:rPr>
          <w:bCs/>
          <w:iCs/>
        </w:rPr>
        <w:t>/s) and lower cost per bit than other satellites, enabling cost effective, high capacity data communications in underserved areas, to air, land and maritime mobil</w:t>
      </w:r>
      <w:r>
        <w:rPr>
          <w:bCs/>
          <w:iCs/>
        </w:rPr>
        <w:t>ity applications</w:t>
      </w:r>
      <w:r w:rsidRPr="008B0D11">
        <w:rPr>
          <w:bCs/>
          <w:iCs/>
        </w:rPr>
        <w:t>, 4</w:t>
      </w:r>
      <w:r w:rsidR="00032B00">
        <w:rPr>
          <w:bCs/>
          <w:iCs/>
        </w:rPr>
        <w:t>G</w:t>
      </w:r>
      <w:r>
        <w:rPr>
          <w:bCs/>
          <w:iCs/>
        </w:rPr>
        <w:t>/5</w:t>
      </w:r>
      <w:r w:rsidRPr="008B0D11">
        <w:rPr>
          <w:bCs/>
          <w:iCs/>
        </w:rPr>
        <w:t xml:space="preserve">G mobile backhaul services, as well as international telecommunications and video distribution. </w:t>
      </w:r>
    </w:p>
    <w:p w:rsidR="00B5143C" w:rsidRDefault="00B5143C" w:rsidP="00B5143C">
      <w:pPr>
        <w:pStyle w:val="ListParagraph"/>
        <w:ind w:left="0"/>
        <w:jc w:val="both"/>
        <w:rPr>
          <w:bCs/>
          <w:iCs/>
        </w:rPr>
      </w:pPr>
    </w:p>
    <w:p w:rsidR="00B5143C" w:rsidRPr="003824CD" w:rsidRDefault="00B5143C" w:rsidP="00B5143C">
      <w:pPr>
        <w:pStyle w:val="ListParagraph"/>
        <w:ind w:left="0"/>
        <w:jc w:val="both"/>
        <w:rPr>
          <w:bCs/>
          <w:lang w:val="en-GB"/>
        </w:rPr>
      </w:pPr>
      <w:r w:rsidRPr="008B0D11">
        <w:rPr>
          <w:bCs/>
          <w:iCs/>
        </w:rPr>
        <w:t>A number of HTSs are serving the wider region today, oper</w:t>
      </w:r>
      <w:r>
        <w:rPr>
          <w:bCs/>
          <w:iCs/>
        </w:rPr>
        <w:t xml:space="preserve">ating in C-, Ku- and </w:t>
      </w:r>
      <w:proofErr w:type="spellStart"/>
      <w:r>
        <w:rPr>
          <w:bCs/>
          <w:iCs/>
        </w:rPr>
        <w:t>Ka</w:t>
      </w:r>
      <w:proofErr w:type="spellEnd"/>
      <w:r>
        <w:rPr>
          <w:bCs/>
          <w:iCs/>
        </w:rPr>
        <w:t xml:space="preserve">- bands. </w:t>
      </w:r>
      <w:r w:rsidRPr="00DB2D0E">
        <w:rPr>
          <w:bCs/>
          <w:iCs/>
        </w:rPr>
        <w:t xml:space="preserve">Those </w:t>
      </w:r>
      <w:r w:rsidRPr="00DB2D0E">
        <w:rPr>
          <w:bCs/>
          <w:iCs/>
          <w:lang w:val="en-GB"/>
        </w:rPr>
        <w:t xml:space="preserve">providing </w:t>
      </w:r>
      <w:proofErr w:type="spellStart"/>
      <w:r w:rsidRPr="00DB2D0E">
        <w:rPr>
          <w:bCs/>
          <w:iCs/>
          <w:lang w:val="en-GB"/>
        </w:rPr>
        <w:t>Ka</w:t>
      </w:r>
      <w:proofErr w:type="spellEnd"/>
      <w:r w:rsidRPr="00DB2D0E">
        <w:rPr>
          <w:bCs/>
          <w:iCs/>
          <w:lang w:val="en-GB"/>
        </w:rPr>
        <w:t>-band capacity in the 26 or 28 GHz bands</w:t>
      </w:r>
      <w:r w:rsidRPr="003824CD">
        <w:rPr>
          <w:bCs/>
          <w:iCs/>
        </w:rPr>
        <w:t xml:space="preserve"> include: </w:t>
      </w:r>
      <w:proofErr w:type="spellStart"/>
      <w:r w:rsidRPr="003824CD">
        <w:rPr>
          <w:bCs/>
          <w:iCs/>
        </w:rPr>
        <w:t>IPStar</w:t>
      </w:r>
      <w:proofErr w:type="spellEnd"/>
      <w:r w:rsidRPr="003824CD">
        <w:rPr>
          <w:bCs/>
          <w:iCs/>
        </w:rPr>
        <w:t xml:space="preserve">, O3b (MEO constellation batches 1 to 5), </w:t>
      </w:r>
      <w:r w:rsidRPr="003824CD">
        <w:rPr>
          <w:bCs/>
          <w:iCs/>
          <w:lang w:val="en-GB"/>
        </w:rPr>
        <w:t xml:space="preserve">Sky Muster I &amp; II (NBN-Co), </w:t>
      </w:r>
      <w:r w:rsidRPr="003824CD">
        <w:rPr>
          <w:bCs/>
          <w:iCs/>
        </w:rPr>
        <w:t xml:space="preserve">Inmarsat Global Xpress </w:t>
      </w:r>
      <w:r w:rsidRPr="003824CD">
        <w:rPr>
          <w:bCs/>
          <w:iCs/>
          <w:lang w:val="sv-SE"/>
        </w:rPr>
        <w:t>(I5 F1, I5 F3</w:t>
      </w:r>
      <w:r w:rsidR="00032B00">
        <w:rPr>
          <w:bCs/>
          <w:iCs/>
          <w:lang w:val="sv-SE"/>
        </w:rPr>
        <w:t>,</w:t>
      </w:r>
      <w:r w:rsidRPr="003824CD">
        <w:rPr>
          <w:bCs/>
          <w:iCs/>
          <w:lang w:val="sv-SE"/>
        </w:rPr>
        <w:t xml:space="preserve"> and I5 F4), Intelsat IS-33e, Chinasat-16, </w:t>
      </w:r>
      <w:r w:rsidRPr="003824CD">
        <w:rPr>
          <w:bCs/>
          <w:iCs/>
        </w:rPr>
        <w:t>SES-12</w:t>
      </w:r>
      <w:r w:rsidR="00032B00">
        <w:rPr>
          <w:bCs/>
          <w:iCs/>
        </w:rPr>
        <w:t xml:space="preserve">, </w:t>
      </w:r>
      <w:r>
        <w:rPr>
          <w:bCs/>
          <w:iCs/>
        </w:rPr>
        <w:t>Intelsat IS-20</w:t>
      </w:r>
      <w:r w:rsidR="000B6B19">
        <w:rPr>
          <w:bCs/>
          <w:iCs/>
        </w:rPr>
        <w:t>. I</w:t>
      </w:r>
      <w:r w:rsidRPr="003824CD">
        <w:rPr>
          <w:bCs/>
          <w:iCs/>
        </w:rPr>
        <w:t>n the next two years</w:t>
      </w:r>
      <w:r w:rsidR="00032B00">
        <w:rPr>
          <w:bCs/>
          <w:iCs/>
        </w:rPr>
        <w:t>,</w:t>
      </w:r>
      <w:r w:rsidRPr="003824CD">
        <w:rPr>
          <w:bCs/>
          <w:iCs/>
        </w:rPr>
        <w:t xml:space="preserve"> Kacific-1 / JCSAT-18, </w:t>
      </w:r>
      <w:proofErr w:type="spellStart"/>
      <w:r w:rsidRPr="003824CD">
        <w:rPr>
          <w:bCs/>
          <w:iCs/>
          <w:lang w:val="en-GB"/>
        </w:rPr>
        <w:t>OneWeb</w:t>
      </w:r>
      <w:proofErr w:type="spellEnd"/>
      <w:r w:rsidRPr="003824CD">
        <w:rPr>
          <w:bCs/>
          <w:iCs/>
          <w:lang w:val="en-GB"/>
        </w:rPr>
        <w:t xml:space="preserve"> (LEO constellation),</w:t>
      </w:r>
      <w:r w:rsidRPr="003824CD">
        <w:rPr>
          <w:bCs/>
          <w:iCs/>
        </w:rPr>
        <w:t xml:space="preserve"> </w:t>
      </w:r>
      <w:proofErr w:type="spellStart"/>
      <w:r w:rsidRPr="003824CD">
        <w:rPr>
          <w:bCs/>
          <w:iCs/>
        </w:rPr>
        <w:t>APStar</w:t>
      </w:r>
      <w:proofErr w:type="spellEnd"/>
      <w:r w:rsidRPr="003824CD">
        <w:rPr>
          <w:bCs/>
          <w:iCs/>
        </w:rPr>
        <w:t xml:space="preserve"> 6D, </w:t>
      </w:r>
      <w:r w:rsidRPr="003824CD">
        <w:rPr>
          <w:bCs/>
          <w:iCs/>
          <w:lang w:val="en-GB"/>
        </w:rPr>
        <w:t>Chinasat-18, SpaceX (LEO constellation)</w:t>
      </w:r>
      <w:r w:rsidR="00032B00">
        <w:rPr>
          <w:bCs/>
          <w:iCs/>
          <w:lang w:val="en-GB"/>
        </w:rPr>
        <w:t>,</w:t>
      </w:r>
      <w:r w:rsidRPr="003824CD">
        <w:rPr>
          <w:bCs/>
          <w:iCs/>
          <w:lang w:val="en-GB"/>
        </w:rPr>
        <w:t xml:space="preserve"> </w:t>
      </w:r>
      <w:r w:rsidRPr="003824CD">
        <w:rPr>
          <w:bCs/>
          <w:iCs/>
        </w:rPr>
        <w:t xml:space="preserve">and </w:t>
      </w:r>
      <w:r w:rsidRPr="003824CD">
        <w:rPr>
          <w:bCs/>
          <w:iCs/>
          <w:lang w:val="en-GB"/>
        </w:rPr>
        <w:t xml:space="preserve">Inmarsat-6 </w:t>
      </w:r>
      <w:r w:rsidRPr="003824CD">
        <w:rPr>
          <w:bCs/>
          <w:iCs/>
        </w:rPr>
        <w:t xml:space="preserve">will also be launched to serve the region, </w:t>
      </w:r>
      <w:r w:rsidRPr="00DB2D0E">
        <w:rPr>
          <w:bCs/>
          <w:iCs/>
        </w:rPr>
        <w:t xml:space="preserve">all providing </w:t>
      </w:r>
      <w:proofErr w:type="spellStart"/>
      <w:r w:rsidRPr="00DB2D0E">
        <w:rPr>
          <w:bCs/>
          <w:iCs/>
        </w:rPr>
        <w:t>Ka</w:t>
      </w:r>
      <w:proofErr w:type="spellEnd"/>
      <w:r w:rsidRPr="00DB2D0E">
        <w:rPr>
          <w:bCs/>
          <w:iCs/>
        </w:rPr>
        <w:t>-band capacity in the 26 or 28 GHz bands</w:t>
      </w:r>
      <w:r w:rsidRPr="003824CD">
        <w:rPr>
          <w:bCs/>
          <w:iCs/>
        </w:rPr>
        <w:t xml:space="preserve">. In 2021-2022, these will be joined by </w:t>
      </w:r>
      <w:proofErr w:type="spellStart"/>
      <w:r w:rsidRPr="00DB2D0E">
        <w:rPr>
          <w:bCs/>
          <w:iCs/>
          <w:lang w:val="en-GB"/>
        </w:rPr>
        <w:t>Telesat</w:t>
      </w:r>
      <w:proofErr w:type="spellEnd"/>
      <w:r w:rsidRPr="00DB2D0E">
        <w:rPr>
          <w:bCs/>
          <w:iCs/>
          <w:lang w:val="en-GB"/>
        </w:rPr>
        <w:t xml:space="preserve"> LEO constellation, O3b </w:t>
      </w:r>
      <w:proofErr w:type="spellStart"/>
      <w:r w:rsidRPr="00DB2D0E">
        <w:rPr>
          <w:bCs/>
          <w:iCs/>
          <w:lang w:val="en-GB"/>
        </w:rPr>
        <w:t>mPower</w:t>
      </w:r>
      <w:proofErr w:type="spellEnd"/>
      <w:r w:rsidRPr="00DB2D0E">
        <w:rPr>
          <w:bCs/>
          <w:iCs/>
          <w:lang w:val="en-GB"/>
        </w:rPr>
        <w:t xml:space="preserve"> (MEO constellation), Viasat-3, </w:t>
      </w:r>
      <w:r w:rsidRPr="003824CD">
        <w:rPr>
          <w:bCs/>
          <w:iCs/>
          <w:lang w:val="en-GB"/>
        </w:rPr>
        <w:t xml:space="preserve">MEASAT-3R and MEASAT-2a, </w:t>
      </w:r>
      <w:r w:rsidRPr="00DB2D0E">
        <w:rPr>
          <w:bCs/>
          <w:iCs/>
        </w:rPr>
        <w:t xml:space="preserve">all providing </w:t>
      </w:r>
      <w:proofErr w:type="spellStart"/>
      <w:r w:rsidRPr="00DB2D0E">
        <w:rPr>
          <w:bCs/>
          <w:iCs/>
        </w:rPr>
        <w:t>Ka</w:t>
      </w:r>
      <w:proofErr w:type="spellEnd"/>
      <w:r w:rsidRPr="00DB2D0E">
        <w:rPr>
          <w:bCs/>
          <w:iCs/>
        </w:rPr>
        <w:t>-band capacity in the 26 or 28 GHz bands</w:t>
      </w:r>
      <w:r w:rsidRPr="003824CD">
        <w:rPr>
          <w:bCs/>
          <w:iCs/>
        </w:rPr>
        <w:t xml:space="preserve">. The collective investment in all these satellites, </w:t>
      </w:r>
      <w:r w:rsidRPr="003824CD">
        <w:t>along with associated ground infrastructure, amounts to many billions of USD.</w:t>
      </w:r>
      <w:r w:rsidRPr="003824CD">
        <w:rPr>
          <w:rStyle w:val="FootnoteReference"/>
          <w:rFonts w:cstheme="minorHAnsi"/>
          <w:lang w:val="en-GB"/>
        </w:rPr>
        <w:footnoteReference w:id="2"/>
      </w:r>
    </w:p>
    <w:p w:rsidR="00B5143C" w:rsidRDefault="00B5143C" w:rsidP="00B5143C">
      <w:pPr>
        <w:pStyle w:val="ListParagraph"/>
        <w:ind w:left="0"/>
        <w:jc w:val="both"/>
        <w:rPr>
          <w:bCs/>
          <w:lang w:val="en-GB"/>
        </w:rPr>
      </w:pPr>
    </w:p>
    <w:p w:rsidR="00B5143C" w:rsidRDefault="00B5143C" w:rsidP="00B5143C">
      <w:pPr>
        <w:pStyle w:val="ListParagraph"/>
        <w:ind w:left="0"/>
        <w:jc w:val="both"/>
        <w:rPr>
          <w:bCs/>
          <w:lang w:val="en-GB"/>
        </w:rPr>
      </w:pPr>
    </w:p>
    <w:p w:rsidR="00B5143C" w:rsidRPr="001A3F14" w:rsidRDefault="00B5143C" w:rsidP="00B5143C">
      <w:pPr>
        <w:pStyle w:val="ListParagraph"/>
        <w:numPr>
          <w:ilvl w:val="0"/>
          <w:numId w:val="13"/>
        </w:numPr>
        <w:jc w:val="both"/>
        <w:rPr>
          <w:b/>
          <w:bCs/>
          <w:lang w:val="en-GB"/>
        </w:rPr>
      </w:pPr>
      <w:r>
        <w:rPr>
          <w:b/>
          <w:bCs/>
          <w:lang w:val="en-GB"/>
        </w:rPr>
        <w:t xml:space="preserve">Encroachment of IMT into Satellite Spectrum </w:t>
      </w:r>
    </w:p>
    <w:p w:rsidR="00B5143C" w:rsidRDefault="00B5143C" w:rsidP="00B5143C">
      <w:pPr>
        <w:pStyle w:val="ListParagraph"/>
        <w:ind w:left="0"/>
        <w:jc w:val="both"/>
        <w:rPr>
          <w:bCs/>
          <w:iCs/>
        </w:rPr>
      </w:pPr>
    </w:p>
    <w:p w:rsidR="00B5143C" w:rsidRDefault="00B5143C" w:rsidP="00B5143C">
      <w:pPr>
        <w:pStyle w:val="ListParagraph"/>
        <w:ind w:left="0"/>
        <w:jc w:val="both"/>
        <w:rPr>
          <w:bCs/>
          <w:iCs/>
          <w:lang w:val="en-GB"/>
        </w:rPr>
      </w:pPr>
      <w:r>
        <w:rPr>
          <w:bCs/>
          <w:lang w:val="en-GB"/>
        </w:rPr>
        <w:t>It is important for APT to note that the IMT industry is not only gaining access to spectrum identified by the ITU / WRC processes, but also directly with administrations, outside of the ITU / WRC processes. What is formally included in this agenda item is thus not all of the millimetre wave spectrum that IMT industry is lobbying for. T</w:t>
      </w:r>
      <w:r w:rsidRPr="00834181">
        <w:rPr>
          <w:bCs/>
          <w:iCs/>
          <w:lang w:val="en-GB"/>
        </w:rPr>
        <w:t xml:space="preserve">he </w:t>
      </w:r>
      <w:r>
        <w:rPr>
          <w:bCs/>
          <w:iCs/>
          <w:lang w:val="en-GB"/>
        </w:rPr>
        <w:t>“28 GHz” band (</w:t>
      </w:r>
      <w:r w:rsidRPr="00834181">
        <w:rPr>
          <w:bCs/>
          <w:iCs/>
          <w:lang w:val="en-GB"/>
        </w:rPr>
        <w:t>2</w:t>
      </w:r>
      <w:r>
        <w:rPr>
          <w:bCs/>
          <w:iCs/>
          <w:lang w:val="en-GB"/>
        </w:rPr>
        <w:t>7.5 to 29.5</w:t>
      </w:r>
      <w:r w:rsidRPr="00834181">
        <w:rPr>
          <w:bCs/>
          <w:iCs/>
          <w:lang w:val="en-GB"/>
        </w:rPr>
        <w:t xml:space="preserve"> GHz band</w:t>
      </w:r>
      <w:r>
        <w:rPr>
          <w:bCs/>
          <w:iCs/>
          <w:lang w:val="en-GB"/>
        </w:rPr>
        <w:t>)</w:t>
      </w:r>
      <w:r w:rsidRPr="00834181">
        <w:rPr>
          <w:bCs/>
          <w:iCs/>
          <w:lang w:val="en-GB"/>
        </w:rPr>
        <w:t>, is not among the candidate bands in th</w:t>
      </w:r>
      <w:r>
        <w:rPr>
          <w:bCs/>
          <w:iCs/>
          <w:lang w:val="en-GB"/>
        </w:rPr>
        <w:t>is Agenda Item, yet the IMT industry is still fervently lobbying for it creating unnecessary regulatory uncertainty.</w:t>
      </w:r>
    </w:p>
    <w:p w:rsidR="00B5143C" w:rsidRDefault="00B5143C" w:rsidP="00B5143C">
      <w:pPr>
        <w:pStyle w:val="ListParagraph"/>
        <w:ind w:left="0"/>
        <w:jc w:val="both"/>
        <w:rPr>
          <w:bCs/>
          <w:iCs/>
          <w:lang w:val="en-GB"/>
        </w:rPr>
      </w:pPr>
    </w:p>
    <w:p w:rsidR="00B5143C" w:rsidRPr="009B4440" w:rsidRDefault="00B5143C" w:rsidP="00B5143C">
      <w:pPr>
        <w:jc w:val="both"/>
        <w:rPr>
          <w:bCs/>
          <w:iCs/>
          <w:lang w:val="en-GB"/>
        </w:rPr>
      </w:pPr>
      <w:r w:rsidRPr="009B4440">
        <w:rPr>
          <w:bCs/>
          <w:iCs/>
          <w:lang w:val="en-GB"/>
        </w:rPr>
        <w:t xml:space="preserve">In recognition of the important roles that satellites play, and will continue to play, in communications infrastructure of the Asia-Pacific Region, </w:t>
      </w:r>
      <w:r>
        <w:rPr>
          <w:bCs/>
          <w:iCs/>
          <w:lang w:val="en-GB"/>
        </w:rPr>
        <w:t xml:space="preserve">it is recommend the APT </w:t>
      </w:r>
      <w:r w:rsidRPr="009B4440">
        <w:rPr>
          <w:bCs/>
          <w:iCs/>
          <w:lang w:val="en-GB"/>
        </w:rPr>
        <w:t>resolves that identification of additional spectrum for IMT</w:t>
      </w:r>
      <w:r>
        <w:rPr>
          <w:bCs/>
          <w:iCs/>
          <w:lang w:val="en-GB"/>
        </w:rPr>
        <w:t xml:space="preserve"> </w:t>
      </w:r>
      <w:r w:rsidRPr="009B4440">
        <w:rPr>
          <w:bCs/>
          <w:iCs/>
          <w:lang w:val="en-GB"/>
        </w:rPr>
        <w:t xml:space="preserve">be limited to the bands mentioned in Resolution 238 (WRC-15). </w:t>
      </w:r>
    </w:p>
    <w:p w:rsidR="00B5143C" w:rsidRPr="009B4440" w:rsidRDefault="00B5143C" w:rsidP="00B5143C">
      <w:pPr>
        <w:pStyle w:val="ListParagraph"/>
        <w:jc w:val="both"/>
        <w:rPr>
          <w:bCs/>
          <w:iCs/>
          <w:lang w:val="en-GB"/>
        </w:rPr>
      </w:pPr>
    </w:p>
    <w:p w:rsidR="00B5143C" w:rsidRDefault="00B5143C" w:rsidP="00B5143C">
      <w:pPr>
        <w:pStyle w:val="ListParagraph"/>
        <w:ind w:left="0"/>
        <w:jc w:val="both"/>
        <w:rPr>
          <w:bCs/>
          <w:iCs/>
          <w:lang w:val="en-GB"/>
        </w:rPr>
      </w:pPr>
      <w:r w:rsidRPr="009B4440">
        <w:rPr>
          <w:bCs/>
          <w:iCs/>
          <w:lang w:val="en-GB"/>
        </w:rPr>
        <w:t>Resolution 238 mentions more than 33 GHz worth of millimetre</w:t>
      </w:r>
      <w:r>
        <w:rPr>
          <w:bCs/>
          <w:iCs/>
          <w:lang w:val="en-GB"/>
        </w:rPr>
        <w:t xml:space="preserve"> wave spectrum for possible IMT </w:t>
      </w:r>
      <w:r w:rsidRPr="009B4440">
        <w:rPr>
          <w:bCs/>
          <w:iCs/>
          <w:lang w:val="en-GB"/>
        </w:rPr>
        <w:t>identification. From this vast quantity o</w:t>
      </w:r>
      <w:r>
        <w:rPr>
          <w:bCs/>
          <w:iCs/>
          <w:lang w:val="en-GB"/>
        </w:rPr>
        <w:t>f spectrum, all foreseeable IMT</w:t>
      </w:r>
      <w:r w:rsidRPr="009B4440">
        <w:rPr>
          <w:bCs/>
          <w:iCs/>
          <w:lang w:val="en-GB"/>
        </w:rPr>
        <w:t xml:space="preserve"> requirements can be met (with appropriate protections for other primary services) without encroaching on satellite spectrum bands that are outside the scope of the Resolution, especially as such spectrum (e.g. the 27.5-29.5 GHz (or “28 GHz”) band) is already in use throughout the world for the provision of important satellite services. Equally important, adherence to the scope of WRC-19 Agenda Item 1.13 and Resolution 238 remains the best path to globally </w:t>
      </w:r>
      <w:r>
        <w:rPr>
          <w:bCs/>
          <w:iCs/>
          <w:lang w:val="en-GB"/>
        </w:rPr>
        <w:t xml:space="preserve">harmonised spectrum for new IMT </w:t>
      </w:r>
      <w:r w:rsidRPr="009B4440">
        <w:rPr>
          <w:bCs/>
          <w:iCs/>
          <w:lang w:val="en-GB"/>
        </w:rPr>
        <w:t>services.</w:t>
      </w:r>
    </w:p>
    <w:p w:rsidR="00B5143C" w:rsidRDefault="00B5143C" w:rsidP="00B5143C">
      <w:pPr>
        <w:pStyle w:val="ListParagraph"/>
        <w:ind w:left="0"/>
        <w:jc w:val="both"/>
        <w:rPr>
          <w:bCs/>
          <w:lang w:val="en-GB"/>
        </w:rPr>
      </w:pPr>
    </w:p>
    <w:p w:rsidR="00B5143C" w:rsidRPr="005C6DC7" w:rsidRDefault="00B5143C" w:rsidP="00B5143C">
      <w:pPr>
        <w:pStyle w:val="ListParagraph"/>
        <w:ind w:left="0"/>
        <w:jc w:val="both"/>
        <w:rPr>
          <w:bCs/>
          <w:lang w:val="en-GB"/>
        </w:rPr>
      </w:pPr>
    </w:p>
    <w:p w:rsidR="00B5143C" w:rsidRPr="001A3F14" w:rsidRDefault="00B5143C" w:rsidP="00B5143C">
      <w:pPr>
        <w:pStyle w:val="ListParagraph"/>
        <w:numPr>
          <w:ilvl w:val="0"/>
          <w:numId w:val="13"/>
        </w:numPr>
        <w:jc w:val="both"/>
        <w:rPr>
          <w:b/>
          <w:bCs/>
          <w:lang w:val="en-GB"/>
        </w:rPr>
      </w:pPr>
      <w:r>
        <w:rPr>
          <w:b/>
          <w:bCs/>
          <w:lang w:val="en-GB"/>
        </w:rPr>
        <w:t>Identification for IMT must include feasible/practical measures to protect FSS</w:t>
      </w:r>
    </w:p>
    <w:p w:rsidR="000B6B19" w:rsidRDefault="000B6B19" w:rsidP="00B5143C">
      <w:pPr>
        <w:pStyle w:val="ListParagraph"/>
        <w:ind w:left="0"/>
        <w:jc w:val="both"/>
        <w:rPr>
          <w:bCs/>
          <w:iCs/>
          <w:lang w:val="en-GB"/>
        </w:rPr>
      </w:pPr>
    </w:p>
    <w:p w:rsidR="000B6B19" w:rsidRDefault="000B6B19" w:rsidP="00B5143C">
      <w:pPr>
        <w:pStyle w:val="ListParagraph"/>
        <w:ind w:left="0"/>
        <w:jc w:val="both"/>
        <w:rPr>
          <w:bCs/>
          <w:iCs/>
          <w:lang w:val="en-GB"/>
        </w:rPr>
      </w:pPr>
      <w:r>
        <w:rPr>
          <w:bCs/>
          <w:iCs/>
          <w:lang w:val="en-GB"/>
        </w:rPr>
        <w:t>The 24.25-27 GHz band, which includes the 24.65-25.25 GHz FSS uplink allocation to support BSS downlink in 21.4-22 GHz, could be identified for IMT provided there are appropriate regulatory measures for the protection of other primary services and to enable continuing and viable access for FSS and other space service operations.</w:t>
      </w:r>
    </w:p>
    <w:p w:rsidR="00B5143C" w:rsidRPr="0072086B" w:rsidRDefault="00B5143C" w:rsidP="00B5143C">
      <w:pPr>
        <w:pStyle w:val="ListParagraph"/>
        <w:ind w:left="0"/>
        <w:jc w:val="both"/>
        <w:rPr>
          <w:bCs/>
          <w:iCs/>
          <w:highlight w:val="cyan"/>
          <w:lang w:val="en-GB"/>
        </w:rPr>
      </w:pPr>
    </w:p>
    <w:p w:rsidR="00B5143C" w:rsidRDefault="00B5143C" w:rsidP="00B5143C">
      <w:pPr>
        <w:pStyle w:val="ListParagraph"/>
        <w:ind w:left="0"/>
        <w:jc w:val="both"/>
        <w:rPr>
          <w:bCs/>
          <w:iCs/>
          <w:lang w:val="en-GB"/>
        </w:rPr>
      </w:pPr>
      <w:r w:rsidRPr="004D3672">
        <w:rPr>
          <w:bCs/>
          <w:iCs/>
          <w:lang w:val="en-GB"/>
        </w:rPr>
        <w:t>It should be possible to find adequate spectrum in portions of the bands 37-52 GHz (Q/V band),</w:t>
      </w:r>
      <w:r w:rsidRPr="00F378BB">
        <w:rPr>
          <w:bCs/>
          <w:iCs/>
          <w:lang w:val="en-GB"/>
        </w:rPr>
        <w:t xml:space="preserve"> 66-76 GHz (66 GHz)</w:t>
      </w:r>
      <w:r w:rsidRPr="00AA366D">
        <w:rPr>
          <w:bCs/>
          <w:iCs/>
          <w:lang w:val="en-GB"/>
        </w:rPr>
        <w:t xml:space="preserve">, 71-76 GHz (70 GHz) </w:t>
      </w:r>
      <w:r w:rsidRPr="00F378BB">
        <w:rPr>
          <w:bCs/>
          <w:iCs/>
          <w:lang w:val="en-GB"/>
        </w:rPr>
        <w:t xml:space="preserve">and the 81-86 GHz (81 GHz) bands </w:t>
      </w:r>
      <w:r>
        <w:rPr>
          <w:bCs/>
          <w:iCs/>
          <w:lang w:val="en-GB"/>
        </w:rPr>
        <w:t xml:space="preserve">in order </w:t>
      </w:r>
      <w:r w:rsidRPr="00F378BB">
        <w:rPr>
          <w:bCs/>
          <w:iCs/>
          <w:lang w:val="en-GB"/>
        </w:rPr>
        <w:t xml:space="preserve">to meet </w:t>
      </w:r>
      <w:r>
        <w:rPr>
          <w:bCs/>
          <w:iCs/>
          <w:lang w:val="en-GB"/>
        </w:rPr>
        <w:t xml:space="preserve">all plausible </w:t>
      </w:r>
      <w:r w:rsidRPr="00F378BB">
        <w:rPr>
          <w:bCs/>
          <w:iCs/>
          <w:lang w:val="en-GB"/>
        </w:rPr>
        <w:t>terrestrial 5G requirements without the contention with existing and planned use of satellite s</w:t>
      </w:r>
      <w:r>
        <w:rPr>
          <w:bCs/>
          <w:iCs/>
          <w:lang w:val="en-GB"/>
        </w:rPr>
        <w:t xml:space="preserve">pectrum that is foreseeable in </w:t>
      </w:r>
      <w:r w:rsidRPr="00F378BB">
        <w:rPr>
          <w:bCs/>
          <w:iCs/>
          <w:lang w:val="en-GB"/>
        </w:rPr>
        <w:t xml:space="preserve">the </w:t>
      </w:r>
      <w:proofErr w:type="spellStart"/>
      <w:r w:rsidRPr="00F378BB">
        <w:rPr>
          <w:bCs/>
          <w:iCs/>
          <w:lang w:val="en-GB"/>
        </w:rPr>
        <w:t>Ka</w:t>
      </w:r>
      <w:proofErr w:type="spellEnd"/>
      <w:r w:rsidRPr="00F378BB">
        <w:rPr>
          <w:bCs/>
          <w:iCs/>
          <w:lang w:val="en-GB"/>
        </w:rPr>
        <w:t xml:space="preserve">-band.  </w:t>
      </w:r>
    </w:p>
    <w:p w:rsidR="00B5143C" w:rsidRDefault="00B5143C" w:rsidP="00B5143C">
      <w:pPr>
        <w:pStyle w:val="ListParagraph"/>
        <w:ind w:left="0"/>
        <w:jc w:val="both"/>
        <w:rPr>
          <w:bCs/>
          <w:iCs/>
          <w:lang w:val="en-GB"/>
        </w:rPr>
      </w:pPr>
    </w:p>
    <w:p w:rsidR="00B5143C" w:rsidRPr="00F378BB" w:rsidRDefault="00B5143C" w:rsidP="00B5143C">
      <w:pPr>
        <w:pStyle w:val="ListParagraph"/>
        <w:ind w:left="0"/>
        <w:jc w:val="both"/>
        <w:rPr>
          <w:bCs/>
          <w:iCs/>
          <w:lang w:val="en-GB"/>
        </w:rPr>
      </w:pPr>
      <w:r w:rsidRPr="00F378BB">
        <w:rPr>
          <w:bCs/>
          <w:iCs/>
          <w:lang w:val="en-GB"/>
        </w:rPr>
        <w:t xml:space="preserve">Portions of the Q/V-bands (37-52 GHz) may be available to meet 5G mobile requirements.  However, portions of these bands are likely to be contended, since they are already being incorporated into next-generation Very High Throughput Satellite systems (including 6 global non-GEO systems proposed by Boeing, SpaceX, </w:t>
      </w:r>
      <w:proofErr w:type="spellStart"/>
      <w:r w:rsidRPr="00F378BB">
        <w:rPr>
          <w:bCs/>
          <w:iCs/>
          <w:lang w:val="en-GB"/>
        </w:rPr>
        <w:t>Telesat</w:t>
      </w:r>
      <w:proofErr w:type="spellEnd"/>
      <w:r w:rsidRPr="00F378BB">
        <w:rPr>
          <w:bCs/>
          <w:iCs/>
          <w:lang w:val="en-GB"/>
        </w:rPr>
        <w:t xml:space="preserve">, O3b, </w:t>
      </w:r>
      <w:proofErr w:type="spellStart"/>
      <w:r w:rsidRPr="00F378BB">
        <w:rPr>
          <w:bCs/>
          <w:iCs/>
          <w:lang w:val="en-GB"/>
        </w:rPr>
        <w:t>OneWeb</w:t>
      </w:r>
      <w:proofErr w:type="spellEnd"/>
      <w:r w:rsidRPr="00F378BB">
        <w:rPr>
          <w:bCs/>
          <w:iCs/>
          <w:lang w:val="en-GB"/>
        </w:rPr>
        <w:t xml:space="preserve">, and Theia).   </w:t>
      </w:r>
      <w:r>
        <w:rPr>
          <w:bCs/>
          <w:iCs/>
          <w:lang w:val="en-GB"/>
        </w:rPr>
        <w:t>Allocation of</w:t>
      </w:r>
      <w:r w:rsidRPr="00F378BB">
        <w:rPr>
          <w:bCs/>
          <w:iCs/>
          <w:lang w:val="en-GB"/>
        </w:rPr>
        <w:t xml:space="preserve"> Q-/V-band spectrum for High Altitude Platforms </w:t>
      </w:r>
      <w:r>
        <w:rPr>
          <w:bCs/>
          <w:iCs/>
          <w:lang w:val="en-GB"/>
        </w:rPr>
        <w:t xml:space="preserve">is separately under consideration </w:t>
      </w:r>
      <w:r w:rsidRPr="00F378BB">
        <w:rPr>
          <w:bCs/>
          <w:iCs/>
          <w:lang w:val="en-GB"/>
        </w:rPr>
        <w:t xml:space="preserve">(AI 1.14), </w:t>
      </w:r>
      <w:r>
        <w:rPr>
          <w:bCs/>
          <w:iCs/>
          <w:lang w:val="en-GB"/>
        </w:rPr>
        <w:t xml:space="preserve">as </w:t>
      </w:r>
      <w:r w:rsidRPr="00F378BB">
        <w:rPr>
          <w:bCs/>
          <w:iCs/>
          <w:lang w:val="en-GB"/>
        </w:rPr>
        <w:t>also additional V-band spectrum for VHTS systems (AI 9.1.9).  Although there is a significant amount</w:t>
      </w:r>
      <w:r>
        <w:rPr>
          <w:bCs/>
          <w:iCs/>
          <w:lang w:val="en-GB"/>
        </w:rPr>
        <w:t xml:space="preserve"> of </w:t>
      </w:r>
      <w:r w:rsidRPr="00F378BB">
        <w:rPr>
          <w:bCs/>
          <w:iCs/>
          <w:lang w:val="en-GB"/>
        </w:rPr>
        <w:t xml:space="preserve">Q/V-band spectrum under study, a careful evaluation of the various spectrum requirements will need to be undertaken to </w:t>
      </w:r>
      <w:r w:rsidRPr="004D3672">
        <w:rPr>
          <w:bCs/>
          <w:iCs/>
          <w:lang w:val="en-GB"/>
        </w:rPr>
        <w:t>establish bands for 5G and sharing arrangements that also meet the spectrum requirements of other services.</w:t>
      </w:r>
      <w:r w:rsidRPr="00F378BB">
        <w:rPr>
          <w:bCs/>
          <w:iCs/>
          <w:lang w:val="en-GB"/>
        </w:rPr>
        <w:t xml:space="preserve">  </w:t>
      </w:r>
    </w:p>
    <w:p w:rsidR="00B5143C" w:rsidRDefault="00B5143C" w:rsidP="00B5143C">
      <w:pPr>
        <w:pStyle w:val="ListParagraph"/>
        <w:ind w:left="0"/>
        <w:jc w:val="both"/>
        <w:rPr>
          <w:bCs/>
          <w:iCs/>
          <w:lang w:val="en-GB"/>
        </w:rPr>
      </w:pPr>
    </w:p>
    <w:p w:rsidR="00B5143C" w:rsidRDefault="00B5143C" w:rsidP="00B5143C">
      <w:pPr>
        <w:pStyle w:val="ListParagraph"/>
        <w:ind w:left="0"/>
        <w:jc w:val="both"/>
        <w:rPr>
          <w:bCs/>
          <w:iCs/>
          <w:lang w:val="en-GB"/>
        </w:rPr>
      </w:pPr>
      <w:r w:rsidRPr="00F378BB">
        <w:rPr>
          <w:bCs/>
          <w:iCs/>
          <w:lang w:val="en-GB"/>
        </w:rPr>
        <w:t>The 66 GHz</w:t>
      </w:r>
      <w:r>
        <w:rPr>
          <w:bCs/>
          <w:iCs/>
          <w:lang w:val="en-GB"/>
        </w:rPr>
        <w:t>, 70 GHz</w:t>
      </w:r>
      <w:r w:rsidRPr="00F378BB">
        <w:rPr>
          <w:bCs/>
          <w:iCs/>
          <w:lang w:val="en-GB"/>
        </w:rPr>
        <w:t xml:space="preserve"> and 81 GHz bands, in particular, are considered very good prospects for international harmonization given their limited existing and planned use by other radio services. </w:t>
      </w:r>
      <w:r>
        <w:rPr>
          <w:bCs/>
          <w:iCs/>
          <w:lang w:val="en-GB"/>
        </w:rPr>
        <w:t>These</w:t>
      </w:r>
      <w:r w:rsidRPr="00F378BB">
        <w:rPr>
          <w:bCs/>
          <w:iCs/>
          <w:lang w:val="en-GB"/>
        </w:rPr>
        <w:t xml:space="preserve"> bands should yield about 15 GHz of spectrum in contiguous blocks of at least 5 GHz, which could support very wide-band 5G/IMT-2020 carriers. These bands should therefore be able to support the development of 5G mobile networks in high-density indoor and outdoor scenarios, such as stadiums, campuses or shopping malls located in urban and suburban areas. The use of these bands would also benefit from synergies with </w:t>
      </w:r>
      <w:proofErr w:type="spellStart"/>
      <w:r w:rsidRPr="00F378BB">
        <w:rPr>
          <w:bCs/>
          <w:iCs/>
          <w:lang w:val="en-GB"/>
        </w:rPr>
        <w:t>WiGig</w:t>
      </w:r>
      <w:proofErr w:type="spellEnd"/>
      <w:r>
        <w:rPr>
          <w:bCs/>
          <w:iCs/>
          <w:lang w:val="en-GB"/>
        </w:rPr>
        <w:t>,</w:t>
      </w:r>
      <w:r w:rsidRPr="00F378BB">
        <w:rPr>
          <w:bCs/>
          <w:iCs/>
          <w:lang w:val="en-GB"/>
        </w:rPr>
        <w:t xml:space="preserve"> currently being deployed at 61 GHz</w:t>
      </w:r>
      <w:r>
        <w:rPr>
          <w:bCs/>
          <w:iCs/>
          <w:lang w:val="en-GB"/>
        </w:rPr>
        <w:t>,</w:t>
      </w:r>
      <w:r w:rsidRPr="00F378BB">
        <w:rPr>
          <w:bCs/>
          <w:iCs/>
          <w:lang w:val="en-GB"/>
        </w:rPr>
        <w:t xml:space="preserve"> for which chipsets and MIMO antenna systems are already being manufactured.</w:t>
      </w:r>
    </w:p>
    <w:p w:rsidR="00B5143C" w:rsidRDefault="00B5143C" w:rsidP="00B5143C">
      <w:pPr>
        <w:pStyle w:val="ListParagraph"/>
        <w:ind w:left="0"/>
        <w:jc w:val="both"/>
        <w:rPr>
          <w:bCs/>
        </w:rPr>
      </w:pPr>
    </w:p>
    <w:p w:rsidR="00B5143C" w:rsidRPr="00F378BB" w:rsidRDefault="00B5143C" w:rsidP="00B5143C">
      <w:pPr>
        <w:pStyle w:val="ListParagraph"/>
        <w:ind w:left="0"/>
        <w:jc w:val="both"/>
        <w:rPr>
          <w:bCs/>
        </w:rPr>
      </w:pPr>
    </w:p>
    <w:p w:rsidR="00B5143C" w:rsidRDefault="00B5143C" w:rsidP="00B5143C">
      <w:pPr>
        <w:pStyle w:val="ListParagraph"/>
        <w:numPr>
          <w:ilvl w:val="0"/>
          <w:numId w:val="12"/>
        </w:numPr>
        <w:jc w:val="both"/>
        <w:rPr>
          <w:b/>
          <w:bCs/>
        </w:rPr>
      </w:pPr>
      <w:r>
        <w:rPr>
          <w:b/>
          <w:bCs/>
        </w:rPr>
        <w:t>AVIA’S and APSCC’s Position and Proposal</w:t>
      </w:r>
    </w:p>
    <w:p w:rsidR="00B5143C" w:rsidRDefault="00B5143C" w:rsidP="00B5143C">
      <w:pPr>
        <w:jc w:val="both"/>
        <w:rPr>
          <w:b/>
          <w:bCs/>
        </w:rPr>
      </w:pPr>
    </w:p>
    <w:p w:rsidR="00B5143C" w:rsidRDefault="00B5143C" w:rsidP="00B5143C">
      <w:pPr>
        <w:jc w:val="both"/>
        <w:rPr>
          <w:b/>
          <w:bCs/>
        </w:rPr>
      </w:pPr>
      <w:r>
        <w:rPr>
          <w:b/>
          <w:bCs/>
        </w:rPr>
        <w:t>Band 24.25-27.5 GHz</w:t>
      </w:r>
    </w:p>
    <w:p w:rsidR="00B5143C" w:rsidRDefault="00B5143C" w:rsidP="00B5143C">
      <w:pPr>
        <w:jc w:val="both"/>
        <w:rPr>
          <w:b/>
          <w:bCs/>
        </w:rPr>
      </w:pPr>
    </w:p>
    <w:p w:rsidR="00B5143C" w:rsidRPr="00832B35" w:rsidRDefault="00B5143C" w:rsidP="007F5105">
      <w:pPr>
        <w:pStyle w:val="ListParagraph"/>
        <w:shd w:val="clear" w:color="auto" w:fill="FFFFFF" w:themeFill="background1"/>
        <w:ind w:left="0"/>
        <w:jc w:val="both"/>
        <w:rPr>
          <w:bCs/>
          <w:iCs/>
          <w:lang w:val="en-GB"/>
        </w:rPr>
      </w:pPr>
      <w:r w:rsidRPr="00832B35">
        <w:rPr>
          <w:bCs/>
          <w:iCs/>
          <w:lang w:val="en-GB"/>
        </w:rPr>
        <w:t>An identification for IMT in the sub-band 24.25-27 GHz is possible with appropriate</w:t>
      </w:r>
      <w:r>
        <w:rPr>
          <w:bCs/>
          <w:iCs/>
          <w:lang w:val="en-GB"/>
        </w:rPr>
        <w:t xml:space="preserve"> a</w:t>
      </w:r>
      <w:r w:rsidRPr="0056421F">
        <w:rPr>
          <w:bCs/>
          <w:iCs/>
          <w:lang w:val="en-GB"/>
        </w:rPr>
        <w:t>dequate and enforceable regulatory measures, such as power limits on IMT base stations above the horizon, must be adopted to ensure there is no harmful interference.</w:t>
      </w:r>
      <w:r w:rsidRPr="00832B35">
        <w:rPr>
          <w:bCs/>
          <w:iCs/>
          <w:lang w:val="en-GB"/>
        </w:rPr>
        <w:t xml:space="preserve"> </w:t>
      </w:r>
      <w:r>
        <w:rPr>
          <w:bCs/>
          <w:iCs/>
          <w:lang w:val="en-GB"/>
        </w:rPr>
        <w:t xml:space="preserve">Such </w:t>
      </w:r>
      <w:r w:rsidRPr="00832B35">
        <w:rPr>
          <w:bCs/>
          <w:iCs/>
          <w:lang w:val="en-GB"/>
        </w:rPr>
        <w:t xml:space="preserve">regulatory measures </w:t>
      </w:r>
      <w:r>
        <w:rPr>
          <w:bCs/>
          <w:iCs/>
          <w:lang w:val="en-GB"/>
        </w:rPr>
        <w:t xml:space="preserve">will ensure </w:t>
      </w:r>
      <w:r w:rsidRPr="00832B35">
        <w:rPr>
          <w:bCs/>
          <w:iCs/>
          <w:lang w:val="en-GB"/>
        </w:rPr>
        <w:t>to protect and enable sustainable, viable access for FSS and other space service operations.  Specifically, the draft CPM text, Method A2 (either Alternative 1 or 2) for IMT identification with the following conditions (and draft ITU-R Resolution [A113-IMT 26 GHZ] (WRC-19))</w:t>
      </w:r>
      <w:r w:rsidR="007F5105">
        <w:rPr>
          <w:bCs/>
          <w:iCs/>
          <w:lang w:val="en-GB"/>
        </w:rPr>
        <w:t xml:space="preserve"> is supported:</w:t>
      </w:r>
    </w:p>
    <w:p w:rsidR="00B5143C" w:rsidRPr="00832B35" w:rsidRDefault="00B5143C" w:rsidP="00B5143C">
      <w:pPr>
        <w:pStyle w:val="ListParagraph"/>
        <w:ind w:left="0"/>
        <w:jc w:val="both"/>
        <w:rPr>
          <w:bCs/>
          <w:iCs/>
          <w:lang w:val="en-GB"/>
        </w:rPr>
      </w:pPr>
    </w:p>
    <w:p w:rsidR="00B5143C" w:rsidRPr="00832B35" w:rsidRDefault="00B5143C" w:rsidP="00B5143C">
      <w:pPr>
        <w:pStyle w:val="ListParagraph"/>
        <w:jc w:val="both"/>
        <w:rPr>
          <w:bCs/>
          <w:iCs/>
          <w:u w:val="single"/>
          <w:lang w:val="en-GB"/>
        </w:rPr>
      </w:pPr>
      <w:r w:rsidRPr="00832B35">
        <w:rPr>
          <w:bCs/>
          <w:iCs/>
          <w:u w:val="single"/>
          <w:lang w:val="en-GB"/>
        </w:rPr>
        <w:t>Protection Measures for FSS earth stations at known locations</w:t>
      </w:r>
    </w:p>
    <w:p w:rsidR="00B5143C" w:rsidRPr="00832B35" w:rsidRDefault="00B5143C" w:rsidP="00B5143C">
      <w:pPr>
        <w:pStyle w:val="ListParagraph"/>
        <w:jc w:val="both"/>
        <w:rPr>
          <w:bCs/>
          <w:iCs/>
          <w:lang w:val="en-GB"/>
        </w:rPr>
      </w:pPr>
      <w:r w:rsidRPr="00832B35">
        <w:rPr>
          <w:bCs/>
          <w:iCs/>
          <w:lang w:val="en-GB"/>
        </w:rPr>
        <w:t>The 24.65-25.25 GHz band is to be used for large FSS Earth stations at known locations (i.e. gateways), therefore appropriate zones around FSS Earth stations where IMT base stations could potentially receive interference can be determined, and co-existence be ensured. Need to adopt provisions to enable deployment of future FSS earth stations.</w:t>
      </w:r>
    </w:p>
    <w:p w:rsidR="00B5143C" w:rsidRPr="00832B35" w:rsidRDefault="00B5143C" w:rsidP="00B5143C">
      <w:pPr>
        <w:pStyle w:val="ListParagraph"/>
        <w:jc w:val="both"/>
        <w:rPr>
          <w:bCs/>
          <w:iCs/>
          <w:lang w:val="en-GB"/>
        </w:rPr>
      </w:pPr>
      <w:r w:rsidRPr="00832B35">
        <w:rPr>
          <w:bCs/>
          <w:iCs/>
          <w:lang w:val="en-GB"/>
        </w:rPr>
        <w:t xml:space="preserve">CPM text: Condition A2d Option 1. </w:t>
      </w:r>
    </w:p>
    <w:p w:rsidR="00B5143C" w:rsidRPr="00832B35" w:rsidRDefault="00B5143C" w:rsidP="00B5143C">
      <w:pPr>
        <w:pStyle w:val="ListParagraph"/>
        <w:ind w:left="0"/>
        <w:jc w:val="both"/>
        <w:rPr>
          <w:bCs/>
          <w:iCs/>
          <w:lang w:val="en-GB"/>
        </w:rPr>
      </w:pPr>
    </w:p>
    <w:p w:rsidR="00B5143C" w:rsidRPr="00832B35" w:rsidRDefault="00B5143C" w:rsidP="00B5143C">
      <w:pPr>
        <w:pStyle w:val="ListParagraph"/>
        <w:jc w:val="both"/>
        <w:rPr>
          <w:bCs/>
          <w:iCs/>
          <w:u w:val="single"/>
          <w:lang w:val="en-GB"/>
        </w:rPr>
      </w:pPr>
      <w:r w:rsidRPr="00832B35">
        <w:rPr>
          <w:bCs/>
          <w:iCs/>
          <w:u w:val="single"/>
          <w:lang w:val="en-GB"/>
        </w:rPr>
        <w:t>Protection Measures for FSS and ISS space stations in the band 24.25-27.5 GHz</w:t>
      </w:r>
    </w:p>
    <w:p w:rsidR="00B5143C" w:rsidRPr="00832B35" w:rsidRDefault="00B5143C" w:rsidP="00B5143C">
      <w:pPr>
        <w:pStyle w:val="ListParagraph"/>
        <w:jc w:val="both"/>
        <w:rPr>
          <w:bCs/>
          <w:iCs/>
          <w:lang w:val="en-GB"/>
        </w:rPr>
      </w:pPr>
      <w:r w:rsidRPr="00832B35">
        <w:rPr>
          <w:bCs/>
          <w:iCs/>
          <w:lang w:val="en-GB"/>
        </w:rPr>
        <w:t xml:space="preserve">To limit the aggregate IMT interference into FSS space receivers through the introduction in the RR of a limit on the Total Radiated Power (TRP) for IMT base station of 37 </w:t>
      </w:r>
      <w:proofErr w:type="spellStart"/>
      <w:r w:rsidRPr="00832B35">
        <w:rPr>
          <w:bCs/>
          <w:iCs/>
          <w:lang w:val="en-GB"/>
        </w:rPr>
        <w:t>dBm</w:t>
      </w:r>
      <w:proofErr w:type="spellEnd"/>
      <w:r w:rsidRPr="00832B35">
        <w:rPr>
          <w:bCs/>
          <w:iCs/>
          <w:lang w:val="en-GB"/>
        </w:rPr>
        <w:t xml:space="preserve">/200 </w:t>
      </w:r>
      <w:proofErr w:type="spellStart"/>
      <w:r w:rsidRPr="00832B35">
        <w:rPr>
          <w:bCs/>
          <w:iCs/>
          <w:lang w:val="en-GB"/>
        </w:rPr>
        <w:t>MHz.</w:t>
      </w:r>
      <w:proofErr w:type="spellEnd"/>
      <w:r w:rsidRPr="00832B35">
        <w:rPr>
          <w:bCs/>
          <w:iCs/>
          <w:lang w:val="en-GB"/>
        </w:rPr>
        <w:t xml:space="preserve"> Furthermore, the main beam of IMT base stations should not point above the horizon. Such limit on IMT base stations would not put any undue constraints on IMT deployment</w:t>
      </w:r>
      <w:r>
        <w:rPr>
          <w:bCs/>
          <w:iCs/>
          <w:lang w:val="en-GB"/>
        </w:rPr>
        <w:t>.</w:t>
      </w:r>
      <w:r w:rsidRPr="00832B35">
        <w:rPr>
          <w:bCs/>
          <w:iCs/>
          <w:lang w:val="en-GB"/>
        </w:rPr>
        <w:t xml:space="preserve"> </w:t>
      </w:r>
      <w:r>
        <w:rPr>
          <w:bCs/>
          <w:iCs/>
          <w:lang w:val="en-GB"/>
        </w:rPr>
        <w:t>T</w:t>
      </w:r>
      <w:r w:rsidRPr="00832B35">
        <w:rPr>
          <w:bCs/>
          <w:iCs/>
          <w:lang w:val="en-GB"/>
        </w:rPr>
        <w:t xml:space="preserve">he level of 37 </w:t>
      </w:r>
      <w:proofErr w:type="spellStart"/>
      <w:r w:rsidRPr="00832B35">
        <w:rPr>
          <w:bCs/>
          <w:iCs/>
          <w:lang w:val="en-GB"/>
        </w:rPr>
        <w:t>dBm</w:t>
      </w:r>
      <w:proofErr w:type="spellEnd"/>
      <w:r w:rsidRPr="00832B35">
        <w:rPr>
          <w:bCs/>
          <w:iCs/>
          <w:lang w:val="en-GB"/>
        </w:rPr>
        <w:t xml:space="preserve">/200MHz is based on the baseline level as provided by WP5D, which was 25 </w:t>
      </w:r>
      <w:proofErr w:type="spellStart"/>
      <w:r w:rsidRPr="00832B35">
        <w:rPr>
          <w:bCs/>
          <w:iCs/>
          <w:lang w:val="en-GB"/>
        </w:rPr>
        <w:t>dBm</w:t>
      </w:r>
      <w:proofErr w:type="spellEnd"/>
      <w:r w:rsidRPr="00832B35">
        <w:rPr>
          <w:bCs/>
          <w:iCs/>
          <w:lang w:val="en-GB"/>
        </w:rPr>
        <w:t xml:space="preserve">/200 MHz, </w:t>
      </w:r>
      <w:r>
        <w:rPr>
          <w:bCs/>
          <w:iCs/>
          <w:lang w:val="en-GB"/>
        </w:rPr>
        <w:t xml:space="preserve">and to which was </w:t>
      </w:r>
      <w:r w:rsidRPr="00832B35">
        <w:rPr>
          <w:bCs/>
          <w:iCs/>
          <w:lang w:val="en-GB"/>
        </w:rPr>
        <w:t xml:space="preserve">added </w:t>
      </w:r>
      <w:r>
        <w:rPr>
          <w:bCs/>
          <w:iCs/>
          <w:lang w:val="en-GB"/>
        </w:rPr>
        <w:t xml:space="preserve">the </w:t>
      </w:r>
      <w:r w:rsidRPr="00832B35">
        <w:rPr>
          <w:bCs/>
          <w:iCs/>
          <w:lang w:val="en-GB"/>
        </w:rPr>
        <w:t>12 dB of margin derived from TG 5/1 studies</w:t>
      </w:r>
      <w:r>
        <w:rPr>
          <w:bCs/>
          <w:iCs/>
          <w:lang w:val="en-GB"/>
        </w:rPr>
        <w:t xml:space="preserve">. </w:t>
      </w:r>
      <w:r w:rsidRPr="00832B35">
        <w:rPr>
          <w:bCs/>
          <w:iCs/>
          <w:lang w:val="en-GB"/>
        </w:rPr>
        <w:t xml:space="preserve"> </w:t>
      </w:r>
      <w:r>
        <w:rPr>
          <w:bCs/>
          <w:iCs/>
          <w:lang w:val="en-GB"/>
        </w:rPr>
        <w:t xml:space="preserve">These </w:t>
      </w:r>
      <w:r w:rsidRPr="00832B35">
        <w:rPr>
          <w:bCs/>
          <w:iCs/>
          <w:lang w:val="en-GB"/>
        </w:rPr>
        <w:t>levels provide maximum flexibility for IMT operations.</w:t>
      </w:r>
    </w:p>
    <w:p w:rsidR="00B5143C" w:rsidRPr="00832B35" w:rsidRDefault="00B5143C" w:rsidP="00B5143C">
      <w:pPr>
        <w:pStyle w:val="ListParagraph"/>
        <w:jc w:val="both"/>
        <w:rPr>
          <w:bCs/>
          <w:iCs/>
          <w:lang w:val="en-GB"/>
        </w:rPr>
      </w:pPr>
    </w:p>
    <w:p w:rsidR="00B5143C" w:rsidRPr="00832B35" w:rsidRDefault="00B5143C" w:rsidP="00B5143C">
      <w:pPr>
        <w:pStyle w:val="ListParagraph"/>
        <w:jc w:val="both"/>
        <w:rPr>
          <w:bCs/>
          <w:iCs/>
          <w:lang w:val="en-GB"/>
        </w:rPr>
      </w:pPr>
      <w:r w:rsidRPr="00832B35">
        <w:rPr>
          <w:bCs/>
          <w:iCs/>
          <w:lang w:val="en-GB"/>
        </w:rPr>
        <w:t xml:space="preserve">CPM text: Condition A2e Option 2 (with 37 </w:t>
      </w:r>
      <w:proofErr w:type="spellStart"/>
      <w:r w:rsidRPr="00832B35">
        <w:rPr>
          <w:bCs/>
          <w:iCs/>
          <w:lang w:val="en-GB"/>
        </w:rPr>
        <w:t>dBm</w:t>
      </w:r>
      <w:proofErr w:type="spellEnd"/>
      <w:r w:rsidRPr="00832B35">
        <w:rPr>
          <w:bCs/>
          <w:iCs/>
          <w:lang w:val="en-GB"/>
        </w:rPr>
        <w:t xml:space="preserve">/200 MHz). </w:t>
      </w:r>
    </w:p>
    <w:p w:rsidR="00B5143C" w:rsidRPr="00832B35" w:rsidRDefault="00B5143C" w:rsidP="00B5143C">
      <w:pPr>
        <w:pStyle w:val="ListParagraph"/>
        <w:jc w:val="both"/>
        <w:rPr>
          <w:bCs/>
          <w:iCs/>
          <w:u w:val="single"/>
          <w:lang w:val="en-GB"/>
        </w:rPr>
      </w:pPr>
    </w:p>
    <w:p w:rsidR="00B5143C" w:rsidRPr="00832B35" w:rsidRDefault="00B5143C" w:rsidP="00B5143C">
      <w:pPr>
        <w:pStyle w:val="ListParagraph"/>
        <w:jc w:val="both"/>
        <w:rPr>
          <w:bCs/>
          <w:iCs/>
          <w:lang w:val="en-GB"/>
        </w:rPr>
      </w:pPr>
      <w:r w:rsidRPr="00832B35">
        <w:rPr>
          <w:bCs/>
          <w:iCs/>
          <w:u w:val="single"/>
          <w:lang w:val="en-GB"/>
        </w:rPr>
        <w:t>Protection Measures for multiple services</w:t>
      </w:r>
    </w:p>
    <w:p w:rsidR="00B5143C" w:rsidRPr="00832B35" w:rsidRDefault="00B5143C" w:rsidP="00B5143C">
      <w:pPr>
        <w:pStyle w:val="ListParagraph"/>
        <w:jc w:val="both"/>
        <w:rPr>
          <w:bCs/>
          <w:iCs/>
          <w:lang w:val="en-GB"/>
        </w:rPr>
      </w:pPr>
      <w:r w:rsidRPr="00832B35">
        <w:rPr>
          <w:bCs/>
          <w:iCs/>
          <w:lang w:val="en-GB"/>
        </w:rPr>
        <w:t xml:space="preserve">Condition A2g Option 3 (Monitoring of IMT characteristics including deployment) is supported. </w:t>
      </w:r>
    </w:p>
    <w:p w:rsidR="00B5143C" w:rsidRPr="00832B35" w:rsidRDefault="00B5143C" w:rsidP="00B5143C">
      <w:pPr>
        <w:pStyle w:val="ListParagraph"/>
        <w:jc w:val="both"/>
        <w:rPr>
          <w:bCs/>
          <w:iCs/>
          <w:lang w:val="en-GB"/>
        </w:rPr>
      </w:pPr>
    </w:p>
    <w:p w:rsidR="00B5143C" w:rsidRPr="00832B35" w:rsidRDefault="00B5143C" w:rsidP="00B5143C">
      <w:pPr>
        <w:pStyle w:val="ListParagraph"/>
        <w:ind w:left="0"/>
        <w:jc w:val="both"/>
        <w:rPr>
          <w:bCs/>
          <w:iCs/>
          <w:lang w:val="en-GB"/>
        </w:rPr>
      </w:pPr>
      <w:r w:rsidRPr="00832B35">
        <w:rPr>
          <w:bCs/>
          <w:iCs/>
          <w:lang w:val="en-GB"/>
        </w:rPr>
        <w:t>In the 27-27.5 GHz sub-band, in which there is an FSS allocation</w:t>
      </w:r>
      <w:r>
        <w:rPr>
          <w:bCs/>
          <w:iCs/>
          <w:lang w:val="en-GB"/>
        </w:rPr>
        <w:t xml:space="preserve"> </w:t>
      </w:r>
      <w:r w:rsidRPr="007F5105">
        <w:rPr>
          <w:bCs/>
          <w:iCs/>
          <w:lang w:val="en-GB"/>
        </w:rPr>
        <w:t>in Regions 2 and 3 that</w:t>
      </w:r>
      <w:r w:rsidRPr="00832B35">
        <w:rPr>
          <w:bCs/>
          <w:iCs/>
          <w:lang w:val="en-GB"/>
        </w:rPr>
        <w:t xml:space="preserve"> would allow the deployment of small FSS earth stations at unspecified locations, sharing between IMT and FSS is not feasible as the minimum separation distance can</w:t>
      </w:r>
      <w:r>
        <w:rPr>
          <w:bCs/>
          <w:iCs/>
          <w:lang w:val="en-GB"/>
        </w:rPr>
        <w:t>not</w:t>
      </w:r>
      <w:r w:rsidRPr="00832B35">
        <w:rPr>
          <w:bCs/>
          <w:iCs/>
          <w:lang w:val="en-GB"/>
        </w:rPr>
        <w:t xml:space="preserve"> be guaranteed. </w:t>
      </w:r>
      <w:r>
        <w:rPr>
          <w:bCs/>
          <w:iCs/>
          <w:lang w:val="en-GB"/>
        </w:rPr>
        <w:t>Consequently</w:t>
      </w:r>
      <w:r w:rsidRPr="00832B35">
        <w:rPr>
          <w:bCs/>
          <w:iCs/>
          <w:lang w:val="en-GB"/>
        </w:rPr>
        <w:t>, IMT-2020 will need to be identified in a different band</w:t>
      </w:r>
      <w:r>
        <w:rPr>
          <w:bCs/>
          <w:iCs/>
          <w:lang w:val="en-GB"/>
        </w:rPr>
        <w:t xml:space="preserve"> </w:t>
      </w:r>
      <w:r w:rsidRPr="007F5105">
        <w:rPr>
          <w:bCs/>
          <w:iCs/>
          <w:lang w:val="en-GB"/>
        </w:rPr>
        <w:t>in the APT region at least.</w:t>
      </w:r>
    </w:p>
    <w:p w:rsidR="00B5143C" w:rsidRPr="0040334D" w:rsidRDefault="00B5143C" w:rsidP="00B5143C"/>
    <w:p w:rsidR="00B5143C" w:rsidRDefault="00B5143C" w:rsidP="00B5143C">
      <w:pPr>
        <w:jc w:val="both"/>
        <w:rPr>
          <w:b/>
          <w:bCs/>
        </w:rPr>
      </w:pPr>
    </w:p>
    <w:p w:rsidR="00B5143C" w:rsidRDefault="00B5143C" w:rsidP="00B5143C">
      <w:pPr>
        <w:jc w:val="both"/>
        <w:rPr>
          <w:b/>
          <w:bCs/>
        </w:rPr>
      </w:pPr>
    </w:p>
    <w:p w:rsidR="00B5143C" w:rsidRDefault="00B5143C" w:rsidP="00B5143C">
      <w:pPr>
        <w:jc w:val="both"/>
        <w:rPr>
          <w:b/>
          <w:bCs/>
        </w:rPr>
      </w:pPr>
      <w:r>
        <w:rPr>
          <w:b/>
          <w:bCs/>
        </w:rPr>
        <w:lastRenderedPageBreak/>
        <w:t>Band 37-43.5 GHz</w:t>
      </w:r>
    </w:p>
    <w:p w:rsidR="00B5143C" w:rsidRPr="00DB2D0E" w:rsidRDefault="00B5143C" w:rsidP="00B5143C">
      <w:pPr>
        <w:jc w:val="both"/>
        <w:rPr>
          <w:b/>
          <w:bCs/>
        </w:rPr>
      </w:pPr>
    </w:p>
    <w:p w:rsidR="00B5143C" w:rsidRDefault="00B5143C" w:rsidP="00B5143C">
      <w:pPr>
        <w:rPr>
          <w:bCs/>
          <w:iCs/>
          <w:lang w:val="en-GB"/>
        </w:rPr>
      </w:pPr>
      <w:r w:rsidRPr="004D3672">
        <w:rPr>
          <w:b/>
          <w:bCs/>
        </w:rPr>
        <w:t>AVIA and APSCC</w:t>
      </w:r>
      <w:r>
        <w:rPr>
          <w:bCs/>
          <w:iCs/>
          <w:lang w:val="en-GB"/>
        </w:rPr>
        <w:t xml:space="preserve"> are</w:t>
      </w:r>
      <w:r w:rsidRPr="00DB2D0E">
        <w:rPr>
          <w:bCs/>
          <w:iCs/>
          <w:lang w:val="en-GB"/>
        </w:rPr>
        <w:t xml:space="preserve"> of the view that:</w:t>
      </w:r>
    </w:p>
    <w:p w:rsidR="00B5143C" w:rsidRPr="00DB2D0E" w:rsidRDefault="00B5143C" w:rsidP="00B5143C">
      <w:pPr>
        <w:rPr>
          <w:bCs/>
          <w:iCs/>
          <w:lang w:val="en-GB"/>
        </w:rPr>
      </w:pPr>
    </w:p>
    <w:p w:rsidR="00B5143C" w:rsidRPr="00DB2D0E" w:rsidRDefault="00B5143C" w:rsidP="00B5143C">
      <w:pPr>
        <w:pStyle w:val="ListParagraph"/>
        <w:widowControl w:val="0"/>
        <w:numPr>
          <w:ilvl w:val="0"/>
          <w:numId w:val="15"/>
        </w:numPr>
        <w:suppressAutoHyphens/>
        <w:contextualSpacing w:val="0"/>
        <w:jc w:val="both"/>
        <w:rPr>
          <w:bCs/>
          <w:iCs/>
          <w:lang w:val="en-GB"/>
        </w:rPr>
      </w:pPr>
      <w:r w:rsidRPr="00DB2D0E">
        <w:rPr>
          <w:bCs/>
          <w:iCs/>
          <w:lang w:val="en-GB"/>
        </w:rPr>
        <w:t>The band 40.5-43.5 GHz can be shared between IMT and coordinated gateway earth stations</w:t>
      </w:r>
      <w:r>
        <w:rPr>
          <w:bCs/>
          <w:iCs/>
          <w:lang w:val="en-GB"/>
        </w:rPr>
        <w:t xml:space="preserve"> in Region </w:t>
      </w:r>
      <w:r w:rsidRPr="00DB2D0E">
        <w:rPr>
          <w:bCs/>
          <w:iCs/>
          <w:lang w:val="en-GB"/>
        </w:rPr>
        <w:t>3</w:t>
      </w:r>
      <w:r>
        <w:rPr>
          <w:bCs/>
          <w:iCs/>
          <w:lang w:val="en-GB"/>
        </w:rPr>
        <w:t xml:space="preserve"> with suitable regulatory provisions</w:t>
      </w:r>
      <w:r w:rsidRPr="00DB2D0E">
        <w:rPr>
          <w:bCs/>
          <w:iCs/>
          <w:lang w:val="en-GB"/>
        </w:rPr>
        <w:t>, while spectrum below 40.5 GHz is required for uncoordinated FSS terminals that cannot share with IMT</w:t>
      </w:r>
      <w:r>
        <w:rPr>
          <w:bCs/>
          <w:iCs/>
          <w:lang w:val="en-GB"/>
        </w:rPr>
        <w:t xml:space="preserve"> (see figure 2</w:t>
      </w:r>
      <w:r w:rsidRPr="00DB2D0E">
        <w:rPr>
          <w:bCs/>
          <w:iCs/>
          <w:lang w:val="en-GB"/>
        </w:rPr>
        <w:t>).</w:t>
      </w:r>
    </w:p>
    <w:p w:rsidR="00B5143C" w:rsidRPr="00DB2D0E" w:rsidRDefault="00B5143C" w:rsidP="00B5143C">
      <w:pPr>
        <w:numPr>
          <w:ilvl w:val="0"/>
          <w:numId w:val="15"/>
        </w:numPr>
        <w:ind w:left="714" w:hanging="357"/>
        <w:rPr>
          <w:bCs/>
          <w:iCs/>
          <w:lang w:val="en-GB"/>
        </w:rPr>
      </w:pPr>
      <w:r w:rsidRPr="00DB2D0E">
        <w:rPr>
          <w:bCs/>
          <w:iCs/>
          <w:lang w:val="en-GB"/>
        </w:rPr>
        <w:t>It is necessary to prese</w:t>
      </w:r>
      <w:r>
        <w:rPr>
          <w:bCs/>
          <w:iCs/>
          <w:lang w:val="en-GB"/>
        </w:rPr>
        <w:t xml:space="preserve">rve FS and FSS in Region </w:t>
      </w:r>
      <w:r w:rsidRPr="00DB2D0E">
        <w:rPr>
          <w:bCs/>
          <w:iCs/>
          <w:lang w:val="en-GB"/>
        </w:rPr>
        <w:t>3 in the band 37-40.5 GHz.</w:t>
      </w:r>
    </w:p>
    <w:p w:rsidR="00B5143C" w:rsidRPr="00DB2D0E" w:rsidRDefault="00B5143C" w:rsidP="00B5143C">
      <w:pPr>
        <w:pStyle w:val="ListParagraph"/>
        <w:widowControl w:val="0"/>
        <w:numPr>
          <w:ilvl w:val="0"/>
          <w:numId w:val="15"/>
        </w:numPr>
        <w:suppressAutoHyphens/>
        <w:contextualSpacing w:val="0"/>
        <w:jc w:val="both"/>
        <w:rPr>
          <w:bCs/>
          <w:iCs/>
          <w:lang w:val="en-GB"/>
        </w:rPr>
      </w:pPr>
      <w:r w:rsidRPr="00DB2D0E">
        <w:rPr>
          <w:bCs/>
          <w:iCs/>
          <w:lang w:val="en-GB"/>
        </w:rPr>
        <w:t xml:space="preserve">There is no need to identify IMT globally in the range 37-43.5 GHz in the Radio Regulations to support a tuning range for IMT equipment.  </w:t>
      </w:r>
    </w:p>
    <w:p w:rsidR="00B5143C" w:rsidRPr="00DB2D0E" w:rsidRDefault="00B5143C" w:rsidP="00B5143C">
      <w:pPr>
        <w:numPr>
          <w:ilvl w:val="0"/>
          <w:numId w:val="15"/>
        </w:numPr>
        <w:ind w:left="714" w:hanging="357"/>
      </w:pPr>
      <w:r w:rsidRPr="00DB2D0E">
        <w:rPr>
          <w:bCs/>
          <w:iCs/>
          <w:lang w:val="en-GB"/>
        </w:rPr>
        <w:t xml:space="preserve">Bands identified for IMT should be feasible </w:t>
      </w:r>
      <w:proofErr w:type="spellStart"/>
      <w:r w:rsidRPr="00DB2D0E">
        <w:rPr>
          <w:bCs/>
          <w:iCs/>
          <w:lang w:val="en-GB"/>
        </w:rPr>
        <w:t>fo</w:t>
      </w:r>
      <w:proofErr w:type="spellEnd"/>
      <w:r w:rsidRPr="00DB2D0E">
        <w:t xml:space="preserve">r its use in many countries and conversely bands that are not suitable in the majority of countries should not be identified for IMT to ensure a </w:t>
      </w:r>
      <w:proofErr w:type="spellStart"/>
      <w:r w:rsidRPr="00DB2D0E">
        <w:t>harmonised</w:t>
      </w:r>
      <w:proofErr w:type="spellEnd"/>
      <w:r w:rsidRPr="00DB2D0E">
        <w:t xml:space="preserve"> and efficient use of spectrum.  It is not appropriate for </w:t>
      </w:r>
      <w:r>
        <w:t>any country</w:t>
      </w:r>
      <w:r w:rsidRPr="00DB2D0E">
        <w:t xml:space="preserve"> to propose identification in a band it does not intend to use.</w:t>
      </w:r>
    </w:p>
    <w:p w:rsidR="00B5143C" w:rsidRDefault="00B5143C" w:rsidP="00B5143C"/>
    <w:p w:rsidR="00B5143C" w:rsidRDefault="00B5143C" w:rsidP="00B5143C">
      <w:r w:rsidRPr="00DB2D0E">
        <w:t xml:space="preserve">Global economies of scale for IMT equipment, as well as preservation of FS and FSS in 37-40.5 GHz </w:t>
      </w:r>
      <w:r>
        <w:t xml:space="preserve">in Region </w:t>
      </w:r>
      <w:r w:rsidRPr="00DB2D0E">
        <w:t xml:space="preserve">3, can be achieved through identification of 3 GHz of spectrum for IMT </w:t>
      </w:r>
      <w:r>
        <w:t>in each ITU Region (see figure 3</w:t>
      </w:r>
      <w:r w:rsidRPr="00DB2D0E">
        <w:t>), provided the RF equipment can tune across the whole 37-43.5 GHz range.</w:t>
      </w:r>
    </w:p>
    <w:p w:rsidR="00B5143C" w:rsidRPr="00DB2D0E" w:rsidRDefault="00B5143C" w:rsidP="00B5143C"/>
    <w:p w:rsidR="00B5143C" w:rsidRPr="00DB2D0E" w:rsidRDefault="00B5143C" w:rsidP="00B5143C">
      <w:pPr>
        <w:jc w:val="center"/>
        <w:rPr>
          <w:i/>
        </w:rPr>
      </w:pPr>
      <w:r>
        <w:rPr>
          <w:i/>
        </w:rPr>
        <w:t>Figure 2</w:t>
      </w:r>
      <w:r w:rsidRPr="00DB2D0E">
        <w:rPr>
          <w:i/>
        </w:rPr>
        <w:t>: Current HDFSS (s-E) identifications within 37-43.5 GHz</w:t>
      </w:r>
    </w:p>
    <w:p w:rsidR="00B5143C" w:rsidRDefault="00B5143C" w:rsidP="00B5143C"/>
    <w:p w:rsidR="00B5143C" w:rsidRDefault="00B5143C" w:rsidP="00B5143C">
      <w:pPr>
        <w:jc w:val="center"/>
      </w:pPr>
      <w:r w:rsidRPr="000F77BB">
        <w:rPr>
          <w:noProof/>
        </w:rPr>
        <w:drawing>
          <wp:inline distT="0" distB="0" distL="0" distR="0" wp14:anchorId="4980EEBC" wp14:editId="72537FA8">
            <wp:extent cx="5031529" cy="92880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1529" cy="928800"/>
                    </a:xfrm>
                    <a:prstGeom prst="rect">
                      <a:avLst/>
                    </a:prstGeom>
                    <a:noFill/>
                    <a:ln>
                      <a:noFill/>
                    </a:ln>
                  </pic:spPr>
                </pic:pic>
              </a:graphicData>
            </a:graphic>
          </wp:inline>
        </w:drawing>
      </w:r>
    </w:p>
    <w:p w:rsidR="00B5143C" w:rsidRPr="002B2FA9" w:rsidRDefault="00B5143C" w:rsidP="00B5143C"/>
    <w:p w:rsidR="00B5143C" w:rsidRPr="00DB2D0E" w:rsidRDefault="00B5143C" w:rsidP="00B5143C">
      <w:pPr>
        <w:jc w:val="center"/>
        <w:rPr>
          <w:i/>
        </w:rPr>
      </w:pPr>
      <w:r>
        <w:rPr>
          <w:i/>
        </w:rPr>
        <w:t>Figure 3</w:t>
      </w:r>
      <w:r w:rsidRPr="00DB2D0E">
        <w:rPr>
          <w:i/>
        </w:rPr>
        <w:t xml:space="preserve">: </w:t>
      </w:r>
      <w:r>
        <w:rPr>
          <w:i/>
        </w:rPr>
        <w:t xml:space="preserve">AVIA’s and APSCC’s </w:t>
      </w:r>
      <w:r w:rsidRPr="00DB2D0E">
        <w:rPr>
          <w:i/>
        </w:rPr>
        <w:t>proposal for IMT in the range 37-43.5 GHz</w:t>
      </w:r>
    </w:p>
    <w:p w:rsidR="00B5143C" w:rsidRDefault="00B5143C" w:rsidP="00B5143C"/>
    <w:p w:rsidR="00B5143C" w:rsidRDefault="00B5143C" w:rsidP="00B5143C">
      <w:pPr>
        <w:jc w:val="center"/>
      </w:pPr>
      <w:r w:rsidRPr="00861FEA">
        <w:rPr>
          <w:noProof/>
        </w:rPr>
        <w:drawing>
          <wp:inline distT="0" distB="0" distL="0" distR="0" wp14:anchorId="08553650" wp14:editId="48114C4A">
            <wp:extent cx="5000400" cy="882000"/>
            <wp:effectExtent l="0" t="0" r="0" b="0"/>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400" cy="882000"/>
                    </a:xfrm>
                    <a:prstGeom prst="rect">
                      <a:avLst/>
                    </a:prstGeom>
                    <a:noFill/>
                    <a:ln>
                      <a:noFill/>
                    </a:ln>
                  </pic:spPr>
                </pic:pic>
              </a:graphicData>
            </a:graphic>
          </wp:inline>
        </w:drawing>
      </w:r>
    </w:p>
    <w:p w:rsidR="00B5143C" w:rsidRDefault="00B5143C" w:rsidP="00B5143C"/>
    <w:p w:rsidR="00B5143C" w:rsidRDefault="00B5143C" w:rsidP="00B5143C"/>
    <w:p w:rsidR="00B5143C" w:rsidRDefault="00B5143C" w:rsidP="00B5143C">
      <w:r w:rsidRPr="00DB2D0E">
        <w:t>It is therefore proposed that:</w:t>
      </w:r>
    </w:p>
    <w:p w:rsidR="00B5143C" w:rsidRPr="00DB2D0E" w:rsidRDefault="00B5143C" w:rsidP="00B5143C"/>
    <w:p w:rsidR="00B5143C" w:rsidRDefault="00B5143C" w:rsidP="00B5143C">
      <w:pPr>
        <w:pStyle w:val="ListParagraph"/>
        <w:widowControl w:val="0"/>
        <w:numPr>
          <w:ilvl w:val="0"/>
          <w:numId w:val="17"/>
        </w:numPr>
        <w:suppressAutoHyphens/>
        <w:contextualSpacing w:val="0"/>
        <w:jc w:val="both"/>
      </w:pPr>
      <w:r w:rsidRPr="00DB2D0E">
        <w:t xml:space="preserve">Region 3: IMT identification </w:t>
      </w:r>
      <w:r w:rsidRPr="004D3672">
        <w:t>in the band 40.5-43.5 GHz,</w:t>
      </w:r>
      <w:r>
        <w:t xml:space="preserve"> </w:t>
      </w:r>
      <w:r w:rsidRPr="00DB2D0E">
        <w:t xml:space="preserve">that preserves current HDFSS identifications in 40-40.5 GHz, as well as an additional portion of downlink spectrum at 40 GHz for uncoordinated FSS Earth stations, </w:t>
      </w:r>
      <w:r>
        <w:t>possibly to align</w:t>
      </w:r>
      <w:r w:rsidRPr="00DB2D0E">
        <w:t xml:space="preserve"> with Region 1.</w:t>
      </w:r>
    </w:p>
    <w:p w:rsidR="00B5143C" w:rsidRPr="00DB2D0E" w:rsidRDefault="00B5143C" w:rsidP="00B5143C">
      <w:pPr>
        <w:pStyle w:val="ListParagraph"/>
        <w:widowControl w:val="0"/>
        <w:suppressAutoHyphens/>
        <w:contextualSpacing w:val="0"/>
        <w:jc w:val="both"/>
      </w:pPr>
    </w:p>
    <w:p w:rsidR="00B5143C" w:rsidRDefault="00B5143C" w:rsidP="00B5143C">
      <w:r w:rsidRPr="00DB2D0E">
        <w:t>This would provide 3 GHz of spectrum for IMT in all ITU-R Regions and would allow common IMT equipment to be used, provided the</w:t>
      </w:r>
      <w:r>
        <w:t xml:space="preserve"> </w:t>
      </w:r>
      <w:r w:rsidRPr="00DB2D0E">
        <w:t xml:space="preserve">RF equipment can tune across the whole 37-43.5 GHz range. </w:t>
      </w:r>
    </w:p>
    <w:p w:rsidR="00B5143C" w:rsidRPr="00DB2D0E" w:rsidRDefault="00B5143C" w:rsidP="00B5143C"/>
    <w:p w:rsidR="00B5143C" w:rsidRPr="00DB2D0E" w:rsidRDefault="00B5143C" w:rsidP="00B5143C">
      <w:pPr>
        <w:rPr>
          <w:color w:val="000000"/>
        </w:rPr>
      </w:pPr>
      <w:r w:rsidRPr="00DB2D0E">
        <w:t xml:space="preserve">To facilitate co-existence between IMT and the FSS, a limit on the Total Radiated Power (TRP) of IMT base stations of 44 </w:t>
      </w:r>
      <w:proofErr w:type="spellStart"/>
      <w:r w:rsidRPr="00DB2D0E">
        <w:t>dBm</w:t>
      </w:r>
      <w:proofErr w:type="spellEnd"/>
      <w:r w:rsidRPr="00DB2D0E">
        <w:t xml:space="preserve">/200MHz </w:t>
      </w:r>
      <w:r w:rsidRPr="00DB2D0E">
        <w:rPr>
          <w:color w:val="000000"/>
        </w:rPr>
        <w:t>should be introduced into the Radio Regulations.</w:t>
      </w:r>
    </w:p>
    <w:p w:rsidR="00B5143C" w:rsidRPr="00DB2D0E" w:rsidRDefault="00B5143C" w:rsidP="00B5143C"/>
    <w:p w:rsidR="00B5143C" w:rsidRPr="00DB2D0E" w:rsidRDefault="00B5143C" w:rsidP="00B5143C">
      <w:r w:rsidRPr="00DB2D0E">
        <w:t xml:space="preserve">Regarding the draft CPM </w:t>
      </w:r>
      <w:r>
        <w:t>text and its Methods, we</w:t>
      </w:r>
      <w:r w:rsidRPr="00DB2D0E">
        <w:t xml:space="preserve"> supp</w:t>
      </w:r>
      <w:r>
        <w:t>ort</w:t>
      </w:r>
      <w:r w:rsidRPr="00DB2D0E">
        <w:t>:</w:t>
      </w:r>
    </w:p>
    <w:p w:rsidR="00B5143C" w:rsidRPr="00DB2D0E" w:rsidRDefault="00B5143C" w:rsidP="00B5143C">
      <w:r w:rsidRPr="00DB2D0E">
        <w:lastRenderedPageBreak/>
        <w:t>In the band 37-40.5 GHz:</w:t>
      </w:r>
    </w:p>
    <w:p w:rsidR="00B5143C" w:rsidRPr="00DB2D0E" w:rsidRDefault="00B5143C" w:rsidP="00B5143C">
      <w:pPr>
        <w:pStyle w:val="ListParagraph"/>
        <w:numPr>
          <w:ilvl w:val="0"/>
          <w:numId w:val="16"/>
        </w:numPr>
        <w:contextualSpacing w:val="0"/>
        <w:jc w:val="both"/>
        <w:rPr>
          <w:color w:val="000000"/>
        </w:rPr>
      </w:pPr>
      <w:r w:rsidRPr="00DB2D0E">
        <w:t>In Region 3: C1 (NOC) for the band 37-40.5 GHz</w:t>
      </w:r>
    </w:p>
    <w:p w:rsidR="00B5143C" w:rsidRPr="00DB2D0E" w:rsidRDefault="00B5143C" w:rsidP="00B5143C">
      <w:pPr>
        <w:pStyle w:val="ListParagraph"/>
        <w:contextualSpacing w:val="0"/>
        <w:jc w:val="both"/>
        <w:rPr>
          <w:color w:val="000000"/>
        </w:rPr>
      </w:pPr>
    </w:p>
    <w:p w:rsidR="00B5143C" w:rsidRPr="00DB2D0E" w:rsidRDefault="00B5143C" w:rsidP="00B5143C">
      <w:r w:rsidRPr="00DB2D0E">
        <w:t>In the band 40.5-42.5 GHz:</w:t>
      </w:r>
    </w:p>
    <w:p w:rsidR="00B5143C" w:rsidRPr="00DB2D0E" w:rsidRDefault="00B5143C" w:rsidP="00B5143C">
      <w:pPr>
        <w:pStyle w:val="ListParagraph"/>
        <w:numPr>
          <w:ilvl w:val="0"/>
          <w:numId w:val="16"/>
        </w:numPr>
        <w:contextualSpacing w:val="0"/>
        <w:jc w:val="both"/>
        <w:rPr>
          <w:color w:val="000000"/>
        </w:rPr>
      </w:pPr>
      <w:r w:rsidRPr="00DB2D0E">
        <w:t>In Region 3: Method D2, Conditions D2a Option 3.</w:t>
      </w:r>
    </w:p>
    <w:p w:rsidR="00B5143C" w:rsidRPr="00DB2D0E" w:rsidRDefault="00B5143C" w:rsidP="00B5143C">
      <w:pPr>
        <w:pStyle w:val="ListParagraph"/>
        <w:contextualSpacing w:val="0"/>
        <w:jc w:val="both"/>
        <w:rPr>
          <w:color w:val="000000"/>
        </w:rPr>
      </w:pPr>
    </w:p>
    <w:p w:rsidR="00B5143C" w:rsidRPr="00DB2D0E" w:rsidRDefault="00B5143C" w:rsidP="00B5143C">
      <w:r w:rsidRPr="00DB2D0E">
        <w:t>In the band 42.5-43.5 GHz:</w:t>
      </w:r>
    </w:p>
    <w:p w:rsidR="00B5143C" w:rsidRPr="00DB2D0E" w:rsidRDefault="00B5143C" w:rsidP="00B5143C">
      <w:pPr>
        <w:pStyle w:val="ListParagraph"/>
        <w:numPr>
          <w:ilvl w:val="0"/>
          <w:numId w:val="16"/>
        </w:numPr>
        <w:contextualSpacing w:val="0"/>
        <w:jc w:val="both"/>
      </w:pPr>
      <w:r w:rsidRPr="00DB2D0E">
        <w:t>In Region 3: Method E2, Condition E2a Options 1 and 6, Condition E2c Option 3 Condition E2d Option 1.</w:t>
      </w:r>
    </w:p>
    <w:p w:rsidR="00B5143C" w:rsidRDefault="00B5143C" w:rsidP="00B5143C"/>
    <w:p w:rsidR="00B5143C" w:rsidRPr="00DB2D0E" w:rsidRDefault="00B5143C" w:rsidP="00B5143C">
      <w:pPr>
        <w:rPr>
          <w:color w:val="000000"/>
        </w:rPr>
      </w:pPr>
      <w:r w:rsidRPr="00DB2D0E">
        <w:t>Methods are to be considered in conjunction with the draft WRC-19 Resolution of the draft CPM text.</w:t>
      </w:r>
    </w:p>
    <w:p w:rsidR="00B5143C" w:rsidRPr="00DB2D0E" w:rsidRDefault="00B5143C" w:rsidP="00B5143C">
      <w:pPr>
        <w:pStyle w:val="ListParagraph"/>
        <w:ind w:left="0"/>
        <w:jc w:val="both"/>
        <w:rPr>
          <w:bCs/>
        </w:rPr>
      </w:pPr>
    </w:p>
    <w:p w:rsidR="00B5143C" w:rsidRDefault="00B5143C" w:rsidP="00B5143C">
      <w:pPr>
        <w:jc w:val="both"/>
        <w:rPr>
          <w:b/>
          <w:bCs/>
        </w:rPr>
      </w:pPr>
      <w:r>
        <w:rPr>
          <w:b/>
          <w:bCs/>
        </w:rPr>
        <w:t>Bands 47.2-50.2 GHz and 50.4-51.4 GHz</w:t>
      </w:r>
    </w:p>
    <w:p w:rsidR="00B5143C" w:rsidRPr="00DB2D0E" w:rsidRDefault="00B5143C" w:rsidP="00B5143C">
      <w:pPr>
        <w:pStyle w:val="ListParagraph"/>
        <w:ind w:left="0"/>
        <w:jc w:val="both"/>
        <w:rPr>
          <w:bCs/>
        </w:rPr>
      </w:pPr>
    </w:p>
    <w:p w:rsidR="00B5143C" w:rsidRDefault="00B5143C" w:rsidP="00B5143C">
      <w:pPr>
        <w:pStyle w:val="ListParagraph"/>
        <w:ind w:left="0"/>
        <w:jc w:val="both"/>
        <w:rPr>
          <w:bCs/>
        </w:rPr>
      </w:pPr>
      <w:r>
        <w:rPr>
          <w:bCs/>
        </w:rPr>
        <w:t>Since</w:t>
      </w:r>
      <w:r w:rsidRPr="00CB6FB5">
        <w:rPr>
          <w:bCs/>
        </w:rPr>
        <w:t xml:space="preserve"> large amounts of spectrum are supported for </w:t>
      </w:r>
      <w:r>
        <w:rPr>
          <w:bCs/>
        </w:rPr>
        <w:t>possible IMT identification in other</w:t>
      </w:r>
      <w:r w:rsidRPr="00CB6FB5">
        <w:rPr>
          <w:bCs/>
        </w:rPr>
        <w:t xml:space="preserve"> bands</w:t>
      </w:r>
      <w:r>
        <w:rPr>
          <w:bCs/>
        </w:rPr>
        <w:t>,</w:t>
      </w:r>
      <w:r w:rsidRPr="00CB6FB5">
        <w:rPr>
          <w:bCs/>
        </w:rPr>
        <w:t xml:space="preserve"> no change to the RR in the bands 47.2 –50.2 GHz and 50.4-51.4 GHz is recommended.</w:t>
      </w:r>
    </w:p>
    <w:p w:rsidR="00B5143C" w:rsidRPr="00CB6FB5" w:rsidRDefault="00B5143C" w:rsidP="00B5143C">
      <w:pPr>
        <w:pStyle w:val="ListParagraph"/>
        <w:ind w:left="0"/>
        <w:jc w:val="both"/>
        <w:rPr>
          <w:bCs/>
        </w:rPr>
      </w:pPr>
    </w:p>
    <w:p w:rsidR="00B5143C" w:rsidRPr="00CB6FB5" w:rsidRDefault="00B5143C" w:rsidP="00B5143C">
      <w:pPr>
        <w:pStyle w:val="ListParagraph"/>
        <w:ind w:left="0"/>
        <w:jc w:val="both"/>
        <w:rPr>
          <w:bCs/>
        </w:rPr>
      </w:pPr>
      <w:r w:rsidRPr="00CB6FB5">
        <w:rPr>
          <w:bCs/>
        </w:rPr>
        <w:t>If however IMT identifications are considered, appropriate protection measures similar to the ones in the band 42.5-43.5 GHz should be adopted.</w:t>
      </w:r>
    </w:p>
    <w:p w:rsidR="00B5143C" w:rsidRPr="00DB2D0E" w:rsidRDefault="00B5143C" w:rsidP="00B5143C">
      <w:pPr>
        <w:pStyle w:val="ListParagraph"/>
        <w:ind w:left="0"/>
        <w:jc w:val="both"/>
        <w:rPr>
          <w:bCs/>
        </w:rPr>
      </w:pPr>
    </w:p>
    <w:p w:rsidR="00B5143C" w:rsidRDefault="00B5143C" w:rsidP="00B5143C">
      <w:pPr>
        <w:pStyle w:val="ListParagraph"/>
        <w:ind w:left="0"/>
        <w:jc w:val="both"/>
        <w:rPr>
          <w:b/>
          <w:bCs/>
        </w:rPr>
      </w:pPr>
      <w:r>
        <w:rPr>
          <w:b/>
          <w:bCs/>
        </w:rPr>
        <w:t>Band 66-71 GHz</w:t>
      </w:r>
    </w:p>
    <w:p w:rsidR="00B5143C" w:rsidRDefault="00B5143C" w:rsidP="00B5143C">
      <w:pPr>
        <w:pStyle w:val="ListParagraph"/>
        <w:ind w:left="0"/>
        <w:jc w:val="both"/>
        <w:rPr>
          <w:b/>
          <w:bCs/>
        </w:rPr>
      </w:pPr>
    </w:p>
    <w:p w:rsidR="00B5143C" w:rsidRPr="000F77BB" w:rsidRDefault="00B5143C" w:rsidP="00B5143C">
      <w:pPr>
        <w:jc w:val="both"/>
        <w:rPr>
          <w:bCs/>
        </w:rPr>
      </w:pPr>
      <w:r w:rsidRPr="000F77BB">
        <w:rPr>
          <w:bCs/>
        </w:rPr>
        <w:t>IMT identification through Method J2 (either alternative 1 or 2) with the conditions of ITU-R Resolution [C113-IMT 66/71GHZ] (WRC-19).</w:t>
      </w:r>
    </w:p>
    <w:p w:rsidR="00B5143C" w:rsidRPr="00DB2D0E" w:rsidRDefault="00B5143C" w:rsidP="00B5143C">
      <w:pPr>
        <w:pStyle w:val="ListParagraph"/>
        <w:ind w:left="0"/>
        <w:jc w:val="both"/>
        <w:rPr>
          <w:bCs/>
        </w:rPr>
      </w:pPr>
    </w:p>
    <w:p w:rsidR="00B5143C" w:rsidRDefault="00B5143C" w:rsidP="00B5143C">
      <w:pPr>
        <w:pStyle w:val="ListParagraph"/>
        <w:ind w:left="0"/>
        <w:jc w:val="both"/>
        <w:rPr>
          <w:b/>
          <w:bCs/>
        </w:rPr>
      </w:pPr>
    </w:p>
    <w:p w:rsidR="00B5143C" w:rsidRDefault="00B5143C" w:rsidP="00B5143C">
      <w:pPr>
        <w:pStyle w:val="ListParagraph"/>
        <w:ind w:left="0"/>
        <w:jc w:val="both"/>
        <w:rPr>
          <w:b/>
          <w:bCs/>
        </w:rPr>
      </w:pPr>
      <w:r>
        <w:rPr>
          <w:b/>
          <w:bCs/>
        </w:rPr>
        <w:t>Bands 71-76 GHz, 81-86 GHz</w:t>
      </w:r>
    </w:p>
    <w:p w:rsidR="00B5143C" w:rsidRDefault="00B5143C" w:rsidP="00B5143C">
      <w:pPr>
        <w:pStyle w:val="ListParagraph"/>
        <w:ind w:left="0"/>
        <w:jc w:val="both"/>
        <w:rPr>
          <w:bCs/>
        </w:rPr>
      </w:pPr>
    </w:p>
    <w:p w:rsidR="00B5143C" w:rsidRPr="00DB2D0E" w:rsidRDefault="00B5143C" w:rsidP="00B5143C">
      <w:pPr>
        <w:pStyle w:val="ListParagraph"/>
        <w:ind w:left="0"/>
        <w:jc w:val="both"/>
        <w:rPr>
          <w:bCs/>
        </w:rPr>
      </w:pPr>
      <w:r w:rsidRPr="00DB2D0E">
        <w:rPr>
          <w:bCs/>
        </w:rPr>
        <w:t xml:space="preserve">Fine with IMT identification, no preference on the Method. </w:t>
      </w:r>
    </w:p>
    <w:p w:rsidR="00B5143C" w:rsidRDefault="00B5143C" w:rsidP="00B5143C">
      <w:pPr>
        <w:pStyle w:val="ListParagraph"/>
        <w:ind w:left="0"/>
        <w:jc w:val="both"/>
        <w:rPr>
          <w:b/>
          <w:bCs/>
        </w:rPr>
      </w:pPr>
    </w:p>
    <w:p w:rsidR="00B5143C" w:rsidRDefault="00B5143C" w:rsidP="00B5143C">
      <w:pPr>
        <w:pStyle w:val="ListParagraph"/>
        <w:ind w:left="0"/>
        <w:jc w:val="both"/>
        <w:rPr>
          <w:b/>
          <w:bCs/>
        </w:rPr>
      </w:pPr>
      <w:r w:rsidRPr="004D3672">
        <w:rPr>
          <w:b/>
          <w:bCs/>
        </w:rPr>
        <w:t>Other Bands</w:t>
      </w:r>
      <w:r>
        <w:rPr>
          <w:b/>
          <w:bCs/>
        </w:rPr>
        <w:t xml:space="preserve"> </w:t>
      </w:r>
    </w:p>
    <w:p w:rsidR="00B5143C" w:rsidRDefault="00B5143C" w:rsidP="00B5143C">
      <w:pPr>
        <w:pStyle w:val="ListParagraph"/>
        <w:ind w:left="0"/>
        <w:jc w:val="both"/>
        <w:rPr>
          <w:b/>
          <w:bCs/>
        </w:rPr>
      </w:pPr>
    </w:p>
    <w:p w:rsidR="00B5143C" w:rsidRDefault="00B5143C" w:rsidP="00B5143C">
      <w:pPr>
        <w:jc w:val="both"/>
        <w:rPr>
          <w:bCs/>
        </w:rPr>
      </w:pPr>
      <w:r w:rsidRPr="00DB2D0E">
        <w:rPr>
          <w:bCs/>
        </w:rPr>
        <w:t xml:space="preserve">Frequency bands </w:t>
      </w:r>
      <w:r w:rsidRPr="000F77BB">
        <w:rPr>
          <w:bCs/>
        </w:rPr>
        <w:t>outside</w:t>
      </w:r>
      <w:r w:rsidRPr="00DB2D0E">
        <w:rPr>
          <w:bCs/>
        </w:rPr>
        <w:t xml:space="preserve"> of</w:t>
      </w:r>
      <w:r w:rsidRPr="000F77BB">
        <w:rPr>
          <w:bCs/>
        </w:rPr>
        <w:t xml:space="preserve"> </w:t>
      </w:r>
      <w:r w:rsidRPr="00DB2D0E">
        <w:rPr>
          <w:b/>
          <w:bCs/>
        </w:rPr>
        <w:t>Resolution 238</w:t>
      </w:r>
      <w:r w:rsidRPr="000F77BB">
        <w:rPr>
          <w:bCs/>
        </w:rPr>
        <w:t xml:space="preserve"> (</w:t>
      </w:r>
      <w:r w:rsidRPr="00DB2D0E">
        <w:rPr>
          <w:b/>
          <w:bCs/>
        </w:rPr>
        <w:t>WRC-15</w:t>
      </w:r>
      <w:r>
        <w:rPr>
          <w:bCs/>
        </w:rPr>
        <w:t>) shall not</w:t>
      </w:r>
      <w:r w:rsidRPr="000F77BB">
        <w:rPr>
          <w:bCs/>
        </w:rPr>
        <w:t xml:space="preserve"> be considered</w:t>
      </w:r>
      <w:r w:rsidRPr="00DB2D0E">
        <w:rPr>
          <w:bCs/>
        </w:rPr>
        <w:t xml:space="preserve"> for Agenda item 1.13.</w:t>
      </w:r>
    </w:p>
    <w:p w:rsidR="00B5143C" w:rsidRDefault="00B5143C" w:rsidP="00B5143C">
      <w:pPr>
        <w:jc w:val="both"/>
        <w:rPr>
          <w:bCs/>
        </w:rPr>
      </w:pPr>
    </w:p>
    <w:p w:rsidR="00B5143C" w:rsidRPr="004D3672" w:rsidRDefault="00B5143C" w:rsidP="00B5143C">
      <w:pPr>
        <w:pStyle w:val="ListParagraph"/>
        <w:ind w:left="0"/>
        <w:jc w:val="both"/>
        <w:rPr>
          <w:b/>
          <w:bCs/>
        </w:rPr>
      </w:pPr>
      <w:r w:rsidRPr="004D3672">
        <w:rPr>
          <w:b/>
          <w:bCs/>
        </w:rPr>
        <w:t xml:space="preserve">Proposal </w:t>
      </w:r>
    </w:p>
    <w:p w:rsidR="00B5143C" w:rsidRPr="004D3672" w:rsidRDefault="00B5143C" w:rsidP="00B5143C">
      <w:pPr>
        <w:jc w:val="both"/>
        <w:rPr>
          <w:bCs/>
          <w:lang w:val="en-GB"/>
        </w:rPr>
      </w:pPr>
    </w:p>
    <w:p w:rsidR="00B5143C" w:rsidRDefault="00B5143C" w:rsidP="00B5143C">
      <w:pPr>
        <w:jc w:val="both"/>
        <w:rPr>
          <w:bCs/>
          <w:lang w:val="en-GB"/>
        </w:rPr>
      </w:pPr>
      <w:r w:rsidRPr="004D3672">
        <w:rPr>
          <w:bCs/>
          <w:lang w:val="en-GB"/>
        </w:rPr>
        <w:t>The APG is courteously invited to consider developing a proposal for WRC-19 agenda item 1.13 based on the positions outlined above.</w:t>
      </w:r>
    </w:p>
    <w:p w:rsidR="00B5143C" w:rsidRPr="00DB2D0E" w:rsidRDefault="00B5143C" w:rsidP="00B5143C">
      <w:pPr>
        <w:jc w:val="both"/>
        <w:rPr>
          <w:bCs/>
          <w:lang w:val="en-GB"/>
        </w:rPr>
      </w:pPr>
    </w:p>
    <w:p w:rsidR="00B5143C" w:rsidRDefault="00B5143C" w:rsidP="00B5143C">
      <w:pPr>
        <w:pStyle w:val="ListParagraph"/>
        <w:ind w:left="0"/>
        <w:jc w:val="both"/>
        <w:rPr>
          <w:bCs/>
        </w:rPr>
      </w:pPr>
    </w:p>
    <w:p w:rsidR="00B5143C" w:rsidRPr="00F17B0A" w:rsidRDefault="00B5143C" w:rsidP="00B5143C">
      <w:pPr>
        <w:jc w:val="both"/>
      </w:pPr>
    </w:p>
    <w:p w:rsidR="00B5143C" w:rsidRDefault="00B5143C" w:rsidP="00B5143C">
      <w:pPr>
        <w:jc w:val="both"/>
        <w:rPr>
          <w:snapToGrid w:val="0"/>
        </w:rPr>
      </w:pPr>
    </w:p>
    <w:sectPr w:rsidR="00B5143C" w:rsidSect="00DB0A68">
      <w:headerReference w:type="default" r:id="rId10"/>
      <w:footerReference w:type="even" r:id="rId11"/>
      <w:footerReference w:type="default" r:id="rId12"/>
      <w:footerReference w:type="first" r:id="rId13"/>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E04" w:rsidRDefault="009E5E04">
      <w:r>
        <w:separator/>
      </w:r>
    </w:p>
  </w:endnote>
  <w:endnote w:type="continuationSeparator" w:id="0">
    <w:p w:rsidR="009E5E04" w:rsidRDefault="009E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BatangChe">
    <w:altName w:val="Arial Unicode MS"/>
    <w:panose1 w:val="02030609000101010101"/>
    <w:charset w:val="81"/>
    <w:family w:val="modern"/>
    <w:pitch w:val="fixed"/>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1A25A5" w:rsidP="001A25A5">
    <w:pPr>
      <w:pStyle w:val="Footer"/>
      <w:ind w:right="360"/>
    </w:pPr>
    <w:r>
      <w:rPr>
        <w:rFonts w:hint="eastAsia"/>
        <w:lang w:eastAsia="ko-KR"/>
      </w:rPr>
      <w:t>A</w:t>
    </w:r>
    <w:r>
      <w:rPr>
        <w:lang w:eastAsia="ko-KR"/>
      </w:rPr>
      <w:t>PG19</w:t>
    </w:r>
    <w:r>
      <w:rPr>
        <w:rFonts w:hint="eastAsia"/>
        <w:lang w:eastAsia="ko-KR"/>
      </w:rPr>
      <w:t>-</w:t>
    </w:r>
    <w:r>
      <w:rPr>
        <w:lang w:eastAsia="ko-KR"/>
      </w:rPr>
      <w:t>4</w:t>
    </w:r>
    <w:r>
      <w:rPr>
        <w:rFonts w:hint="eastAsia"/>
        <w:lang w:eastAsia="ko-KR"/>
      </w:rPr>
      <w:t>/</w:t>
    </w:r>
    <w:r>
      <w:rPr>
        <w:lang w:eastAsia="ko-KR"/>
      </w:rPr>
      <w:t>IN</w:t>
    </w:r>
    <w:r w:rsidR="001D7FF4">
      <w:rPr>
        <w:lang w:eastAsia="ko-KR"/>
      </w:rPr>
      <w:t>F</w:t>
    </w:r>
    <w:r>
      <w:rPr>
        <w:lang w:eastAsia="ko-KR"/>
      </w:rPr>
      <w:t>-</w:t>
    </w:r>
    <w:r w:rsidR="001D7FF4">
      <w:rPr>
        <w:lang w:eastAsia="ko-KR"/>
      </w:rPr>
      <w:t>10</w:t>
    </w:r>
    <w:r>
      <w:rPr>
        <w:lang w:eastAsia="ko-KR"/>
      </w:rPr>
      <w:tab/>
    </w:r>
    <w:r>
      <w:rPr>
        <w:lang w:eastAsia="ko-K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1D7FF4">
      <w:rPr>
        <w:rStyle w:val="PageNumber"/>
        <w:noProof/>
      </w:rPr>
      <w:t>6</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1D7FF4">
      <w:rPr>
        <w:rStyle w:val="PageNumber"/>
        <w:noProof/>
      </w:rPr>
      <w:t>6</w:t>
    </w:r>
    <w:r w:rsidR="002C7EA9"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rsidRPr="001A25A5">
      <w:trPr>
        <w:cantSplit/>
        <w:trHeight w:val="204"/>
        <w:jc w:val="center"/>
      </w:trPr>
      <w:tc>
        <w:tcPr>
          <w:tcW w:w="1617" w:type="dxa"/>
          <w:tcBorders>
            <w:top w:val="single" w:sz="12" w:space="0" w:color="auto"/>
          </w:tcBorders>
        </w:tcPr>
        <w:p w:rsidR="0097693B" w:rsidRPr="001A25A5" w:rsidRDefault="0097693B" w:rsidP="00762576">
          <w:pPr>
            <w:rPr>
              <w:b/>
              <w:bCs/>
            </w:rPr>
          </w:pPr>
          <w:r w:rsidRPr="001A25A5">
            <w:rPr>
              <w:b/>
              <w:bCs/>
            </w:rPr>
            <w:t>Contact:</w:t>
          </w:r>
        </w:p>
      </w:tc>
      <w:tc>
        <w:tcPr>
          <w:tcW w:w="4394" w:type="dxa"/>
          <w:tcBorders>
            <w:top w:val="single" w:sz="12" w:space="0" w:color="auto"/>
          </w:tcBorders>
        </w:tcPr>
        <w:p w:rsidR="0097693B" w:rsidRPr="001A25A5" w:rsidRDefault="0097693B" w:rsidP="00762576">
          <w:pPr>
            <w:pStyle w:val="Equation"/>
            <w:tabs>
              <w:tab w:val="clear" w:pos="4820"/>
              <w:tab w:val="clear" w:pos="9639"/>
              <w:tab w:val="left" w:pos="1191"/>
              <w:tab w:val="left" w:pos="1588"/>
              <w:tab w:val="left" w:pos="1985"/>
            </w:tabs>
            <w:spacing w:beforeLines="0" w:before="0"/>
            <w:rPr>
              <w:rFonts w:eastAsia="Batang"/>
              <w:szCs w:val="24"/>
              <w:lang w:eastAsia="ko-KR"/>
            </w:rPr>
          </w:pPr>
          <w:r w:rsidRPr="001A25A5">
            <w:rPr>
              <w:rFonts w:eastAsia="Batang" w:hint="eastAsia"/>
              <w:szCs w:val="24"/>
              <w:lang w:eastAsia="ko-KR"/>
            </w:rPr>
            <w:t>NAME</w:t>
          </w:r>
          <w:r w:rsidRPr="001A25A5">
            <w:rPr>
              <w:rFonts w:eastAsia="Batang"/>
              <w:szCs w:val="24"/>
              <w:lang w:eastAsia="ko-KR"/>
            </w:rPr>
            <w:t xml:space="preserve"> (In CAPITAL Letters)</w:t>
          </w:r>
        </w:p>
        <w:p w:rsidR="0097693B" w:rsidRPr="001A25A5" w:rsidRDefault="0097693B" w:rsidP="001A25A5">
          <w:pPr>
            <w:pStyle w:val="Equation"/>
            <w:tabs>
              <w:tab w:val="clear" w:pos="4820"/>
              <w:tab w:val="clear" w:pos="9639"/>
              <w:tab w:val="left" w:pos="1191"/>
              <w:tab w:val="left" w:pos="1588"/>
              <w:tab w:val="left" w:pos="1985"/>
            </w:tabs>
            <w:spacing w:beforeLines="0" w:before="0"/>
            <w:rPr>
              <w:rFonts w:eastAsia="Batang"/>
              <w:szCs w:val="24"/>
            </w:rPr>
          </w:pPr>
          <w:r w:rsidRPr="001A25A5">
            <w:rPr>
              <w:rFonts w:eastAsia="Batang" w:hint="eastAsia"/>
              <w:szCs w:val="24"/>
              <w:lang w:eastAsia="ko-KR"/>
            </w:rPr>
            <w:t>Organization, Country</w:t>
          </w:r>
        </w:p>
      </w:tc>
      <w:tc>
        <w:tcPr>
          <w:tcW w:w="3912" w:type="dxa"/>
          <w:tcBorders>
            <w:top w:val="single" w:sz="12" w:space="0" w:color="auto"/>
          </w:tcBorders>
        </w:tcPr>
        <w:p w:rsidR="0097693B" w:rsidRPr="001A25A5" w:rsidRDefault="0097693B" w:rsidP="00762576">
          <w:pPr>
            <w:rPr>
              <w:lang w:eastAsia="ja-JP"/>
            </w:rPr>
          </w:pPr>
          <w:r w:rsidRPr="001A25A5">
            <w:t>Email</w:t>
          </w:r>
          <w:r w:rsidRPr="001A25A5">
            <w:rPr>
              <w:rFonts w:hint="eastAsia"/>
            </w:rPr>
            <w:t xml:space="preserve">: </w:t>
          </w:r>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E04" w:rsidRDefault="009E5E04">
      <w:r>
        <w:separator/>
      </w:r>
    </w:p>
  </w:footnote>
  <w:footnote w:type="continuationSeparator" w:id="0">
    <w:p w:rsidR="009E5E04" w:rsidRDefault="009E5E04">
      <w:r>
        <w:continuationSeparator/>
      </w:r>
    </w:p>
  </w:footnote>
  <w:footnote w:id="1">
    <w:p w:rsidR="00B5143C" w:rsidRPr="00031759" w:rsidRDefault="00B5143C" w:rsidP="00B5143C">
      <w:pPr>
        <w:pStyle w:val="FootnoteText"/>
        <w:rPr>
          <w:rFonts w:eastAsiaTheme="minorEastAsia"/>
          <w:lang w:eastAsia="ja-JP"/>
        </w:rPr>
      </w:pPr>
      <w:r w:rsidRPr="00031759">
        <w:rPr>
          <w:rStyle w:val="FootnoteReference"/>
        </w:rPr>
        <w:sym w:font="Symbol" w:char="F02A"/>
      </w:r>
      <w:r>
        <w:t xml:space="preserve"> except SKY Perfect JSAT</w:t>
      </w:r>
    </w:p>
  </w:footnote>
  <w:footnote w:id="2">
    <w:p w:rsidR="00B5143C" w:rsidRPr="00591A4B" w:rsidRDefault="00B5143C" w:rsidP="00B5143C">
      <w:pPr>
        <w:pStyle w:val="FootnoteText"/>
      </w:pPr>
      <w:r>
        <w:rPr>
          <w:rStyle w:val="FootnoteReference"/>
        </w:rPr>
        <w:footnoteRef/>
      </w:r>
      <w:r>
        <w:t xml:space="preserve"> </w:t>
      </w:r>
      <w:r w:rsidRPr="008B0D11">
        <w:t>See, e.g.,</w:t>
      </w:r>
      <w:r>
        <w:t xml:space="preserve"> Peter B. de </w:t>
      </w:r>
      <w:proofErr w:type="spellStart"/>
      <w:r>
        <w:t>Selding</w:t>
      </w:r>
      <w:proofErr w:type="spellEnd"/>
      <w:r>
        <w:t xml:space="preserve">, </w:t>
      </w:r>
      <w:proofErr w:type="spellStart"/>
      <w:r w:rsidRPr="009D6CED">
        <w:rPr>
          <w:i/>
        </w:rPr>
        <w:t>ViaSat</w:t>
      </w:r>
      <w:proofErr w:type="spellEnd"/>
      <w:r w:rsidRPr="009D6CED">
        <w:rPr>
          <w:i/>
        </w:rPr>
        <w:t xml:space="preserve"> details $1.4-billion global </w:t>
      </w:r>
      <w:proofErr w:type="spellStart"/>
      <w:r w:rsidRPr="009D6CED">
        <w:rPr>
          <w:i/>
        </w:rPr>
        <w:t>Ka</w:t>
      </w:r>
      <w:proofErr w:type="spellEnd"/>
      <w:r w:rsidRPr="009D6CED">
        <w:rPr>
          <w:i/>
        </w:rPr>
        <w:t>-band satellite broadband strategy to ou</w:t>
      </w:r>
      <w:bookmarkStart w:id="0" w:name="_GoBack"/>
      <w:bookmarkEnd w:id="0"/>
      <w:r w:rsidRPr="009D6CED">
        <w:rPr>
          <w:i/>
        </w:rPr>
        <w:t>st incumbent players</w:t>
      </w:r>
      <w:r>
        <w:t xml:space="preserve">, </w:t>
      </w:r>
      <w:hyperlink r:id="rId1" w:history="1">
        <w:r w:rsidRPr="000E044B">
          <w:rPr>
            <w:rStyle w:val="Hyperlink"/>
          </w:rPr>
          <w:t>http://spacenews.com/viasat-details-1-4-billion-global-ka-band-satellite-broadband-strategy-to-oust-incumbent-players/</w:t>
        </w:r>
      </w:hyperlink>
      <w:r>
        <w:t xml:space="preserve"> (10 Feb. 2016); Peter B. de </w:t>
      </w:r>
      <w:proofErr w:type="spellStart"/>
      <w:r>
        <w:t>Selding</w:t>
      </w:r>
      <w:proofErr w:type="spellEnd"/>
      <w:r>
        <w:t xml:space="preserve">, </w:t>
      </w:r>
      <w:r>
        <w:rPr>
          <w:i/>
        </w:rPr>
        <w:t>SES bets more than $1 billion that Boeing satellites can lure Amazon Web Services et al</w:t>
      </w:r>
      <w:r>
        <w:t xml:space="preserve">, </w:t>
      </w:r>
      <w:hyperlink r:id="rId2" w:history="1">
        <w:r w:rsidRPr="000E044B">
          <w:rPr>
            <w:rStyle w:val="Hyperlink"/>
          </w:rPr>
          <w:t>https://www.spaceintelreport.com/ses-bets-1-billion-boeing-satellites-can-lure-amazon-web-services-et-al/</w:t>
        </w:r>
      </w:hyperlink>
      <w:r>
        <w:t xml:space="preserve"> (19 Sep.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C15633">
    <w:pPr>
      <w:pStyle w:val="Header"/>
      <w:tabs>
        <w:tab w:val="center" w:pos="4763"/>
        <w:tab w:val="left" w:pos="5820"/>
      </w:tabs>
      <w:rPr>
        <w:lang w:eastAsia="ko-KR"/>
      </w:rPr>
    </w:pPr>
    <w:r>
      <w:rPr>
        <w:lang w:eastAsia="ko-KR"/>
      </w:rPr>
      <w:tab/>
    </w:r>
  </w:p>
  <w:p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 w15:restartNumberingAfterBreak="0">
    <w:nsid w:val="1E8A5993"/>
    <w:multiLevelType w:val="hybridMultilevel"/>
    <w:tmpl w:val="52CCC2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15:restartNumberingAfterBreak="0">
    <w:nsid w:val="2A99701D"/>
    <w:multiLevelType w:val="hybridMultilevel"/>
    <w:tmpl w:val="5DD8BA96"/>
    <w:lvl w:ilvl="0" w:tplc="08090001">
      <w:start w:val="1"/>
      <w:numFmt w:val="bullet"/>
      <w:lvlText w:val=""/>
      <w:lvlJc w:val="left"/>
      <w:pPr>
        <w:ind w:left="720" w:hanging="360"/>
      </w:pPr>
      <w:rPr>
        <w:rFonts w:ascii="Symbol" w:hAnsi="Symbol" w:hint="default"/>
      </w:rPr>
    </w:lvl>
    <w:lvl w:ilvl="1" w:tplc="C310AE2E">
      <w:start w:val="1"/>
      <w:numFmt w:val="bullet"/>
      <w:lvlText w:val="•"/>
      <w:lvlJc w:val="left"/>
      <w:pPr>
        <w:ind w:left="1800" w:hanging="720"/>
      </w:pPr>
      <w:rPr>
        <w:rFonts w:ascii="Times New Roman" w:eastAsia="BatangChe"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49643E73"/>
    <w:multiLevelType w:val="hybridMultilevel"/>
    <w:tmpl w:val="9DDCA454"/>
    <w:lvl w:ilvl="0" w:tplc="868C1E54">
      <w:start w:val="1"/>
      <w:numFmt w:val="lowerRoman"/>
      <w:lvlText w:val="%1)"/>
      <w:lvlJc w:val="left"/>
      <w:pPr>
        <w:ind w:left="360" w:hanging="360"/>
      </w:pPr>
      <w:rPr>
        <w:rFonts w:hint="default"/>
      </w:rPr>
    </w:lvl>
    <w:lvl w:ilvl="1" w:tplc="D010AEBC">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ED0744"/>
    <w:multiLevelType w:val="hybridMultilevel"/>
    <w:tmpl w:val="C2C0E3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AF29A8"/>
    <w:multiLevelType w:val="hybridMultilevel"/>
    <w:tmpl w:val="234682C6"/>
    <w:lvl w:ilvl="0" w:tplc="4E36E494">
      <w:start w:val="1"/>
      <w:numFmt w:val="decimal"/>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C003E4"/>
    <w:multiLevelType w:val="hybridMultilevel"/>
    <w:tmpl w:val="EE78F3DC"/>
    <w:lvl w:ilvl="0" w:tplc="08090017">
      <w:start w:val="1"/>
      <w:numFmt w:val="lowerLetter"/>
      <w:lvlText w:val="%1)"/>
      <w:lvlJc w:val="left"/>
      <w:pPr>
        <w:ind w:left="360" w:hanging="360"/>
      </w:pPr>
      <w:rPr>
        <w:rFonts w:hint="default"/>
      </w:rPr>
    </w:lvl>
    <w:lvl w:ilvl="1" w:tplc="D010AEBC">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DF1962"/>
    <w:multiLevelType w:val="hybridMultilevel"/>
    <w:tmpl w:val="B25E6EE2"/>
    <w:lvl w:ilvl="0" w:tplc="06E024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60634C"/>
    <w:multiLevelType w:val="hybridMultilevel"/>
    <w:tmpl w:val="6666C908"/>
    <w:lvl w:ilvl="0" w:tplc="C0646C62">
      <w:start w:val="4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7E0A2A87"/>
    <w:multiLevelType w:val="hybridMultilevel"/>
    <w:tmpl w:val="AEC420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5"/>
  </w:num>
  <w:num w:numId="5">
    <w:abstractNumId w:val="6"/>
  </w:num>
  <w:num w:numId="6">
    <w:abstractNumId w:val="8"/>
  </w:num>
  <w:num w:numId="7">
    <w:abstractNumId w:val="1"/>
  </w:num>
  <w:num w:numId="8">
    <w:abstractNumId w:val="0"/>
  </w:num>
  <w:num w:numId="9">
    <w:abstractNumId w:val="5"/>
  </w:num>
  <w:num w:numId="10">
    <w:abstractNumId w:val="11"/>
  </w:num>
  <w:num w:numId="11">
    <w:abstractNumId w:val="16"/>
  </w:num>
  <w:num w:numId="12">
    <w:abstractNumId w:val="2"/>
  </w:num>
  <w:num w:numId="13">
    <w:abstractNumId w:val="9"/>
  </w:num>
  <w:num w:numId="14">
    <w:abstractNumId w:val="12"/>
  </w:num>
  <w:num w:numId="15">
    <w:abstractNumId w:val="13"/>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32B00"/>
    <w:rsid w:val="0003595B"/>
    <w:rsid w:val="000476FF"/>
    <w:rsid w:val="000713CF"/>
    <w:rsid w:val="000A5418"/>
    <w:rsid w:val="000B6B19"/>
    <w:rsid w:val="000F517C"/>
    <w:rsid w:val="000F5540"/>
    <w:rsid w:val="001539DD"/>
    <w:rsid w:val="00196568"/>
    <w:rsid w:val="001A25A5"/>
    <w:rsid w:val="001A2F16"/>
    <w:rsid w:val="001B18C2"/>
    <w:rsid w:val="001D5D7E"/>
    <w:rsid w:val="001D7FF4"/>
    <w:rsid w:val="001F4D9B"/>
    <w:rsid w:val="00254A1B"/>
    <w:rsid w:val="0028454D"/>
    <w:rsid w:val="00291C9E"/>
    <w:rsid w:val="002926D4"/>
    <w:rsid w:val="002C07DA"/>
    <w:rsid w:val="002C78DB"/>
    <w:rsid w:val="002C7EA9"/>
    <w:rsid w:val="002D3233"/>
    <w:rsid w:val="002E546F"/>
    <w:rsid w:val="002F7ED7"/>
    <w:rsid w:val="00342F20"/>
    <w:rsid w:val="003809C7"/>
    <w:rsid w:val="003B6263"/>
    <w:rsid w:val="003C64A7"/>
    <w:rsid w:val="003D3FDA"/>
    <w:rsid w:val="00420822"/>
    <w:rsid w:val="0045458F"/>
    <w:rsid w:val="004633B4"/>
    <w:rsid w:val="004B3553"/>
    <w:rsid w:val="004B679F"/>
    <w:rsid w:val="00530E8C"/>
    <w:rsid w:val="00545933"/>
    <w:rsid w:val="00555A2F"/>
    <w:rsid w:val="00557544"/>
    <w:rsid w:val="00587875"/>
    <w:rsid w:val="00607E2B"/>
    <w:rsid w:val="006139D6"/>
    <w:rsid w:val="00623CE1"/>
    <w:rsid w:val="0063062B"/>
    <w:rsid w:val="00667229"/>
    <w:rsid w:val="00682BE5"/>
    <w:rsid w:val="00690FED"/>
    <w:rsid w:val="006939A5"/>
    <w:rsid w:val="00712451"/>
    <w:rsid w:val="00731041"/>
    <w:rsid w:val="00732F08"/>
    <w:rsid w:val="0074190C"/>
    <w:rsid w:val="00762576"/>
    <w:rsid w:val="00791060"/>
    <w:rsid w:val="007A0D2F"/>
    <w:rsid w:val="007B5626"/>
    <w:rsid w:val="007F5105"/>
    <w:rsid w:val="0080570B"/>
    <w:rsid w:val="008148E1"/>
    <w:rsid w:val="008319BF"/>
    <w:rsid w:val="00843A32"/>
    <w:rsid w:val="008D0E09"/>
    <w:rsid w:val="008F704B"/>
    <w:rsid w:val="0097693B"/>
    <w:rsid w:val="00993355"/>
    <w:rsid w:val="009A4A6D"/>
    <w:rsid w:val="009A7BF5"/>
    <w:rsid w:val="009E5E04"/>
    <w:rsid w:val="00A13265"/>
    <w:rsid w:val="00A71136"/>
    <w:rsid w:val="00AA005D"/>
    <w:rsid w:val="00AA474C"/>
    <w:rsid w:val="00AD7E5F"/>
    <w:rsid w:val="00B01AA1"/>
    <w:rsid w:val="00B30C81"/>
    <w:rsid w:val="00B4793B"/>
    <w:rsid w:val="00B5143C"/>
    <w:rsid w:val="00C107FC"/>
    <w:rsid w:val="00C11EA0"/>
    <w:rsid w:val="00C15633"/>
    <w:rsid w:val="00C15799"/>
    <w:rsid w:val="00C357AD"/>
    <w:rsid w:val="00C6069C"/>
    <w:rsid w:val="00C85119"/>
    <w:rsid w:val="00CB584E"/>
    <w:rsid w:val="00CD5431"/>
    <w:rsid w:val="00CD5EEB"/>
    <w:rsid w:val="00CD72C5"/>
    <w:rsid w:val="00CD7315"/>
    <w:rsid w:val="00CF2491"/>
    <w:rsid w:val="00D1252E"/>
    <w:rsid w:val="00D57772"/>
    <w:rsid w:val="00D72AE3"/>
    <w:rsid w:val="00D75A4D"/>
    <w:rsid w:val="00D77BEE"/>
    <w:rsid w:val="00D8201B"/>
    <w:rsid w:val="00D8478B"/>
    <w:rsid w:val="00D86151"/>
    <w:rsid w:val="00DA7595"/>
    <w:rsid w:val="00DB0A68"/>
    <w:rsid w:val="00DC43A3"/>
    <w:rsid w:val="00DD7C09"/>
    <w:rsid w:val="00DF10A7"/>
    <w:rsid w:val="00E0124F"/>
    <w:rsid w:val="00E44F8D"/>
    <w:rsid w:val="00E674D3"/>
    <w:rsid w:val="00E70FD0"/>
    <w:rsid w:val="00EB730E"/>
    <w:rsid w:val="00EC38A0"/>
    <w:rsid w:val="00EE4B3B"/>
    <w:rsid w:val="00F84067"/>
    <w:rsid w:val="00FE3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B0FF53-92AF-4F7D-B82D-EBD9EFDC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8F704B"/>
    <w:pPr>
      <w:ind w:left="720"/>
      <w:contextualSpacing/>
    </w:pPr>
  </w:style>
  <w:style w:type="character" w:customStyle="1" w:styleId="ListParagraphChar">
    <w:name w:val="List Paragraph Char"/>
    <w:link w:val="ListParagraph"/>
    <w:uiPriority w:val="34"/>
    <w:locked/>
    <w:rsid w:val="008F704B"/>
    <w:rPr>
      <w:rFonts w:eastAsia="BatangChe"/>
      <w:sz w:val="24"/>
      <w:szCs w:val="24"/>
    </w:rPr>
  </w:style>
  <w:style w:type="character" w:customStyle="1" w:styleId="ECCParagraph">
    <w:name w:val="ECC Paragraph"/>
    <w:basedOn w:val="DefaultParagraphFont"/>
    <w:uiPriority w:val="1"/>
    <w:qFormat/>
    <w:rsid w:val="008F704B"/>
    <w:rPr>
      <w:rFonts w:ascii="Arial" w:hAnsi="Arial"/>
      <w:noProof w:val="0"/>
      <w:sz w:val="20"/>
      <w:bdr w:val="none" w:sz="0" w:space="0" w:color="auto"/>
      <w:lang w:val="en-GB"/>
    </w:rPr>
  </w:style>
  <w:style w:type="paragraph" w:styleId="FootnoteText">
    <w:name w:val="footnote text"/>
    <w:aliases w:val="Footnote Text Char Char Char Char Char,Footnote Text Char Char,Footnote Text Char Char Char Char Char Char Char Char Char,Footnote Text Char1,Footnote Text Char2 Char Char,Footnote Text Char3 Char1 Char Char,Footnote Text Char2,fn,DNV-FT"/>
    <w:basedOn w:val="Normal"/>
    <w:link w:val="FootnoteTextChar"/>
    <w:uiPriority w:val="99"/>
    <w:qFormat/>
    <w:rsid w:val="008F704B"/>
    <w:pPr>
      <w:snapToGrid w:val="0"/>
    </w:pPr>
  </w:style>
  <w:style w:type="character" w:customStyle="1" w:styleId="FootnoteTextChar">
    <w:name w:val="Footnote Text Char"/>
    <w:aliases w:val="Footnote Text Char Char Char Char Char Char,Footnote Text Char Char Char,Footnote Text Char Char Char Char Char Char Char Char Char Char,Footnote Text Char1 Char,Footnote Text Char2 Char Char Char,Footnote Text Char2 Char,fn Char"/>
    <w:basedOn w:val="DefaultParagraphFont"/>
    <w:link w:val="FootnoteText"/>
    <w:rsid w:val="008F704B"/>
    <w:rPr>
      <w:rFonts w:eastAsia="BatangChe"/>
      <w:sz w:val="24"/>
      <w:szCs w:val="24"/>
    </w:rPr>
  </w:style>
  <w:style w:type="character" w:styleId="FootnoteReference">
    <w:name w:val="footnote reference"/>
    <w:aliases w:val="Appel note de bas de p,Footnote,Footnote Reference/,Footnote symbol,Style 12,(NECG) Footnote Reference,Style 124,Appel note de bas de p1,Appel note de bas de p2,Appel note de bas de p3,Appel note de bas de p + 11 pt,Italic,o,fr"/>
    <w:uiPriority w:val="99"/>
    <w:qFormat/>
    <w:rsid w:val="008F704B"/>
    <w:rPr>
      <w:vertAlign w:val="superscript"/>
    </w:rPr>
  </w:style>
  <w:style w:type="paragraph" w:customStyle="1" w:styleId="enumlev1">
    <w:name w:val="enumlev1"/>
    <w:basedOn w:val="Normal"/>
    <w:link w:val="enumlev1Char"/>
    <w:rsid w:val="008F704B"/>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szCs w:val="20"/>
      <w:lang w:val="en-GB"/>
    </w:rPr>
  </w:style>
  <w:style w:type="character" w:customStyle="1" w:styleId="enumlev1Char">
    <w:name w:val="enumlev1 Char"/>
    <w:link w:val="enumlev1"/>
    <w:locked/>
    <w:rsid w:val="008F704B"/>
    <w:rPr>
      <w:rFonts w:eastAsia="Times New Roman"/>
      <w:sz w:val="24"/>
      <w:lang w:val="en-GB"/>
    </w:rPr>
  </w:style>
  <w:style w:type="character" w:styleId="Hyperlink">
    <w:name w:val="Hyperlink"/>
    <w:basedOn w:val="DefaultParagraphFont"/>
    <w:uiPriority w:val="99"/>
    <w:unhideWhenUsed/>
    <w:rsid w:val="00B5143C"/>
    <w:rPr>
      <w:color w:val="0000FF" w:themeColor="hyperlink"/>
      <w:u w:val="single"/>
    </w:rPr>
  </w:style>
  <w:style w:type="character" w:styleId="CommentReference">
    <w:name w:val="annotation reference"/>
    <w:basedOn w:val="DefaultParagraphFont"/>
    <w:semiHidden/>
    <w:unhideWhenUsed/>
    <w:rsid w:val="00B5143C"/>
    <w:rPr>
      <w:sz w:val="18"/>
      <w:szCs w:val="18"/>
    </w:rPr>
  </w:style>
  <w:style w:type="paragraph" w:styleId="CommentText">
    <w:name w:val="annotation text"/>
    <w:basedOn w:val="Normal"/>
    <w:link w:val="CommentTextChar"/>
    <w:semiHidden/>
    <w:unhideWhenUsed/>
    <w:rsid w:val="00B5143C"/>
  </w:style>
  <w:style w:type="character" w:customStyle="1" w:styleId="CommentTextChar">
    <w:name w:val="Comment Text Char"/>
    <w:basedOn w:val="DefaultParagraphFont"/>
    <w:link w:val="CommentText"/>
    <w:semiHidden/>
    <w:rsid w:val="00B5143C"/>
    <w:rPr>
      <w:rFonts w:eastAsia="BatangChe"/>
      <w:sz w:val="24"/>
      <w:szCs w:val="24"/>
    </w:rPr>
  </w:style>
  <w:style w:type="paragraph" w:styleId="BalloonText">
    <w:name w:val="Balloon Text"/>
    <w:basedOn w:val="Normal"/>
    <w:link w:val="BalloonTextChar"/>
    <w:semiHidden/>
    <w:unhideWhenUsed/>
    <w:rsid w:val="00B5143C"/>
    <w:rPr>
      <w:rFonts w:ascii="Segoe UI" w:hAnsi="Segoe UI" w:cs="Segoe UI"/>
      <w:sz w:val="18"/>
      <w:szCs w:val="18"/>
    </w:rPr>
  </w:style>
  <w:style w:type="character" w:customStyle="1" w:styleId="BalloonTextChar">
    <w:name w:val="Balloon Text Char"/>
    <w:basedOn w:val="DefaultParagraphFont"/>
    <w:link w:val="BalloonText"/>
    <w:semiHidden/>
    <w:rsid w:val="00B5143C"/>
    <w:rPr>
      <w:rFonts w:ascii="Segoe UI" w:eastAsia="BatangChe" w:hAnsi="Segoe UI" w:cs="Segoe UI"/>
      <w:sz w:val="18"/>
      <w:szCs w:val="18"/>
    </w:rPr>
  </w:style>
  <w:style w:type="paragraph" w:styleId="CommentSubject">
    <w:name w:val="annotation subject"/>
    <w:basedOn w:val="CommentText"/>
    <w:next w:val="CommentText"/>
    <w:link w:val="CommentSubjectChar"/>
    <w:semiHidden/>
    <w:unhideWhenUsed/>
    <w:rsid w:val="00032B00"/>
    <w:rPr>
      <w:b/>
      <w:bCs/>
      <w:sz w:val="20"/>
      <w:szCs w:val="20"/>
    </w:rPr>
  </w:style>
  <w:style w:type="character" w:customStyle="1" w:styleId="CommentSubjectChar">
    <w:name w:val="Comment Subject Char"/>
    <w:basedOn w:val="CommentTextChar"/>
    <w:link w:val="CommentSubject"/>
    <w:semiHidden/>
    <w:rsid w:val="00032B00"/>
    <w:rPr>
      <w:rFonts w:eastAsia="BatangChe"/>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28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paceintelreport.com/ses-bets-1-billion-boeing-satellites-can-lure-amazon-web-services-et-al/" TargetMode="External"/><Relationship Id="rId1" Type="http://schemas.openxmlformats.org/officeDocument/2006/relationships/hyperlink" Target="http://spacenews.com/viasat-details-1-4-billion-global-ka-band-satellite-broadband-strategy-to-oust-incumbent-pla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2265</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Arnold</dc:creator>
  <cp:lastModifiedBy>APT Secretariat</cp:lastModifiedBy>
  <cp:revision>4</cp:revision>
  <cp:lastPrinted>2004-07-28T02:14:00Z</cp:lastPrinted>
  <dcterms:created xsi:type="dcterms:W3CDTF">2018-12-28T14:45:00Z</dcterms:created>
  <dcterms:modified xsi:type="dcterms:W3CDTF">2018-12-29T02:35:00Z</dcterms:modified>
</cp:coreProperties>
</file>