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891D0B" w:rsidTr="00096326">
        <w:trPr>
          <w:cantSplit/>
        </w:trPr>
        <w:tc>
          <w:tcPr>
            <w:tcW w:w="1399" w:type="dxa"/>
            <w:vMerge w:val="restart"/>
          </w:tcPr>
          <w:p w:rsidR="00096326" w:rsidRPr="00891D0B" w:rsidRDefault="00096326"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6A2D427" wp14:editId="1FB19F4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96326" w:rsidRPr="00891D0B" w:rsidRDefault="00096326" w:rsidP="0045458F">
            <w:r w:rsidRPr="00096326">
              <w:t>ASIA-PACIFIC TELECOMMUNITY</w:t>
            </w:r>
          </w:p>
        </w:tc>
        <w:tc>
          <w:tcPr>
            <w:tcW w:w="2700" w:type="dxa"/>
          </w:tcPr>
          <w:p w:rsidR="00096326" w:rsidRPr="00096326" w:rsidRDefault="00096326" w:rsidP="00096326">
            <w:pPr>
              <w:rPr>
                <w:b/>
                <w:bCs/>
                <w:lang w:val="fr-FR"/>
              </w:rPr>
            </w:pPr>
            <w:r w:rsidRPr="00C15799">
              <w:rPr>
                <w:b/>
                <w:lang w:val="fr-FR"/>
              </w:rPr>
              <w:t>Document</w:t>
            </w:r>
            <w:r w:rsidR="006F7FE9">
              <w:rPr>
                <w:b/>
                <w:lang w:val="fr-FR"/>
              </w:rPr>
              <w:t xml:space="preserve"> No.</w:t>
            </w:r>
            <w:r>
              <w:rPr>
                <w:b/>
                <w:lang w:val="fr-FR"/>
              </w:rPr>
              <w:t xml:space="preserve">: </w:t>
            </w:r>
          </w:p>
        </w:tc>
      </w:tr>
      <w:tr w:rsidR="00DA7595" w:rsidRPr="00C15799" w:rsidTr="00096326">
        <w:trPr>
          <w:cantSplit/>
        </w:trPr>
        <w:tc>
          <w:tcPr>
            <w:tcW w:w="1399" w:type="dxa"/>
            <w:vMerge/>
          </w:tcPr>
          <w:p w:rsidR="00DA7595" w:rsidRPr="00891D0B" w:rsidRDefault="00DA7595" w:rsidP="0045458F"/>
        </w:tc>
        <w:tc>
          <w:tcPr>
            <w:tcW w:w="5720" w:type="dxa"/>
          </w:tcPr>
          <w:p w:rsidR="00DA7595" w:rsidRPr="00891D0B" w:rsidRDefault="00DA7595" w:rsidP="006A64A9">
            <w:pPr>
              <w:spacing w:line="0" w:lineRule="atLeast"/>
            </w:pPr>
            <w:r>
              <w:rPr>
                <w:b/>
              </w:rPr>
              <w:t xml:space="preserve">The </w:t>
            </w:r>
            <w:r w:rsidR="006A64A9">
              <w:rPr>
                <w:b/>
              </w:rPr>
              <w:t xml:space="preserve">4th </w:t>
            </w:r>
            <w:r w:rsidR="00DB0A68">
              <w:rPr>
                <w:b/>
              </w:rPr>
              <w:t>Meeting of the APT Conference Preparatory</w:t>
            </w:r>
            <w:r w:rsidR="002926D4">
              <w:rPr>
                <w:b/>
              </w:rPr>
              <w:t xml:space="preserve"> </w:t>
            </w:r>
            <w:r w:rsidR="00DB0A68">
              <w:rPr>
                <w:b/>
              </w:rPr>
              <w:t xml:space="preserve"> Group for WRC-</w:t>
            </w:r>
            <w:r w:rsidR="00FE3DE5">
              <w:rPr>
                <w:b/>
              </w:rPr>
              <w:t>1</w:t>
            </w:r>
            <w:r w:rsidR="00096326">
              <w:rPr>
                <w:b/>
              </w:rPr>
              <w:t>9</w:t>
            </w:r>
            <w:r w:rsidR="00DB0A68">
              <w:rPr>
                <w:b/>
              </w:rPr>
              <w:t xml:space="preserve"> (APG</w:t>
            </w:r>
            <w:r w:rsidR="00096326">
              <w:rPr>
                <w:b/>
              </w:rPr>
              <w:t>19</w:t>
            </w:r>
            <w:r w:rsidR="00DB0A68">
              <w:rPr>
                <w:b/>
              </w:rPr>
              <w:t>-</w:t>
            </w:r>
            <w:r w:rsidR="006A64A9">
              <w:rPr>
                <w:b/>
              </w:rPr>
              <w:t>4</w:t>
            </w:r>
            <w:r w:rsidR="00DB0A68">
              <w:rPr>
                <w:b/>
              </w:rPr>
              <w:t>)</w:t>
            </w:r>
          </w:p>
        </w:tc>
        <w:tc>
          <w:tcPr>
            <w:tcW w:w="2700" w:type="dxa"/>
          </w:tcPr>
          <w:p w:rsidR="00DA7595" w:rsidRPr="00C15799" w:rsidRDefault="008319BF" w:rsidP="00096326">
            <w:pPr>
              <w:rPr>
                <w:b/>
                <w:bCs/>
                <w:lang w:val="fr-FR"/>
              </w:rPr>
            </w:pPr>
            <w:r>
              <w:rPr>
                <w:b/>
                <w:bCs/>
                <w:lang w:val="fr-FR"/>
              </w:rPr>
              <w:t>APG</w:t>
            </w:r>
            <w:r w:rsidR="006A64A9">
              <w:rPr>
                <w:b/>
                <w:bCs/>
                <w:lang w:val="fr-FR"/>
              </w:rPr>
              <w:t>19-4</w:t>
            </w:r>
            <w:r>
              <w:rPr>
                <w:b/>
                <w:bCs/>
                <w:lang w:val="fr-FR"/>
              </w:rPr>
              <w:t>/</w:t>
            </w:r>
            <w:r w:rsidR="00DA3CC5">
              <w:rPr>
                <w:b/>
                <w:bCs/>
                <w:lang w:val="fr-FR"/>
              </w:rPr>
              <w:t>INF</w:t>
            </w:r>
            <w:r w:rsidR="006F7FE9">
              <w:rPr>
                <w:b/>
                <w:bCs/>
                <w:lang w:val="fr-FR"/>
              </w:rPr>
              <w:t>-11</w:t>
            </w:r>
          </w:p>
        </w:tc>
      </w:tr>
      <w:tr w:rsidR="004B3553" w:rsidRPr="00891D0B" w:rsidTr="00096326">
        <w:trPr>
          <w:cantSplit/>
          <w:trHeight w:val="219"/>
        </w:trPr>
        <w:tc>
          <w:tcPr>
            <w:tcW w:w="1399" w:type="dxa"/>
            <w:vMerge/>
          </w:tcPr>
          <w:p w:rsidR="004B3553" w:rsidRPr="00C15799" w:rsidRDefault="004B3553" w:rsidP="0045458F">
            <w:pPr>
              <w:rPr>
                <w:lang w:val="fr-FR"/>
              </w:rPr>
            </w:pPr>
          </w:p>
        </w:tc>
        <w:tc>
          <w:tcPr>
            <w:tcW w:w="5720" w:type="dxa"/>
          </w:tcPr>
          <w:p w:rsidR="004B3553" w:rsidRPr="00891D0B" w:rsidRDefault="006A64A9" w:rsidP="006A64A9">
            <w:r>
              <w:t>7</w:t>
            </w:r>
            <w:r w:rsidR="00291C9E">
              <w:t xml:space="preserve"> – </w:t>
            </w:r>
            <w:r>
              <w:t xml:space="preserve">12 January </w:t>
            </w:r>
            <w:r w:rsidR="00F17B0A">
              <w:t>2</w:t>
            </w:r>
            <w:r w:rsidR="00291C9E">
              <w:t>0</w:t>
            </w:r>
            <w:r>
              <w:t>19</w:t>
            </w:r>
            <w:r w:rsidR="004B3553" w:rsidRPr="00891D0B">
              <w:t xml:space="preserve">, </w:t>
            </w:r>
            <w:r>
              <w:t>Busan</w:t>
            </w:r>
            <w:r w:rsidR="004B3553">
              <w:t xml:space="preserve">, </w:t>
            </w:r>
            <w:r>
              <w:t>Republic of Korea</w:t>
            </w:r>
          </w:p>
        </w:tc>
        <w:tc>
          <w:tcPr>
            <w:tcW w:w="2700" w:type="dxa"/>
          </w:tcPr>
          <w:p w:rsidR="004B3553" w:rsidRPr="00712451" w:rsidRDefault="006F7FE9" w:rsidP="006A64A9">
            <w:pPr>
              <w:rPr>
                <w:b/>
              </w:rPr>
            </w:pPr>
            <w:r>
              <w:rPr>
                <w:b/>
              </w:rPr>
              <w:t>29</w:t>
            </w:r>
            <w:r w:rsidR="00FE3DE5">
              <w:rPr>
                <w:b/>
              </w:rPr>
              <w:t xml:space="preserve"> </w:t>
            </w:r>
            <w:r w:rsidR="006A64A9">
              <w:rPr>
                <w:b/>
              </w:rPr>
              <w:t xml:space="preserve">December </w:t>
            </w:r>
            <w:r w:rsidR="00291C9E">
              <w:rPr>
                <w:b/>
              </w:rPr>
              <w:t>20</w:t>
            </w:r>
            <w:r w:rsidR="008319BF">
              <w:rPr>
                <w:b/>
              </w:rPr>
              <w:t>1</w:t>
            </w:r>
            <w:r w:rsidR="00F17B0A">
              <w:rPr>
                <w:b/>
              </w:rPr>
              <w:t>8</w:t>
            </w:r>
          </w:p>
        </w:tc>
      </w:tr>
    </w:tbl>
    <w:p w:rsidR="00DA7595" w:rsidRDefault="00DA7595" w:rsidP="00DA7595">
      <w:pPr>
        <w:rPr>
          <w:lang w:eastAsia="ko-KR"/>
        </w:rPr>
      </w:pPr>
    </w:p>
    <w:p w:rsidR="00096326" w:rsidRDefault="00096326" w:rsidP="00DA7595">
      <w:pPr>
        <w:jc w:val="center"/>
        <w:rPr>
          <w:sz w:val="28"/>
          <w:szCs w:val="28"/>
          <w:lang w:eastAsia="ko-KR"/>
        </w:rPr>
      </w:pPr>
    </w:p>
    <w:p w:rsidR="00FE3DE5" w:rsidRPr="00DA3CC5" w:rsidRDefault="00DA3CC5" w:rsidP="0063062B">
      <w:pPr>
        <w:jc w:val="center"/>
        <w:rPr>
          <w:color w:val="212121"/>
          <w:sz w:val="28"/>
          <w:szCs w:val="20"/>
          <w:shd w:val="clear" w:color="auto" w:fill="FFFFFF"/>
        </w:rPr>
      </w:pPr>
      <w:r w:rsidRPr="00DA3CC5">
        <w:rPr>
          <w:color w:val="212121"/>
          <w:sz w:val="28"/>
          <w:szCs w:val="20"/>
          <w:shd w:val="clear" w:color="auto" w:fill="FFFFFF"/>
        </w:rPr>
        <w:t>Wireless Industry Collaboration Co., Ltd., Hong Kong, China</w:t>
      </w:r>
    </w:p>
    <w:p w:rsidR="00DA3CC5" w:rsidRPr="00DA3CC5" w:rsidRDefault="00DA3CC5" w:rsidP="0063062B">
      <w:pPr>
        <w:jc w:val="center"/>
        <w:rPr>
          <w:color w:val="212121"/>
          <w:sz w:val="28"/>
          <w:szCs w:val="20"/>
          <w:shd w:val="clear" w:color="auto" w:fill="FFFFFF"/>
        </w:rPr>
      </w:pPr>
      <w:r w:rsidRPr="00DA3CC5">
        <w:rPr>
          <w:color w:val="212121"/>
          <w:sz w:val="28"/>
          <w:szCs w:val="20"/>
          <w:shd w:val="clear" w:color="auto" w:fill="FFFFFF"/>
        </w:rPr>
        <w:t>(</w:t>
      </w:r>
      <w:proofErr w:type="gramStart"/>
      <w:r w:rsidRPr="00DA3CC5">
        <w:rPr>
          <w:color w:val="212121"/>
          <w:sz w:val="28"/>
          <w:szCs w:val="20"/>
          <w:shd w:val="clear" w:color="auto" w:fill="FFFFFF"/>
        </w:rPr>
        <w:t>subsidiary</w:t>
      </w:r>
      <w:proofErr w:type="gramEnd"/>
      <w:r w:rsidRPr="00DA3CC5">
        <w:rPr>
          <w:color w:val="212121"/>
          <w:sz w:val="28"/>
          <w:szCs w:val="20"/>
          <w:shd w:val="clear" w:color="auto" w:fill="FFFFFF"/>
        </w:rPr>
        <w:t xml:space="preserve"> of Wi-Fi Alliance)</w:t>
      </w:r>
    </w:p>
    <w:p w:rsidR="00DA3CC5" w:rsidRPr="00DA3CC5" w:rsidRDefault="00DA3CC5" w:rsidP="0063062B">
      <w:pPr>
        <w:jc w:val="center"/>
        <w:rPr>
          <w:b/>
          <w:bCs/>
          <w:caps/>
          <w:sz w:val="40"/>
          <w:szCs w:val="28"/>
        </w:rPr>
      </w:pPr>
    </w:p>
    <w:p w:rsidR="00C357AD" w:rsidRDefault="00022D34" w:rsidP="0063062B">
      <w:pPr>
        <w:jc w:val="center"/>
        <w:rPr>
          <w:rFonts w:ascii="Times New Roman Bold" w:hAnsi="Times New Roman Bold"/>
          <w:b/>
          <w:bCs/>
        </w:rPr>
      </w:pPr>
      <w:r>
        <w:rPr>
          <w:b/>
          <w:bCs/>
        </w:rPr>
        <w:t>W</w:t>
      </w:r>
      <w:r>
        <w:rPr>
          <w:rFonts w:ascii="Times New Roman Bold" w:hAnsi="Times New Roman Bold"/>
          <w:b/>
          <w:bCs/>
        </w:rPr>
        <w:t>I-FI INDUSTRY VIEWS ON WRC-19</w:t>
      </w:r>
    </w:p>
    <w:p w:rsidR="00DA3CC5" w:rsidRDefault="00022D34" w:rsidP="0063062B">
      <w:pPr>
        <w:jc w:val="center"/>
        <w:rPr>
          <w:rFonts w:ascii="Times New Roman Bold" w:hAnsi="Times New Roman Bold"/>
          <w:b/>
          <w:bCs/>
        </w:rPr>
      </w:pPr>
      <w:r>
        <w:rPr>
          <w:rFonts w:ascii="Times New Roman Bold" w:hAnsi="Times New Roman Bold"/>
          <w:b/>
          <w:bCs/>
        </w:rPr>
        <w:t>AGENDA ITEM 1.13</w:t>
      </w:r>
      <w:bookmarkStart w:id="0" w:name="_GoBack"/>
      <w:bookmarkEnd w:id="0"/>
    </w:p>
    <w:p w:rsidR="00DA3CC5" w:rsidRDefault="00022D34" w:rsidP="0063062B">
      <w:pPr>
        <w:jc w:val="center"/>
        <w:rPr>
          <w:rFonts w:ascii="Times New Roman Bold" w:hAnsi="Times New Roman Bold"/>
          <w:b/>
          <w:bCs/>
        </w:rPr>
      </w:pPr>
      <w:r>
        <w:rPr>
          <w:rFonts w:ascii="Times New Roman Bold" w:hAnsi="Times New Roman Bold"/>
          <w:b/>
          <w:bCs/>
        </w:rPr>
        <w:t>AGENDA ITEM 1.16</w:t>
      </w:r>
    </w:p>
    <w:p w:rsidR="00DA3CC5" w:rsidRPr="00DA3CC5" w:rsidRDefault="00022D34" w:rsidP="0063062B">
      <w:pPr>
        <w:jc w:val="center"/>
        <w:rPr>
          <w:rFonts w:ascii="Times New Roman Bold" w:hAnsi="Times New Roman Bold"/>
          <w:b/>
          <w:bCs/>
        </w:rPr>
      </w:pPr>
      <w:r>
        <w:rPr>
          <w:rFonts w:ascii="Times New Roman Bold" w:hAnsi="Times New Roman Bold"/>
          <w:b/>
          <w:bCs/>
        </w:rPr>
        <w:t>AGENDA ITEM 9.1 ISSUE 9.1.5</w:t>
      </w:r>
    </w:p>
    <w:p w:rsidR="00DB0A68" w:rsidRDefault="00DB0A68" w:rsidP="00C357AD">
      <w:pPr>
        <w:jc w:val="center"/>
      </w:pPr>
    </w:p>
    <w:p w:rsidR="0070740D" w:rsidRPr="0070740D" w:rsidRDefault="0070740D" w:rsidP="0070740D">
      <w:pPr>
        <w:jc w:val="center"/>
        <w:rPr>
          <w:bCs/>
        </w:rPr>
      </w:pPr>
      <w:r w:rsidRPr="0070740D">
        <w:rPr>
          <w:bCs/>
        </w:rPr>
        <w:t>For consideration in APG Working Party 2</w:t>
      </w:r>
    </w:p>
    <w:p w:rsidR="00C357AD" w:rsidRDefault="00C357AD" w:rsidP="00C357AD">
      <w:pPr>
        <w:jc w:val="center"/>
        <w:rPr>
          <w:b/>
        </w:rPr>
      </w:pPr>
    </w:p>
    <w:p w:rsidR="00C357AD" w:rsidRPr="00CB61A8" w:rsidRDefault="00DA3CC5" w:rsidP="00C357AD">
      <w:pPr>
        <w:jc w:val="both"/>
        <w:rPr>
          <w:b/>
        </w:rPr>
      </w:pPr>
      <w:r w:rsidRPr="007A7022">
        <w:rPr>
          <w:b/>
        </w:rPr>
        <w:t>Intro</w:t>
      </w:r>
      <w:r w:rsidRPr="00CB61A8">
        <w:rPr>
          <w:b/>
        </w:rPr>
        <w:t>duction</w:t>
      </w:r>
    </w:p>
    <w:p w:rsidR="00ED4168" w:rsidRPr="00CB61A8" w:rsidRDefault="004A2722" w:rsidP="00662EEB">
      <w:pPr>
        <w:ind w:firstLine="720"/>
      </w:pPr>
      <w:r w:rsidRPr="00CB61A8">
        <w:t>RLANs using Wi-Fi standards have become increasingly important in connecting people and devices.  Hundreds of millions of people across the APAC region rely on Wi-Fi to connect their billions of devices every day.  Studies show that</w:t>
      </w:r>
      <w:r w:rsidR="00ED4168" w:rsidRPr="00CB61A8">
        <w:t xml:space="preserve"> </w:t>
      </w:r>
      <w:r w:rsidRPr="00CB61A8">
        <w:t>Wi-Fi is the primary me</w:t>
      </w:r>
      <w:r w:rsidR="00B071B5" w:rsidRPr="00CB61A8">
        <w:t>ans by which APAC region</w:t>
      </w:r>
      <w:r w:rsidRPr="00CB61A8">
        <w:t xml:space="preserve"> connects to the internet.  For example, in 2017, </w:t>
      </w:r>
      <w:r w:rsidR="008845FF" w:rsidRPr="00CB61A8">
        <w:t>Wi-Fi delivered more than</w:t>
      </w:r>
      <w:r w:rsidRPr="00CB61A8">
        <w:t xml:space="preserve"> half (51.2%) of all the internet traffic </w:t>
      </w:r>
      <w:r w:rsidR="008845FF" w:rsidRPr="00CB61A8">
        <w:t>and 70%-80% of the mobile traffic via offload</w:t>
      </w:r>
      <w:r w:rsidRPr="00CB61A8">
        <w:t>.</w:t>
      </w:r>
      <w:r w:rsidRPr="00CB61A8">
        <w:rPr>
          <w:rStyle w:val="FootnoteReference"/>
        </w:rPr>
        <w:footnoteReference w:id="1"/>
      </w:r>
      <w:r w:rsidRPr="00CB61A8">
        <w:rPr>
          <w:rStyle w:val="FootnoteReference"/>
        </w:rPr>
        <w:t>/</w:t>
      </w:r>
      <w:r w:rsidRPr="00CB61A8">
        <w:t xml:space="preserve">  </w:t>
      </w:r>
    </w:p>
    <w:p w:rsidR="00ED4168" w:rsidRPr="00CB61A8" w:rsidRDefault="00ED4168" w:rsidP="004A2722"/>
    <w:p w:rsidR="00ED4168" w:rsidRPr="00CB61A8" w:rsidRDefault="00ED4168" w:rsidP="00662EEB">
      <w:pPr>
        <w:ind w:firstLine="720"/>
      </w:pPr>
      <w:r w:rsidRPr="00CB61A8">
        <w:t>Today Wi-Fi supports high-resolution video streaming, Wi-Fi calling, smart home monitoring, hotspot access, automation of city-wide services, residential</w:t>
      </w:r>
      <w:r w:rsidR="00554E5F">
        <w:t>,</w:t>
      </w:r>
      <w:r w:rsidRPr="00CB61A8">
        <w:t xml:space="preserve"> AR/VR applications, and seamless roaming. This central </w:t>
      </w:r>
      <w:r w:rsidR="00E43A59" w:rsidRPr="00CB61A8">
        <w:t xml:space="preserve">infrastructure </w:t>
      </w:r>
      <w:r w:rsidRPr="00CB61A8">
        <w:t>role will only increase in the future, since Wi-Fi technology will be core component in support of Fifth Generation wireless (“5G”) networks, with ultra-dense, high-speed connections to wireless and wired networks, making end-to-end communications seamless and ubiquitous.</w:t>
      </w:r>
      <w:r w:rsidRPr="00CB61A8">
        <w:rPr>
          <w:rStyle w:val="FootnoteReference"/>
        </w:rPr>
        <w:footnoteReference w:id="2"/>
      </w:r>
      <w:r w:rsidRPr="00CB61A8">
        <w:rPr>
          <w:rStyle w:val="FootnoteReference"/>
        </w:rPr>
        <w:t>/</w:t>
      </w:r>
      <w:r w:rsidRPr="00CB61A8">
        <w:t xml:space="preserve">  </w:t>
      </w:r>
      <w:r w:rsidR="000637C5">
        <w:t xml:space="preserve">Wi-Fi will continue to deliver mission critical connectivity and will carry a bulk of the world’s data traffic as 5G networks are deployed.  </w:t>
      </w:r>
      <w:hyperlink r:id="rId9" w:history="1">
        <w:r w:rsidRPr="000637C5">
          <w:rPr>
            <w:rStyle w:val="Hyperlink"/>
          </w:rPr>
          <w:t>Wi-Fi 6</w:t>
        </w:r>
      </w:hyperlink>
      <w:r w:rsidR="003943CC" w:rsidRPr="000637C5">
        <w:rPr>
          <w:rStyle w:val="Hyperlink"/>
          <w:color w:val="auto"/>
          <w:u w:val="none"/>
        </w:rPr>
        <w:t>,</w:t>
      </w:r>
      <w:r w:rsidR="003943CC" w:rsidRPr="009E357B">
        <w:rPr>
          <w:rStyle w:val="Hyperlink"/>
          <w:color w:val="auto"/>
        </w:rPr>
        <w:t xml:space="preserve"> </w:t>
      </w:r>
      <w:r w:rsidR="003943CC" w:rsidRPr="009E357B">
        <w:rPr>
          <w:rFonts w:hint="eastAsia"/>
          <w:lang w:val="en"/>
        </w:rPr>
        <w:t>based on the IEEE 802.11ax standard,</w:t>
      </w:r>
      <w:r w:rsidRPr="009E357B">
        <w:t xml:space="preserve"> </w:t>
      </w:r>
      <w:r w:rsidR="00E43A59" w:rsidRPr="009E357B">
        <w:t>will bring</w:t>
      </w:r>
      <w:r w:rsidRPr="009E357B">
        <w:t xml:space="preserve"> </w:t>
      </w:r>
      <w:r w:rsidR="00A32170" w:rsidRPr="009E357B">
        <w:t>increased acc</w:t>
      </w:r>
      <w:r w:rsidR="00A32170" w:rsidRPr="00CB61A8">
        <w:t>ess and</w:t>
      </w:r>
      <w:r w:rsidRPr="00CB61A8">
        <w:t xml:space="preserve"> </w:t>
      </w:r>
      <w:r w:rsidR="00A32170" w:rsidRPr="00CB61A8">
        <w:t>capabilities</w:t>
      </w:r>
      <w:r w:rsidRPr="00CB61A8">
        <w:t xml:space="preserve">, </w:t>
      </w:r>
      <w:r w:rsidR="00A32170" w:rsidRPr="00CB61A8">
        <w:t>while</w:t>
      </w:r>
      <w:r w:rsidRPr="00CB61A8">
        <w:t xml:space="preserve"> </w:t>
      </w:r>
      <w:hyperlink r:id="rId10" w:history="1">
        <w:proofErr w:type="spellStart"/>
        <w:r w:rsidR="00A32170" w:rsidRPr="00CB61A8">
          <w:rPr>
            <w:rStyle w:val="Hyperlink"/>
          </w:rPr>
          <w:t>WiGig</w:t>
        </w:r>
        <w:proofErr w:type="spellEnd"/>
      </w:hyperlink>
      <w:r w:rsidR="00A32170" w:rsidRPr="00CB61A8">
        <w:t xml:space="preserve"> </w:t>
      </w:r>
      <w:r w:rsidRPr="00CB61A8">
        <w:t>enhancements</w:t>
      </w:r>
      <w:r w:rsidR="008F76BA">
        <w:t>, based on the IEEE 802.11</w:t>
      </w:r>
      <w:r w:rsidR="00745A99">
        <w:t>ad/</w:t>
      </w:r>
      <w:r w:rsidR="008F76BA">
        <w:t>ay standards</w:t>
      </w:r>
      <w:r w:rsidRPr="00CB61A8">
        <w:t xml:space="preserve"> </w:t>
      </w:r>
      <w:r w:rsidR="008F76BA">
        <w:t>at</w:t>
      </w:r>
      <w:r w:rsidR="008F76BA" w:rsidRPr="00CB61A8">
        <w:t xml:space="preserve"> </w:t>
      </w:r>
      <w:r w:rsidRPr="00CB61A8">
        <w:t>the 60 GHz band</w:t>
      </w:r>
      <w:r w:rsidR="008F76BA">
        <w:t>,</w:t>
      </w:r>
      <w:r w:rsidRPr="00CB61A8">
        <w:t xml:space="preserve"> will deliver faster speeds and longer ranges</w:t>
      </w:r>
      <w:r w:rsidR="00B071B5" w:rsidRPr="00CB61A8">
        <w:t xml:space="preserve"> p</w:t>
      </w:r>
      <w:r w:rsidRPr="00CB61A8">
        <w:t>rovid</w:t>
      </w:r>
      <w:r w:rsidR="00B071B5" w:rsidRPr="00CB61A8">
        <w:t>ing</w:t>
      </w:r>
      <w:r w:rsidRPr="00CB61A8">
        <w:t xml:space="preserve"> connectivity for many advanced use cases in connected homes, connected enterprises, </w:t>
      </w:r>
      <w:proofErr w:type="spellStart"/>
      <w:r w:rsidRPr="00CB61A8">
        <w:t>IoT</w:t>
      </w:r>
      <w:proofErr w:type="spellEnd"/>
      <w:r w:rsidRPr="00CB61A8">
        <w:t>, smart cities, carrier services, and public venues.</w:t>
      </w:r>
    </w:p>
    <w:p w:rsidR="00ED4168" w:rsidRPr="00CB61A8" w:rsidRDefault="00ED4168" w:rsidP="004A2722"/>
    <w:p w:rsidR="007A7022" w:rsidRPr="00CB61A8" w:rsidRDefault="00ED4168" w:rsidP="00662EEB">
      <w:pPr>
        <w:ind w:firstLine="720"/>
      </w:pPr>
      <w:r w:rsidRPr="00CB61A8">
        <w:t>All of this traffic over Wi-Fi-enabled and other RLAN devices</w:t>
      </w:r>
      <w:r w:rsidRPr="00CB61A8">
        <w:rPr>
          <w:b/>
        </w:rPr>
        <w:t xml:space="preserve"> </w:t>
      </w:r>
      <w:r w:rsidRPr="00CB61A8">
        <w:t>requires</w:t>
      </w:r>
      <w:r w:rsidRPr="00CB61A8">
        <w:rPr>
          <w:b/>
        </w:rPr>
        <w:t xml:space="preserve"> </w:t>
      </w:r>
      <w:r w:rsidRPr="00CB61A8">
        <w:t>spectrum</w:t>
      </w:r>
      <w:r w:rsidR="00A32170" w:rsidRPr="00CB61A8">
        <w:t xml:space="preserve"> capacity.  </w:t>
      </w:r>
      <w:r w:rsidR="007A7022" w:rsidRPr="00CB61A8">
        <w:t>D</w:t>
      </w:r>
      <w:r w:rsidR="007B6B30" w:rsidRPr="00CB61A8">
        <w:t xml:space="preserve">espite </w:t>
      </w:r>
      <w:r w:rsidR="007A7022" w:rsidRPr="00CB61A8">
        <w:t>ever increasing demand</w:t>
      </w:r>
      <w:r w:rsidR="00E43A59" w:rsidRPr="00CB61A8">
        <w:t>, however</w:t>
      </w:r>
      <w:r w:rsidR="007A7022" w:rsidRPr="00CB61A8">
        <w:t>, the</w:t>
      </w:r>
      <w:r w:rsidR="00E34AA7" w:rsidRPr="00CB61A8">
        <w:t xml:space="preserve"> spectrum available for RLANs has not changed since WRC-03</w:t>
      </w:r>
      <w:r w:rsidR="007A7022" w:rsidRPr="00CB61A8">
        <w:t xml:space="preserve">.  Wi-Fi industry is concerned that without </w:t>
      </w:r>
      <w:r w:rsidR="000637C5">
        <w:t xml:space="preserve">improved </w:t>
      </w:r>
      <w:r w:rsidR="007A7022" w:rsidRPr="00CB61A8">
        <w:t xml:space="preserve">spectrum </w:t>
      </w:r>
      <w:r w:rsidR="000637C5">
        <w:t>access</w:t>
      </w:r>
      <w:r w:rsidR="007A7022" w:rsidRPr="00CB61A8">
        <w:t xml:space="preserve">, RLAN users will begin to experience degradation in performance.  </w:t>
      </w:r>
      <w:r w:rsidR="00E43A59" w:rsidRPr="00CB61A8">
        <w:t xml:space="preserve">This problem will be particularly acute in high-density RLAN (Wi-Fi) deployments which are prevalent in many APAC </w:t>
      </w:r>
      <w:r w:rsidR="000637C5">
        <w:t xml:space="preserve">region’s </w:t>
      </w:r>
      <w:r w:rsidR="00E43A59" w:rsidRPr="00CB61A8">
        <w:t xml:space="preserve">metropolitan areas. </w:t>
      </w:r>
      <w:r w:rsidR="007A7022" w:rsidRPr="00CB61A8">
        <w:t>With that in mind, Wi-Fi industry seek</w:t>
      </w:r>
      <w:r w:rsidR="00E43A59" w:rsidRPr="00CB61A8">
        <w:t>s</w:t>
      </w:r>
      <w:r w:rsidR="007A7022" w:rsidRPr="00CB61A8">
        <w:t xml:space="preserve"> </w:t>
      </w:r>
      <w:r w:rsidR="00E43A59" w:rsidRPr="00CB61A8">
        <w:t xml:space="preserve">APT </w:t>
      </w:r>
      <w:r w:rsidR="007A7022" w:rsidRPr="00CB61A8">
        <w:t>support on the following WRC-19 issues.</w:t>
      </w:r>
    </w:p>
    <w:p w:rsidR="007A7022" w:rsidRPr="00CB61A8" w:rsidRDefault="007A7022" w:rsidP="004A2722"/>
    <w:p w:rsidR="00DA3CC5" w:rsidRPr="00CB61A8" w:rsidRDefault="00DA3CC5" w:rsidP="00C357AD">
      <w:pPr>
        <w:jc w:val="both"/>
        <w:rPr>
          <w:b/>
        </w:rPr>
      </w:pPr>
      <w:r w:rsidRPr="00CB61A8">
        <w:rPr>
          <w:b/>
        </w:rPr>
        <w:t>Agenda Item 1.13 (</w:t>
      </w:r>
      <w:r w:rsidR="00D337CF">
        <w:rPr>
          <w:b/>
        </w:rPr>
        <w:t xml:space="preserve">Item J:  </w:t>
      </w:r>
      <w:r w:rsidRPr="00CB61A8">
        <w:rPr>
          <w:b/>
        </w:rPr>
        <w:t>66-71 GHz)</w:t>
      </w:r>
    </w:p>
    <w:p w:rsidR="00C67CE9" w:rsidRDefault="00C67CE9" w:rsidP="00662EEB">
      <w:pPr>
        <w:ind w:firstLine="720"/>
        <w:rPr>
          <w:iCs/>
        </w:rPr>
      </w:pPr>
      <w:r w:rsidRPr="00CB61A8">
        <w:rPr>
          <w:iCs/>
        </w:rPr>
        <w:t xml:space="preserve">The frequency band </w:t>
      </w:r>
      <w:r w:rsidRPr="00CB61A8">
        <w:t xml:space="preserve">66-76 GHz is included under </w:t>
      </w:r>
      <w:r w:rsidRPr="00CB61A8">
        <w:rPr>
          <w:iCs/>
        </w:rPr>
        <w:t xml:space="preserve">Resolution </w:t>
      </w:r>
      <w:r w:rsidRPr="00CB61A8">
        <w:rPr>
          <w:b/>
          <w:bCs/>
          <w:iCs/>
        </w:rPr>
        <w:t xml:space="preserve">238 (WRC-15) </w:t>
      </w:r>
      <w:r w:rsidRPr="00CB61A8">
        <w:t xml:space="preserve">for </w:t>
      </w:r>
      <w:r w:rsidRPr="00CB61A8">
        <w:rPr>
          <w:iCs/>
        </w:rPr>
        <w:t>sharing and compatibility studies.  During the TG 5/1 effort, some administrations expressed support for IMT identification in the 66-71 GHz portion of this band.</w:t>
      </w:r>
      <w:r w:rsidR="00F16225" w:rsidRPr="00CB61A8">
        <w:rPr>
          <w:iCs/>
        </w:rPr>
        <w:t xml:space="preserve">  Wi-Fi industry considers this approach as highly problematic.</w:t>
      </w:r>
    </w:p>
    <w:p w:rsidR="00424951" w:rsidRPr="00CB61A8" w:rsidRDefault="00424951" w:rsidP="00C67CE9">
      <w:pPr>
        <w:rPr>
          <w:iCs/>
        </w:rPr>
      </w:pPr>
    </w:p>
    <w:p w:rsidR="00A85C7A" w:rsidRDefault="00A85C7A" w:rsidP="00662EEB">
      <w:pPr>
        <w:ind w:firstLine="720"/>
      </w:pPr>
      <w:r w:rsidRPr="00CB61A8">
        <w:rPr>
          <w:bCs/>
          <w:lang w:eastAsia="de-DE"/>
        </w:rPr>
        <w:t xml:space="preserve">As noted in the draft CPM-19 report, </w:t>
      </w:r>
      <w:r w:rsidR="00B071B5" w:rsidRPr="00CB61A8">
        <w:rPr>
          <w:bCs/>
          <w:lang w:eastAsia="de-DE"/>
        </w:rPr>
        <w:t xml:space="preserve">very </w:t>
      </w:r>
      <w:r w:rsidRPr="00CB61A8">
        <w:rPr>
          <w:bCs/>
          <w:lang w:eastAsia="de-DE"/>
        </w:rPr>
        <w:t>few sharing and compatibility studies have been carried out on the 66-71 GHz band.</w:t>
      </w:r>
      <w:r w:rsidRPr="00CB61A8">
        <w:rPr>
          <w:rStyle w:val="FootnoteReference"/>
          <w:bCs/>
          <w:lang w:eastAsia="de-DE"/>
        </w:rPr>
        <w:footnoteReference w:id="3"/>
      </w:r>
      <w:r w:rsidRPr="00CB61A8">
        <w:rPr>
          <w:bCs/>
          <w:lang w:eastAsia="de-DE"/>
        </w:rPr>
        <w:t xml:space="preserve"> </w:t>
      </w:r>
      <w:r w:rsidRPr="00CB61A8">
        <w:t>This can be explained by the fact that many countries have identified this and adjacent bands for i</w:t>
      </w:r>
      <w:r w:rsidR="00B071B5" w:rsidRPr="00CB61A8">
        <w:t>mplementation of license-exempt</w:t>
      </w:r>
      <w:r w:rsidRPr="00CB61A8">
        <w:t xml:space="preserve"> technologies</w:t>
      </w:r>
      <w:r w:rsidR="00B071B5" w:rsidRPr="00CB61A8">
        <w:t xml:space="preserve"> (e.g. </w:t>
      </w:r>
      <w:r w:rsidR="0084047E">
        <w:t>IEEE 802.11ad/ay</w:t>
      </w:r>
      <w:r w:rsidR="00AE053A">
        <w:t xml:space="preserve"> (</w:t>
      </w:r>
      <w:proofErr w:type="spellStart"/>
      <w:r w:rsidR="00B071B5" w:rsidRPr="00CB61A8">
        <w:t>WiGig</w:t>
      </w:r>
      <w:proofErr w:type="spellEnd"/>
      <w:r w:rsidR="00AE053A">
        <w:t>)</w:t>
      </w:r>
      <w:r w:rsidR="00B071B5" w:rsidRPr="00CB61A8">
        <w:t>)</w:t>
      </w:r>
      <w:r w:rsidRPr="00CB61A8">
        <w:t xml:space="preserve">.  In the United States, </w:t>
      </w:r>
      <w:r w:rsidR="00F16225" w:rsidRPr="00CB61A8">
        <w:t xml:space="preserve">for example, </w:t>
      </w:r>
      <w:r w:rsidRPr="00CB61A8">
        <w:t xml:space="preserve">the FCC </w:t>
      </w:r>
      <w:r w:rsidR="00416A86" w:rsidRPr="00CB61A8">
        <w:t xml:space="preserve">decided </w:t>
      </w:r>
      <w:r w:rsidRPr="00CB61A8">
        <w:t>to maintain the unlicensed use of the 64-71 GHz band and even to expand these operations on to aircraft in flight.</w:t>
      </w:r>
      <w:r w:rsidR="00416A86" w:rsidRPr="00CB61A8">
        <w:rPr>
          <w:rStyle w:val="FootnoteReference"/>
        </w:rPr>
        <w:footnoteReference w:id="4"/>
      </w:r>
      <w:r w:rsidRPr="00CB61A8">
        <w:t xml:space="preserve">  Similarly, the European Union’s Radio Spectrum Policy Group of the (RSPG), expressed that “a general authorization</w:t>
      </w:r>
      <w:r w:rsidR="00F16225" w:rsidRPr="00CB61A8">
        <w:t>”</w:t>
      </w:r>
      <w:r w:rsidRPr="00CB61A8">
        <w:t xml:space="preserve"> (i.e., license-exempt) </w:t>
      </w:r>
      <w:r w:rsidR="00B071B5" w:rsidRPr="00CB61A8">
        <w:t>regime</w:t>
      </w:r>
      <w:r w:rsidR="00F16225" w:rsidRPr="00CB61A8">
        <w:t xml:space="preserve"> </w:t>
      </w:r>
      <w:r w:rsidRPr="00CB61A8">
        <w:t>in the 66-71 GHz band would be important for 5G implementation.</w:t>
      </w:r>
      <w:r w:rsidR="00416A86" w:rsidRPr="00CB61A8">
        <w:rPr>
          <w:rStyle w:val="FootnoteReference"/>
          <w:lang w:val="de-DE"/>
        </w:rPr>
        <w:footnoteReference w:id="5"/>
      </w:r>
      <w:r w:rsidR="00F16225" w:rsidRPr="00CB61A8">
        <w:t xml:space="preserve">  Similarly, ITU-R confirmed plans for implementation of the Multiple Gigabit Wireless Systems </w:t>
      </w:r>
      <w:r w:rsidR="00B071B5" w:rsidRPr="00CB61A8">
        <w:rPr>
          <w:shd w:val="clear" w:color="auto" w:fill="FFFFFF"/>
        </w:rPr>
        <w:t xml:space="preserve">(MGWS) </w:t>
      </w:r>
      <w:r w:rsidR="00F16225" w:rsidRPr="00CB61A8">
        <w:t>in this frequency band.</w:t>
      </w:r>
      <w:r w:rsidR="00F16225" w:rsidRPr="00CB61A8">
        <w:rPr>
          <w:rStyle w:val="FootnoteReference"/>
        </w:rPr>
        <w:footnoteReference w:id="6"/>
      </w:r>
      <w:r w:rsidR="00F16225" w:rsidRPr="00CB61A8">
        <w:t xml:space="preserve">  </w:t>
      </w:r>
      <w:r w:rsidR="00B071B5" w:rsidRPr="00CB61A8">
        <w:t xml:space="preserve">In light of that, it is particularly troubling that no sharing </w:t>
      </w:r>
      <w:r w:rsidR="006D1CD6" w:rsidRPr="00CB61A8">
        <w:t xml:space="preserve">or compatibility </w:t>
      </w:r>
      <w:r w:rsidR="00B071B5" w:rsidRPr="00CB61A8">
        <w:t>studies between MGWS and IMT have been performed.</w:t>
      </w:r>
    </w:p>
    <w:p w:rsidR="00424951" w:rsidRPr="00CB61A8" w:rsidRDefault="00424951" w:rsidP="00A85C7A"/>
    <w:p w:rsidR="00AE053A" w:rsidRDefault="00464780" w:rsidP="00662EEB">
      <w:pPr>
        <w:ind w:firstLine="720"/>
      </w:pPr>
      <w:r w:rsidRPr="00CB61A8">
        <w:t xml:space="preserve">The </w:t>
      </w:r>
      <w:r w:rsidR="00C66DF2" w:rsidRPr="00CB61A8">
        <w:rPr>
          <w:shd w:val="clear" w:color="auto" w:fill="FFFFFF"/>
        </w:rPr>
        <w:t xml:space="preserve">MGWS </w:t>
      </w:r>
      <w:r w:rsidRPr="00CB61A8">
        <w:rPr>
          <w:shd w:val="clear" w:color="auto" w:fill="FFFFFF"/>
        </w:rPr>
        <w:t xml:space="preserve">such as </w:t>
      </w:r>
      <w:proofErr w:type="spellStart"/>
      <w:r w:rsidRPr="00CB61A8">
        <w:rPr>
          <w:shd w:val="clear" w:color="auto" w:fill="FFFFFF"/>
        </w:rPr>
        <w:t>WiGig</w:t>
      </w:r>
      <w:proofErr w:type="spellEnd"/>
      <w:r w:rsidRPr="00CB61A8">
        <w:rPr>
          <w:shd w:val="clear" w:color="auto" w:fill="FFFFFF"/>
        </w:rPr>
        <w:t xml:space="preserve"> offer low-latency connectivity that expands the Wi-Fi experience for virtual reality, multimedia streaming, gaming, wireless docking, and enterprise applications requiring high speed, data-intensive connections. These systems need access to the uncongested 60 GHz frequency band with wide channels to transmit data efficiently at multi-gigabit per second speeds. Users benefit from expanded capacity and focused transmission between devices to reduce interference, even in crowded environments.</w:t>
      </w:r>
      <w:r w:rsidR="00484082" w:rsidRPr="00CB61A8">
        <w:t xml:space="preserve">  </w:t>
      </w:r>
      <w:r w:rsidR="00C66DF2" w:rsidRPr="00CB61A8">
        <w:t xml:space="preserve">Given </w:t>
      </w:r>
      <w:r w:rsidRPr="00CB61A8">
        <w:t xml:space="preserve">nascent state of </w:t>
      </w:r>
      <w:r w:rsidR="00C66DF2" w:rsidRPr="00CB61A8">
        <w:t xml:space="preserve">the </w:t>
      </w:r>
      <w:r w:rsidRPr="00CB61A8">
        <w:t>5G ecosystem in the 60-70 GHz frequency range</w:t>
      </w:r>
      <w:r w:rsidR="00C66DF2" w:rsidRPr="00CB61A8">
        <w:t>, i</w:t>
      </w:r>
      <w:r w:rsidRPr="00CB61A8">
        <w:t>t is difficult to predict, prior to WRC-19, how technologies, spectrum needs, market demands and other factors will evolve</w:t>
      </w:r>
      <w:r w:rsidR="00AE053A">
        <w:t>.  A recent study projects that by the year 2022, annual chipset shipments based on IEEE 802.</w:t>
      </w:r>
      <w:r w:rsidR="0084047E">
        <w:t>11ad/ay</w:t>
      </w:r>
      <w:r w:rsidR="00AE053A">
        <w:t xml:space="preserve"> protocols w</w:t>
      </w:r>
      <w:r w:rsidR="004047CA">
        <w:t>ould exceed 1.5 billion</w:t>
      </w:r>
      <w:r w:rsidR="00AE053A">
        <w:t xml:space="preserve">. </w:t>
      </w:r>
      <w:r w:rsidR="00662EEB">
        <w:t xml:space="preserve"> It is clear, however, that a</w:t>
      </w:r>
      <w:r w:rsidR="00AE053A" w:rsidRPr="00CB61A8">
        <w:t>n IMT identification in the 66-71 GHz band will be highly disruptive to the ongoing MGWS development and deployments.  Such identification would create regulatory and market uncertainty, and, thereby, impede development of license-exempt (e.g., non-IMT) systems.</w:t>
      </w:r>
    </w:p>
    <w:p w:rsidR="00662EEB" w:rsidRPr="00CB61A8" w:rsidRDefault="00662EEB" w:rsidP="00442AC3"/>
    <w:p w:rsidR="00AE053A" w:rsidRPr="00CB61A8" w:rsidRDefault="00AE053A" w:rsidP="00662EEB">
      <w:pPr>
        <w:spacing w:after="120"/>
        <w:ind w:left="-11" w:firstLine="731"/>
      </w:pPr>
      <w:r w:rsidRPr="00CB61A8">
        <w:t xml:space="preserve">Wi-Fi industry urges the APT administrations to take a technology neutral approach – </w:t>
      </w:r>
      <w:r w:rsidRPr="00CB61A8">
        <w:rPr>
          <w:b/>
          <w:i/>
        </w:rPr>
        <w:t xml:space="preserve">support </w:t>
      </w:r>
      <w:r w:rsidRPr="00CB61A8">
        <w:rPr>
          <w:b/>
          <w:i/>
          <w:u w:val="single"/>
        </w:rPr>
        <w:t>NOC</w:t>
      </w:r>
      <w:r w:rsidRPr="00CB61A8">
        <w:rPr>
          <w:b/>
          <w:i/>
        </w:rPr>
        <w:t xml:space="preserve"> for the band 66-71 GHz</w:t>
      </w:r>
      <w:r>
        <w:rPr>
          <w:b/>
          <w:i/>
        </w:rPr>
        <w:t xml:space="preserve"> </w:t>
      </w:r>
      <w:r w:rsidRPr="000637C5">
        <w:rPr>
          <w:b/>
          <w:i/>
          <w:lang w:eastAsia="ja-JP"/>
        </w:rPr>
        <w:t>Draft CPM-19 Report Method</w:t>
      </w:r>
      <w:r>
        <w:rPr>
          <w:b/>
          <w:i/>
        </w:rPr>
        <w:t xml:space="preserve"> J1 (</w:t>
      </w:r>
      <w:r w:rsidRPr="00197CF4">
        <w:rPr>
          <w:b/>
          <w:i/>
        </w:rPr>
        <w:t>Section 2/1.13/4.10.1</w:t>
      </w:r>
      <w:r>
        <w:rPr>
          <w:b/>
          <w:i/>
        </w:rPr>
        <w:t>)</w:t>
      </w:r>
      <w:r w:rsidRPr="00CB61A8">
        <w:t>.</w:t>
      </w:r>
    </w:p>
    <w:p w:rsidR="00AE053A" w:rsidRDefault="00AE053A" w:rsidP="00DA3CC5">
      <w:pPr>
        <w:jc w:val="both"/>
        <w:rPr>
          <w:b/>
        </w:rPr>
      </w:pPr>
    </w:p>
    <w:p w:rsidR="00CB61A8" w:rsidRPr="00CB61A8" w:rsidRDefault="00CB61A8" w:rsidP="00DA3CC5">
      <w:pPr>
        <w:jc w:val="both"/>
        <w:rPr>
          <w:b/>
        </w:rPr>
      </w:pPr>
    </w:p>
    <w:p w:rsidR="00DA3CC5" w:rsidRPr="00CB61A8" w:rsidRDefault="00DA3CC5" w:rsidP="00DA3CC5">
      <w:pPr>
        <w:jc w:val="both"/>
        <w:rPr>
          <w:b/>
        </w:rPr>
      </w:pPr>
      <w:r w:rsidRPr="00CB61A8">
        <w:rPr>
          <w:b/>
        </w:rPr>
        <w:t>Agenda Item 1.16 (5 150-5 250 MHz)</w:t>
      </w:r>
    </w:p>
    <w:p w:rsidR="003B3FB3" w:rsidRPr="00CB61A8" w:rsidRDefault="00484082" w:rsidP="00662EEB">
      <w:pPr>
        <w:pStyle w:val="Normal1"/>
        <w:spacing w:line="240" w:lineRule="auto"/>
        <w:ind w:firstLine="720"/>
        <w:rPr>
          <w:rFonts w:ascii="Times New Roman" w:hAnsi="Times New Roman" w:cs="Times New Roman"/>
          <w:color w:val="auto"/>
          <w:sz w:val="24"/>
          <w:szCs w:val="24"/>
        </w:rPr>
      </w:pPr>
      <w:r w:rsidRPr="00CB61A8">
        <w:rPr>
          <w:rFonts w:ascii="Times New Roman" w:hAnsi="Times New Roman" w:cs="Times New Roman"/>
          <w:color w:val="auto"/>
          <w:sz w:val="24"/>
          <w:szCs w:val="24"/>
        </w:rPr>
        <w:t>Radio Local Area Networks (RLANs) have proven to be a tremendous success in providing affordable and ubiquitous broadband connectivity in the APAC region.  Introduced by some administrations in limited spectrum in the 2.4 GHz band and subsequently expanded into the 5 GHz band</w:t>
      </w:r>
      <w:r w:rsidR="006D1CD6" w:rsidRPr="00CB61A8">
        <w:rPr>
          <w:rFonts w:ascii="Times New Roman" w:hAnsi="Times New Roman" w:cs="Times New Roman"/>
          <w:color w:val="auto"/>
          <w:sz w:val="24"/>
          <w:szCs w:val="24"/>
        </w:rPr>
        <w:t xml:space="preserve">, today, RLANs are integral component of telecommunications </w:t>
      </w:r>
      <w:r w:rsidR="00044EB4" w:rsidRPr="00CB61A8">
        <w:rPr>
          <w:rFonts w:ascii="Times New Roman" w:hAnsi="Times New Roman" w:cs="Times New Roman"/>
          <w:color w:val="auto"/>
          <w:sz w:val="24"/>
          <w:szCs w:val="24"/>
        </w:rPr>
        <w:t>infrastructure</w:t>
      </w:r>
      <w:r w:rsidR="003B3FB3" w:rsidRPr="00CB61A8">
        <w:rPr>
          <w:rFonts w:ascii="Times New Roman" w:hAnsi="Times New Roman" w:cs="Times New Roman"/>
          <w:color w:val="auto"/>
          <w:sz w:val="24"/>
          <w:szCs w:val="24"/>
        </w:rPr>
        <w:t>.  The WRC-03, recognizing significant demand for RLANs worldwide, designated a limited amount of spectrum for RLANs in 5 GHz.</w:t>
      </w:r>
    </w:p>
    <w:p w:rsidR="003B3FB3" w:rsidRPr="00CB61A8" w:rsidRDefault="003B3FB3" w:rsidP="00484082">
      <w:pPr>
        <w:pStyle w:val="Normal1"/>
        <w:spacing w:line="240" w:lineRule="auto"/>
        <w:rPr>
          <w:rFonts w:ascii="Times New Roman" w:hAnsi="Times New Roman" w:cs="Times New Roman"/>
          <w:color w:val="auto"/>
          <w:sz w:val="24"/>
          <w:szCs w:val="24"/>
        </w:rPr>
      </w:pPr>
    </w:p>
    <w:p w:rsidR="003B3FB3" w:rsidRPr="00CB61A8" w:rsidRDefault="00CF7810" w:rsidP="00484082">
      <w:pPr>
        <w:pStyle w:val="Normal1"/>
        <w:spacing w:line="240" w:lineRule="auto"/>
        <w:rPr>
          <w:rFonts w:ascii="Times New Roman" w:hAnsi="Times New Roman" w:cs="Times New Roman"/>
          <w:color w:val="auto"/>
          <w:sz w:val="24"/>
          <w:szCs w:val="24"/>
        </w:rPr>
      </w:pPr>
      <w:r w:rsidRPr="00CB61A8">
        <w:rPr>
          <w:rFonts w:ascii="Times New Roman" w:hAnsi="Times New Roman" w:cs="Times New Roman"/>
          <w:noProof/>
          <w:color w:val="auto"/>
          <w:sz w:val="24"/>
          <w:szCs w:val="24"/>
        </w:rPr>
        <w:drawing>
          <wp:inline distT="0" distB="0" distL="0" distR="0" wp14:anchorId="6E7E79F3" wp14:editId="50572269">
            <wp:extent cx="5916295" cy="1675130"/>
            <wp:effectExtent l="19050" t="19050" r="27305" b="20320"/>
            <wp:docPr id="10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2"/>
                    <pic:cNvPicPr>
                      <a:picLocks noChangeAspect="1"/>
                    </pic:cNvPicPr>
                  </pic:nvPicPr>
                  <pic:blipFill>
                    <a:blip r:embed="rId11"/>
                    <a:stretch>
                      <a:fillRect/>
                    </a:stretch>
                  </pic:blipFill>
                  <pic:spPr>
                    <a:xfrm>
                      <a:off x="0" y="0"/>
                      <a:ext cx="5916295" cy="1675130"/>
                    </a:xfrm>
                    <a:prstGeom prst="rect">
                      <a:avLst/>
                    </a:prstGeom>
                    <a:ln w="9525">
                      <a:solidFill>
                        <a:schemeClr val="tx1"/>
                      </a:solidFill>
                    </a:ln>
                  </pic:spPr>
                </pic:pic>
              </a:graphicData>
            </a:graphic>
          </wp:inline>
        </w:drawing>
      </w:r>
    </w:p>
    <w:p w:rsidR="003B3FB3" w:rsidRPr="004047CA" w:rsidRDefault="00CF7810" w:rsidP="00CF7810">
      <w:pPr>
        <w:pStyle w:val="Normal1"/>
        <w:spacing w:line="240" w:lineRule="auto"/>
        <w:jc w:val="center"/>
        <w:rPr>
          <w:rFonts w:ascii="Times New Roman" w:hAnsi="Times New Roman" w:cs="Times New Roman"/>
          <w:b/>
          <w:color w:val="auto"/>
          <w:sz w:val="20"/>
        </w:rPr>
      </w:pPr>
      <w:r w:rsidRPr="004047CA">
        <w:rPr>
          <w:rFonts w:ascii="Times New Roman" w:hAnsi="Times New Roman" w:cs="Times New Roman"/>
          <w:b/>
          <w:color w:val="auto"/>
          <w:sz w:val="20"/>
        </w:rPr>
        <w:t xml:space="preserve">Figure </w:t>
      </w:r>
      <w:r w:rsidR="00442AC3">
        <w:rPr>
          <w:rFonts w:ascii="Times New Roman" w:hAnsi="Times New Roman" w:cs="Times New Roman"/>
          <w:b/>
          <w:color w:val="auto"/>
          <w:sz w:val="20"/>
        </w:rPr>
        <w:t>1</w:t>
      </w:r>
      <w:r w:rsidRPr="004047CA">
        <w:rPr>
          <w:rFonts w:ascii="Times New Roman" w:hAnsi="Times New Roman" w:cs="Times New Roman"/>
          <w:b/>
          <w:color w:val="auto"/>
          <w:sz w:val="20"/>
        </w:rPr>
        <w:t>: RLAN spectrum in 5 GHz band</w:t>
      </w:r>
      <w:r w:rsidR="006D1CD6" w:rsidRPr="004047CA">
        <w:rPr>
          <w:rFonts w:ascii="Times New Roman" w:hAnsi="Times New Roman" w:cs="Times New Roman"/>
          <w:b/>
          <w:color w:val="auto"/>
          <w:sz w:val="20"/>
        </w:rPr>
        <w:t xml:space="preserve"> with IEEE 802.11 channelization</w:t>
      </w:r>
    </w:p>
    <w:p w:rsidR="00442AC3" w:rsidRDefault="00442AC3" w:rsidP="00B45554">
      <w:pPr>
        <w:pStyle w:val="Normal1"/>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B45554" w:rsidRPr="00CB61A8" w:rsidRDefault="00442AC3" w:rsidP="00662EEB">
      <w:pPr>
        <w:pStyle w:val="Normal1"/>
        <w:spacing w:line="240" w:lineRule="auto"/>
        <w:ind w:firstLine="360"/>
        <w:rPr>
          <w:rFonts w:ascii="Times New Roman" w:eastAsia="Open Sans" w:hAnsi="Times New Roman" w:cs="Times New Roman"/>
          <w:noProof/>
          <w:sz w:val="24"/>
          <w:szCs w:val="24"/>
        </w:rPr>
      </w:pPr>
      <w:r>
        <w:rPr>
          <w:rFonts w:ascii="Times New Roman" w:hAnsi="Times New Roman" w:cs="Times New Roman"/>
          <w:color w:val="auto"/>
          <w:sz w:val="24"/>
          <w:szCs w:val="24"/>
        </w:rPr>
        <w:t>As shown on Figure 1</w:t>
      </w:r>
      <w:r w:rsidR="00CF7810" w:rsidRPr="00CB61A8">
        <w:rPr>
          <w:rFonts w:ascii="Times New Roman" w:hAnsi="Times New Roman" w:cs="Times New Roman"/>
          <w:color w:val="auto"/>
          <w:sz w:val="24"/>
          <w:szCs w:val="24"/>
        </w:rPr>
        <w:t xml:space="preserve">, </w:t>
      </w:r>
      <w:r w:rsidR="00CF7810" w:rsidRPr="00CB61A8">
        <w:rPr>
          <w:rFonts w:ascii="Times New Roman" w:hAnsi="Times New Roman" w:cs="Times New Roman"/>
          <w:sz w:val="24"/>
          <w:szCs w:val="24"/>
        </w:rPr>
        <w:t xml:space="preserve">except for the band 5 150-5 250 MHz, other RLAN spectrum in the 5 GHz range is subject to the dynamic frequency selection (DFS) constraint.  The DFS constraint, albeit necessary, reduces spectrum access and raises equipment cost and complexity for RLAN implementation.  </w:t>
      </w:r>
      <w:r w:rsidR="00B45554" w:rsidRPr="00CB61A8">
        <w:rPr>
          <w:rFonts w:ascii="Times New Roman" w:hAnsi="Times New Roman" w:cs="Times New Roman"/>
          <w:sz w:val="24"/>
          <w:szCs w:val="24"/>
        </w:rPr>
        <w:t>The current Radio Regulations provisions, adopted at WRC-03, restrict t</w:t>
      </w:r>
      <w:r w:rsidR="00CF7810" w:rsidRPr="00CB61A8">
        <w:rPr>
          <w:rFonts w:ascii="Times New Roman" w:hAnsi="Times New Roman" w:cs="Times New Roman"/>
          <w:sz w:val="24"/>
          <w:szCs w:val="24"/>
        </w:rPr>
        <w:t>he band 5150-5250</w:t>
      </w:r>
      <w:r w:rsidR="00B45554" w:rsidRPr="00CB61A8">
        <w:rPr>
          <w:rFonts w:ascii="Times New Roman" w:hAnsi="Times New Roman" w:cs="Times New Roman"/>
          <w:sz w:val="24"/>
          <w:szCs w:val="24"/>
        </w:rPr>
        <w:t xml:space="preserve"> MHz to indoor use only.  Over the last 15 years (since WRC-03), however, the r</w:t>
      </w:r>
      <w:r w:rsidR="00B45554" w:rsidRPr="00CB61A8">
        <w:rPr>
          <w:rFonts w:ascii="Times New Roman" w:eastAsia="Open Sans" w:hAnsi="Times New Roman" w:cs="Times New Roman"/>
          <w:noProof/>
          <w:sz w:val="24"/>
          <w:szCs w:val="24"/>
        </w:rPr>
        <w:t xml:space="preserve">equirements for RLAN outdoor </w:t>
      </w:r>
      <w:r w:rsidR="00B45554" w:rsidRPr="00CB61A8">
        <w:rPr>
          <w:rFonts w:ascii="Times New Roman" w:eastAsia="Open Sans" w:hAnsi="Times New Roman" w:cs="Times New Roman"/>
          <w:color w:val="auto"/>
          <w:sz w:val="24"/>
          <w:szCs w:val="24"/>
        </w:rPr>
        <w:t>deployments have evolved, for example:</w:t>
      </w:r>
    </w:p>
    <w:p w:rsidR="00B45554" w:rsidRPr="00CB61A8" w:rsidRDefault="00B45554" w:rsidP="00B45554">
      <w:pPr>
        <w:numPr>
          <w:ilvl w:val="0"/>
          <w:numId w:val="9"/>
        </w:numPr>
        <w:rPr>
          <w:rFonts w:eastAsia="Open Sans"/>
          <w:noProof/>
        </w:rPr>
      </w:pPr>
      <w:r w:rsidRPr="00CB61A8">
        <w:rPr>
          <w:rFonts w:eastAsia="Open Sans"/>
          <w:noProof/>
        </w:rPr>
        <w:t>Smart cities and communities;</w:t>
      </w:r>
      <w:r w:rsidRPr="00CB61A8">
        <w:rPr>
          <w:rStyle w:val="FootnoteReference"/>
          <w:rFonts w:eastAsia="Open Sans"/>
          <w:noProof/>
        </w:rPr>
        <w:footnoteReference w:id="7"/>
      </w:r>
    </w:p>
    <w:p w:rsidR="00B45554" w:rsidRPr="00CB61A8" w:rsidRDefault="00B45554" w:rsidP="00B45554">
      <w:pPr>
        <w:numPr>
          <w:ilvl w:val="0"/>
          <w:numId w:val="9"/>
        </w:numPr>
        <w:rPr>
          <w:rFonts w:eastAsia="Open Sans"/>
          <w:noProof/>
        </w:rPr>
      </w:pPr>
      <w:r w:rsidRPr="00CB61A8">
        <w:rPr>
          <w:bCs/>
          <w:iCs/>
        </w:rPr>
        <w:t xml:space="preserve">Mobile Data – </w:t>
      </w:r>
      <w:r w:rsidRPr="00CB61A8">
        <w:t>volume of mobile data traffic offloaded to Wi-Fi significantly exceeds traffic carried (remaining) on cellular networks</w:t>
      </w:r>
      <w:r w:rsidRPr="00CB61A8">
        <w:rPr>
          <w:noProof/>
        </w:rPr>
        <w:t>;</w:t>
      </w:r>
      <w:r w:rsidRPr="00CB61A8">
        <w:rPr>
          <w:rStyle w:val="FootnoteReference"/>
          <w:noProof/>
        </w:rPr>
        <w:footnoteReference w:id="8"/>
      </w:r>
    </w:p>
    <w:p w:rsidR="00B45554" w:rsidRPr="00CB61A8" w:rsidRDefault="00B45554" w:rsidP="00B45554">
      <w:pPr>
        <w:numPr>
          <w:ilvl w:val="0"/>
          <w:numId w:val="9"/>
        </w:numPr>
        <w:rPr>
          <w:bCs/>
          <w:iCs/>
        </w:rPr>
      </w:pPr>
      <w:r w:rsidRPr="00CB61A8">
        <w:rPr>
          <w:bCs/>
          <w:iCs/>
        </w:rPr>
        <w:t xml:space="preserve">Locations which are increasingly expected to offer ubiquitous Wi-Fi access including outdoor areas such as sports arenas, municipal/private networks, parks, and other high traffic areas as well as indoor areas such as shopping malls, airports, hotels, restaurants office buildings and schools; </w:t>
      </w:r>
    </w:p>
    <w:p w:rsidR="00B45554" w:rsidRPr="00CB61A8" w:rsidRDefault="00B45554" w:rsidP="00B45554">
      <w:pPr>
        <w:numPr>
          <w:ilvl w:val="0"/>
          <w:numId w:val="9"/>
        </w:numPr>
        <w:rPr>
          <w:bCs/>
          <w:iCs/>
        </w:rPr>
      </w:pPr>
      <w:r w:rsidRPr="00CB61A8">
        <w:rPr>
          <w:bCs/>
          <w:iCs/>
        </w:rPr>
        <w:t>Sensors and connectivity for public transport, automotive, utilities, etc. rely on Wi-Fi connectivity;</w:t>
      </w:r>
    </w:p>
    <w:p w:rsidR="00B45554" w:rsidRPr="00CB61A8" w:rsidRDefault="00B45554" w:rsidP="00B45554">
      <w:pPr>
        <w:numPr>
          <w:ilvl w:val="0"/>
          <w:numId w:val="9"/>
        </w:numPr>
        <w:rPr>
          <w:bCs/>
          <w:iCs/>
        </w:rPr>
      </w:pPr>
      <w:r w:rsidRPr="00CB61A8">
        <w:rPr>
          <w:bCs/>
          <w:iCs/>
        </w:rPr>
        <w:t>Internet of Things (</w:t>
      </w:r>
      <w:proofErr w:type="spellStart"/>
      <w:r w:rsidRPr="00CB61A8">
        <w:rPr>
          <w:bCs/>
          <w:iCs/>
        </w:rPr>
        <w:t>IoT</w:t>
      </w:r>
      <w:proofErr w:type="spellEnd"/>
      <w:r w:rsidRPr="00CB61A8">
        <w:rPr>
          <w:bCs/>
          <w:iCs/>
        </w:rPr>
        <w:t>) technologies entail both indoor and outdoor deployments;</w:t>
      </w:r>
    </w:p>
    <w:p w:rsidR="00B45554" w:rsidRDefault="00B45554" w:rsidP="00B45554">
      <w:pPr>
        <w:numPr>
          <w:ilvl w:val="0"/>
          <w:numId w:val="9"/>
        </w:numPr>
        <w:rPr>
          <w:bCs/>
          <w:iCs/>
        </w:rPr>
      </w:pPr>
      <w:r w:rsidRPr="00CB61A8">
        <w:rPr>
          <w:bCs/>
          <w:iCs/>
        </w:rPr>
        <w:t>Connected wearables and other consumer applications rely on Wi-Fi to support various use cases.</w:t>
      </w:r>
    </w:p>
    <w:p w:rsidR="00424951" w:rsidRPr="00CB61A8" w:rsidRDefault="00424951" w:rsidP="00424951">
      <w:pPr>
        <w:ind w:left="720"/>
        <w:rPr>
          <w:bCs/>
          <w:iCs/>
        </w:rPr>
      </w:pPr>
    </w:p>
    <w:p w:rsidR="00CF7810" w:rsidRDefault="00BD750D" w:rsidP="00662EEB">
      <w:pPr>
        <w:pStyle w:val="Normal1"/>
        <w:spacing w:line="240" w:lineRule="auto"/>
        <w:ind w:firstLine="360"/>
        <w:rPr>
          <w:rFonts w:ascii="Times New Roman" w:hAnsi="Times New Roman" w:cs="Times New Roman"/>
          <w:sz w:val="24"/>
          <w:szCs w:val="24"/>
        </w:rPr>
      </w:pPr>
      <w:r w:rsidRPr="00CB61A8">
        <w:rPr>
          <w:rFonts w:ascii="Times New Roman" w:eastAsia="Open Sans" w:hAnsi="Times New Roman" w:cs="Times New Roman"/>
          <w:noProof/>
          <w:sz w:val="24"/>
          <w:szCs w:val="24"/>
        </w:rPr>
        <w:t>The</w:t>
      </w:r>
      <w:r w:rsidR="00484082" w:rsidRPr="00CB61A8">
        <w:rPr>
          <w:rFonts w:ascii="Times New Roman" w:eastAsia="Open Sans" w:hAnsi="Times New Roman" w:cs="Times New Roman"/>
          <w:noProof/>
          <w:sz w:val="24"/>
          <w:szCs w:val="24"/>
        </w:rPr>
        <w:t xml:space="preserve"> lack of adequate spectrum</w:t>
      </w:r>
      <w:r w:rsidR="003B3FB3" w:rsidRPr="00CB61A8">
        <w:rPr>
          <w:rFonts w:ascii="Times New Roman" w:eastAsia="Open Sans" w:hAnsi="Times New Roman" w:cs="Times New Roman"/>
          <w:noProof/>
          <w:sz w:val="24"/>
          <w:szCs w:val="24"/>
        </w:rPr>
        <w:t xml:space="preserve"> particularly for RLAN outdoor deployments</w:t>
      </w:r>
      <w:r w:rsidR="00B45554" w:rsidRPr="00CB61A8">
        <w:rPr>
          <w:rFonts w:ascii="Times New Roman" w:eastAsia="Open Sans" w:hAnsi="Times New Roman" w:cs="Times New Roman"/>
          <w:noProof/>
          <w:sz w:val="24"/>
          <w:szCs w:val="24"/>
        </w:rPr>
        <w:t xml:space="preserve"> </w:t>
      </w:r>
      <w:r w:rsidR="00484082" w:rsidRPr="00CB61A8">
        <w:rPr>
          <w:rFonts w:ascii="Times New Roman" w:eastAsia="Open Sans" w:hAnsi="Times New Roman" w:cs="Times New Roman"/>
          <w:noProof/>
          <w:sz w:val="24"/>
          <w:szCs w:val="24"/>
        </w:rPr>
        <w:t>threatens to degrade performace and limit conectivity for billions of consumers</w:t>
      </w:r>
      <w:r w:rsidR="00B45554" w:rsidRPr="00CB61A8">
        <w:rPr>
          <w:rFonts w:ascii="Times New Roman" w:eastAsia="Open Sans" w:hAnsi="Times New Roman" w:cs="Times New Roman"/>
          <w:noProof/>
          <w:sz w:val="24"/>
          <w:szCs w:val="24"/>
        </w:rPr>
        <w:t xml:space="preserve"> in the APAC region</w:t>
      </w:r>
      <w:r w:rsidR="00484082" w:rsidRPr="00CB61A8">
        <w:rPr>
          <w:rFonts w:ascii="Times New Roman" w:eastAsia="Open Sans" w:hAnsi="Times New Roman" w:cs="Times New Roman"/>
          <w:noProof/>
          <w:sz w:val="24"/>
          <w:szCs w:val="24"/>
        </w:rPr>
        <w:t xml:space="preserve">.  </w:t>
      </w:r>
      <w:r w:rsidR="00B45554" w:rsidRPr="00CB61A8">
        <w:rPr>
          <w:rFonts w:ascii="Times New Roman" w:eastAsia="Open Sans" w:hAnsi="Times New Roman" w:cs="Times New Roman"/>
          <w:noProof/>
          <w:sz w:val="24"/>
          <w:szCs w:val="24"/>
        </w:rPr>
        <w:t xml:space="preserve">In light of this fact, administartions in the APAC region are modifying their national regulations to allow RLAN outdoor deploymnts in the band </w:t>
      </w:r>
      <w:r w:rsidR="00B45554" w:rsidRPr="00CB61A8">
        <w:rPr>
          <w:rFonts w:ascii="Times New Roman" w:hAnsi="Times New Roman" w:cs="Times New Roman"/>
          <w:sz w:val="24"/>
          <w:szCs w:val="24"/>
        </w:rPr>
        <w:t>5 150-5 250 MHz</w:t>
      </w:r>
      <w:r w:rsidR="00E9515A" w:rsidRPr="00CB61A8">
        <w:rPr>
          <w:rFonts w:ascii="Times New Roman" w:hAnsi="Times New Roman" w:cs="Times New Roman"/>
          <w:sz w:val="24"/>
          <w:szCs w:val="24"/>
        </w:rPr>
        <w:t>, c</w:t>
      </w:r>
      <w:r w:rsidR="00B45554" w:rsidRPr="00CB61A8">
        <w:rPr>
          <w:rFonts w:ascii="Times New Roman" w:hAnsi="Times New Roman" w:cs="Times New Roman"/>
          <w:sz w:val="24"/>
          <w:szCs w:val="24"/>
        </w:rPr>
        <w:t xml:space="preserve">ountries including India, </w:t>
      </w:r>
      <w:r w:rsidR="00E9515A" w:rsidRPr="00CB61A8">
        <w:rPr>
          <w:rFonts w:ascii="Times New Roman" w:hAnsi="Times New Roman" w:cs="Times New Roman"/>
          <w:sz w:val="24"/>
          <w:szCs w:val="24"/>
        </w:rPr>
        <w:t xml:space="preserve">Indonesia, </w:t>
      </w:r>
      <w:r w:rsidR="002D7A84" w:rsidRPr="00CB61A8">
        <w:rPr>
          <w:rFonts w:ascii="Times New Roman" w:hAnsi="Times New Roman" w:cs="Times New Roman"/>
          <w:sz w:val="24"/>
          <w:szCs w:val="24"/>
        </w:rPr>
        <w:t>Japan and Republic</w:t>
      </w:r>
      <w:r w:rsidR="00B45554" w:rsidRPr="00CB61A8">
        <w:rPr>
          <w:rFonts w:ascii="Times New Roman" w:hAnsi="Times New Roman" w:cs="Times New Roman"/>
          <w:sz w:val="24"/>
          <w:szCs w:val="24"/>
        </w:rPr>
        <w:t xml:space="preserve"> of Korea.</w:t>
      </w:r>
    </w:p>
    <w:p w:rsidR="00662EEB" w:rsidRPr="00CB61A8" w:rsidRDefault="00662EEB" w:rsidP="00484082">
      <w:pPr>
        <w:pStyle w:val="Normal1"/>
        <w:spacing w:line="240" w:lineRule="auto"/>
        <w:rPr>
          <w:rFonts w:ascii="Times New Roman" w:hAnsi="Times New Roman" w:cs="Times New Roman"/>
          <w:sz w:val="24"/>
          <w:szCs w:val="24"/>
        </w:rPr>
      </w:pPr>
    </w:p>
    <w:p w:rsidR="002D7A84" w:rsidRPr="00CB61A8" w:rsidRDefault="00E9515A" w:rsidP="00662EEB">
      <w:pPr>
        <w:pStyle w:val="Normal1"/>
        <w:spacing w:line="240" w:lineRule="auto"/>
        <w:ind w:firstLine="720"/>
        <w:rPr>
          <w:rFonts w:ascii="Times New Roman" w:hAnsi="Times New Roman" w:cs="Times New Roman"/>
          <w:sz w:val="24"/>
          <w:szCs w:val="24"/>
        </w:rPr>
      </w:pPr>
      <w:r w:rsidRPr="00CB61A8">
        <w:rPr>
          <w:rFonts w:ascii="Times New Roman" w:hAnsi="Times New Roman" w:cs="Times New Roman"/>
          <w:sz w:val="24"/>
          <w:szCs w:val="24"/>
        </w:rPr>
        <w:t>Wi-Fi industry urges the APT administrations to support r</w:t>
      </w:r>
      <w:r w:rsidRPr="00CB61A8">
        <w:rPr>
          <w:rFonts w:ascii="Times New Roman" w:hAnsi="Times New Roman" w:cs="Times New Roman"/>
          <w:sz w:val="24"/>
          <w:szCs w:val="24"/>
          <w:lang w:eastAsia="ja-JP"/>
        </w:rPr>
        <w:t xml:space="preserve">evisions to Resolution </w:t>
      </w:r>
      <w:r w:rsidRPr="00CB61A8">
        <w:rPr>
          <w:rFonts w:ascii="Times New Roman" w:hAnsi="Times New Roman" w:cs="Times New Roman"/>
          <w:b/>
          <w:sz w:val="24"/>
          <w:szCs w:val="24"/>
          <w:lang w:eastAsia="ja-JP"/>
        </w:rPr>
        <w:t>229 (Rev.WRC-12)</w:t>
      </w:r>
      <w:r w:rsidRPr="00CB61A8">
        <w:rPr>
          <w:rFonts w:ascii="Times New Roman" w:hAnsi="Times New Roman" w:cs="Times New Roman"/>
          <w:sz w:val="24"/>
          <w:szCs w:val="24"/>
          <w:lang w:eastAsia="ja-JP"/>
        </w:rPr>
        <w:t xml:space="preserve"> are proposed in order to enable outdoor RLAN operations including possible associated conditions for new </w:t>
      </w:r>
      <w:proofErr w:type="spellStart"/>
      <w:r w:rsidRPr="00CB61A8">
        <w:rPr>
          <w:rFonts w:ascii="Times New Roman" w:hAnsi="Times New Roman" w:cs="Times New Roman"/>
          <w:sz w:val="24"/>
          <w:szCs w:val="24"/>
          <w:lang w:eastAsia="ja-JP"/>
        </w:rPr>
        <w:t>e.i.r.p</w:t>
      </w:r>
      <w:proofErr w:type="spellEnd"/>
      <w:r w:rsidRPr="00CB61A8">
        <w:rPr>
          <w:rFonts w:ascii="Times New Roman" w:hAnsi="Times New Roman" w:cs="Times New Roman"/>
          <w:sz w:val="24"/>
          <w:szCs w:val="24"/>
          <w:lang w:eastAsia="ja-JP"/>
        </w:rPr>
        <w:t xml:space="preserve">. limits while addressing the protection of incumbent services – </w:t>
      </w:r>
      <w:r w:rsidRPr="00197CF4">
        <w:rPr>
          <w:rFonts w:ascii="Times New Roman" w:hAnsi="Times New Roman" w:cs="Times New Roman"/>
          <w:b/>
          <w:i/>
          <w:sz w:val="24"/>
          <w:szCs w:val="24"/>
          <w:lang w:eastAsia="ja-JP"/>
        </w:rPr>
        <w:t>support Draft CPM-19 Report Method A2</w:t>
      </w:r>
      <w:r w:rsidRPr="00CB61A8">
        <w:rPr>
          <w:rFonts w:ascii="Times New Roman" w:hAnsi="Times New Roman" w:cs="Times New Roman"/>
          <w:b/>
          <w:sz w:val="24"/>
          <w:szCs w:val="24"/>
          <w:lang w:eastAsia="ja-JP"/>
        </w:rPr>
        <w:t xml:space="preserve"> (Section </w:t>
      </w:r>
      <w:r w:rsidRPr="00CB61A8">
        <w:rPr>
          <w:rFonts w:ascii="Times New Roman" w:hAnsi="Times New Roman" w:cs="Times New Roman"/>
          <w:b/>
          <w:sz w:val="24"/>
          <w:szCs w:val="24"/>
        </w:rPr>
        <w:t>2/1.16/4.1.2)</w:t>
      </w:r>
      <w:r w:rsidRPr="00CB61A8">
        <w:rPr>
          <w:rFonts w:ascii="Times New Roman" w:hAnsi="Times New Roman" w:cs="Times New Roman"/>
          <w:sz w:val="24"/>
          <w:szCs w:val="24"/>
          <w:lang w:eastAsia="ja-JP"/>
        </w:rPr>
        <w:t>.</w:t>
      </w:r>
    </w:p>
    <w:p w:rsidR="002D7A84" w:rsidRDefault="002D7A84" w:rsidP="00484082">
      <w:pPr>
        <w:pStyle w:val="Normal1"/>
        <w:spacing w:line="240" w:lineRule="auto"/>
        <w:rPr>
          <w:rFonts w:ascii="Times New Roman" w:hAnsi="Times New Roman" w:cs="Times New Roman"/>
          <w:sz w:val="24"/>
          <w:szCs w:val="24"/>
        </w:rPr>
      </w:pPr>
    </w:p>
    <w:p w:rsidR="00CB61A8" w:rsidRPr="00CB61A8" w:rsidRDefault="00CB61A8" w:rsidP="00484082">
      <w:pPr>
        <w:pStyle w:val="Normal1"/>
        <w:spacing w:line="240" w:lineRule="auto"/>
        <w:rPr>
          <w:rFonts w:ascii="Times New Roman" w:hAnsi="Times New Roman" w:cs="Times New Roman"/>
          <w:sz w:val="24"/>
          <w:szCs w:val="24"/>
        </w:rPr>
      </w:pPr>
    </w:p>
    <w:p w:rsidR="00DA3CC5" w:rsidRPr="00CB61A8" w:rsidRDefault="00DA3CC5" w:rsidP="00DA3CC5">
      <w:pPr>
        <w:jc w:val="both"/>
        <w:rPr>
          <w:b/>
        </w:rPr>
      </w:pPr>
      <w:r w:rsidRPr="00CB61A8">
        <w:rPr>
          <w:b/>
        </w:rPr>
        <w:t>Agenda Item 9.1</w:t>
      </w:r>
      <w:r w:rsidR="002D3C12">
        <w:rPr>
          <w:b/>
        </w:rPr>
        <w:t xml:space="preserve"> Issue 9.1</w:t>
      </w:r>
      <w:r w:rsidRPr="00CB61A8">
        <w:rPr>
          <w:b/>
        </w:rPr>
        <w:t>.5</w:t>
      </w:r>
    </w:p>
    <w:p w:rsidR="00CA345A" w:rsidRPr="00CB61A8" w:rsidRDefault="002D0E6D" w:rsidP="00662EEB">
      <w:pPr>
        <w:pStyle w:val="NormalWeb"/>
        <w:shd w:val="clear" w:color="auto" w:fill="FFFFFF"/>
        <w:spacing w:before="0" w:beforeAutospacing="0" w:after="0" w:afterAutospacing="0"/>
        <w:ind w:firstLine="720"/>
      </w:pPr>
      <w:r w:rsidRPr="00CB61A8">
        <w:t xml:space="preserve">WRC-03 designated 5 250-5 350 MHz and 5 470-5 725 MHz frequency bands for use by RLANs.  In doing so, WRC-03 adopted RR Nos. </w:t>
      </w:r>
      <w:r w:rsidRPr="00CB61A8">
        <w:rPr>
          <w:rStyle w:val="ECCHLbold"/>
        </w:rPr>
        <w:t>5.447F</w:t>
      </w:r>
      <w:r w:rsidRPr="00CB61A8">
        <w:t xml:space="preserve"> and </w:t>
      </w:r>
      <w:r w:rsidRPr="00CB61A8">
        <w:rPr>
          <w:rStyle w:val="ECCHLbold"/>
        </w:rPr>
        <w:t>5.450A</w:t>
      </w:r>
      <w:r w:rsidRPr="00CB61A8">
        <w:t xml:space="preserve"> provision specifying that RLANs must protect </w:t>
      </w:r>
      <w:r w:rsidR="00CA345A" w:rsidRPr="00CB61A8">
        <w:rPr>
          <w:rFonts w:eastAsia="SimSun"/>
          <w:spacing w:val="-2"/>
        </w:rPr>
        <w:t xml:space="preserve">radiolocation service described in </w:t>
      </w:r>
      <w:r w:rsidR="00CA345A" w:rsidRPr="00CB61A8">
        <w:rPr>
          <w:rFonts w:eastAsia="SimSun"/>
        </w:rPr>
        <w:t xml:space="preserve">Recommendations ITU-R M.1638-0 and </w:t>
      </w:r>
      <w:r w:rsidR="00CA345A" w:rsidRPr="00CB61A8">
        <w:rPr>
          <w:rFonts w:eastAsia="SimSun"/>
        </w:rPr>
        <w:lastRenderedPageBreak/>
        <w:t xml:space="preserve">ITU-R M.1849-0.  </w:t>
      </w:r>
      <w:r w:rsidR="00CA345A" w:rsidRPr="00CB61A8">
        <w:t xml:space="preserve">The actual coexistence requirement between RLAN and the radiolocation service is regulated by No. </w:t>
      </w:r>
      <w:r w:rsidR="00CA345A" w:rsidRPr="00CB61A8">
        <w:rPr>
          <w:b/>
        </w:rPr>
        <w:t>5.446A</w:t>
      </w:r>
      <w:r w:rsidR="00CA345A" w:rsidRPr="00CB61A8">
        <w:t xml:space="preserve"> and associated Resolution </w:t>
      </w:r>
      <w:r w:rsidR="00CA345A" w:rsidRPr="00CB61A8">
        <w:rPr>
          <w:b/>
        </w:rPr>
        <w:t>229</w:t>
      </w:r>
      <w:r w:rsidR="00CA345A" w:rsidRPr="00CB61A8">
        <w:t xml:space="preserve"> (Rev.</w:t>
      </w:r>
      <w:r w:rsidR="00D87BE8" w:rsidRPr="00CB61A8">
        <w:t xml:space="preserve"> </w:t>
      </w:r>
      <w:r w:rsidR="00CA345A" w:rsidRPr="00CB61A8">
        <w:t>WRC 12</w:t>
      </w:r>
      <w:r w:rsidR="00D87BE8" w:rsidRPr="00CB61A8">
        <w:t xml:space="preserve">) and is premised on application of the Dynamic Frequency Selection (DFS) technique.  The listen-before-talk approach of the DFS is the only practical method for RLANs to avoid operations on frequencies in use by radars. </w:t>
      </w:r>
    </w:p>
    <w:p w:rsidR="00DB4EDF" w:rsidRPr="00CB61A8" w:rsidRDefault="00DB4EDF" w:rsidP="002D0E6D">
      <w:pPr>
        <w:pStyle w:val="NormalWeb"/>
        <w:shd w:val="clear" w:color="auto" w:fill="FFFFFF"/>
        <w:spacing w:before="0" w:beforeAutospacing="0" w:after="0" w:afterAutospacing="0"/>
      </w:pPr>
    </w:p>
    <w:p w:rsidR="002D0E6D" w:rsidRPr="00CB61A8" w:rsidRDefault="00CA345A" w:rsidP="00662EEB">
      <w:pPr>
        <w:pStyle w:val="NormalWeb"/>
        <w:shd w:val="clear" w:color="auto" w:fill="FFFFFF"/>
        <w:spacing w:before="0" w:beforeAutospacing="0" w:after="0" w:afterAutospacing="0"/>
        <w:ind w:firstLine="720"/>
        <w:rPr>
          <w:i/>
        </w:rPr>
      </w:pPr>
      <w:r w:rsidRPr="00CB61A8">
        <w:t>Since WRC-03, along with growing demand for RLAN connectivity, there has been evolution in radar technology, with new fast-frequency-hopping and bi-static radars introduced in to the 5 GHz bands.</w:t>
      </w:r>
      <w:r w:rsidR="00D87BE8" w:rsidRPr="00CB61A8">
        <w:t xml:space="preserve"> </w:t>
      </w:r>
      <w:r w:rsidR="00DB4EDF" w:rsidRPr="00CB61A8">
        <w:t xml:space="preserve"> </w:t>
      </w:r>
      <w:r w:rsidR="00D87BE8" w:rsidRPr="00CB61A8">
        <w:t>S</w:t>
      </w:r>
      <w:r w:rsidR="002D0E6D" w:rsidRPr="00CB61A8">
        <w:t xml:space="preserve">ignificant amount of work </w:t>
      </w:r>
      <w:r w:rsidR="00D87BE8" w:rsidRPr="00CB61A8">
        <w:t xml:space="preserve">has been carried out </w:t>
      </w:r>
      <w:r w:rsidR="002D0E6D" w:rsidRPr="00CB61A8">
        <w:t>to study coexistence between RLANs and newly introduced radar systems which operate in the 5250-5850 MHz range.</w:t>
      </w:r>
      <w:r w:rsidR="00DB4EDF" w:rsidRPr="00CB61A8">
        <w:t xml:space="preserve"> </w:t>
      </w:r>
      <w:r w:rsidR="002D0E6D" w:rsidRPr="00CB61A8">
        <w:t xml:space="preserve"> In general, the studies conclude that </w:t>
      </w:r>
      <w:r w:rsidR="00D87BE8" w:rsidRPr="00CB61A8">
        <w:t>DFS is</w:t>
      </w:r>
      <w:r w:rsidR="00D87BE8" w:rsidRPr="00CB61A8">
        <w:rPr>
          <w:i/>
        </w:rPr>
        <w:t xml:space="preserve"> </w:t>
      </w:r>
      <w:r w:rsidR="002D0E6D" w:rsidRPr="00CB61A8">
        <w:rPr>
          <w:rStyle w:val="Emphasis"/>
          <w:i w:val="0"/>
          <w:bdr w:val="none" w:sz="0" w:space="0" w:color="auto" w:frame="1"/>
        </w:rPr>
        <w:t>the only realistic mitigation technique identified to protect radars from RLAN interference is the DFS</w:t>
      </w:r>
      <w:r w:rsidR="00D87BE8" w:rsidRPr="00CB61A8">
        <w:rPr>
          <w:rStyle w:val="Emphasis"/>
          <w:i w:val="0"/>
          <w:bdr w:val="none" w:sz="0" w:space="0" w:color="auto" w:frame="1"/>
        </w:rPr>
        <w:t xml:space="preserve">, but that </w:t>
      </w:r>
      <w:r w:rsidR="00DB4EDF" w:rsidRPr="00CB61A8">
        <w:rPr>
          <w:rStyle w:val="Emphasis"/>
          <w:i w:val="0"/>
          <w:bdr w:val="none" w:sz="0" w:space="0" w:color="auto" w:frame="1"/>
        </w:rPr>
        <w:t>it</w:t>
      </w:r>
      <w:r w:rsidR="00D87BE8" w:rsidRPr="00CB61A8">
        <w:rPr>
          <w:rStyle w:val="Emphasis"/>
          <w:i w:val="0"/>
          <w:bdr w:val="none" w:sz="0" w:space="0" w:color="auto" w:frame="1"/>
        </w:rPr>
        <w:t xml:space="preserve"> cannot</w:t>
      </w:r>
      <w:r w:rsidR="002D0E6D" w:rsidRPr="00CB61A8">
        <w:rPr>
          <w:rStyle w:val="Emphasis"/>
          <w:i w:val="0"/>
          <w:bdr w:val="none" w:sz="0" w:space="0" w:color="auto" w:frame="1"/>
        </w:rPr>
        <w:t xml:space="preserve"> protect </w:t>
      </w:r>
      <w:r w:rsidR="00DB4EDF" w:rsidRPr="00CB61A8">
        <w:rPr>
          <w:rStyle w:val="Emphasis"/>
          <w:i w:val="0"/>
          <w:bdr w:val="none" w:sz="0" w:space="0" w:color="auto" w:frame="1"/>
        </w:rPr>
        <w:t>the</w:t>
      </w:r>
      <w:r w:rsidR="002D0E6D" w:rsidRPr="00CB61A8">
        <w:rPr>
          <w:rStyle w:val="Emphasis"/>
          <w:i w:val="0"/>
          <w:bdr w:val="none" w:sz="0" w:space="0" w:color="auto" w:frame="1"/>
        </w:rPr>
        <w:t xml:space="preserve"> fast frequency hopping </w:t>
      </w:r>
      <w:r w:rsidR="00DB4EDF" w:rsidRPr="00CB61A8">
        <w:rPr>
          <w:rStyle w:val="Emphasis"/>
          <w:i w:val="0"/>
          <w:bdr w:val="none" w:sz="0" w:space="0" w:color="auto" w:frame="1"/>
        </w:rPr>
        <w:t>and</w:t>
      </w:r>
      <w:r w:rsidR="002D0E6D" w:rsidRPr="00CB61A8">
        <w:rPr>
          <w:rStyle w:val="Emphasis"/>
          <w:i w:val="0"/>
          <w:bdr w:val="none" w:sz="0" w:space="0" w:color="auto" w:frame="1"/>
        </w:rPr>
        <w:t xml:space="preserve"> bi-static radars</w:t>
      </w:r>
      <w:r w:rsidR="00DB4EDF" w:rsidRPr="00CB61A8">
        <w:rPr>
          <w:rStyle w:val="Emphasis"/>
          <w:i w:val="0"/>
          <w:bdr w:val="none" w:sz="0" w:space="0" w:color="auto" w:frame="1"/>
        </w:rPr>
        <w:t>.  In other words, the listen-before-talk, DFS technique cannot protect radars that are specifically designed so as not to be heard.</w:t>
      </w:r>
    </w:p>
    <w:p w:rsidR="002D0E6D" w:rsidRDefault="00DB4EDF" w:rsidP="002D0E6D">
      <w:pPr>
        <w:pStyle w:val="NormalWeb"/>
        <w:shd w:val="clear" w:color="auto" w:fill="FFFFFF"/>
        <w:spacing w:before="0" w:beforeAutospacing="0" w:after="0" w:afterAutospacing="0"/>
      </w:pPr>
      <w:r w:rsidRPr="00CB61A8">
        <w:t>Nonetheless, some</w:t>
      </w:r>
      <w:r w:rsidR="002D0E6D" w:rsidRPr="00CB61A8">
        <w:t xml:space="preserve"> radar proponents insist that existing international regulation must be modified at </w:t>
      </w:r>
      <w:r w:rsidR="00197CF4">
        <w:t>WRC-19</w:t>
      </w:r>
      <w:r w:rsidR="002D0E6D" w:rsidRPr="00CB61A8">
        <w:t xml:space="preserve"> to require RLANs to protect </w:t>
      </w:r>
      <w:r w:rsidR="002D0E6D" w:rsidRPr="00CB61A8">
        <w:rPr>
          <w:i/>
        </w:rPr>
        <w:t>all</w:t>
      </w:r>
      <w:r w:rsidR="002D0E6D" w:rsidRPr="00CB61A8">
        <w:t xml:space="preserve"> radar systems in the band, including those that use bi-static and advanced fast frequency hopping techniques. Under the radar proponents’ logic, RLANs must protect the radars</w:t>
      </w:r>
      <w:r w:rsidRPr="00CB61A8">
        <w:t xml:space="preserve"> that they cannot sense.</w:t>
      </w:r>
      <w:r w:rsidR="002D0E6D" w:rsidRPr="00CB61A8">
        <w:t xml:space="preserve"> I</w:t>
      </w:r>
      <w:r w:rsidR="00197CF4">
        <w:t xml:space="preserve"> </w:t>
      </w:r>
      <w:proofErr w:type="spellStart"/>
      <w:r w:rsidR="002D0E6D" w:rsidRPr="00CB61A8">
        <w:t>mposing</w:t>
      </w:r>
      <w:proofErr w:type="spellEnd"/>
      <w:r w:rsidR="002D0E6D" w:rsidRPr="00CB61A8">
        <w:t xml:space="preserve"> </w:t>
      </w:r>
      <w:r w:rsidRPr="00CB61A8">
        <w:t>such</w:t>
      </w:r>
      <w:r w:rsidR="002D0E6D" w:rsidRPr="00CB61A8">
        <w:t xml:space="preserve"> contradictory regulatory requirement would effectively preclude RLAN operations in the 5250-5350 MHz and 5470-5725 MHz bands</w:t>
      </w:r>
      <w:r w:rsidRPr="00CB61A8">
        <w:t xml:space="preserve">. </w:t>
      </w:r>
      <w:r w:rsidR="002D0E6D" w:rsidRPr="00CB61A8">
        <w:t xml:space="preserve"> With 95% of Wi-Fi devices shipped in 2021 expected to support 5 GHz, this is unacceptable.</w:t>
      </w:r>
    </w:p>
    <w:p w:rsidR="00662EEB" w:rsidRPr="00CB61A8" w:rsidRDefault="00662EEB" w:rsidP="002D0E6D">
      <w:pPr>
        <w:pStyle w:val="NormalWeb"/>
        <w:shd w:val="clear" w:color="auto" w:fill="FFFFFF"/>
        <w:spacing w:before="0" w:beforeAutospacing="0" w:after="0" w:afterAutospacing="0"/>
      </w:pPr>
    </w:p>
    <w:p w:rsidR="00DB4EDF" w:rsidRPr="00CB61A8" w:rsidRDefault="00DB4EDF" w:rsidP="00662EEB">
      <w:pPr>
        <w:pStyle w:val="Normal1"/>
        <w:spacing w:line="240" w:lineRule="auto"/>
        <w:ind w:firstLine="720"/>
        <w:rPr>
          <w:rFonts w:ascii="Times New Roman" w:hAnsi="Times New Roman" w:cs="Times New Roman"/>
          <w:b/>
          <w:sz w:val="24"/>
          <w:szCs w:val="24"/>
        </w:rPr>
      </w:pPr>
      <w:r w:rsidRPr="00CB61A8">
        <w:rPr>
          <w:rFonts w:ascii="Times New Roman" w:hAnsi="Times New Roman" w:cs="Times New Roman"/>
          <w:sz w:val="24"/>
          <w:szCs w:val="24"/>
        </w:rPr>
        <w:t>Wi-Fi industry urges the APT administrations to support approaches that maintain RLAN access to much needed spectrum in the 5 GHz band</w:t>
      </w:r>
      <w:r w:rsidRPr="00CB61A8">
        <w:rPr>
          <w:rFonts w:ascii="Times New Roman" w:hAnsi="Times New Roman" w:cs="Times New Roman"/>
          <w:sz w:val="24"/>
          <w:szCs w:val="24"/>
          <w:lang w:eastAsia="ja-JP"/>
        </w:rPr>
        <w:t xml:space="preserve"> – </w:t>
      </w:r>
      <w:r w:rsidRPr="00CB61A8">
        <w:rPr>
          <w:rFonts w:ascii="Times New Roman" w:hAnsi="Times New Roman" w:cs="Times New Roman"/>
          <w:b/>
          <w:sz w:val="24"/>
          <w:szCs w:val="24"/>
          <w:lang w:eastAsia="ja-JP"/>
        </w:rPr>
        <w:t>support Draft CPM-19 Report</w:t>
      </w:r>
      <w:r w:rsidR="00CB61A8" w:rsidRPr="00CB61A8">
        <w:rPr>
          <w:rFonts w:ascii="Times New Roman" w:hAnsi="Times New Roman" w:cs="Times New Roman"/>
          <w:b/>
          <w:sz w:val="24"/>
          <w:szCs w:val="24"/>
          <w:lang w:eastAsia="ja-JP"/>
        </w:rPr>
        <w:t>, Approach</w:t>
      </w:r>
      <w:r w:rsidRPr="00CB61A8">
        <w:rPr>
          <w:rFonts w:ascii="Times New Roman" w:hAnsi="Times New Roman" w:cs="Times New Roman"/>
          <w:b/>
          <w:sz w:val="24"/>
          <w:szCs w:val="24"/>
          <w:lang w:eastAsia="ja-JP"/>
        </w:rPr>
        <w:t xml:space="preserve"> </w:t>
      </w:r>
      <w:r w:rsidR="00CB61A8" w:rsidRPr="00CB61A8">
        <w:rPr>
          <w:rFonts w:ascii="Times New Roman" w:hAnsi="Times New Roman" w:cs="Times New Roman"/>
          <w:b/>
          <w:sz w:val="24"/>
          <w:szCs w:val="24"/>
          <w:lang w:eastAsia="ja-JP"/>
        </w:rPr>
        <w:t xml:space="preserve">B (Section </w:t>
      </w:r>
      <w:r w:rsidR="00CB61A8" w:rsidRPr="00CB61A8">
        <w:rPr>
          <w:rFonts w:ascii="Times New Roman" w:hAnsi="Times New Roman" w:cs="Times New Roman"/>
          <w:b/>
          <w:sz w:val="24"/>
          <w:szCs w:val="24"/>
        </w:rPr>
        <w:t xml:space="preserve">2/9.1.5/3.1.2 </w:t>
      </w:r>
      <w:r w:rsidR="00CB61A8" w:rsidRPr="00CB61A8">
        <w:rPr>
          <w:rFonts w:ascii="Times New Roman" w:hAnsi="Times New Roman" w:cs="Times New Roman"/>
          <w:b/>
          <w:sz w:val="24"/>
          <w:szCs w:val="24"/>
          <w:lang w:eastAsia="ja-JP"/>
        </w:rPr>
        <w:t>or</w:t>
      </w:r>
      <w:r w:rsidRPr="00CB61A8">
        <w:rPr>
          <w:rFonts w:ascii="Times New Roman" w:hAnsi="Times New Roman" w:cs="Times New Roman"/>
          <w:b/>
          <w:sz w:val="24"/>
          <w:szCs w:val="24"/>
          <w:lang w:eastAsia="ja-JP"/>
        </w:rPr>
        <w:t xml:space="preserve"> </w:t>
      </w:r>
      <w:r w:rsidR="00CB61A8" w:rsidRPr="00CB61A8">
        <w:rPr>
          <w:rFonts w:ascii="Times New Roman" w:hAnsi="Times New Roman" w:cs="Times New Roman"/>
          <w:b/>
          <w:sz w:val="24"/>
          <w:szCs w:val="24"/>
          <w:lang w:eastAsia="ja-JP"/>
        </w:rPr>
        <w:t xml:space="preserve">Approach C </w:t>
      </w:r>
      <w:r w:rsidRPr="00CB61A8">
        <w:rPr>
          <w:rFonts w:ascii="Times New Roman" w:hAnsi="Times New Roman" w:cs="Times New Roman"/>
          <w:b/>
          <w:sz w:val="24"/>
          <w:szCs w:val="24"/>
          <w:lang w:eastAsia="ja-JP"/>
        </w:rPr>
        <w:t xml:space="preserve">(Section </w:t>
      </w:r>
      <w:r w:rsidR="00CB61A8" w:rsidRPr="00CB61A8">
        <w:rPr>
          <w:rFonts w:ascii="Times New Roman" w:hAnsi="Times New Roman" w:cs="Times New Roman"/>
          <w:b/>
          <w:sz w:val="24"/>
          <w:szCs w:val="24"/>
        </w:rPr>
        <w:t>2/9.1.5/3.1.3</w:t>
      </w:r>
      <w:r w:rsidRPr="00CB61A8">
        <w:rPr>
          <w:rFonts w:ascii="Times New Roman" w:hAnsi="Times New Roman" w:cs="Times New Roman"/>
          <w:b/>
          <w:sz w:val="24"/>
          <w:szCs w:val="24"/>
        </w:rPr>
        <w:t>)</w:t>
      </w:r>
      <w:r w:rsidRPr="00CB61A8">
        <w:rPr>
          <w:rFonts w:ascii="Times New Roman" w:hAnsi="Times New Roman" w:cs="Times New Roman"/>
          <w:b/>
          <w:sz w:val="24"/>
          <w:szCs w:val="24"/>
          <w:lang w:eastAsia="ja-JP"/>
        </w:rPr>
        <w:t>.</w:t>
      </w:r>
    </w:p>
    <w:p w:rsidR="002D0E6D" w:rsidRPr="00CB61A8" w:rsidRDefault="002D0E6D" w:rsidP="00C357AD">
      <w:pPr>
        <w:jc w:val="both"/>
        <w:rPr>
          <w:b/>
        </w:rPr>
      </w:pPr>
    </w:p>
    <w:p w:rsidR="00DA3CC5" w:rsidRPr="00424951" w:rsidRDefault="00DA3CC5" w:rsidP="00C357AD">
      <w:pPr>
        <w:jc w:val="both"/>
        <w:rPr>
          <w:b/>
        </w:rPr>
      </w:pPr>
      <w:r w:rsidRPr="00424951">
        <w:rPr>
          <w:b/>
        </w:rPr>
        <w:t>Summary</w:t>
      </w:r>
    </w:p>
    <w:p w:rsidR="00424951" w:rsidRPr="00424951" w:rsidRDefault="00CB61A8" w:rsidP="00CB61A8">
      <w:pPr>
        <w:shd w:val="clear" w:color="auto" w:fill="FFFFFF"/>
      </w:pPr>
      <w:r w:rsidRPr="00424951">
        <w:rPr>
          <w:rFonts w:eastAsia="Times New Roman"/>
          <w:color w:val="212121"/>
        </w:rPr>
        <w:t xml:space="preserve">The success of Wi-Fi </w:t>
      </w:r>
      <w:r w:rsidR="00424951" w:rsidRPr="00424951">
        <w:rPr>
          <w:rFonts w:eastAsia="Times New Roman"/>
          <w:color w:val="212121"/>
        </w:rPr>
        <w:t>is improving</w:t>
      </w:r>
      <w:r w:rsidRPr="00424951">
        <w:rPr>
          <w:rFonts w:eastAsia="Times New Roman"/>
          <w:color w:val="212121"/>
        </w:rPr>
        <w:t xml:space="preserve"> lives all over the globe </w:t>
      </w:r>
      <w:r w:rsidR="00424951" w:rsidRPr="00424951">
        <w:rPr>
          <w:rFonts w:eastAsia="Times New Roman"/>
          <w:color w:val="212121"/>
        </w:rPr>
        <w:t xml:space="preserve">and </w:t>
      </w:r>
      <w:r w:rsidRPr="00424951">
        <w:rPr>
          <w:rFonts w:eastAsia="Times New Roman"/>
          <w:color w:val="212121"/>
        </w:rPr>
        <w:t xml:space="preserve">delivers significant economic value (see </w:t>
      </w:r>
      <w:hyperlink r:id="rId12" w:history="1">
        <w:r w:rsidR="00424951" w:rsidRPr="00424951">
          <w:rPr>
            <w:rStyle w:val="Hyperlink"/>
            <w:rFonts w:eastAsia="Times New Roman"/>
          </w:rPr>
          <w:t>www.ValueofWiFi.com</w:t>
        </w:r>
      </w:hyperlink>
      <w:r w:rsidR="00424951" w:rsidRPr="00424951">
        <w:rPr>
          <w:rFonts w:eastAsia="Times New Roman"/>
          <w:color w:val="212121"/>
        </w:rPr>
        <w:t xml:space="preserve">).  </w:t>
      </w:r>
      <w:r w:rsidRPr="00424951">
        <w:rPr>
          <w:rFonts w:eastAsia="Times New Roman"/>
          <w:color w:val="212121"/>
        </w:rPr>
        <w:t xml:space="preserve">As Wi-Fi popularity grows, it is important to ensure reasonable availability of spectrum.  Recent studies project </w:t>
      </w:r>
      <w:r w:rsidR="00424951">
        <w:rPr>
          <w:rFonts w:eastAsia="Times New Roman"/>
          <w:color w:val="212121"/>
        </w:rPr>
        <w:t xml:space="preserve">a </w:t>
      </w:r>
      <w:r w:rsidR="00197CF4">
        <w:rPr>
          <w:rFonts w:eastAsia="Times New Roman"/>
          <w:color w:val="212121"/>
        </w:rPr>
        <w:t xml:space="preserve">significant </w:t>
      </w:r>
      <w:r w:rsidRPr="00424951">
        <w:rPr>
          <w:rFonts w:eastAsia="Times New Roman"/>
          <w:color w:val="212121"/>
        </w:rPr>
        <w:t xml:space="preserve">shortfall in spectrum based on projected Wi-Fi growth and needs (see </w:t>
      </w:r>
      <w:hyperlink r:id="rId13" w:tgtFrame="_blank" w:history="1">
        <w:r w:rsidRPr="00424951">
          <w:rPr>
            <w:rFonts w:eastAsia="Times New Roman"/>
            <w:color w:val="0000FF"/>
            <w:u w:val="single"/>
          </w:rPr>
          <w:t>Spectrum Needs Study</w:t>
        </w:r>
      </w:hyperlink>
      <w:r w:rsidRPr="00424951">
        <w:rPr>
          <w:rFonts w:eastAsia="Times New Roman"/>
          <w:color w:val="212121"/>
        </w:rPr>
        <w:t xml:space="preserve">).  </w:t>
      </w:r>
      <w:r w:rsidR="00424951" w:rsidRPr="00424951">
        <w:t>APT administrations are urged to consider these factors in their preparatory effort for WRC-19 and in the future national spectrum regulatory decisions.</w:t>
      </w:r>
    </w:p>
    <w:p w:rsidR="00424951" w:rsidRPr="00424951" w:rsidRDefault="00424951" w:rsidP="00CB61A8">
      <w:pPr>
        <w:shd w:val="clear" w:color="auto" w:fill="FFFFFF"/>
      </w:pPr>
    </w:p>
    <w:p w:rsidR="00CB61A8" w:rsidRPr="00A25A29" w:rsidRDefault="00CB61A8" w:rsidP="00CB61A8">
      <w:pPr>
        <w:shd w:val="clear" w:color="auto" w:fill="FFFFFF"/>
        <w:rPr>
          <w:rFonts w:ascii="Calibri" w:eastAsia="Times New Roman" w:hAnsi="Calibri"/>
          <w:color w:val="212121"/>
        </w:rPr>
      </w:pPr>
    </w:p>
    <w:p w:rsidR="00DA3CC5" w:rsidRDefault="00DA3CC5" w:rsidP="00C357AD">
      <w:pPr>
        <w:jc w:val="both"/>
        <w:rPr>
          <w:b/>
        </w:rPr>
      </w:pPr>
    </w:p>
    <w:p w:rsidR="001174B7" w:rsidRDefault="001174B7" w:rsidP="001174B7">
      <w:pPr>
        <w:jc w:val="both"/>
        <w:rPr>
          <w:b/>
        </w:rPr>
      </w:pPr>
    </w:p>
    <w:p w:rsidR="001174B7" w:rsidRDefault="001174B7" w:rsidP="001174B7">
      <w:pPr>
        <w:jc w:val="both"/>
        <w:rPr>
          <w:b/>
        </w:rPr>
      </w:pPr>
    </w:p>
    <w:p w:rsidR="00F17B0A" w:rsidRDefault="00C357AD" w:rsidP="009A4A6D">
      <w:pPr>
        <w:jc w:val="center"/>
        <w:rPr>
          <w:snapToGrid w:val="0"/>
        </w:rPr>
      </w:pPr>
      <w:r>
        <w:t>____________</w:t>
      </w:r>
    </w:p>
    <w:p w:rsidR="00F17B0A" w:rsidRPr="00F17B0A" w:rsidRDefault="00F17B0A" w:rsidP="00F17B0A"/>
    <w:sectPr w:rsidR="00F17B0A" w:rsidRPr="00F17B0A" w:rsidSect="00DB0A68">
      <w:headerReference w:type="default" r:id="rId14"/>
      <w:footerReference w:type="even" r:id="rId15"/>
      <w:footerReference w:type="default" r:id="rId16"/>
      <w:footerReference w:type="first" r:id="rId17"/>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BE" w:rsidRDefault="00CB0ABE">
      <w:r>
        <w:separator/>
      </w:r>
    </w:p>
  </w:endnote>
  <w:endnote w:type="continuationSeparator" w:id="0">
    <w:p w:rsidR="00CB0ABE" w:rsidRDefault="00CB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Ope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F17B0A" w:rsidP="00F17B0A">
    <w:pPr>
      <w:pStyle w:val="Footer"/>
      <w:ind w:right="360"/>
    </w:pPr>
    <w:r>
      <w:rPr>
        <w:rFonts w:hint="eastAsia"/>
        <w:lang w:eastAsia="ko-KR"/>
      </w:rPr>
      <w:t>A</w:t>
    </w:r>
    <w:r>
      <w:rPr>
        <w:lang w:eastAsia="ko-KR"/>
      </w:rPr>
      <w:t>PG19</w:t>
    </w:r>
    <w:r>
      <w:rPr>
        <w:rFonts w:hint="eastAsia"/>
        <w:lang w:eastAsia="ko-KR"/>
      </w:rPr>
      <w:t>-</w:t>
    </w:r>
    <w:r w:rsidR="00EB7E2E">
      <w:rPr>
        <w:lang w:eastAsia="ko-KR"/>
      </w:rPr>
      <w:t>4</w:t>
    </w:r>
    <w:r>
      <w:rPr>
        <w:rFonts w:hint="eastAsia"/>
        <w:lang w:eastAsia="ko-KR"/>
      </w:rPr>
      <w:t>/</w:t>
    </w:r>
    <w:r w:rsidR="006F7FE9">
      <w:rPr>
        <w:lang w:eastAsia="ko-KR"/>
      </w:rPr>
      <w:t>INF-11</w:t>
    </w:r>
    <w:r>
      <w:rPr>
        <w:rStyle w:val="PageNumber"/>
      </w:rPr>
      <w:tab/>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22D34">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22D34">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Pr="00155F6B" w:rsidRDefault="0097693B" w:rsidP="00762576">
          <w:pPr>
            <w:rPr>
              <w:b/>
              <w:bCs/>
            </w:rPr>
          </w:pPr>
          <w:r w:rsidRPr="00155F6B">
            <w:rPr>
              <w:b/>
              <w:bCs/>
            </w:rPr>
            <w:t>Contact:</w:t>
          </w:r>
        </w:p>
      </w:tc>
      <w:tc>
        <w:tcPr>
          <w:tcW w:w="4394" w:type="dxa"/>
          <w:tcBorders>
            <w:top w:val="single" w:sz="12" w:space="0" w:color="auto"/>
          </w:tcBorders>
        </w:tcPr>
        <w:p w:rsidR="0097693B" w:rsidRPr="00344F63" w:rsidRDefault="00424951" w:rsidP="00344F63">
          <w:pPr>
            <w:pStyle w:val="Equation"/>
            <w:tabs>
              <w:tab w:val="clear" w:pos="4820"/>
              <w:tab w:val="clear" w:pos="9639"/>
              <w:tab w:val="left" w:pos="1191"/>
              <w:tab w:val="left" w:pos="1588"/>
              <w:tab w:val="left" w:pos="1985"/>
            </w:tabs>
            <w:spacing w:beforeLines="0" w:before="0"/>
            <w:rPr>
              <w:rFonts w:eastAsia="Batang"/>
              <w:sz w:val="22"/>
              <w:lang w:eastAsia="ko-KR"/>
            </w:rPr>
          </w:pPr>
          <w:r w:rsidRPr="00344F63">
            <w:rPr>
              <w:rFonts w:eastAsia="Batang"/>
              <w:sz w:val="22"/>
              <w:lang w:eastAsia="ko-KR"/>
            </w:rPr>
            <w:t>ALEXANDER ROYTBLAT</w:t>
          </w:r>
        </w:p>
        <w:p w:rsidR="0097693B" w:rsidRPr="00344F63" w:rsidRDefault="00424951" w:rsidP="00344F63">
          <w:pPr>
            <w:rPr>
              <w:rFonts w:eastAsia="Batang"/>
              <w:sz w:val="22"/>
              <w:szCs w:val="22"/>
            </w:rPr>
          </w:pPr>
          <w:r w:rsidRPr="00344F63">
            <w:rPr>
              <w:color w:val="212121"/>
              <w:sz w:val="22"/>
              <w:szCs w:val="22"/>
              <w:shd w:val="clear" w:color="auto" w:fill="FFFFFF"/>
            </w:rPr>
            <w:t>Wireless Industry Collaboration Co., Ltd., (subsidiary of Wi-Fi Alliance)</w:t>
          </w:r>
        </w:p>
      </w:tc>
      <w:tc>
        <w:tcPr>
          <w:tcW w:w="3912" w:type="dxa"/>
          <w:tcBorders>
            <w:top w:val="single" w:sz="12" w:space="0" w:color="auto"/>
          </w:tcBorders>
        </w:tcPr>
        <w:p w:rsidR="0097693B" w:rsidRPr="00344F63" w:rsidRDefault="0097693B" w:rsidP="00762576">
          <w:pPr>
            <w:rPr>
              <w:sz w:val="22"/>
              <w:szCs w:val="22"/>
              <w:lang w:eastAsia="ja-JP"/>
            </w:rPr>
          </w:pPr>
          <w:r w:rsidRPr="00344F63">
            <w:rPr>
              <w:sz w:val="22"/>
              <w:szCs w:val="22"/>
            </w:rPr>
            <w:t>Email</w:t>
          </w:r>
          <w:r w:rsidRPr="00344F63">
            <w:rPr>
              <w:rFonts w:hint="eastAsia"/>
              <w:sz w:val="22"/>
              <w:szCs w:val="22"/>
            </w:rPr>
            <w:t xml:space="preserve">: </w:t>
          </w:r>
          <w:r w:rsidR="00424951" w:rsidRPr="00344F63">
            <w:rPr>
              <w:sz w:val="22"/>
              <w:szCs w:val="22"/>
            </w:rPr>
            <w:t>aroytblat@wi-fi.org</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BE" w:rsidRDefault="00CB0ABE">
      <w:r>
        <w:separator/>
      </w:r>
    </w:p>
  </w:footnote>
  <w:footnote w:type="continuationSeparator" w:id="0">
    <w:p w:rsidR="00CB0ABE" w:rsidRDefault="00CB0ABE">
      <w:r>
        <w:continuationSeparator/>
      </w:r>
    </w:p>
  </w:footnote>
  <w:footnote w:id="1">
    <w:p w:rsidR="004A2722" w:rsidRPr="006A546B" w:rsidRDefault="004A2722" w:rsidP="004A2722">
      <w:pPr>
        <w:pStyle w:val="FootnoteText"/>
        <w:spacing w:after="120"/>
        <w:rPr>
          <w:rFonts w:cs="Times New Roman"/>
          <w:sz w:val="22"/>
          <w:szCs w:val="22"/>
          <w:highlight w:val="yellow"/>
        </w:rPr>
      </w:pPr>
      <w:r w:rsidRPr="006A546B">
        <w:rPr>
          <w:rStyle w:val="FootnoteReference"/>
          <w:rFonts w:cs="Times New Roman"/>
          <w:sz w:val="22"/>
          <w:szCs w:val="22"/>
        </w:rPr>
        <w:footnoteRef/>
      </w:r>
      <w:r w:rsidRPr="006A546B">
        <w:rPr>
          <w:rStyle w:val="FootnoteReference"/>
          <w:rFonts w:cs="Times New Roman"/>
          <w:sz w:val="22"/>
          <w:szCs w:val="22"/>
        </w:rPr>
        <w:t>/</w:t>
      </w:r>
      <w:r w:rsidRPr="006A546B">
        <w:rPr>
          <w:rFonts w:cs="Times New Roman"/>
          <w:sz w:val="22"/>
          <w:szCs w:val="22"/>
        </w:rPr>
        <w:tab/>
        <w:t xml:space="preserve">CISCO, </w:t>
      </w:r>
      <w:r w:rsidRPr="006A546B">
        <w:rPr>
          <w:rFonts w:cs="Times New Roman"/>
          <w:i/>
          <w:iCs/>
          <w:sz w:val="22"/>
          <w:szCs w:val="22"/>
        </w:rPr>
        <w:t>VNI Complete Forecast Highlights Tool</w:t>
      </w:r>
      <w:r w:rsidRPr="006A546B">
        <w:rPr>
          <w:rFonts w:cs="Times New Roman"/>
          <w:sz w:val="22"/>
          <w:szCs w:val="22"/>
        </w:rPr>
        <w:t>, Asia Pacific, Wir</w:t>
      </w:r>
      <w:r>
        <w:rPr>
          <w:rFonts w:cs="Times New Roman"/>
          <w:sz w:val="22"/>
          <w:szCs w:val="22"/>
        </w:rPr>
        <w:t>ed Wi-Fi and Mobile Growth (2017</w:t>
      </w:r>
      <w:r w:rsidRPr="006A546B">
        <w:rPr>
          <w:rFonts w:cs="Times New Roman"/>
          <w:sz w:val="22"/>
          <w:szCs w:val="22"/>
        </w:rPr>
        <w:t xml:space="preserve">), </w:t>
      </w:r>
      <w:r w:rsidRPr="004A2722">
        <w:rPr>
          <w:rFonts w:cs="Times New Roman"/>
          <w:sz w:val="22"/>
          <w:szCs w:val="22"/>
        </w:rPr>
        <w:t>https://www.cisco.com/c/m/en_us/solutions/service-provider/vni-forecast-highlights.html#</w:t>
      </w:r>
      <w:r w:rsidRPr="006A546B">
        <w:rPr>
          <w:rFonts w:cs="Times New Roman"/>
          <w:sz w:val="22"/>
          <w:szCs w:val="22"/>
        </w:rPr>
        <w:t xml:space="preserve"> (select “Asia Pacific” drop-down menu and expand “Fixed/Wi-Fi.” (“CISCO VNI”)</w:t>
      </w:r>
      <w:r>
        <w:rPr>
          <w:rFonts w:cs="Times New Roman"/>
          <w:sz w:val="22"/>
          <w:szCs w:val="22"/>
        </w:rPr>
        <w:t>.</w:t>
      </w:r>
    </w:p>
  </w:footnote>
  <w:footnote w:id="2">
    <w:p w:rsidR="00ED4168" w:rsidRPr="006A546B" w:rsidRDefault="00ED4168" w:rsidP="00ED4168">
      <w:pPr>
        <w:pStyle w:val="FootnoteText"/>
        <w:spacing w:after="120"/>
        <w:rPr>
          <w:rFonts w:cs="Times New Roman"/>
          <w:sz w:val="22"/>
          <w:szCs w:val="22"/>
        </w:rPr>
      </w:pPr>
      <w:r w:rsidRPr="006A546B">
        <w:rPr>
          <w:rStyle w:val="FootnoteReference"/>
          <w:rFonts w:cs="Times New Roman"/>
          <w:sz w:val="22"/>
          <w:szCs w:val="22"/>
        </w:rPr>
        <w:footnoteRef/>
      </w:r>
      <w:r w:rsidRPr="006A546B">
        <w:rPr>
          <w:rStyle w:val="FootnoteReference"/>
          <w:rFonts w:cs="Times New Roman"/>
          <w:sz w:val="22"/>
          <w:szCs w:val="22"/>
        </w:rPr>
        <w:t>/</w:t>
      </w:r>
      <w:r w:rsidRPr="006A546B">
        <w:rPr>
          <w:rFonts w:cs="Times New Roman"/>
          <w:sz w:val="22"/>
          <w:szCs w:val="22"/>
        </w:rPr>
        <w:tab/>
      </w:r>
      <w:r w:rsidRPr="006A546B">
        <w:rPr>
          <w:rFonts w:cs="Times New Roman"/>
          <w:i/>
          <w:sz w:val="22"/>
          <w:szCs w:val="22"/>
        </w:rPr>
        <w:t>See, e.g.</w:t>
      </w:r>
      <w:r w:rsidRPr="006A546B">
        <w:rPr>
          <w:rFonts w:cs="Times New Roman"/>
          <w:sz w:val="22"/>
          <w:szCs w:val="22"/>
        </w:rPr>
        <w:t xml:space="preserve">, </w:t>
      </w:r>
      <w:r w:rsidR="00554E5F">
        <w:rPr>
          <w:rFonts w:cs="Times New Roman"/>
          <w:sz w:val="22"/>
          <w:szCs w:val="22"/>
        </w:rPr>
        <w:t>Wi-Fi Alliance</w:t>
      </w:r>
      <w:r w:rsidRPr="006A546B">
        <w:rPr>
          <w:rFonts w:cs="Times New Roman"/>
          <w:sz w:val="22"/>
          <w:szCs w:val="22"/>
        </w:rPr>
        <w:t xml:space="preserve">, </w:t>
      </w:r>
      <w:hyperlink r:id="rId1" w:history="1">
        <w:r w:rsidR="00554E5F" w:rsidRPr="000637C5">
          <w:rPr>
            <w:rStyle w:val="Hyperlink"/>
            <w:rFonts w:cs="Times New Roman"/>
            <w:i/>
            <w:sz w:val="22"/>
            <w:szCs w:val="22"/>
          </w:rPr>
          <w:t>Next Generation Wi-Fi: The future of connectivity</w:t>
        </w:r>
      </w:hyperlink>
      <w:r w:rsidR="000637C5">
        <w:rPr>
          <w:rFonts w:cs="Times New Roman"/>
          <w:sz w:val="22"/>
          <w:szCs w:val="22"/>
        </w:rPr>
        <w:t xml:space="preserve">, or </w:t>
      </w:r>
      <w:r w:rsidR="000637C5" w:rsidRPr="006A546B">
        <w:rPr>
          <w:rFonts w:cs="Times New Roman"/>
          <w:sz w:val="22"/>
          <w:szCs w:val="22"/>
        </w:rPr>
        <w:t xml:space="preserve">Wireless Broadband Alliance, </w:t>
      </w:r>
      <w:hyperlink r:id="rId2" w:history="1">
        <w:r w:rsidR="000637C5" w:rsidRPr="000637C5">
          <w:rPr>
            <w:rStyle w:val="Hyperlink"/>
            <w:rFonts w:cs="Times New Roman"/>
            <w:i/>
            <w:sz w:val="22"/>
            <w:szCs w:val="22"/>
          </w:rPr>
          <w:t>The Role of Wi-Fi and Unlicensed Technologies in 5G</w:t>
        </w:r>
      </w:hyperlink>
      <w:r w:rsidRPr="006A546B">
        <w:rPr>
          <w:rFonts w:cs="Times New Roman"/>
          <w:sz w:val="22"/>
          <w:szCs w:val="22"/>
        </w:rPr>
        <w:t xml:space="preserve"> </w:t>
      </w:r>
    </w:p>
  </w:footnote>
  <w:footnote w:id="3">
    <w:p w:rsidR="00A85C7A" w:rsidRPr="00B45554" w:rsidRDefault="00A85C7A">
      <w:pPr>
        <w:pStyle w:val="FootnoteText"/>
        <w:rPr>
          <w:rFonts w:cs="Times New Roman"/>
        </w:rPr>
      </w:pPr>
      <w:r>
        <w:rPr>
          <w:rStyle w:val="FootnoteReference"/>
        </w:rPr>
        <w:footnoteRef/>
      </w:r>
      <w:r>
        <w:t xml:space="preserve"> </w:t>
      </w:r>
      <w:r w:rsidR="00416A86" w:rsidRPr="00B45554">
        <w:rPr>
          <w:rFonts w:cs="Times New Roman"/>
          <w:i/>
        </w:rPr>
        <w:t>See</w:t>
      </w:r>
      <w:r w:rsidR="00416A86" w:rsidRPr="00B45554">
        <w:rPr>
          <w:rFonts w:cs="Times New Roman"/>
        </w:rPr>
        <w:t xml:space="preserve"> Draft CPM 19-2 Report at Paragraph 2/1.13/3.2.9</w:t>
      </w:r>
    </w:p>
  </w:footnote>
  <w:footnote w:id="4">
    <w:p w:rsidR="00416A86" w:rsidRPr="00B45554" w:rsidRDefault="00416A86" w:rsidP="00416A86">
      <w:pPr>
        <w:rPr>
          <w:sz w:val="20"/>
          <w:szCs w:val="20"/>
        </w:rPr>
      </w:pPr>
      <w:r w:rsidRPr="00B45554">
        <w:rPr>
          <w:rStyle w:val="FootnoteReference"/>
          <w:sz w:val="20"/>
          <w:szCs w:val="20"/>
        </w:rPr>
        <w:footnoteRef/>
      </w:r>
      <w:r w:rsidRPr="00B45554">
        <w:rPr>
          <w:sz w:val="20"/>
          <w:szCs w:val="20"/>
        </w:rPr>
        <w:t xml:space="preserve"> </w:t>
      </w:r>
      <w:hyperlink r:id="rId3" w:history="1">
        <w:r w:rsidRPr="00B45554">
          <w:rPr>
            <w:rStyle w:val="Hyperlink"/>
            <w:rFonts w:eastAsiaTheme="minorHAnsi"/>
            <w:sz w:val="20"/>
            <w:szCs w:val="20"/>
          </w:rPr>
          <w:t>Use of Spectrum Bands Above 24 GHz for Mobile Radio Services Second Report and Order</w:t>
        </w:r>
      </w:hyperlink>
      <w:r w:rsidRPr="00B45554">
        <w:rPr>
          <w:rFonts w:eastAsiaTheme="minorHAnsi"/>
          <w:sz w:val="20"/>
          <w:szCs w:val="20"/>
        </w:rPr>
        <w:t xml:space="preserve">, Second Further Notice of Proposed Rulemaking, Order on Reconsideration, and Memorandum Opinion and Order, GN Docket No. 14-177 </w:t>
      </w:r>
    </w:p>
  </w:footnote>
  <w:footnote w:id="5">
    <w:p w:rsidR="00416A86" w:rsidRPr="00B45554" w:rsidRDefault="00416A86" w:rsidP="00416A86">
      <w:pPr>
        <w:pStyle w:val="FootnoteText"/>
        <w:rPr>
          <w:rFonts w:cs="Times New Roman"/>
        </w:rPr>
      </w:pPr>
      <w:r w:rsidRPr="00B45554">
        <w:rPr>
          <w:rStyle w:val="FootnoteReference"/>
          <w:rFonts w:cs="Times New Roman"/>
        </w:rPr>
        <w:footnoteRef/>
      </w:r>
      <w:r w:rsidRPr="00B45554">
        <w:rPr>
          <w:rFonts w:cs="Times New Roman"/>
        </w:rPr>
        <w:t xml:space="preserve"> </w:t>
      </w:r>
      <w:r w:rsidRPr="00B45554">
        <w:rPr>
          <w:rFonts w:cs="Times New Roman"/>
          <w:i/>
        </w:rPr>
        <w:t>See</w:t>
      </w:r>
      <w:r w:rsidRPr="00B45554">
        <w:rPr>
          <w:rFonts w:cs="Times New Roman"/>
        </w:rPr>
        <w:t xml:space="preserve"> </w:t>
      </w:r>
      <w:hyperlink r:id="rId4" w:history="1">
        <w:r w:rsidRPr="00B45554">
          <w:rPr>
            <w:rStyle w:val="Hyperlink"/>
            <w:rFonts w:cs="Times New Roman"/>
          </w:rPr>
          <w:t>RSPG Second Opinion on 5G Networks</w:t>
        </w:r>
      </w:hyperlink>
    </w:p>
  </w:footnote>
  <w:footnote w:id="6">
    <w:p w:rsidR="00F16225" w:rsidRPr="00B45554" w:rsidRDefault="00F16225" w:rsidP="00F16225">
      <w:pPr>
        <w:pStyle w:val="FootnoteText"/>
        <w:rPr>
          <w:rFonts w:cs="Times New Roman"/>
        </w:rPr>
      </w:pPr>
      <w:r w:rsidRPr="00B45554">
        <w:rPr>
          <w:rStyle w:val="FootnoteReference"/>
          <w:rFonts w:cs="Times New Roman"/>
        </w:rPr>
        <w:footnoteRef/>
      </w:r>
      <w:r w:rsidRPr="00B45554">
        <w:rPr>
          <w:rFonts w:cs="Times New Roman"/>
        </w:rPr>
        <w:t xml:space="preserve"> </w:t>
      </w:r>
      <w:r w:rsidRPr="009E357B">
        <w:rPr>
          <w:rFonts w:cs="Times New Roman"/>
          <w:i/>
        </w:rPr>
        <w:t>See</w:t>
      </w:r>
      <w:r w:rsidRPr="00B45554">
        <w:rPr>
          <w:rFonts w:cs="Times New Roman"/>
        </w:rPr>
        <w:t xml:space="preserve"> ITU-R Doc. 5-1/32, Recommendation ITU-R </w:t>
      </w:r>
      <w:hyperlink r:id="rId5" w:history="1">
        <w:r w:rsidRPr="00B45554">
          <w:rPr>
            <w:rFonts w:cs="Times New Roman"/>
          </w:rPr>
          <w:t>M.2003</w:t>
        </w:r>
      </w:hyperlink>
      <w:r w:rsidRPr="00B45554">
        <w:rPr>
          <w:rFonts w:cs="Times New Roman"/>
        </w:rPr>
        <w:t>-2 and Report ITU</w:t>
      </w:r>
      <w:r w:rsidRPr="00B45554">
        <w:rPr>
          <w:rFonts w:cs="Times New Roman"/>
        </w:rPr>
        <w:noBreakHyphen/>
        <w:t xml:space="preserve">R </w:t>
      </w:r>
      <w:hyperlink r:id="rId6" w:history="1">
        <w:r w:rsidRPr="00B45554">
          <w:rPr>
            <w:rFonts w:cs="Times New Roman"/>
          </w:rPr>
          <w:t>M.2227</w:t>
        </w:r>
      </w:hyperlink>
    </w:p>
  </w:footnote>
  <w:footnote w:id="7">
    <w:p w:rsidR="00B45554" w:rsidRPr="00377243" w:rsidRDefault="00B45554" w:rsidP="00B45554">
      <w:pPr>
        <w:pStyle w:val="FootnoteText"/>
      </w:pPr>
      <w:r>
        <w:rPr>
          <w:rStyle w:val="FootnoteReference"/>
        </w:rPr>
        <w:footnoteRef/>
      </w:r>
      <w:r>
        <w:t xml:space="preserve"> </w:t>
      </w:r>
      <w:hyperlink r:id="rId7" w:history="1">
        <w:r w:rsidRPr="003027A2">
          <w:rPr>
            <w:rStyle w:val="Hyperlink"/>
          </w:rPr>
          <w:t>https://www.itu.int/en/ITU-T/ssc/Pages/default.aspx</w:t>
        </w:r>
      </w:hyperlink>
      <w:r>
        <w:t xml:space="preserve"> </w:t>
      </w:r>
    </w:p>
  </w:footnote>
  <w:footnote w:id="8">
    <w:p w:rsidR="00B45554" w:rsidRPr="004A1D19" w:rsidRDefault="00B45554" w:rsidP="00B45554">
      <w:pPr>
        <w:pStyle w:val="FootnoteText"/>
      </w:pPr>
      <w:r>
        <w:rPr>
          <w:rStyle w:val="FootnoteReference"/>
        </w:rPr>
        <w:footnoteRef/>
      </w:r>
      <w:r>
        <w:t xml:space="preserve"> </w:t>
      </w:r>
      <w:hyperlink r:id="rId8" w:history="1">
        <w:r w:rsidRPr="00631EC8">
          <w:rPr>
            <w:rStyle w:val="Hyperlink"/>
          </w:rPr>
          <w:t>https://www.cisco.com/c/en/us/solutions/collateral/service-provider/visual-networking-index-vni/vni-hyperconnectivity-wp.html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94F3A73"/>
    <w:multiLevelType w:val="hybridMultilevel"/>
    <w:tmpl w:val="251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3700A"/>
    <w:multiLevelType w:val="hybridMultilevel"/>
    <w:tmpl w:val="19982E0C"/>
    <w:lvl w:ilvl="0" w:tplc="D6A2A490">
      <w:start w:val="1"/>
      <w:numFmt w:val="bullet"/>
      <w:lvlText w:val="–"/>
      <w:lvlJc w:val="left"/>
      <w:pPr>
        <w:tabs>
          <w:tab w:val="num" w:pos="720"/>
        </w:tabs>
        <w:ind w:left="720" w:hanging="360"/>
      </w:pPr>
      <w:rPr>
        <w:rFonts w:ascii="Arial" w:hAnsi="Arial" w:hint="default"/>
      </w:rPr>
    </w:lvl>
    <w:lvl w:ilvl="1" w:tplc="B05A1708">
      <w:start w:val="1"/>
      <w:numFmt w:val="bullet"/>
      <w:lvlText w:val="–"/>
      <w:lvlJc w:val="left"/>
      <w:pPr>
        <w:tabs>
          <w:tab w:val="num" w:pos="1440"/>
        </w:tabs>
        <w:ind w:left="1440" w:hanging="360"/>
      </w:pPr>
      <w:rPr>
        <w:rFonts w:ascii="Arial" w:hAnsi="Arial" w:hint="default"/>
      </w:rPr>
    </w:lvl>
    <w:lvl w:ilvl="2" w:tplc="116EFCD0" w:tentative="1">
      <w:start w:val="1"/>
      <w:numFmt w:val="bullet"/>
      <w:lvlText w:val="–"/>
      <w:lvlJc w:val="left"/>
      <w:pPr>
        <w:tabs>
          <w:tab w:val="num" w:pos="2160"/>
        </w:tabs>
        <w:ind w:left="2160" w:hanging="360"/>
      </w:pPr>
      <w:rPr>
        <w:rFonts w:ascii="Arial" w:hAnsi="Arial" w:hint="default"/>
      </w:rPr>
    </w:lvl>
    <w:lvl w:ilvl="3" w:tplc="53B224CE" w:tentative="1">
      <w:start w:val="1"/>
      <w:numFmt w:val="bullet"/>
      <w:lvlText w:val="–"/>
      <w:lvlJc w:val="left"/>
      <w:pPr>
        <w:tabs>
          <w:tab w:val="num" w:pos="2880"/>
        </w:tabs>
        <w:ind w:left="2880" w:hanging="360"/>
      </w:pPr>
      <w:rPr>
        <w:rFonts w:ascii="Arial" w:hAnsi="Arial" w:hint="default"/>
      </w:rPr>
    </w:lvl>
    <w:lvl w:ilvl="4" w:tplc="3C94697E" w:tentative="1">
      <w:start w:val="1"/>
      <w:numFmt w:val="bullet"/>
      <w:lvlText w:val="–"/>
      <w:lvlJc w:val="left"/>
      <w:pPr>
        <w:tabs>
          <w:tab w:val="num" w:pos="3600"/>
        </w:tabs>
        <w:ind w:left="3600" w:hanging="360"/>
      </w:pPr>
      <w:rPr>
        <w:rFonts w:ascii="Arial" w:hAnsi="Arial" w:hint="default"/>
      </w:rPr>
    </w:lvl>
    <w:lvl w:ilvl="5" w:tplc="8C9A6964" w:tentative="1">
      <w:start w:val="1"/>
      <w:numFmt w:val="bullet"/>
      <w:lvlText w:val="–"/>
      <w:lvlJc w:val="left"/>
      <w:pPr>
        <w:tabs>
          <w:tab w:val="num" w:pos="4320"/>
        </w:tabs>
        <w:ind w:left="4320" w:hanging="360"/>
      </w:pPr>
      <w:rPr>
        <w:rFonts w:ascii="Arial" w:hAnsi="Arial" w:hint="default"/>
      </w:rPr>
    </w:lvl>
    <w:lvl w:ilvl="6" w:tplc="9F98F2EE" w:tentative="1">
      <w:start w:val="1"/>
      <w:numFmt w:val="bullet"/>
      <w:lvlText w:val="–"/>
      <w:lvlJc w:val="left"/>
      <w:pPr>
        <w:tabs>
          <w:tab w:val="num" w:pos="5040"/>
        </w:tabs>
        <w:ind w:left="5040" w:hanging="360"/>
      </w:pPr>
      <w:rPr>
        <w:rFonts w:ascii="Arial" w:hAnsi="Arial" w:hint="default"/>
      </w:rPr>
    </w:lvl>
    <w:lvl w:ilvl="7" w:tplc="56FECDB8" w:tentative="1">
      <w:start w:val="1"/>
      <w:numFmt w:val="bullet"/>
      <w:lvlText w:val="–"/>
      <w:lvlJc w:val="left"/>
      <w:pPr>
        <w:tabs>
          <w:tab w:val="num" w:pos="5760"/>
        </w:tabs>
        <w:ind w:left="5760" w:hanging="360"/>
      </w:pPr>
      <w:rPr>
        <w:rFonts w:ascii="Arial" w:hAnsi="Arial" w:hint="default"/>
      </w:rPr>
    </w:lvl>
    <w:lvl w:ilvl="8" w:tplc="A76AF8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9"/>
  </w:num>
  <w:num w:numId="5">
    <w:abstractNumId w:val="4"/>
  </w:num>
  <w:num w:numId="6">
    <w:abstractNumId w:val="6"/>
  </w:num>
  <w:num w:numId="7">
    <w:abstractNumId w:val="1"/>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22D34"/>
    <w:rsid w:val="0003595B"/>
    <w:rsid w:val="00044EB4"/>
    <w:rsid w:val="000637C5"/>
    <w:rsid w:val="000713CF"/>
    <w:rsid w:val="00096326"/>
    <w:rsid w:val="000A5418"/>
    <w:rsid w:val="000A5C23"/>
    <w:rsid w:val="000D48D1"/>
    <w:rsid w:val="000F517C"/>
    <w:rsid w:val="000F5540"/>
    <w:rsid w:val="001174B7"/>
    <w:rsid w:val="001539DD"/>
    <w:rsid w:val="00155F6B"/>
    <w:rsid w:val="00196568"/>
    <w:rsid w:val="00197CF4"/>
    <w:rsid w:val="001A2F16"/>
    <w:rsid w:val="001B18C2"/>
    <w:rsid w:val="001D5D7E"/>
    <w:rsid w:val="00211C30"/>
    <w:rsid w:val="00253035"/>
    <w:rsid w:val="00254A1B"/>
    <w:rsid w:val="0028454D"/>
    <w:rsid w:val="00291C9E"/>
    <w:rsid w:val="002926D4"/>
    <w:rsid w:val="002B0D06"/>
    <w:rsid w:val="002C07DA"/>
    <w:rsid w:val="002C1315"/>
    <w:rsid w:val="002C7EA9"/>
    <w:rsid w:val="002D0E6D"/>
    <w:rsid w:val="002D3C12"/>
    <w:rsid w:val="002D7A84"/>
    <w:rsid w:val="00342F20"/>
    <w:rsid w:val="00344F63"/>
    <w:rsid w:val="00361412"/>
    <w:rsid w:val="00371351"/>
    <w:rsid w:val="003809C7"/>
    <w:rsid w:val="0038508C"/>
    <w:rsid w:val="003943CC"/>
    <w:rsid w:val="003B3FB3"/>
    <w:rsid w:val="003B6263"/>
    <w:rsid w:val="003C64A7"/>
    <w:rsid w:val="003D3FDA"/>
    <w:rsid w:val="004047CA"/>
    <w:rsid w:val="00416A86"/>
    <w:rsid w:val="00420822"/>
    <w:rsid w:val="00424951"/>
    <w:rsid w:val="00442AC3"/>
    <w:rsid w:val="0045458F"/>
    <w:rsid w:val="00456E58"/>
    <w:rsid w:val="004633B4"/>
    <w:rsid w:val="00464780"/>
    <w:rsid w:val="00475C7E"/>
    <w:rsid w:val="00483B47"/>
    <w:rsid w:val="00484082"/>
    <w:rsid w:val="00490FB9"/>
    <w:rsid w:val="004A2722"/>
    <w:rsid w:val="004B3553"/>
    <w:rsid w:val="004F6C66"/>
    <w:rsid w:val="00530E8C"/>
    <w:rsid w:val="00545933"/>
    <w:rsid w:val="00554E5F"/>
    <w:rsid w:val="00557544"/>
    <w:rsid w:val="00583665"/>
    <w:rsid w:val="00587875"/>
    <w:rsid w:val="00607E2B"/>
    <w:rsid w:val="006139D6"/>
    <w:rsid w:val="00623CE1"/>
    <w:rsid w:val="0063062B"/>
    <w:rsid w:val="00662EEB"/>
    <w:rsid w:val="00667229"/>
    <w:rsid w:val="00682BE5"/>
    <w:rsid w:val="00690FED"/>
    <w:rsid w:val="006939A5"/>
    <w:rsid w:val="006A64A9"/>
    <w:rsid w:val="006D1CD6"/>
    <w:rsid w:val="006F7FE9"/>
    <w:rsid w:val="0070740D"/>
    <w:rsid w:val="00712451"/>
    <w:rsid w:val="00731041"/>
    <w:rsid w:val="00732F08"/>
    <w:rsid w:val="0074190C"/>
    <w:rsid w:val="00745A99"/>
    <w:rsid w:val="00762576"/>
    <w:rsid w:val="00790295"/>
    <w:rsid w:val="00791060"/>
    <w:rsid w:val="007A5141"/>
    <w:rsid w:val="007A7022"/>
    <w:rsid w:val="007B5626"/>
    <w:rsid w:val="007B6B30"/>
    <w:rsid w:val="0080570B"/>
    <w:rsid w:val="008148E1"/>
    <w:rsid w:val="008319BF"/>
    <w:rsid w:val="0084047E"/>
    <w:rsid w:val="008845FF"/>
    <w:rsid w:val="008D0E09"/>
    <w:rsid w:val="008F1E81"/>
    <w:rsid w:val="008F76BA"/>
    <w:rsid w:val="0097693B"/>
    <w:rsid w:val="00993355"/>
    <w:rsid w:val="009A4A6D"/>
    <w:rsid w:val="009A5661"/>
    <w:rsid w:val="009B73C0"/>
    <w:rsid w:val="009E357B"/>
    <w:rsid w:val="00A13265"/>
    <w:rsid w:val="00A32170"/>
    <w:rsid w:val="00A503A4"/>
    <w:rsid w:val="00A71136"/>
    <w:rsid w:val="00A85C7A"/>
    <w:rsid w:val="00AA474C"/>
    <w:rsid w:val="00AD7E5F"/>
    <w:rsid w:val="00AE053A"/>
    <w:rsid w:val="00B01AA1"/>
    <w:rsid w:val="00B071B5"/>
    <w:rsid w:val="00B30C81"/>
    <w:rsid w:val="00B45554"/>
    <w:rsid w:val="00B4793B"/>
    <w:rsid w:val="00B6783F"/>
    <w:rsid w:val="00BB44F8"/>
    <w:rsid w:val="00BD0377"/>
    <w:rsid w:val="00BD750D"/>
    <w:rsid w:val="00C15633"/>
    <w:rsid w:val="00C15799"/>
    <w:rsid w:val="00C357AD"/>
    <w:rsid w:val="00C6069C"/>
    <w:rsid w:val="00C66DF2"/>
    <w:rsid w:val="00C67CE9"/>
    <w:rsid w:val="00C85119"/>
    <w:rsid w:val="00CA345A"/>
    <w:rsid w:val="00CB0ABE"/>
    <w:rsid w:val="00CB61A8"/>
    <w:rsid w:val="00CD5431"/>
    <w:rsid w:val="00CF2491"/>
    <w:rsid w:val="00CF7810"/>
    <w:rsid w:val="00D1252E"/>
    <w:rsid w:val="00D337CF"/>
    <w:rsid w:val="00D57772"/>
    <w:rsid w:val="00D72AE3"/>
    <w:rsid w:val="00D75A4D"/>
    <w:rsid w:val="00D8478B"/>
    <w:rsid w:val="00D86151"/>
    <w:rsid w:val="00D87BE8"/>
    <w:rsid w:val="00DA3CC5"/>
    <w:rsid w:val="00DA533A"/>
    <w:rsid w:val="00DA7595"/>
    <w:rsid w:val="00DB0A68"/>
    <w:rsid w:val="00DB4EDF"/>
    <w:rsid w:val="00DC43A3"/>
    <w:rsid w:val="00DD7C09"/>
    <w:rsid w:val="00E0124F"/>
    <w:rsid w:val="00E2735C"/>
    <w:rsid w:val="00E34AA7"/>
    <w:rsid w:val="00E43A59"/>
    <w:rsid w:val="00E674D3"/>
    <w:rsid w:val="00E70FD0"/>
    <w:rsid w:val="00E9515A"/>
    <w:rsid w:val="00EB7E2E"/>
    <w:rsid w:val="00ED4168"/>
    <w:rsid w:val="00ED5B48"/>
    <w:rsid w:val="00F06A7F"/>
    <w:rsid w:val="00F16225"/>
    <w:rsid w:val="00F17B0A"/>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A95EF-6810-4CB2-B858-8E49C26C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
    <w:basedOn w:val="DefaultParagraphFont"/>
    <w:uiPriority w:val="99"/>
    <w:unhideWhenUsed/>
    <w:qFormat/>
    <w:rsid w:val="004A2722"/>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A2722"/>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A2722"/>
    <w:rPr>
      <w:rFonts w:eastAsiaTheme="minorHAnsi" w:cstheme="minorBidi"/>
    </w:rPr>
  </w:style>
  <w:style w:type="character" w:styleId="Hyperlink">
    <w:name w:val="Hyperlink"/>
    <w:basedOn w:val="DefaultParagraphFont"/>
    <w:unhideWhenUsed/>
    <w:rsid w:val="00ED4168"/>
    <w:rPr>
      <w:color w:val="0000FF" w:themeColor="hyperlink"/>
      <w:u w:val="single"/>
    </w:rPr>
  </w:style>
  <w:style w:type="paragraph" w:customStyle="1" w:styleId="enumlev1">
    <w:name w:val="enumlev1"/>
    <w:basedOn w:val="Normal"/>
    <w:link w:val="enumlev1Char"/>
    <w:qFormat/>
    <w:rsid w:val="00C67CE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qFormat/>
    <w:rsid w:val="00C67CE9"/>
    <w:rPr>
      <w:rFonts w:eastAsia="Times New Roman"/>
      <w:sz w:val="24"/>
      <w:lang w:val="en-GB"/>
    </w:rPr>
  </w:style>
  <w:style w:type="character" w:styleId="FollowedHyperlink">
    <w:name w:val="FollowedHyperlink"/>
    <w:basedOn w:val="DefaultParagraphFont"/>
    <w:semiHidden/>
    <w:unhideWhenUsed/>
    <w:rsid w:val="00416A86"/>
    <w:rPr>
      <w:color w:val="800080" w:themeColor="followedHyperlink"/>
      <w:u w:val="single"/>
    </w:rPr>
  </w:style>
  <w:style w:type="paragraph" w:styleId="BalloonText">
    <w:name w:val="Balloon Text"/>
    <w:basedOn w:val="Normal"/>
    <w:link w:val="BalloonTextChar"/>
    <w:semiHidden/>
    <w:unhideWhenUsed/>
    <w:rsid w:val="00F16225"/>
    <w:rPr>
      <w:rFonts w:ascii="Segoe UI" w:hAnsi="Segoe UI" w:cs="Segoe UI"/>
      <w:sz w:val="18"/>
      <w:szCs w:val="18"/>
    </w:rPr>
  </w:style>
  <w:style w:type="character" w:customStyle="1" w:styleId="BalloonTextChar">
    <w:name w:val="Balloon Text Char"/>
    <w:basedOn w:val="DefaultParagraphFont"/>
    <w:link w:val="BalloonText"/>
    <w:semiHidden/>
    <w:rsid w:val="00F16225"/>
    <w:rPr>
      <w:rFonts w:ascii="Segoe UI" w:eastAsia="BatangChe" w:hAnsi="Segoe UI" w:cs="Segoe UI"/>
      <w:sz w:val="18"/>
      <w:szCs w:val="18"/>
    </w:rPr>
  </w:style>
  <w:style w:type="paragraph" w:customStyle="1" w:styleId="Normal1">
    <w:name w:val="Normal1"/>
    <w:rsid w:val="00484082"/>
    <w:pPr>
      <w:spacing w:line="276" w:lineRule="auto"/>
    </w:pPr>
    <w:rPr>
      <w:rFonts w:ascii="Arial" w:eastAsia="Arial" w:hAnsi="Arial" w:cs="Arial"/>
      <w:color w:val="000000"/>
      <w:sz w:val="22"/>
    </w:rPr>
  </w:style>
  <w:style w:type="character" w:styleId="CommentReference">
    <w:name w:val="annotation reference"/>
    <w:uiPriority w:val="99"/>
    <w:unhideWhenUsed/>
    <w:rsid w:val="00484082"/>
    <w:rPr>
      <w:sz w:val="16"/>
      <w:szCs w:val="16"/>
    </w:rPr>
  </w:style>
  <w:style w:type="paragraph" w:styleId="CommentText">
    <w:name w:val="annotation text"/>
    <w:basedOn w:val="Normal"/>
    <w:link w:val="CommentTextChar"/>
    <w:uiPriority w:val="99"/>
    <w:unhideWhenUsed/>
    <w:rsid w:val="00484082"/>
    <w:pPr>
      <w:spacing w:after="160"/>
    </w:pPr>
    <w:rPr>
      <w:rFonts w:ascii="Arial" w:eastAsia="Arial" w:hAnsi="Arial"/>
      <w:sz w:val="20"/>
      <w:szCs w:val="20"/>
    </w:rPr>
  </w:style>
  <w:style w:type="character" w:customStyle="1" w:styleId="CommentTextChar">
    <w:name w:val="Comment Text Char"/>
    <w:basedOn w:val="DefaultParagraphFont"/>
    <w:link w:val="CommentText"/>
    <w:uiPriority w:val="99"/>
    <w:rsid w:val="00484082"/>
    <w:rPr>
      <w:rFonts w:ascii="Arial" w:eastAsia="Arial" w:hAnsi="Arial"/>
    </w:rPr>
  </w:style>
  <w:style w:type="paragraph" w:styleId="NormalWeb">
    <w:name w:val="Normal (Web)"/>
    <w:basedOn w:val="Normal"/>
    <w:uiPriority w:val="99"/>
    <w:unhideWhenUsed/>
    <w:rsid w:val="002D0E6D"/>
    <w:pPr>
      <w:spacing w:before="100" w:beforeAutospacing="1" w:after="100" w:afterAutospacing="1"/>
    </w:pPr>
    <w:rPr>
      <w:rFonts w:eastAsia="Times New Roman"/>
    </w:rPr>
  </w:style>
  <w:style w:type="character" w:styleId="Emphasis">
    <w:name w:val="Emphasis"/>
    <w:basedOn w:val="DefaultParagraphFont"/>
    <w:uiPriority w:val="20"/>
    <w:qFormat/>
    <w:rsid w:val="002D0E6D"/>
    <w:rPr>
      <w:i/>
      <w:iCs/>
    </w:rPr>
  </w:style>
  <w:style w:type="character" w:customStyle="1" w:styleId="ECCHLbold">
    <w:name w:val="ECC HL bold"/>
    <w:uiPriority w:val="1"/>
    <w:qFormat/>
    <w:rsid w:val="002D0E6D"/>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69013">
      <w:bodyDiv w:val="1"/>
      <w:marLeft w:val="0"/>
      <w:marRight w:val="0"/>
      <w:marTop w:val="0"/>
      <w:marBottom w:val="0"/>
      <w:divBdr>
        <w:top w:val="none" w:sz="0" w:space="0" w:color="auto"/>
        <w:left w:val="none" w:sz="0" w:space="0" w:color="auto"/>
        <w:bottom w:val="none" w:sz="0" w:space="0" w:color="auto"/>
        <w:right w:val="none" w:sz="0" w:space="0" w:color="auto"/>
      </w:divBdr>
      <w:divsChild>
        <w:div w:id="816914767">
          <w:marLeft w:val="634"/>
          <w:marRight w:val="0"/>
          <w:marTop w:val="80"/>
          <w:marBottom w:val="0"/>
          <w:divBdr>
            <w:top w:val="none" w:sz="0" w:space="0" w:color="auto"/>
            <w:left w:val="none" w:sz="0" w:space="0" w:color="auto"/>
            <w:bottom w:val="none" w:sz="0" w:space="0" w:color="auto"/>
            <w:right w:val="none" w:sz="0" w:space="0" w:color="auto"/>
          </w:divBdr>
        </w:div>
        <w:div w:id="777409309">
          <w:marLeft w:val="634"/>
          <w:marRight w:val="0"/>
          <w:marTop w:val="80"/>
          <w:marBottom w:val="0"/>
          <w:divBdr>
            <w:top w:val="none" w:sz="0" w:space="0" w:color="auto"/>
            <w:left w:val="none" w:sz="0" w:space="0" w:color="auto"/>
            <w:bottom w:val="none" w:sz="0" w:space="0" w:color="auto"/>
            <w:right w:val="none" w:sz="0" w:space="0" w:color="auto"/>
          </w:divBdr>
        </w:div>
        <w:div w:id="1680036981">
          <w:marLeft w:val="634"/>
          <w:marRight w:val="0"/>
          <w:marTop w:val="80"/>
          <w:marBottom w:val="0"/>
          <w:divBdr>
            <w:top w:val="none" w:sz="0" w:space="0" w:color="auto"/>
            <w:left w:val="none" w:sz="0" w:space="0" w:color="auto"/>
            <w:bottom w:val="none" w:sz="0" w:space="0" w:color="auto"/>
            <w:right w:val="none" w:sz="0" w:space="0" w:color="auto"/>
          </w:divBdr>
        </w:div>
      </w:divsChild>
    </w:div>
    <w:div w:id="17634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fi.org/news-events/newsroom/additional-unlicensed-spectrum-needed-to-deliver-future-wi-fi-connectiv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ueofWiFi.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i-fi.org/discover-wi-fi/wi-fi-certified-wig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fi.org/discover-wi-fi/wi-fi-6"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isco.com/c/en/us/solutions/collateral/service-provider/visual-networking-index-vni/vni-hyperconnectivity-wp.html" TargetMode="External"/><Relationship Id="rId3" Type="http://schemas.openxmlformats.org/officeDocument/2006/relationships/hyperlink" Target="https://docs.fcc.gov/public/attachments/DOC-347449A1.pdf" TargetMode="External"/><Relationship Id="rId7" Type="http://schemas.openxmlformats.org/officeDocument/2006/relationships/hyperlink" Target="https://www.itu.int/en/ITU-T/ssc/Pages/default.aspx" TargetMode="External"/><Relationship Id="rId2" Type="http://schemas.openxmlformats.org/officeDocument/2006/relationships/hyperlink" Target="https://www.wballiance.com/the-role-of-wi-fi-unlicensed-technologies-in-5g/" TargetMode="External"/><Relationship Id="rId1" Type="http://schemas.openxmlformats.org/officeDocument/2006/relationships/hyperlink" Target="https://www.wi-fi.org/file/next-generation-wi-fi-the-future-of-connectivity" TargetMode="External"/><Relationship Id="rId6" Type="http://schemas.openxmlformats.org/officeDocument/2006/relationships/hyperlink" Target="http://www.itu.int/pub/R-REP-M.2227" TargetMode="External"/><Relationship Id="rId5" Type="http://schemas.openxmlformats.org/officeDocument/2006/relationships/hyperlink" Target="http://www.itu.int/rec/R-REC-M.2003/en" TargetMode="External"/><Relationship Id="rId4" Type="http://schemas.openxmlformats.org/officeDocument/2006/relationships/hyperlink" Target="https://circabc.europa.eu/sd/a/fe1a3338-b751-43e3-9ed8-a5632f051d1f/RSPG18-005final-2nd_opinion_on_5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82C02-11B4-466C-852E-DB1744FA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5</cp:revision>
  <cp:lastPrinted>2004-07-28T02:14:00Z</cp:lastPrinted>
  <dcterms:created xsi:type="dcterms:W3CDTF">2018-12-28T20:07:00Z</dcterms:created>
  <dcterms:modified xsi:type="dcterms:W3CDTF">2018-12-30T04:12:00Z</dcterms:modified>
</cp:coreProperties>
</file>