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720"/>
        <w:gridCol w:w="2700"/>
      </w:tblGrid>
      <w:tr w:rsidR="00096326" w:rsidRPr="00891D0B" w:rsidTr="00096326">
        <w:trPr>
          <w:cantSplit/>
        </w:trPr>
        <w:tc>
          <w:tcPr>
            <w:tcW w:w="1399" w:type="dxa"/>
            <w:vMerge w:val="restart"/>
          </w:tcPr>
          <w:p w:rsidR="00096326" w:rsidRPr="00891D0B" w:rsidRDefault="00096326"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36A2D427" wp14:editId="1FB19F4E">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20" w:type="dxa"/>
          </w:tcPr>
          <w:p w:rsidR="00096326" w:rsidRPr="00891D0B" w:rsidRDefault="00096326" w:rsidP="0045458F">
            <w:r w:rsidRPr="00096326">
              <w:t>ASIA-PACIFIC TELECOMMUNITY</w:t>
            </w:r>
          </w:p>
        </w:tc>
        <w:tc>
          <w:tcPr>
            <w:tcW w:w="2700" w:type="dxa"/>
          </w:tcPr>
          <w:p w:rsidR="00096326" w:rsidRPr="00096326" w:rsidRDefault="00096326" w:rsidP="00096326">
            <w:pPr>
              <w:rPr>
                <w:b/>
                <w:bCs/>
                <w:lang w:val="fr-FR"/>
              </w:rPr>
            </w:pPr>
            <w:r w:rsidRPr="00C15799">
              <w:rPr>
                <w:b/>
                <w:lang w:val="fr-FR"/>
              </w:rPr>
              <w:t>Document</w:t>
            </w:r>
            <w:r w:rsidR="00992E92">
              <w:rPr>
                <w:b/>
                <w:lang w:val="fr-FR"/>
              </w:rPr>
              <w:t xml:space="preserve"> No</w:t>
            </w:r>
            <w:r>
              <w:rPr>
                <w:b/>
                <w:lang w:val="fr-FR"/>
              </w:rPr>
              <w:t xml:space="preserve">: </w:t>
            </w:r>
          </w:p>
        </w:tc>
      </w:tr>
      <w:tr w:rsidR="00DA7595" w:rsidRPr="00C15799" w:rsidTr="00096326">
        <w:trPr>
          <w:cantSplit/>
        </w:trPr>
        <w:tc>
          <w:tcPr>
            <w:tcW w:w="1399" w:type="dxa"/>
            <w:vMerge/>
          </w:tcPr>
          <w:p w:rsidR="00DA7595" w:rsidRPr="00891D0B" w:rsidRDefault="00DA7595" w:rsidP="0045458F"/>
        </w:tc>
        <w:tc>
          <w:tcPr>
            <w:tcW w:w="5720" w:type="dxa"/>
          </w:tcPr>
          <w:p w:rsidR="00DA7595" w:rsidRPr="00891D0B" w:rsidRDefault="00DA7595" w:rsidP="006A64A9">
            <w:pPr>
              <w:spacing w:line="0" w:lineRule="atLeast"/>
            </w:pPr>
            <w:r>
              <w:rPr>
                <w:b/>
              </w:rPr>
              <w:t xml:space="preserve">The </w:t>
            </w:r>
            <w:r w:rsidR="006A64A9">
              <w:rPr>
                <w:b/>
              </w:rPr>
              <w:t xml:space="preserve">4th </w:t>
            </w:r>
            <w:r w:rsidR="00DB0A68">
              <w:rPr>
                <w:b/>
              </w:rPr>
              <w:t>Meeting of the APT Conference Preparatory</w:t>
            </w:r>
            <w:r w:rsidR="002926D4">
              <w:rPr>
                <w:b/>
              </w:rPr>
              <w:t xml:space="preserve"> </w:t>
            </w:r>
            <w:r w:rsidR="00DB0A68">
              <w:rPr>
                <w:b/>
              </w:rPr>
              <w:t xml:space="preserve"> Group for WRC-</w:t>
            </w:r>
            <w:r w:rsidR="00FE3DE5">
              <w:rPr>
                <w:b/>
              </w:rPr>
              <w:t>1</w:t>
            </w:r>
            <w:r w:rsidR="00096326">
              <w:rPr>
                <w:b/>
              </w:rPr>
              <w:t>9</w:t>
            </w:r>
            <w:r w:rsidR="00DB0A68">
              <w:rPr>
                <w:b/>
              </w:rPr>
              <w:t xml:space="preserve"> (APG</w:t>
            </w:r>
            <w:r w:rsidR="00096326">
              <w:rPr>
                <w:b/>
              </w:rPr>
              <w:t>19</w:t>
            </w:r>
            <w:r w:rsidR="00DB0A68">
              <w:rPr>
                <w:b/>
              </w:rPr>
              <w:t>-</w:t>
            </w:r>
            <w:r w:rsidR="006A64A9">
              <w:rPr>
                <w:b/>
              </w:rPr>
              <w:t>4</w:t>
            </w:r>
            <w:r w:rsidR="00DB0A68">
              <w:rPr>
                <w:b/>
              </w:rPr>
              <w:t>)</w:t>
            </w:r>
          </w:p>
        </w:tc>
        <w:tc>
          <w:tcPr>
            <w:tcW w:w="2700" w:type="dxa"/>
          </w:tcPr>
          <w:p w:rsidR="00DA7595" w:rsidRPr="00C15799" w:rsidRDefault="008319BF" w:rsidP="00992E92">
            <w:pPr>
              <w:rPr>
                <w:b/>
                <w:bCs/>
                <w:lang w:val="fr-FR"/>
              </w:rPr>
            </w:pPr>
            <w:r>
              <w:rPr>
                <w:b/>
                <w:bCs/>
                <w:lang w:val="fr-FR"/>
              </w:rPr>
              <w:t>APG</w:t>
            </w:r>
            <w:r w:rsidR="006A64A9">
              <w:rPr>
                <w:b/>
                <w:bCs/>
                <w:lang w:val="fr-FR"/>
              </w:rPr>
              <w:t>19-4</w:t>
            </w:r>
            <w:r>
              <w:rPr>
                <w:b/>
                <w:bCs/>
                <w:lang w:val="fr-FR"/>
              </w:rPr>
              <w:t>/</w:t>
            </w:r>
            <w:r w:rsidR="00992E92">
              <w:rPr>
                <w:b/>
                <w:bCs/>
                <w:lang w:val="fr-FR"/>
              </w:rPr>
              <w:t>INF-13</w:t>
            </w:r>
          </w:p>
        </w:tc>
      </w:tr>
      <w:tr w:rsidR="004B3553" w:rsidRPr="00891D0B" w:rsidTr="00096326">
        <w:trPr>
          <w:cantSplit/>
          <w:trHeight w:val="219"/>
        </w:trPr>
        <w:tc>
          <w:tcPr>
            <w:tcW w:w="1399" w:type="dxa"/>
            <w:vMerge/>
          </w:tcPr>
          <w:p w:rsidR="004B3553" w:rsidRPr="00C15799" w:rsidRDefault="004B3553" w:rsidP="0045458F">
            <w:pPr>
              <w:rPr>
                <w:lang w:val="fr-FR"/>
              </w:rPr>
            </w:pPr>
          </w:p>
        </w:tc>
        <w:tc>
          <w:tcPr>
            <w:tcW w:w="5720" w:type="dxa"/>
          </w:tcPr>
          <w:p w:rsidR="004B3553" w:rsidRPr="00891D0B" w:rsidRDefault="006A64A9" w:rsidP="006A64A9">
            <w:r>
              <w:t>7</w:t>
            </w:r>
            <w:r w:rsidR="00291C9E">
              <w:t xml:space="preserve"> – </w:t>
            </w:r>
            <w:r>
              <w:t xml:space="preserve">12 January </w:t>
            </w:r>
            <w:r w:rsidR="00F17B0A">
              <w:t>2</w:t>
            </w:r>
            <w:r w:rsidR="00291C9E">
              <w:t>0</w:t>
            </w:r>
            <w:r>
              <w:t>19</w:t>
            </w:r>
            <w:r w:rsidR="004B3553" w:rsidRPr="00891D0B">
              <w:t xml:space="preserve">, </w:t>
            </w:r>
            <w:r>
              <w:t>Busan</w:t>
            </w:r>
            <w:r w:rsidR="004B3553">
              <w:t xml:space="preserve">, </w:t>
            </w:r>
            <w:r>
              <w:t>Republic of Korea</w:t>
            </w:r>
          </w:p>
        </w:tc>
        <w:tc>
          <w:tcPr>
            <w:tcW w:w="2700" w:type="dxa"/>
          </w:tcPr>
          <w:p w:rsidR="004B3553" w:rsidRPr="00712451" w:rsidRDefault="00992E92" w:rsidP="006A64A9">
            <w:pPr>
              <w:rPr>
                <w:b/>
              </w:rPr>
            </w:pPr>
            <w:r>
              <w:rPr>
                <w:b/>
              </w:rPr>
              <w:t>31</w:t>
            </w:r>
            <w:r w:rsidR="00FE3DE5">
              <w:rPr>
                <w:b/>
              </w:rPr>
              <w:t xml:space="preserve"> </w:t>
            </w:r>
            <w:r w:rsidR="006A64A9">
              <w:rPr>
                <w:b/>
              </w:rPr>
              <w:t xml:space="preserve">December </w:t>
            </w:r>
            <w:r w:rsidR="00291C9E">
              <w:rPr>
                <w:b/>
              </w:rPr>
              <w:t>20</w:t>
            </w:r>
            <w:r w:rsidR="008319BF">
              <w:rPr>
                <w:b/>
              </w:rPr>
              <w:t>1</w:t>
            </w:r>
            <w:r w:rsidR="00F17B0A">
              <w:rPr>
                <w:b/>
              </w:rPr>
              <w:t>8</w:t>
            </w:r>
          </w:p>
        </w:tc>
      </w:tr>
    </w:tbl>
    <w:p w:rsidR="00DA7595" w:rsidRDefault="00DA7595" w:rsidP="00DA7595">
      <w:pPr>
        <w:rPr>
          <w:lang w:eastAsia="ko-KR"/>
        </w:rPr>
      </w:pPr>
    </w:p>
    <w:p w:rsidR="00096326" w:rsidRDefault="00096326" w:rsidP="00DA7595">
      <w:pPr>
        <w:jc w:val="center"/>
        <w:rPr>
          <w:sz w:val="28"/>
          <w:szCs w:val="28"/>
          <w:lang w:eastAsia="ko-KR"/>
        </w:rPr>
      </w:pPr>
    </w:p>
    <w:p w:rsidR="00DA7595" w:rsidRPr="00C37C24" w:rsidRDefault="006341BB" w:rsidP="00DA7595">
      <w:pPr>
        <w:jc w:val="center"/>
        <w:rPr>
          <w:sz w:val="26"/>
          <w:szCs w:val="26"/>
          <w:lang w:eastAsia="ko-KR"/>
        </w:rPr>
      </w:pPr>
      <w:hyperlink r:id="rId8" w:history="1">
        <w:r w:rsidR="00C37C24" w:rsidRPr="00C37C24">
          <w:rPr>
            <w:bCs/>
            <w:caps/>
          </w:rPr>
          <w:t>Robert Bosch (South East Asia) Pte Ltd</w:t>
        </w:r>
      </w:hyperlink>
    </w:p>
    <w:p w:rsidR="00FE3DE5" w:rsidRDefault="00FE3DE5" w:rsidP="0063062B">
      <w:pPr>
        <w:jc w:val="center"/>
        <w:rPr>
          <w:b/>
          <w:bCs/>
          <w:caps/>
          <w:sz w:val="28"/>
          <w:szCs w:val="28"/>
        </w:rPr>
      </w:pPr>
    </w:p>
    <w:p w:rsidR="00C357AD" w:rsidRPr="00096326" w:rsidRDefault="008710ED" w:rsidP="0063062B">
      <w:pPr>
        <w:jc w:val="center"/>
        <w:rPr>
          <w:b/>
          <w:bCs/>
          <w:caps/>
        </w:rPr>
      </w:pPr>
      <w:r>
        <w:rPr>
          <w:b/>
          <w:bCs/>
          <w:caps/>
        </w:rPr>
        <w:t>View on AI 1.13</w:t>
      </w:r>
      <w:r w:rsidR="00A024FC">
        <w:rPr>
          <w:b/>
          <w:bCs/>
          <w:caps/>
        </w:rPr>
        <w:t>:</w:t>
      </w:r>
      <w:r>
        <w:rPr>
          <w:b/>
          <w:bCs/>
          <w:caps/>
        </w:rPr>
        <w:t xml:space="preserve"> Impact of IMT-2020 in 71-76</w:t>
      </w:r>
      <w:r w:rsidR="00656AD1">
        <w:rPr>
          <w:b/>
          <w:bCs/>
          <w:caps/>
        </w:rPr>
        <w:t xml:space="preserve"> </w:t>
      </w:r>
      <w:r>
        <w:rPr>
          <w:b/>
          <w:bCs/>
          <w:caps/>
        </w:rPr>
        <w:t>GHz and 81-86</w:t>
      </w:r>
      <w:r w:rsidR="00656AD1">
        <w:rPr>
          <w:b/>
          <w:bCs/>
          <w:caps/>
        </w:rPr>
        <w:t xml:space="preserve"> </w:t>
      </w:r>
      <w:r>
        <w:rPr>
          <w:b/>
          <w:bCs/>
          <w:caps/>
        </w:rPr>
        <w:t xml:space="preserve">GHz into Automotive RadAR in 76-81GHz </w:t>
      </w:r>
    </w:p>
    <w:p w:rsidR="00DB0A68" w:rsidRDefault="00DB0A68" w:rsidP="00C357AD">
      <w:pPr>
        <w:jc w:val="center"/>
      </w:pPr>
    </w:p>
    <w:p w:rsidR="001D6893" w:rsidRDefault="001D6893" w:rsidP="001D6893">
      <w:pPr>
        <w:rPr>
          <w:b/>
        </w:rPr>
      </w:pPr>
    </w:p>
    <w:p w:rsidR="001D6893" w:rsidRDefault="001D6893" w:rsidP="001D6893">
      <w:pPr>
        <w:pStyle w:val="ListParagraph"/>
        <w:numPr>
          <w:ilvl w:val="0"/>
          <w:numId w:val="9"/>
        </w:numPr>
        <w:rPr>
          <w:b/>
        </w:rPr>
      </w:pPr>
      <w:r w:rsidRPr="001D6893">
        <w:rPr>
          <w:b/>
        </w:rPr>
        <w:t xml:space="preserve">Summary </w:t>
      </w:r>
    </w:p>
    <w:p w:rsidR="00966723" w:rsidRDefault="00966723" w:rsidP="00206F67">
      <w:pPr>
        <w:ind w:left="360"/>
      </w:pPr>
    </w:p>
    <w:p w:rsidR="00415EBF" w:rsidRDefault="00415EBF" w:rsidP="00415EBF">
      <w:pPr>
        <w:ind w:left="360"/>
      </w:pPr>
      <w:r>
        <w:t>Automotive radars are already commercially available over 10 years, they have shown that radar based functions provide a significant contribution to</w:t>
      </w:r>
      <w:r w:rsidR="00F37BD3">
        <w:t xml:space="preserve"> improve</w:t>
      </w:r>
      <w:r w:rsidR="009630F7">
        <w:t xml:space="preserve"> traffic safety for </w:t>
      </w:r>
      <w:r>
        <w:t>veh</w:t>
      </w:r>
      <w:r w:rsidR="00F37BD3">
        <w:t>icle passengers,</w:t>
      </w:r>
      <w:r>
        <w:t xml:space="preserve"> pedestrians and other vulnerable road users.</w:t>
      </w:r>
      <w:r w:rsidR="002A304E">
        <w:t xml:space="preserve"> </w:t>
      </w:r>
      <w:r w:rsidR="0064445E">
        <w:t>Vehicle Users and responsible authorities recognize this important contribution</w:t>
      </w:r>
      <w:r w:rsidR="002A304E">
        <w:t>.</w:t>
      </w:r>
    </w:p>
    <w:p w:rsidR="00AD6AD9" w:rsidRPr="003A48CC" w:rsidRDefault="00AD6AD9" w:rsidP="0064445E"/>
    <w:p w:rsidR="00E27767" w:rsidRDefault="00776247" w:rsidP="00B72A3C">
      <w:pPr>
        <w:ind w:left="360"/>
      </w:pPr>
      <w:r>
        <w:t>A</w:t>
      </w:r>
      <w:r w:rsidR="00A024FC">
        <w:t xml:space="preserve">utomotive </w:t>
      </w:r>
      <w:r w:rsidR="00206F67" w:rsidRPr="003A48CC">
        <w:t>radar based functions are a key element for autonomous driving vehicles</w:t>
      </w:r>
      <w:r w:rsidR="00206F67">
        <w:t>,</w:t>
      </w:r>
      <w:r w:rsidR="00206F67" w:rsidRPr="003A48CC">
        <w:t xml:space="preserve"> as well as for current </w:t>
      </w:r>
      <w:r w:rsidR="009630F7">
        <w:t xml:space="preserve">and future </w:t>
      </w:r>
      <w:r w:rsidR="00206F67" w:rsidRPr="003A48CC">
        <w:t>driver assistance functions</w:t>
      </w:r>
      <w:r w:rsidR="00AD6AD9">
        <w:t>.</w:t>
      </w:r>
      <w:r w:rsidR="00B72A3C">
        <w:t xml:space="preserve"> </w:t>
      </w:r>
      <w:r w:rsidR="007E6D51">
        <w:t xml:space="preserve">For autonomous driving vehicles and driver assistance functions, it is important that the radar-based functions are available in any traffic situation, without any interference and </w:t>
      </w:r>
      <w:r w:rsidR="003D7B4A">
        <w:t xml:space="preserve">performance </w:t>
      </w:r>
      <w:r w:rsidR="007E6D51">
        <w:t xml:space="preserve">degradation. </w:t>
      </w:r>
    </w:p>
    <w:p w:rsidR="00B72A3C" w:rsidRDefault="00B72A3C" w:rsidP="00E27767">
      <w:pPr>
        <w:ind w:left="360"/>
      </w:pPr>
    </w:p>
    <w:p w:rsidR="00E27767" w:rsidRPr="00E27767" w:rsidRDefault="006817E6" w:rsidP="00B72A3C">
      <w:pPr>
        <w:ind w:left="360"/>
      </w:pPr>
      <w:r w:rsidRPr="006817E6">
        <w:t>For autonomous driving vehicles, automotive radar is one of the three different independent sensor technologies for environment sensing. The oth</w:t>
      </w:r>
      <w:r w:rsidR="009630F7">
        <w:t>er sensor technologies are Lidar</w:t>
      </w:r>
      <w:r w:rsidRPr="006817E6">
        <w:t xml:space="preserve"> and video</w:t>
      </w:r>
      <w:r w:rsidR="009630F7">
        <w:t xml:space="preserve"> camera</w:t>
      </w:r>
      <w:r w:rsidRPr="006817E6">
        <w:t>. An autonomous driving vehicle depends on the data from</w:t>
      </w:r>
      <w:r>
        <w:t xml:space="preserve"> each of</w:t>
      </w:r>
      <w:r w:rsidRPr="006817E6">
        <w:t xml:space="preserve"> the three sensor types, loss of the data from one sensor type cannot be compensated by another.</w:t>
      </w:r>
      <w:r w:rsidR="00E27767" w:rsidRPr="00E27767">
        <w:rPr>
          <w:spacing w:val="-2"/>
        </w:rPr>
        <w:t xml:space="preserve"> </w:t>
      </w:r>
      <w:r w:rsidR="00E27767" w:rsidRPr="00A52E29">
        <w:rPr>
          <w:spacing w:val="-2"/>
        </w:rPr>
        <w:t xml:space="preserve">In higher levels of automation, autonomous driving vehicles do </w:t>
      </w:r>
      <w:r w:rsidR="00E27767">
        <w:rPr>
          <w:spacing w:val="-2"/>
        </w:rPr>
        <w:t>n</w:t>
      </w:r>
      <w:r w:rsidR="00E27767" w:rsidRPr="00A52E29">
        <w:rPr>
          <w:spacing w:val="-2"/>
        </w:rPr>
        <w:t xml:space="preserve">ot have elements like steering wheels and brake pedals where the driver could react when environment sensing of the vehicle would fail. </w:t>
      </w:r>
    </w:p>
    <w:p w:rsidR="008961A5" w:rsidRDefault="008961A5" w:rsidP="008961A5">
      <w:pPr>
        <w:ind w:left="360"/>
      </w:pPr>
    </w:p>
    <w:p w:rsidR="001D6893" w:rsidRDefault="00917DB8" w:rsidP="008961A5">
      <w:pPr>
        <w:ind w:left="360"/>
      </w:pPr>
      <w:r>
        <w:t>The s</w:t>
      </w:r>
      <w:r w:rsidR="008961A5" w:rsidRPr="008961A5">
        <w:t xml:space="preserve">tudies provided </w:t>
      </w:r>
      <w:r w:rsidR="000A47FB">
        <w:t xml:space="preserve">to ITU-R TG5/1 </w:t>
      </w:r>
      <w:r w:rsidR="008961A5" w:rsidRPr="008961A5">
        <w:t xml:space="preserve">by GER, </w:t>
      </w:r>
      <w:r w:rsidR="008961A5">
        <w:t>RUS and SUI concluded that even</w:t>
      </w:r>
      <w:r w:rsidR="008961A5" w:rsidRPr="008961A5">
        <w:t xml:space="preserve"> with a spurious emission limit of -30 </w:t>
      </w:r>
      <w:proofErr w:type="spellStart"/>
      <w:r w:rsidR="008961A5" w:rsidRPr="008961A5">
        <w:t>dBm</w:t>
      </w:r>
      <w:proofErr w:type="spellEnd"/>
      <w:r w:rsidR="008961A5" w:rsidRPr="008961A5">
        <w:t>/MHz for</w:t>
      </w:r>
      <w:r w:rsidR="005979DE">
        <w:t xml:space="preserve"> </w:t>
      </w:r>
      <w:r w:rsidR="007614B7">
        <w:t xml:space="preserve">IMT-2020 </w:t>
      </w:r>
      <w:r w:rsidR="005979DE">
        <w:t xml:space="preserve">BS and UE </w:t>
      </w:r>
      <w:r w:rsidR="008A2FE4">
        <w:t xml:space="preserve">operating </w:t>
      </w:r>
      <w:r w:rsidR="008961A5" w:rsidRPr="008961A5">
        <w:t>in</w:t>
      </w:r>
      <w:r w:rsidR="008A2FE4">
        <w:t xml:space="preserve"> the bands</w:t>
      </w:r>
      <w:r w:rsidR="008961A5" w:rsidRPr="008961A5">
        <w:t xml:space="preserve"> 71-76 GHz</w:t>
      </w:r>
      <w:r w:rsidR="008961A5">
        <w:t xml:space="preserve"> and 81-86 GHz</w:t>
      </w:r>
      <w:r w:rsidR="008961A5" w:rsidRPr="008961A5">
        <w:t>, automotive radars cannot be sufficiently protected.</w:t>
      </w:r>
    </w:p>
    <w:p w:rsidR="00491255" w:rsidRDefault="00491255" w:rsidP="008961A5">
      <w:pPr>
        <w:ind w:left="360"/>
      </w:pPr>
    </w:p>
    <w:p w:rsidR="00491255" w:rsidRPr="008961A5" w:rsidRDefault="00491255" w:rsidP="008961A5">
      <w:pPr>
        <w:ind w:left="360"/>
      </w:pPr>
      <w:r>
        <w:t>It should be noted, that the CEPT position for the bands 71-76 GHz and 81-86 GHz is No Change.</w:t>
      </w:r>
    </w:p>
    <w:p w:rsidR="001D6893" w:rsidRDefault="001D6893" w:rsidP="001D6893">
      <w:pPr>
        <w:rPr>
          <w:b/>
        </w:rPr>
      </w:pPr>
    </w:p>
    <w:p w:rsidR="001D6893" w:rsidRDefault="001D6893" w:rsidP="001D6893">
      <w:pPr>
        <w:pStyle w:val="ListParagraph"/>
        <w:numPr>
          <w:ilvl w:val="0"/>
          <w:numId w:val="9"/>
        </w:numPr>
        <w:rPr>
          <w:b/>
        </w:rPr>
      </w:pPr>
      <w:r w:rsidRPr="001D6893">
        <w:rPr>
          <w:b/>
        </w:rPr>
        <w:t>BOSCH view on AI 1.13</w:t>
      </w:r>
      <w:r w:rsidR="00877863">
        <w:rPr>
          <w:b/>
        </w:rPr>
        <w:t xml:space="preserve">, bands K and L </w:t>
      </w:r>
    </w:p>
    <w:p w:rsidR="00877863" w:rsidRDefault="00877863" w:rsidP="00656AD1">
      <w:pPr>
        <w:pStyle w:val="ListParagraph"/>
        <w:rPr>
          <w:b/>
        </w:rPr>
      </w:pPr>
    </w:p>
    <w:p w:rsidR="00656AD1" w:rsidRPr="00877863" w:rsidRDefault="00656AD1" w:rsidP="000529AB">
      <w:pPr>
        <w:ind w:firstLine="360"/>
      </w:pPr>
      <w:r w:rsidRPr="00877863">
        <w:t xml:space="preserve">In the band 71-76 GHz (band K), </w:t>
      </w:r>
      <w:r w:rsidR="00467F7A">
        <w:t>BOSCH</w:t>
      </w:r>
      <w:r w:rsidRPr="00877863">
        <w:t xml:space="preserve"> supports No Change (method K1)</w:t>
      </w:r>
    </w:p>
    <w:p w:rsidR="00656AD1" w:rsidRDefault="00656AD1" w:rsidP="000529AB">
      <w:pPr>
        <w:ind w:firstLine="360"/>
      </w:pPr>
      <w:r w:rsidRPr="00877863">
        <w:t>In th</w:t>
      </w:r>
      <w:r w:rsidR="00467F7A">
        <w:t>e band 81-86 GHz (band L), BOSCH</w:t>
      </w:r>
      <w:r w:rsidRPr="00877863">
        <w:t xml:space="preserve"> supports No Change (method L1)</w:t>
      </w:r>
    </w:p>
    <w:p w:rsidR="00BC13F7" w:rsidRDefault="00BC13F7" w:rsidP="00656AD1">
      <w:pPr>
        <w:pStyle w:val="ListParagraph"/>
      </w:pPr>
    </w:p>
    <w:p w:rsidR="00B72A3C" w:rsidRDefault="00B72A3C" w:rsidP="00656AD1">
      <w:pPr>
        <w:pStyle w:val="ListParagraph"/>
      </w:pPr>
    </w:p>
    <w:p w:rsidR="00B72A3C" w:rsidRDefault="00B72A3C" w:rsidP="00656AD1">
      <w:pPr>
        <w:pStyle w:val="ListParagraph"/>
      </w:pPr>
    </w:p>
    <w:p w:rsidR="00B72A3C" w:rsidRDefault="00B72A3C" w:rsidP="00656AD1">
      <w:pPr>
        <w:pStyle w:val="ListParagraph"/>
      </w:pPr>
    </w:p>
    <w:p w:rsidR="00B72A3C" w:rsidRDefault="00B72A3C" w:rsidP="00656AD1">
      <w:pPr>
        <w:pStyle w:val="ListParagraph"/>
      </w:pPr>
    </w:p>
    <w:p w:rsidR="00B72A3C" w:rsidRDefault="00B72A3C" w:rsidP="00656AD1">
      <w:pPr>
        <w:pStyle w:val="ListParagraph"/>
      </w:pPr>
    </w:p>
    <w:p w:rsidR="00B72A3C" w:rsidRDefault="00B72A3C" w:rsidP="00656AD1">
      <w:pPr>
        <w:pStyle w:val="ListParagraph"/>
      </w:pPr>
    </w:p>
    <w:p w:rsidR="00BC13F7" w:rsidRDefault="00BC13F7" w:rsidP="00BC13F7">
      <w:pPr>
        <w:pStyle w:val="ListParagraph"/>
        <w:numPr>
          <w:ilvl w:val="0"/>
          <w:numId w:val="9"/>
        </w:numPr>
        <w:rPr>
          <w:b/>
        </w:rPr>
      </w:pPr>
      <w:r w:rsidRPr="001D6893">
        <w:rPr>
          <w:b/>
        </w:rPr>
        <w:lastRenderedPageBreak/>
        <w:t>Background</w:t>
      </w:r>
    </w:p>
    <w:p w:rsidR="00526351" w:rsidRDefault="00526351" w:rsidP="00BC13F7">
      <w:pPr>
        <w:pStyle w:val="ListParagraph"/>
      </w:pPr>
    </w:p>
    <w:p w:rsidR="00EA25E5" w:rsidRDefault="0085654F" w:rsidP="00B57200">
      <w:pPr>
        <w:ind w:firstLine="360"/>
        <w:rPr>
          <w:b/>
        </w:rPr>
      </w:pPr>
      <w:r>
        <w:rPr>
          <w:b/>
        </w:rPr>
        <w:t>3.1</w:t>
      </w:r>
      <w:r>
        <w:rPr>
          <w:b/>
        </w:rPr>
        <w:tab/>
      </w:r>
      <w:r w:rsidR="00CB0049">
        <w:rPr>
          <w:b/>
        </w:rPr>
        <w:t>Results of the stu</w:t>
      </w:r>
      <w:r w:rsidR="005800F1">
        <w:rPr>
          <w:b/>
        </w:rPr>
        <w:t>dies</w:t>
      </w:r>
      <w:r w:rsidR="00CB0049">
        <w:rPr>
          <w:b/>
        </w:rPr>
        <w:t xml:space="preserve"> </w:t>
      </w:r>
    </w:p>
    <w:p w:rsidR="00CB0049" w:rsidRDefault="00CB0049" w:rsidP="00B57200">
      <w:pPr>
        <w:ind w:firstLine="360"/>
      </w:pPr>
    </w:p>
    <w:p w:rsidR="00E24223" w:rsidRDefault="00121915" w:rsidP="00121915">
      <w:pPr>
        <w:ind w:left="360"/>
      </w:pPr>
      <w:r>
        <w:t>S</w:t>
      </w:r>
      <w:r w:rsidR="00AA249D">
        <w:t xml:space="preserve">tudies </w:t>
      </w:r>
      <w:r>
        <w:t xml:space="preserve">from two different sources </w:t>
      </w:r>
      <w:r w:rsidR="00AA249D">
        <w:t xml:space="preserve">were provided for </w:t>
      </w:r>
      <w:r>
        <w:t>both</w:t>
      </w:r>
      <w:r w:rsidR="00AA249D">
        <w:t xml:space="preserve"> bands 71-76 GHz and 81-86 GHz</w:t>
      </w:r>
      <w:r>
        <w:t xml:space="preserve">. </w:t>
      </w:r>
      <w:r w:rsidR="00AA249D">
        <w:t xml:space="preserve"> </w:t>
      </w:r>
    </w:p>
    <w:p w:rsidR="00A14E9E" w:rsidRDefault="00A14E9E" w:rsidP="00917DB8">
      <w:pPr>
        <w:ind w:left="360"/>
      </w:pPr>
    </w:p>
    <w:p w:rsidR="0042308B" w:rsidRDefault="00A14E9E" w:rsidP="00DA6300">
      <w:pPr>
        <w:ind w:left="360"/>
        <w:rPr>
          <w:lang w:eastAsia="zh-CN"/>
        </w:rPr>
      </w:pPr>
      <w:r>
        <w:t>One set of studies was provided by</w:t>
      </w:r>
      <w:r w:rsidR="00917DB8" w:rsidRPr="008961A5">
        <w:t xml:space="preserve"> GER, </w:t>
      </w:r>
      <w:r w:rsidR="00917DB8">
        <w:t>RUS and SUI</w:t>
      </w:r>
      <w:r>
        <w:t xml:space="preserve">. The studies </w:t>
      </w:r>
      <w:r w:rsidR="00DA6300">
        <w:t>concluded</w:t>
      </w:r>
      <w:r w:rsidR="00917DB8">
        <w:t xml:space="preserve"> that even</w:t>
      </w:r>
      <w:r w:rsidR="00917DB8" w:rsidRPr="008961A5">
        <w:t xml:space="preserve"> with a spurious emission limit of -30 </w:t>
      </w:r>
      <w:proofErr w:type="spellStart"/>
      <w:r w:rsidR="00917DB8" w:rsidRPr="008961A5">
        <w:t>dBm</w:t>
      </w:r>
      <w:proofErr w:type="spellEnd"/>
      <w:r w:rsidR="00917DB8" w:rsidRPr="008961A5">
        <w:t>/MHz for</w:t>
      </w:r>
      <w:r w:rsidR="00917DB8">
        <w:t xml:space="preserve"> BS and UE operating </w:t>
      </w:r>
      <w:r w:rsidR="00917DB8" w:rsidRPr="008961A5">
        <w:t>in</w:t>
      </w:r>
      <w:r w:rsidR="00917DB8">
        <w:t xml:space="preserve"> the bands</w:t>
      </w:r>
      <w:r w:rsidR="00917DB8" w:rsidRPr="008961A5">
        <w:t xml:space="preserve"> 71-76 GHz</w:t>
      </w:r>
      <w:r w:rsidR="00917DB8">
        <w:t xml:space="preserve"> and 81-86 GHz</w:t>
      </w:r>
      <w:r w:rsidR="00917DB8" w:rsidRPr="008961A5">
        <w:t>, automotive radars cannot be sufficiently protected.</w:t>
      </w:r>
      <w:r w:rsidR="00ED7623" w:rsidRPr="00ED7623">
        <w:rPr>
          <w:lang w:eastAsia="zh-CN"/>
        </w:rPr>
        <w:t xml:space="preserve"> </w:t>
      </w:r>
      <w:r w:rsidR="0042308B">
        <w:rPr>
          <w:lang w:eastAsia="zh-CN"/>
        </w:rPr>
        <w:t xml:space="preserve">The following assumptions were used in the studies </w:t>
      </w:r>
    </w:p>
    <w:p w:rsidR="005D2382" w:rsidRDefault="005D2382" w:rsidP="00ED7623">
      <w:pPr>
        <w:ind w:left="360"/>
        <w:rPr>
          <w:lang w:eastAsia="zh-CN"/>
        </w:rPr>
      </w:pPr>
    </w:p>
    <w:p w:rsidR="0042308B" w:rsidRDefault="00DE6EA4" w:rsidP="00ED7623">
      <w:pPr>
        <w:ind w:left="360"/>
        <w:rPr>
          <w:lang w:eastAsia="zh-CN"/>
        </w:rPr>
      </w:pPr>
      <w:r>
        <w:rPr>
          <w:u w:val="single"/>
          <w:lang w:eastAsia="zh-CN"/>
        </w:rPr>
        <w:t>Roll-off</w:t>
      </w:r>
      <w:r w:rsidR="0042308B" w:rsidRPr="0042308B">
        <w:rPr>
          <w:u w:val="single"/>
          <w:lang w:eastAsia="zh-CN"/>
        </w:rPr>
        <w:t xml:space="preserve"> of the IMT-2020 unwanted emissions:</w:t>
      </w:r>
      <w:r w:rsidR="0042308B">
        <w:rPr>
          <w:lang w:eastAsia="zh-CN"/>
        </w:rPr>
        <w:t xml:space="preserve"> </w:t>
      </w:r>
    </w:p>
    <w:p w:rsidR="0042308B" w:rsidRDefault="00B04DDE" w:rsidP="00ED7623">
      <w:pPr>
        <w:ind w:left="360"/>
        <w:rPr>
          <w:lang w:eastAsia="zh-CN"/>
        </w:rPr>
      </w:pPr>
      <w:r>
        <w:rPr>
          <w:lang w:eastAsia="zh-CN"/>
        </w:rPr>
        <w:t>I</w:t>
      </w:r>
      <w:r w:rsidR="0042308B">
        <w:rPr>
          <w:lang w:eastAsia="zh-CN"/>
        </w:rPr>
        <w:t xml:space="preserve">n the absence of an agreed model for the </w:t>
      </w:r>
      <w:r w:rsidR="00DE6EA4">
        <w:rPr>
          <w:lang w:eastAsia="zh-CN"/>
        </w:rPr>
        <w:t>roll-off</w:t>
      </w:r>
      <w:r w:rsidR="00736B68">
        <w:rPr>
          <w:lang w:eastAsia="zh-CN"/>
        </w:rPr>
        <w:t xml:space="preserve"> of the </w:t>
      </w:r>
      <w:r w:rsidR="0042308B">
        <w:rPr>
          <w:lang w:eastAsia="zh-CN"/>
        </w:rPr>
        <w:t>IMT-2020 unwanted emissions above 76 GHz and below 81 GHz, the unwanted emissions were assumed flat</w:t>
      </w:r>
      <w:r w:rsidR="008904F6">
        <w:rPr>
          <w:lang w:eastAsia="zh-CN"/>
        </w:rPr>
        <w:t xml:space="preserve"> over the range 76-81 GHz</w:t>
      </w:r>
      <w:r w:rsidR="0042308B">
        <w:rPr>
          <w:lang w:eastAsia="zh-CN"/>
        </w:rPr>
        <w:t>.</w:t>
      </w:r>
    </w:p>
    <w:p w:rsidR="0042308B" w:rsidRDefault="0042308B" w:rsidP="00ED7623">
      <w:pPr>
        <w:ind w:left="360"/>
        <w:rPr>
          <w:lang w:eastAsia="zh-CN"/>
        </w:rPr>
      </w:pPr>
    </w:p>
    <w:p w:rsidR="00E101B3" w:rsidRPr="00E101B3" w:rsidRDefault="00E101B3" w:rsidP="00ED7623">
      <w:pPr>
        <w:ind w:left="360"/>
        <w:rPr>
          <w:u w:val="single"/>
          <w:lang w:eastAsia="zh-CN"/>
        </w:rPr>
      </w:pPr>
      <w:r w:rsidRPr="00E101B3">
        <w:rPr>
          <w:u w:val="single"/>
          <w:lang w:eastAsia="zh-CN"/>
        </w:rPr>
        <w:t xml:space="preserve">IMT-2020 antenna pattern in the adjacent bands </w:t>
      </w:r>
    </w:p>
    <w:p w:rsidR="00DE6EA4" w:rsidRDefault="00E101B3" w:rsidP="00DE6EA4">
      <w:pPr>
        <w:ind w:left="360"/>
        <w:rPr>
          <w:rFonts w:cstheme="minorHAnsi"/>
        </w:rPr>
      </w:pPr>
      <w:r>
        <w:rPr>
          <w:rFonts w:cstheme="minorHAnsi"/>
        </w:rPr>
        <w:t xml:space="preserve">There was </w:t>
      </w:r>
      <w:r w:rsidR="00DE6EA4" w:rsidRPr="00265951">
        <w:rPr>
          <w:rFonts w:cstheme="minorHAnsi"/>
        </w:rPr>
        <w:t>no measurement of the IMT</w:t>
      </w:r>
      <w:r w:rsidR="00DE6EA4" w:rsidRPr="00265951">
        <w:rPr>
          <w:rFonts w:cstheme="minorHAnsi"/>
        </w:rPr>
        <w:noBreakHyphen/>
        <w:t>2020 antenna pattern in adjacent bands</w:t>
      </w:r>
      <w:r>
        <w:rPr>
          <w:rFonts w:cstheme="minorHAnsi"/>
        </w:rPr>
        <w:t xml:space="preserve"> available.</w:t>
      </w:r>
    </w:p>
    <w:p w:rsidR="00E101B3" w:rsidRDefault="00E101B3" w:rsidP="00DE6EA4">
      <w:pPr>
        <w:ind w:left="360"/>
        <w:rPr>
          <w:lang w:eastAsia="zh-CN"/>
        </w:rPr>
      </w:pPr>
    </w:p>
    <w:p w:rsidR="0042308B" w:rsidRPr="0042308B" w:rsidRDefault="0042308B" w:rsidP="00ED7623">
      <w:pPr>
        <w:ind w:left="360"/>
        <w:rPr>
          <w:u w:val="single"/>
          <w:lang w:eastAsia="zh-CN"/>
        </w:rPr>
      </w:pPr>
      <w:r w:rsidRPr="0042308B">
        <w:rPr>
          <w:u w:val="single"/>
          <w:lang w:eastAsia="zh-CN"/>
        </w:rPr>
        <w:t xml:space="preserve">Deployment scenario for the IMT-2020 components in 71-76 GHz and 81-86 GHz </w:t>
      </w:r>
    </w:p>
    <w:p w:rsidR="003A2071" w:rsidRDefault="003A2071" w:rsidP="00C5527E">
      <w:pPr>
        <w:ind w:left="360"/>
        <w:rPr>
          <w:lang w:eastAsia="zh-CN"/>
        </w:rPr>
      </w:pPr>
      <w:r>
        <w:rPr>
          <w:lang w:eastAsia="zh-CN"/>
        </w:rPr>
        <w:t xml:space="preserve">It was found that </w:t>
      </w:r>
      <w:r w:rsidRPr="00265951">
        <w:rPr>
          <w:rFonts w:cstheme="minorHAnsi"/>
        </w:rPr>
        <w:t>there was no</w:t>
      </w:r>
      <w:r w:rsidR="0003403E">
        <w:rPr>
          <w:rFonts w:cstheme="minorHAnsi"/>
        </w:rPr>
        <w:t xml:space="preserve"> clear agreed</w:t>
      </w:r>
      <w:r w:rsidRPr="00265951">
        <w:rPr>
          <w:rFonts w:cstheme="minorHAnsi"/>
        </w:rPr>
        <w:t xml:space="preserve"> information</w:t>
      </w:r>
      <w:r w:rsidR="007C42FB">
        <w:rPr>
          <w:rFonts w:cstheme="minorHAnsi"/>
        </w:rPr>
        <w:t xml:space="preserve"> available</w:t>
      </w:r>
      <w:r w:rsidRPr="00265951">
        <w:rPr>
          <w:rFonts w:cstheme="minorHAnsi"/>
        </w:rPr>
        <w:t xml:space="preserve"> about the foreseen deployment of IMT</w:t>
      </w:r>
      <w:r w:rsidRPr="00265951">
        <w:rPr>
          <w:rFonts w:cstheme="minorHAnsi"/>
        </w:rPr>
        <w:noBreakHyphen/>
        <w:t>2020 UEs with respect to vehicles for these bands</w:t>
      </w:r>
    </w:p>
    <w:p w:rsidR="00C5527E" w:rsidRDefault="003A2071" w:rsidP="00C5527E">
      <w:pPr>
        <w:ind w:left="360"/>
        <w:rPr>
          <w:lang w:eastAsia="zh-CN"/>
        </w:rPr>
      </w:pPr>
      <w:r>
        <w:rPr>
          <w:lang w:eastAsia="zh-CN"/>
        </w:rPr>
        <w:t>However b</w:t>
      </w:r>
      <w:r w:rsidR="00ED7623" w:rsidRPr="003A48CC">
        <w:rPr>
          <w:lang w:eastAsia="zh-CN"/>
        </w:rPr>
        <w:t xml:space="preserve">ased on the </w:t>
      </w:r>
      <w:r w:rsidR="00E413B9" w:rsidRPr="003A48CC">
        <w:rPr>
          <w:lang w:eastAsia="zh-CN"/>
        </w:rPr>
        <w:t xml:space="preserve">available </w:t>
      </w:r>
      <w:r w:rsidR="00ED7623" w:rsidRPr="003A48CC">
        <w:rPr>
          <w:lang w:eastAsia="zh-CN"/>
        </w:rPr>
        <w:t xml:space="preserve">information about the expected deployment scenarios </w:t>
      </w:r>
      <w:r w:rsidR="0042308B">
        <w:rPr>
          <w:lang w:eastAsia="zh-CN"/>
        </w:rPr>
        <w:t xml:space="preserve">for the IMT-2020 components, a deployment in urban areas was assumed. </w:t>
      </w:r>
    </w:p>
    <w:p w:rsidR="00820E43" w:rsidRDefault="00820E43" w:rsidP="00C5527E">
      <w:pPr>
        <w:ind w:left="360"/>
        <w:rPr>
          <w:lang w:eastAsia="zh-CN"/>
        </w:rPr>
      </w:pPr>
    </w:p>
    <w:p w:rsidR="00E36090" w:rsidRDefault="00C5527E" w:rsidP="00820E43">
      <w:pPr>
        <w:ind w:left="360"/>
        <w:rPr>
          <w:lang w:eastAsia="zh-CN"/>
        </w:rPr>
      </w:pPr>
      <w:r w:rsidRPr="00C5527E">
        <w:rPr>
          <w:lang w:eastAsia="zh-CN"/>
        </w:rPr>
        <w:t>The results and c</w:t>
      </w:r>
      <w:r w:rsidR="00C82AC9">
        <w:rPr>
          <w:lang w:eastAsia="zh-CN"/>
        </w:rPr>
        <w:t>onclusions of all</w:t>
      </w:r>
      <w:r w:rsidR="00A314B9">
        <w:rPr>
          <w:lang w:eastAsia="zh-CN"/>
        </w:rPr>
        <w:t xml:space="preserve"> studies were</w:t>
      </w:r>
      <w:r w:rsidRPr="00C5527E">
        <w:rPr>
          <w:lang w:eastAsia="zh-CN"/>
        </w:rPr>
        <w:t xml:space="preserve"> reflected in the </w:t>
      </w:r>
    </w:p>
    <w:p w:rsidR="00C5527E" w:rsidRDefault="00C5527E" w:rsidP="00820E43">
      <w:pPr>
        <w:ind w:left="360"/>
        <w:rPr>
          <w:b/>
          <w:lang w:eastAsia="zh-CN"/>
        </w:rPr>
      </w:pPr>
      <w:r w:rsidRPr="00C5527E">
        <w:rPr>
          <w:lang w:eastAsia="zh-CN"/>
        </w:rPr>
        <w:t>DRAFT NEW RESOLUTION [E113-IMT 70/80 GHZ] (WRC-19</w:t>
      </w:r>
      <w:proofErr w:type="gramStart"/>
      <w:r w:rsidRPr="00C5527E">
        <w:rPr>
          <w:lang w:eastAsia="zh-CN"/>
        </w:rPr>
        <w:t>)</w:t>
      </w:r>
      <w:r w:rsidRPr="00C5527E">
        <w:rPr>
          <w:b/>
          <w:lang w:eastAsia="zh-CN"/>
        </w:rPr>
        <w:t>Internati</w:t>
      </w:r>
      <w:r>
        <w:rPr>
          <w:b/>
          <w:lang w:eastAsia="zh-CN"/>
        </w:rPr>
        <w:t>onal</w:t>
      </w:r>
      <w:proofErr w:type="gramEnd"/>
      <w:r>
        <w:rPr>
          <w:b/>
          <w:lang w:eastAsia="zh-CN"/>
        </w:rPr>
        <w:t xml:space="preserve"> Mobile Telecommunications </w:t>
      </w:r>
      <w:r w:rsidRPr="00C5527E">
        <w:rPr>
          <w:b/>
          <w:lang w:eastAsia="zh-CN"/>
        </w:rPr>
        <w:t>in frequency bands 71-76 and 81-86 GHz</w:t>
      </w:r>
    </w:p>
    <w:p w:rsidR="008B41B9" w:rsidRPr="008B41B9" w:rsidRDefault="008B41B9" w:rsidP="00820E43">
      <w:pPr>
        <w:ind w:left="360"/>
        <w:rPr>
          <w:lang w:eastAsia="zh-CN"/>
        </w:rPr>
      </w:pPr>
      <w:r w:rsidRPr="008B41B9">
        <w:rPr>
          <w:lang w:eastAsia="zh-CN"/>
        </w:rPr>
        <w:t xml:space="preserve">(Draft CPM report chapter 2/1.13/5.13.6) </w:t>
      </w:r>
    </w:p>
    <w:p w:rsidR="00E24223" w:rsidRDefault="00E24223" w:rsidP="00B57200">
      <w:pPr>
        <w:ind w:firstLine="360"/>
        <w:rPr>
          <w:b/>
        </w:rPr>
      </w:pPr>
    </w:p>
    <w:p w:rsidR="00526351" w:rsidRPr="00EA25E5" w:rsidRDefault="0085654F" w:rsidP="00B57200">
      <w:pPr>
        <w:ind w:firstLine="360"/>
        <w:rPr>
          <w:b/>
        </w:rPr>
      </w:pPr>
      <w:r>
        <w:rPr>
          <w:b/>
        </w:rPr>
        <w:t>3.2</w:t>
      </w:r>
      <w:r>
        <w:rPr>
          <w:b/>
        </w:rPr>
        <w:tab/>
      </w:r>
      <w:r w:rsidR="00526351" w:rsidRPr="00EA25E5">
        <w:rPr>
          <w:b/>
        </w:rPr>
        <w:t xml:space="preserve">Introduction </w:t>
      </w:r>
      <w:r w:rsidR="00EA25E5" w:rsidRPr="00EA25E5">
        <w:rPr>
          <w:b/>
        </w:rPr>
        <w:t xml:space="preserve">to automotive radar sensors </w:t>
      </w:r>
    </w:p>
    <w:p w:rsidR="00526351" w:rsidRDefault="00526351" w:rsidP="00526351">
      <w:pPr>
        <w:pStyle w:val="ListParagraph"/>
      </w:pPr>
    </w:p>
    <w:p w:rsidR="00BC13F7" w:rsidRPr="00CC68D3" w:rsidRDefault="00BC13F7" w:rsidP="00B57200">
      <w:pPr>
        <w:ind w:left="360"/>
      </w:pPr>
      <w:r w:rsidRPr="00CC68D3">
        <w:t xml:space="preserve">Automotive radars are commercially available in vehicles since the early 2000s. In the beginning, these systems were providing assistive functions such as adaptive cruise control (ACC) and collision avoidance (CA). Due to price and availability, only </w:t>
      </w:r>
      <w:r>
        <w:t xml:space="preserve">a </w:t>
      </w:r>
      <w:r w:rsidRPr="00CC68D3">
        <w:t>few vehicles were equipped with radar sensors.</w:t>
      </w:r>
    </w:p>
    <w:p w:rsidR="00BC13F7" w:rsidRDefault="00BC13F7" w:rsidP="00B57200">
      <w:pPr>
        <w:ind w:left="360"/>
      </w:pPr>
      <w:r w:rsidRPr="00CC68D3">
        <w:t xml:space="preserve">The technology evolved since the introduction of automotive radars. Based on significant research efforts, it was possible to further integrate the hardware for automotive radars. This helped to increase the availability and lower the piece price for a unit. This lead since 2010 to a significant increase in the number of radar equipped vehicles. The development and implementation of new functions that add to the safety of both vehicle passengers and pedestrians require more radar sensors to be deployed per vehicle.  </w:t>
      </w:r>
    </w:p>
    <w:p w:rsidR="00753B99" w:rsidRDefault="00753B99" w:rsidP="0085654F"/>
    <w:p w:rsidR="00BC13F7" w:rsidRPr="0085654F" w:rsidRDefault="00526351" w:rsidP="0085654F">
      <w:pPr>
        <w:pStyle w:val="ListParagraph"/>
        <w:numPr>
          <w:ilvl w:val="1"/>
          <w:numId w:val="9"/>
        </w:numPr>
        <w:rPr>
          <w:b/>
        </w:rPr>
      </w:pPr>
      <w:r w:rsidRPr="0085654F">
        <w:rPr>
          <w:b/>
        </w:rPr>
        <w:t xml:space="preserve">Operational characteristics </w:t>
      </w:r>
      <w:r w:rsidR="0085654F" w:rsidRPr="0085654F">
        <w:rPr>
          <w:b/>
        </w:rPr>
        <w:t>of automotive radars</w:t>
      </w:r>
    </w:p>
    <w:p w:rsidR="0085654F" w:rsidRPr="0085654F" w:rsidRDefault="0085654F" w:rsidP="0085654F">
      <w:pPr>
        <w:pStyle w:val="ListParagraph"/>
        <w:rPr>
          <w:b/>
        </w:rPr>
      </w:pPr>
    </w:p>
    <w:p w:rsidR="00526351" w:rsidRPr="00F950FB" w:rsidRDefault="00526351" w:rsidP="00B57200">
      <w:pPr>
        <w:ind w:left="360"/>
      </w:pPr>
      <w:r w:rsidRPr="00F950FB">
        <w:t xml:space="preserve">With new radar based functions, today a vehicle is typically equipped with </w:t>
      </w:r>
      <w:r>
        <w:t>one</w:t>
      </w:r>
      <w:r w:rsidRPr="00F950FB">
        <w:t xml:space="preserve"> to </w:t>
      </w:r>
      <w:r>
        <w:t>three</w:t>
      </w:r>
      <w:r w:rsidRPr="00F950FB">
        <w:t xml:space="preserve"> radar sensors: one front facing, </w:t>
      </w:r>
      <w:r>
        <w:t>two</w:t>
      </w:r>
      <w:r w:rsidRPr="00F950FB">
        <w:t xml:space="preserve"> at each rear corner of the vehicle.</w:t>
      </w:r>
    </w:p>
    <w:p w:rsidR="00526351" w:rsidRPr="00F950FB" w:rsidRDefault="00526351" w:rsidP="00B57200">
      <w:pPr>
        <w:ind w:left="360"/>
      </w:pPr>
      <w:r w:rsidRPr="00F950FB">
        <w:t>In some vehicle implementations, the number will be even higher. Figure</w:t>
      </w:r>
      <w:r>
        <w:t xml:space="preserve"> 1</w:t>
      </w:r>
      <w:r w:rsidRPr="00F950FB">
        <w:t>, from Report ITU</w:t>
      </w:r>
      <w:r>
        <w:noBreakHyphen/>
      </w:r>
      <w:r w:rsidRPr="00F950FB">
        <w:t>R F.23</w:t>
      </w:r>
      <w:bookmarkStart w:id="0" w:name="_GoBack"/>
      <w:bookmarkEnd w:id="0"/>
      <w:r w:rsidRPr="00F950FB">
        <w:t>94, illustrates the deployment of the radar sensor in a vehicle.</w:t>
      </w:r>
    </w:p>
    <w:p w:rsidR="00526351" w:rsidRPr="00F950FB" w:rsidRDefault="00526351" w:rsidP="00B57200">
      <w:pPr>
        <w:pStyle w:val="FigureNo"/>
        <w:ind w:left="284"/>
      </w:pPr>
      <w:r w:rsidRPr="00F950FB">
        <w:lastRenderedPageBreak/>
        <w:t>FIGURE</w:t>
      </w:r>
      <w:r>
        <w:t xml:space="preserve"> 1</w:t>
      </w:r>
    </w:p>
    <w:p w:rsidR="00526351" w:rsidRPr="00F950FB" w:rsidRDefault="00526351" w:rsidP="00B57200">
      <w:pPr>
        <w:pStyle w:val="Figuretitle"/>
        <w:ind w:left="284"/>
      </w:pPr>
      <w:r w:rsidRPr="00F950FB">
        <w:t>Geometrical sketch of automotive radar antenna position and direction for one vehicle</w:t>
      </w:r>
      <w:r>
        <w:br/>
      </w:r>
      <w:r w:rsidRPr="00F950FB">
        <w:t xml:space="preserve"> </w:t>
      </w:r>
      <w:r>
        <w:t xml:space="preserve">(see </w:t>
      </w:r>
      <w:r w:rsidRPr="00F950FB">
        <w:t>Report ITU</w:t>
      </w:r>
      <w:r>
        <w:noBreakHyphen/>
      </w:r>
      <w:r w:rsidRPr="00F950FB">
        <w:t>R F.2394</w:t>
      </w:r>
      <w:r>
        <w:t>)</w:t>
      </w:r>
    </w:p>
    <w:p w:rsidR="00526351" w:rsidRPr="00F950FB" w:rsidRDefault="00526351" w:rsidP="00B57200">
      <w:pPr>
        <w:pStyle w:val="Figure"/>
        <w:ind w:left="284"/>
      </w:pPr>
      <w:r w:rsidRPr="00F950FB">
        <w:object w:dxaOrig="4148" w:dyaOrig="1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96.75pt" o:ole="">
            <v:imagedata r:id="rId9" o:title=""/>
          </v:shape>
          <o:OLEObject Type="Embed" ProgID="CorelDraw.Graphic.16" ShapeID="_x0000_i1025" DrawAspect="Content" ObjectID="_1607757858" r:id="rId10"/>
        </w:object>
      </w:r>
    </w:p>
    <w:p w:rsidR="00526351" w:rsidRPr="00F950FB" w:rsidRDefault="00526351" w:rsidP="00B57200">
      <w:pPr>
        <w:ind w:left="284"/>
      </w:pPr>
      <w:r w:rsidRPr="00F950FB">
        <w:t>For autonomous driving vehicles the number of radar sensors per v</w:t>
      </w:r>
      <w:r>
        <w:t>ehicle is estimated to be 12 to </w:t>
      </w:r>
      <w:r w:rsidRPr="00F950FB">
        <w:t>15.</w:t>
      </w:r>
    </w:p>
    <w:p w:rsidR="005D2382" w:rsidRDefault="00526351" w:rsidP="00B72A3C">
      <w:pPr>
        <w:ind w:left="284"/>
      </w:pPr>
      <w:r w:rsidRPr="00F950FB">
        <w:t>The new radar based functions provide additional safety features to the existing features in urban and suburban scenarios for the vehicle passengers and the surrounding Vulnerable Road users.</w:t>
      </w:r>
    </w:p>
    <w:p w:rsidR="005D2382" w:rsidRDefault="005D2382" w:rsidP="00B57200">
      <w:pPr>
        <w:ind w:left="284"/>
      </w:pPr>
    </w:p>
    <w:p w:rsidR="00526351" w:rsidRPr="00F950FB" w:rsidRDefault="00526351" w:rsidP="00B57200">
      <w:pPr>
        <w:ind w:left="284"/>
      </w:pPr>
      <w:r w:rsidRPr="00F950FB">
        <w:t xml:space="preserve"> The following non</w:t>
      </w:r>
      <w:r>
        <w:noBreakHyphen/>
      </w:r>
      <w:r w:rsidRPr="00F950FB">
        <w:t xml:space="preserve">exhaustive list shows examples for the radar based functions </w:t>
      </w:r>
    </w:p>
    <w:p w:rsidR="00526351" w:rsidRPr="00F950FB" w:rsidRDefault="00A851A9" w:rsidP="00B57200">
      <w:pPr>
        <w:pStyle w:val="enumlev1"/>
        <w:ind w:left="284"/>
      </w:pPr>
      <w:r>
        <w:tab/>
      </w:r>
      <w:r w:rsidR="00526351">
        <w:t>–</w:t>
      </w:r>
      <w:r w:rsidR="00526351">
        <w:tab/>
      </w:r>
      <w:r w:rsidR="00526351" w:rsidRPr="00F950FB">
        <w:t>Autonomous emergency braking in</w:t>
      </w:r>
      <w:r w:rsidR="00526351">
        <w:t xml:space="preserve"> urban and sub urban situations.</w:t>
      </w:r>
    </w:p>
    <w:p w:rsidR="00526351" w:rsidRPr="00F950FB" w:rsidRDefault="00A851A9" w:rsidP="00B57200">
      <w:pPr>
        <w:pStyle w:val="enumlev1"/>
        <w:ind w:left="284"/>
      </w:pPr>
      <w:r>
        <w:tab/>
      </w:r>
      <w:r w:rsidR="00526351">
        <w:t>–</w:t>
      </w:r>
      <w:r w:rsidR="00526351">
        <w:tab/>
      </w:r>
      <w:r w:rsidR="00526351" w:rsidRPr="00F950FB">
        <w:t xml:space="preserve">Lane keeping </w:t>
      </w:r>
      <w:r w:rsidR="00526351">
        <w:t>assist / lane departure warning.</w:t>
      </w:r>
    </w:p>
    <w:p w:rsidR="00526351" w:rsidRPr="00F950FB" w:rsidRDefault="00A851A9" w:rsidP="00B57200">
      <w:pPr>
        <w:pStyle w:val="enumlev1"/>
        <w:ind w:left="284"/>
      </w:pPr>
      <w:r>
        <w:tab/>
      </w:r>
      <w:r w:rsidR="00526351">
        <w:t>–</w:t>
      </w:r>
      <w:r w:rsidR="00526351">
        <w:tab/>
        <w:t>Pedestrian detection.</w:t>
      </w:r>
    </w:p>
    <w:p w:rsidR="00526351" w:rsidRPr="00F950FB" w:rsidRDefault="00A851A9" w:rsidP="00B57200">
      <w:pPr>
        <w:pStyle w:val="enumlev1"/>
        <w:ind w:left="284"/>
      </w:pPr>
      <w:r>
        <w:tab/>
      </w:r>
      <w:r w:rsidR="00526351">
        <w:t>–</w:t>
      </w:r>
      <w:r w:rsidR="00526351">
        <w:tab/>
        <w:t>Rear crash.</w:t>
      </w:r>
    </w:p>
    <w:p w:rsidR="00526351" w:rsidRPr="00F950FB" w:rsidRDefault="00A851A9" w:rsidP="00B57200">
      <w:pPr>
        <w:pStyle w:val="enumlev1"/>
        <w:ind w:left="284"/>
      </w:pPr>
      <w:r>
        <w:tab/>
      </w:r>
      <w:r w:rsidR="00526351">
        <w:t>–</w:t>
      </w:r>
      <w:r w:rsidR="00526351">
        <w:tab/>
        <w:t>Pre crash.</w:t>
      </w:r>
    </w:p>
    <w:p w:rsidR="0085654F" w:rsidRDefault="00A851A9" w:rsidP="005D2382">
      <w:pPr>
        <w:pStyle w:val="enumlev1"/>
        <w:ind w:left="284"/>
      </w:pPr>
      <w:r>
        <w:tab/>
      </w:r>
      <w:r w:rsidR="00526351">
        <w:t>–</w:t>
      </w:r>
      <w:r w:rsidR="00526351">
        <w:tab/>
        <w:t>Parking aid.</w:t>
      </w:r>
    </w:p>
    <w:p w:rsidR="0085654F" w:rsidRDefault="0085654F" w:rsidP="00753B99"/>
    <w:p w:rsidR="00BC13F7" w:rsidRDefault="0085654F" w:rsidP="00753B99">
      <w:pPr>
        <w:ind w:firstLine="284"/>
        <w:rPr>
          <w:b/>
        </w:rPr>
      </w:pPr>
      <w:r>
        <w:rPr>
          <w:b/>
        </w:rPr>
        <w:t>3.4</w:t>
      </w:r>
      <w:r>
        <w:rPr>
          <w:b/>
        </w:rPr>
        <w:tab/>
      </w:r>
      <w:r w:rsidR="00A851A9">
        <w:rPr>
          <w:b/>
        </w:rPr>
        <w:t xml:space="preserve">Autonomous driving vehicles </w:t>
      </w:r>
    </w:p>
    <w:p w:rsidR="00A851A9" w:rsidRPr="00A52E29" w:rsidRDefault="00A851A9" w:rsidP="00B57200">
      <w:pPr>
        <w:spacing w:before="240"/>
        <w:ind w:left="284"/>
        <w:rPr>
          <w:spacing w:val="-2"/>
        </w:rPr>
      </w:pPr>
      <w:r w:rsidRPr="00A52E29">
        <w:rPr>
          <w:spacing w:val="-2"/>
        </w:rPr>
        <w:t>For autonomous driving vehicles</w:t>
      </w:r>
      <w:r>
        <w:rPr>
          <w:spacing w:val="-2"/>
        </w:rPr>
        <w:t>,</w:t>
      </w:r>
      <w:r w:rsidRPr="00A52E29">
        <w:rPr>
          <w:spacing w:val="-2"/>
        </w:rPr>
        <w:t xml:space="preserve"> automotive radar is one of the three different independent sensor technologies for environment sensing. The other sensor technologies are LIDAR and video. An autonomous driving vehicle depends on the data from the </w:t>
      </w:r>
      <w:r>
        <w:rPr>
          <w:spacing w:val="-2"/>
        </w:rPr>
        <w:t>three</w:t>
      </w:r>
      <w:r w:rsidRPr="00A52E29">
        <w:rPr>
          <w:spacing w:val="-2"/>
        </w:rPr>
        <w:t xml:space="preserve"> sensor types, loss of the data from one sensor type cannot </w:t>
      </w:r>
      <w:r>
        <w:rPr>
          <w:spacing w:val="-2"/>
        </w:rPr>
        <w:t xml:space="preserve">be </w:t>
      </w:r>
      <w:r w:rsidRPr="00A52E29">
        <w:rPr>
          <w:spacing w:val="-2"/>
        </w:rPr>
        <w:t>compensated by another.</w:t>
      </w:r>
    </w:p>
    <w:p w:rsidR="00A851A9" w:rsidRPr="00A52E29" w:rsidRDefault="00A851A9" w:rsidP="00B57200">
      <w:pPr>
        <w:ind w:left="284"/>
        <w:rPr>
          <w:spacing w:val="-2"/>
        </w:rPr>
      </w:pPr>
      <w:r w:rsidRPr="00A52E29">
        <w:rPr>
          <w:spacing w:val="-2"/>
        </w:rPr>
        <w:t>For autonomous driving vehicles the number of radar sensors per vehicle is estimated to be typically 12 to 15. In fully autonomous driving vehicles the number of radars could be higher.</w:t>
      </w:r>
    </w:p>
    <w:p w:rsidR="00A851A9" w:rsidRPr="00A52E29" w:rsidRDefault="00A851A9" w:rsidP="00B57200">
      <w:pPr>
        <w:ind w:left="284"/>
        <w:rPr>
          <w:spacing w:val="-2"/>
        </w:rPr>
      </w:pPr>
      <w:r w:rsidRPr="00A52E29">
        <w:rPr>
          <w:spacing w:val="-2"/>
        </w:rPr>
        <w:t xml:space="preserve">In higher levels of automation, autonomous driving vehicles do </w:t>
      </w:r>
      <w:r>
        <w:rPr>
          <w:spacing w:val="-2"/>
        </w:rPr>
        <w:t>n</w:t>
      </w:r>
      <w:r w:rsidRPr="00A52E29">
        <w:rPr>
          <w:spacing w:val="-2"/>
        </w:rPr>
        <w:t xml:space="preserve">ot have elements like steering wheels and brake pedals where the driver could react when environment sensing of the vehicle would fail. </w:t>
      </w:r>
    </w:p>
    <w:p w:rsidR="00A851A9" w:rsidRDefault="00A851A9" w:rsidP="00B57200">
      <w:pPr>
        <w:ind w:left="284"/>
        <w:rPr>
          <w:b/>
        </w:rPr>
      </w:pPr>
    </w:p>
    <w:p w:rsidR="00B72A3C" w:rsidRDefault="00B72A3C" w:rsidP="00753B99">
      <w:pPr>
        <w:ind w:firstLine="284"/>
        <w:rPr>
          <w:b/>
        </w:rPr>
      </w:pPr>
    </w:p>
    <w:p w:rsidR="00B72A3C" w:rsidRDefault="00B72A3C" w:rsidP="00753B99">
      <w:pPr>
        <w:ind w:firstLine="284"/>
        <w:rPr>
          <w:b/>
        </w:rPr>
      </w:pPr>
    </w:p>
    <w:p w:rsidR="00B72A3C" w:rsidRDefault="00B72A3C" w:rsidP="00753B99">
      <w:pPr>
        <w:ind w:firstLine="284"/>
        <w:rPr>
          <w:b/>
        </w:rPr>
      </w:pPr>
    </w:p>
    <w:p w:rsidR="00B72A3C" w:rsidRDefault="00B72A3C" w:rsidP="00753B99">
      <w:pPr>
        <w:ind w:firstLine="284"/>
        <w:rPr>
          <w:b/>
        </w:rPr>
      </w:pPr>
    </w:p>
    <w:p w:rsidR="00B72A3C" w:rsidRDefault="00B72A3C" w:rsidP="00753B99">
      <w:pPr>
        <w:ind w:firstLine="284"/>
        <w:rPr>
          <w:b/>
        </w:rPr>
      </w:pPr>
    </w:p>
    <w:p w:rsidR="00B72A3C" w:rsidRDefault="00B72A3C" w:rsidP="00753B99">
      <w:pPr>
        <w:ind w:firstLine="284"/>
        <w:rPr>
          <w:b/>
        </w:rPr>
      </w:pPr>
    </w:p>
    <w:p w:rsidR="00B72A3C" w:rsidRDefault="00B72A3C" w:rsidP="00753B99">
      <w:pPr>
        <w:ind w:firstLine="284"/>
        <w:rPr>
          <w:b/>
        </w:rPr>
      </w:pPr>
    </w:p>
    <w:p w:rsidR="00B72A3C" w:rsidRDefault="00B72A3C" w:rsidP="00753B99">
      <w:pPr>
        <w:ind w:firstLine="284"/>
        <w:rPr>
          <w:b/>
        </w:rPr>
      </w:pPr>
    </w:p>
    <w:p w:rsidR="00B72A3C" w:rsidRDefault="00B72A3C" w:rsidP="00753B99">
      <w:pPr>
        <w:ind w:firstLine="284"/>
        <w:rPr>
          <w:b/>
        </w:rPr>
      </w:pPr>
    </w:p>
    <w:p w:rsidR="00B72A3C" w:rsidRDefault="00B72A3C" w:rsidP="00753B99">
      <w:pPr>
        <w:ind w:firstLine="284"/>
        <w:rPr>
          <w:b/>
        </w:rPr>
      </w:pPr>
    </w:p>
    <w:p w:rsidR="00B72A3C" w:rsidRDefault="00B72A3C" w:rsidP="00753B99">
      <w:pPr>
        <w:ind w:firstLine="284"/>
        <w:rPr>
          <w:b/>
        </w:rPr>
      </w:pPr>
    </w:p>
    <w:p w:rsidR="00B72A3C" w:rsidRDefault="00B72A3C" w:rsidP="00753B99">
      <w:pPr>
        <w:ind w:firstLine="284"/>
        <w:rPr>
          <w:b/>
        </w:rPr>
      </w:pPr>
    </w:p>
    <w:p w:rsidR="00A851A9" w:rsidRDefault="0085654F" w:rsidP="00753B99">
      <w:pPr>
        <w:ind w:firstLine="284"/>
        <w:rPr>
          <w:b/>
        </w:rPr>
      </w:pPr>
      <w:r>
        <w:rPr>
          <w:b/>
        </w:rPr>
        <w:lastRenderedPageBreak/>
        <w:t>3.5</w:t>
      </w:r>
      <w:r>
        <w:rPr>
          <w:b/>
        </w:rPr>
        <w:tab/>
      </w:r>
      <w:r w:rsidR="00A851A9">
        <w:rPr>
          <w:b/>
        </w:rPr>
        <w:t xml:space="preserve">Technical characteristics of automotive radars </w:t>
      </w:r>
    </w:p>
    <w:p w:rsidR="00753B99" w:rsidRPr="00A851A9" w:rsidRDefault="00753B99" w:rsidP="00753B99">
      <w:pPr>
        <w:ind w:firstLine="284"/>
        <w:rPr>
          <w:b/>
        </w:rPr>
      </w:pPr>
    </w:p>
    <w:p w:rsidR="00167428" w:rsidRDefault="00167428" w:rsidP="00B57200">
      <w:pPr>
        <w:ind w:left="284"/>
      </w:pPr>
      <w:r w:rsidRPr="00A52E29">
        <w:t xml:space="preserve">Automotive radar sensors are operational when the vehicle is in operation. Data is continuously acquired and stored. The function of the automotive radar sensor is </w:t>
      </w:r>
      <w:r>
        <w:t xml:space="preserve">always </w:t>
      </w:r>
      <w:r w:rsidRPr="00A52E29">
        <w:t xml:space="preserve">active independent of the vehicle speed. </w:t>
      </w:r>
    </w:p>
    <w:p w:rsidR="00167428" w:rsidRPr="00A52E29" w:rsidRDefault="00167428" w:rsidP="00B57200">
      <w:pPr>
        <w:ind w:left="284"/>
      </w:pPr>
      <w:r>
        <w:t xml:space="preserve">Automotive radars are designed for operation in a dynamic environment, since the vehicle is moving on the roads at various speeds. Depending on the road the environment for the radar varies. </w:t>
      </w:r>
    </w:p>
    <w:p w:rsidR="00167428" w:rsidRPr="00A52E29" w:rsidRDefault="00167428" w:rsidP="00B57200">
      <w:pPr>
        <w:ind w:left="284"/>
      </w:pPr>
      <w:r w:rsidRPr="00A52E29">
        <w:t>Automotive radars are designed for operating and providing full functionality in their operating environment. The design takes into account effects like e</w:t>
      </w:r>
      <w:r>
        <w:t>.</w:t>
      </w:r>
      <w:r w:rsidRPr="00A52E29">
        <w:t>g</w:t>
      </w:r>
      <w:r>
        <w:t>.</w:t>
      </w:r>
      <w:r w:rsidRPr="00A52E29">
        <w:t xml:space="preserve"> rain, snow and clutter. </w:t>
      </w:r>
    </w:p>
    <w:p w:rsidR="00167428" w:rsidRPr="00A52E29" w:rsidRDefault="00167428" w:rsidP="00B57200">
      <w:pPr>
        <w:ind w:left="284"/>
      </w:pPr>
      <w:r w:rsidRPr="00A52E29">
        <w:t>Automotive radars are designed for operation in the presence of the signals from other automotive radar sensors in the same frequency band.</w:t>
      </w:r>
    </w:p>
    <w:p w:rsidR="00167428" w:rsidRPr="00A52E29" w:rsidRDefault="00167428" w:rsidP="00B57200">
      <w:pPr>
        <w:ind w:left="284"/>
      </w:pPr>
      <w:r w:rsidRPr="00A52E29">
        <w:t>Additional interference sources reduce the measurement range for the automotive radar sensor and will therefore lead to a degradation or unavailability of the radar functions.</w:t>
      </w:r>
    </w:p>
    <w:p w:rsidR="00BC13F7" w:rsidRPr="00877863" w:rsidRDefault="00BC13F7" w:rsidP="00B57200">
      <w:pPr>
        <w:ind w:left="284"/>
      </w:pPr>
    </w:p>
    <w:p w:rsidR="001D6893" w:rsidRDefault="001D6893" w:rsidP="00C357AD">
      <w:pPr>
        <w:jc w:val="center"/>
        <w:rPr>
          <w:b/>
        </w:rPr>
      </w:pPr>
    </w:p>
    <w:p w:rsidR="00C357AD" w:rsidRDefault="00C357AD" w:rsidP="00C357AD">
      <w:pPr>
        <w:jc w:val="both"/>
        <w:rPr>
          <w:b/>
        </w:rPr>
      </w:pPr>
    </w:p>
    <w:p w:rsidR="001174B7" w:rsidRDefault="001174B7" w:rsidP="001174B7">
      <w:pPr>
        <w:jc w:val="both"/>
        <w:rPr>
          <w:b/>
        </w:rPr>
      </w:pPr>
    </w:p>
    <w:p w:rsidR="001174B7" w:rsidRDefault="001174B7" w:rsidP="001174B7">
      <w:pPr>
        <w:jc w:val="both"/>
        <w:rPr>
          <w:b/>
        </w:rPr>
      </w:pPr>
    </w:p>
    <w:p w:rsidR="001174B7" w:rsidRDefault="001174B7" w:rsidP="001174B7">
      <w:pPr>
        <w:jc w:val="both"/>
        <w:rPr>
          <w:b/>
        </w:rPr>
      </w:pPr>
    </w:p>
    <w:p w:rsidR="00F17B0A" w:rsidRDefault="00C357AD" w:rsidP="009A4A6D">
      <w:pPr>
        <w:jc w:val="center"/>
        <w:rPr>
          <w:snapToGrid w:val="0"/>
        </w:rPr>
      </w:pPr>
      <w:r>
        <w:t>____________</w:t>
      </w:r>
    </w:p>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Pr="00F17B0A" w:rsidRDefault="00F17B0A" w:rsidP="00F17B0A"/>
    <w:p w:rsidR="00F17B0A" w:rsidRDefault="00F17B0A" w:rsidP="00F17B0A"/>
    <w:p w:rsidR="00F17B0A" w:rsidRPr="00F17B0A" w:rsidRDefault="00F17B0A" w:rsidP="00F17B0A"/>
    <w:p w:rsidR="00F17B0A" w:rsidRDefault="00F17B0A" w:rsidP="00F17B0A"/>
    <w:p w:rsidR="00DA7595" w:rsidRDefault="00F17B0A" w:rsidP="00F17B0A">
      <w:pPr>
        <w:tabs>
          <w:tab w:val="left" w:pos="3540"/>
        </w:tabs>
      </w:pPr>
      <w:r>
        <w:tab/>
      </w:r>
    </w:p>
    <w:p w:rsidR="00F17B0A" w:rsidRDefault="00F17B0A" w:rsidP="00F17B0A">
      <w:pPr>
        <w:tabs>
          <w:tab w:val="left" w:pos="3540"/>
        </w:tabs>
      </w:pPr>
    </w:p>
    <w:sectPr w:rsidR="00F17B0A" w:rsidSect="00DB0A68">
      <w:headerReference w:type="default" r:id="rId11"/>
      <w:footerReference w:type="even" r:id="rId12"/>
      <w:footerReference w:type="default" r:id="rId13"/>
      <w:footerReference w:type="first" r:id="rId14"/>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1BB" w:rsidRDefault="006341BB">
      <w:r>
        <w:separator/>
      </w:r>
    </w:p>
  </w:endnote>
  <w:endnote w:type="continuationSeparator" w:id="0">
    <w:p w:rsidR="006341BB" w:rsidRDefault="0063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F17B0A" w:rsidP="00F17B0A">
    <w:pPr>
      <w:pStyle w:val="Footer"/>
      <w:ind w:right="360"/>
    </w:pPr>
    <w:r>
      <w:rPr>
        <w:rFonts w:hint="eastAsia"/>
        <w:lang w:eastAsia="ko-KR"/>
      </w:rPr>
      <w:t>A</w:t>
    </w:r>
    <w:r>
      <w:rPr>
        <w:lang w:eastAsia="ko-KR"/>
      </w:rPr>
      <w:t>PG19</w:t>
    </w:r>
    <w:r>
      <w:rPr>
        <w:rFonts w:hint="eastAsia"/>
        <w:lang w:eastAsia="ko-KR"/>
      </w:rPr>
      <w:t>-</w:t>
    </w:r>
    <w:r w:rsidR="00EB7E2E">
      <w:rPr>
        <w:lang w:eastAsia="ko-KR"/>
      </w:rPr>
      <w:t>4</w:t>
    </w:r>
    <w:r>
      <w:rPr>
        <w:rFonts w:hint="eastAsia"/>
        <w:lang w:eastAsia="ko-KR"/>
      </w:rPr>
      <w:t>/</w:t>
    </w:r>
    <w:r>
      <w:rPr>
        <w:lang w:eastAsia="ko-KR"/>
      </w:rPr>
      <w:t>IN</w:t>
    </w:r>
    <w:r w:rsidR="005C49DD">
      <w:rPr>
        <w:lang w:eastAsia="ko-KR"/>
      </w:rPr>
      <w:t>F-13</w:t>
    </w:r>
    <w:r w:rsidRPr="002C7EA9">
      <w:rPr>
        <w:rStyle w:val="PageNumber"/>
      </w:rPr>
      <w:t xml:space="preserve"> </w:t>
    </w:r>
    <w:r>
      <w:rPr>
        <w:rStyle w:val="PageNumber"/>
      </w:rPr>
      <w:tab/>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5C49DD">
      <w:rPr>
        <w:rStyle w:val="PageNumber"/>
        <w:noProof/>
      </w:rPr>
      <w:t>4</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5C49DD">
      <w:rPr>
        <w:rStyle w:val="PageNumber"/>
        <w:noProof/>
      </w:rPr>
      <w:t>4</w:t>
    </w:r>
    <w:r w:rsidR="002C7EA9"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Pr="00155F6B" w:rsidRDefault="0097693B" w:rsidP="00762576">
          <w:pPr>
            <w:rPr>
              <w:b/>
              <w:bCs/>
            </w:rPr>
          </w:pPr>
          <w:r w:rsidRPr="00155F6B">
            <w:rPr>
              <w:b/>
              <w:bCs/>
            </w:rPr>
            <w:t>Contact:</w:t>
          </w:r>
        </w:p>
      </w:tc>
      <w:tc>
        <w:tcPr>
          <w:tcW w:w="4394" w:type="dxa"/>
          <w:tcBorders>
            <w:top w:val="single" w:sz="12" w:space="0" w:color="auto"/>
          </w:tcBorders>
        </w:tcPr>
        <w:p w:rsidR="0097693B" w:rsidRPr="00155F6B" w:rsidRDefault="0097693B" w:rsidP="00762576">
          <w:pPr>
            <w:pStyle w:val="Equation"/>
            <w:tabs>
              <w:tab w:val="clear" w:pos="4820"/>
              <w:tab w:val="clear" w:pos="9639"/>
              <w:tab w:val="left" w:pos="1191"/>
              <w:tab w:val="left" w:pos="1588"/>
              <w:tab w:val="left" w:pos="1985"/>
            </w:tabs>
            <w:spacing w:beforeLines="0" w:before="0"/>
            <w:rPr>
              <w:rFonts w:eastAsia="Batang"/>
              <w:szCs w:val="24"/>
              <w:lang w:eastAsia="ko-KR"/>
            </w:rPr>
          </w:pPr>
          <w:r w:rsidRPr="00155F6B">
            <w:rPr>
              <w:rFonts w:eastAsia="Batang" w:hint="eastAsia"/>
              <w:szCs w:val="24"/>
              <w:lang w:eastAsia="ko-KR"/>
            </w:rPr>
            <w:t>NAME</w:t>
          </w:r>
          <w:r w:rsidRPr="00155F6B">
            <w:rPr>
              <w:rFonts w:eastAsia="Batang"/>
              <w:szCs w:val="24"/>
              <w:lang w:eastAsia="ko-KR"/>
            </w:rPr>
            <w:t xml:space="preserve"> (In CAPITAL Letters)</w:t>
          </w:r>
        </w:p>
        <w:p w:rsidR="0097693B" w:rsidRPr="00155F6B" w:rsidRDefault="0097693B" w:rsidP="00155F6B">
          <w:pPr>
            <w:pStyle w:val="Equation"/>
            <w:tabs>
              <w:tab w:val="clear" w:pos="4820"/>
              <w:tab w:val="clear" w:pos="9639"/>
              <w:tab w:val="left" w:pos="1191"/>
              <w:tab w:val="left" w:pos="1588"/>
              <w:tab w:val="left" w:pos="1985"/>
            </w:tabs>
            <w:spacing w:beforeLines="0" w:before="0"/>
            <w:rPr>
              <w:rFonts w:eastAsia="Batang"/>
              <w:szCs w:val="24"/>
            </w:rPr>
          </w:pPr>
          <w:r w:rsidRPr="00155F6B">
            <w:rPr>
              <w:rFonts w:eastAsia="Batang" w:hint="eastAsia"/>
              <w:szCs w:val="24"/>
              <w:lang w:eastAsia="ko-KR"/>
            </w:rPr>
            <w:t>Organization, Country</w:t>
          </w:r>
        </w:p>
      </w:tc>
      <w:tc>
        <w:tcPr>
          <w:tcW w:w="3912" w:type="dxa"/>
          <w:tcBorders>
            <w:top w:val="single" w:sz="12" w:space="0" w:color="auto"/>
          </w:tcBorders>
        </w:tcPr>
        <w:p w:rsidR="0097693B" w:rsidRPr="00155F6B" w:rsidRDefault="0097693B" w:rsidP="00762576">
          <w:pPr>
            <w:rPr>
              <w:lang w:eastAsia="ja-JP"/>
            </w:rPr>
          </w:pPr>
          <w:r w:rsidRPr="00155F6B">
            <w:t>Email</w:t>
          </w:r>
          <w:r w:rsidRPr="00155F6B">
            <w:rPr>
              <w:rFonts w:hint="eastAsia"/>
            </w:rPr>
            <w:t xml:space="preserve">: </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1BB" w:rsidRDefault="006341BB">
      <w:r>
        <w:separator/>
      </w:r>
    </w:p>
  </w:footnote>
  <w:footnote w:type="continuationSeparator" w:id="0">
    <w:p w:rsidR="006341BB" w:rsidRDefault="00634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C15633">
    <w:pPr>
      <w:pStyle w:val="Header"/>
      <w:tabs>
        <w:tab w:val="center" w:pos="4763"/>
        <w:tab w:val="left" w:pos="5820"/>
      </w:tabs>
      <w:rPr>
        <w:lang w:eastAsia="ko-KR"/>
      </w:rPr>
    </w:pPr>
    <w:r>
      <w:rPr>
        <w:lang w:eastAsia="ko-KR"/>
      </w:rPr>
      <w:tab/>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414B2383"/>
    <w:multiLevelType w:val="multilevel"/>
    <w:tmpl w:val="7F1491F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5"/>
  </w:num>
  <w:num w:numId="2">
    <w:abstractNumId w:val="3"/>
  </w:num>
  <w:num w:numId="3">
    <w:abstractNumId w:val="2"/>
  </w:num>
  <w:num w:numId="4">
    <w:abstractNumId w:val="8"/>
  </w:num>
  <w:num w:numId="5">
    <w:abstractNumId w:val="4"/>
  </w:num>
  <w:num w:numId="6">
    <w:abstractNumId w:val="6"/>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3403E"/>
    <w:rsid w:val="0003595B"/>
    <w:rsid w:val="000529AB"/>
    <w:rsid w:val="000713CF"/>
    <w:rsid w:val="00096326"/>
    <w:rsid w:val="000A47FB"/>
    <w:rsid w:val="000A5418"/>
    <w:rsid w:val="000A5C23"/>
    <w:rsid w:val="000F517C"/>
    <w:rsid w:val="000F5540"/>
    <w:rsid w:val="0011047A"/>
    <w:rsid w:val="001174B7"/>
    <w:rsid w:val="00121915"/>
    <w:rsid w:val="001539DD"/>
    <w:rsid w:val="00155F6B"/>
    <w:rsid w:val="00167428"/>
    <w:rsid w:val="00176719"/>
    <w:rsid w:val="00186E00"/>
    <w:rsid w:val="00196568"/>
    <w:rsid w:val="001A2F16"/>
    <w:rsid w:val="001B18C2"/>
    <w:rsid w:val="001D4D47"/>
    <w:rsid w:val="001D5D7E"/>
    <w:rsid w:val="001D6893"/>
    <w:rsid w:val="00206F67"/>
    <w:rsid w:val="00253035"/>
    <w:rsid w:val="00254A1B"/>
    <w:rsid w:val="0028454D"/>
    <w:rsid w:val="00291C9E"/>
    <w:rsid w:val="002926D4"/>
    <w:rsid w:val="002A304E"/>
    <w:rsid w:val="002C07DA"/>
    <w:rsid w:val="002C7EA9"/>
    <w:rsid w:val="00320F39"/>
    <w:rsid w:val="00342F20"/>
    <w:rsid w:val="00371351"/>
    <w:rsid w:val="003809C7"/>
    <w:rsid w:val="003A2071"/>
    <w:rsid w:val="003B6263"/>
    <w:rsid w:val="003C64A7"/>
    <w:rsid w:val="003D3FDA"/>
    <w:rsid w:val="003D7B4A"/>
    <w:rsid w:val="00415EBF"/>
    <w:rsid w:val="00420822"/>
    <w:rsid w:val="0042308B"/>
    <w:rsid w:val="0045458F"/>
    <w:rsid w:val="004633B4"/>
    <w:rsid w:val="00467F7A"/>
    <w:rsid w:val="00490FB9"/>
    <w:rsid w:val="00491255"/>
    <w:rsid w:val="00495392"/>
    <w:rsid w:val="004B3553"/>
    <w:rsid w:val="004F6C66"/>
    <w:rsid w:val="00526351"/>
    <w:rsid w:val="00530E8C"/>
    <w:rsid w:val="00545933"/>
    <w:rsid w:val="00557544"/>
    <w:rsid w:val="0056594E"/>
    <w:rsid w:val="005800F1"/>
    <w:rsid w:val="00583665"/>
    <w:rsid w:val="00587875"/>
    <w:rsid w:val="005979DE"/>
    <w:rsid w:val="005C49DD"/>
    <w:rsid w:val="005D2382"/>
    <w:rsid w:val="005E61B5"/>
    <w:rsid w:val="00607E2B"/>
    <w:rsid w:val="006139D6"/>
    <w:rsid w:val="00623CE1"/>
    <w:rsid w:val="0063062B"/>
    <w:rsid w:val="006341BB"/>
    <w:rsid w:val="0064445E"/>
    <w:rsid w:val="00656AD1"/>
    <w:rsid w:val="00667229"/>
    <w:rsid w:val="006817E6"/>
    <w:rsid w:val="00682BE5"/>
    <w:rsid w:val="00690FED"/>
    <w:rsid w:val="006939A5"/>
    <w:rsid w:val="006A64A9"/>
    <w:rsid w:val="00712451"/>
    <w:rsid w:val="00731041"/>
    <w:rsid w:val="00732F08"/>
    <w:rsid w:val="00736B68"/>
    <w:rsid w:val="0074190C"/>
    <w:rsid w:val="00753B99"/>
    <w:rsid w:val="007614B7"/>
    <w:rsid w:val="00762576"/>
    <w:rsid w:val="00770434"/>
    <w:rsid w:val="00776247"/>
    <w:rsid w:val="00791060"/>
    <w:rsid w:val="007B3BE1"/>
    <w:rsid w:val="007B5626"/>
    <w:rsid w:val="007C42FB"/>
    <w:rsid w:val="007C70AA"/>
    <w:rsid w:val="007D1B34"/>
    <w:rsid w:val="007E6D51"/>
    <w:rsid w:val="0080570B"/>
    <w:rsid w:val="008148E1"/>
    <w:rsid w:val="00820E43"/>
    <w:rsid w:val="008319BF"/>
    <w:rsid w:val="00841026"/>
    <w:rsid w:val="0085654F"/>
    <w:rsid w:val="008710ED"/>
    <w:rsid w:val="008773ED"/>
    <w:rsid w:val="00877863"/>
    <w:rsid w:val="00885E14"/>
    <w:rsid w:val="00887D17"/>
    <w:rsid w:val="008904F6"/>
    <w:rsid w:val="008961A5"/>
    <w:rsid w:val="008A2FE4"/>
    <w:rsid w:val="008B41B9"/>
    <w:rsid w:val="008D0E09"/>
    <w:rsid w:val="008F1E81"/>
    <w:rsid w:val="00917DB8"/>
    <w:rsid w:val="009630F7"/>
    <w:rsid w:val="00966723"/>
    <w:rsid w:val="0097693B"/>
    <w:rsid w:val="00992E92"/>
    <w:rsid w:val="00993355"/>
    <w:rsid w:val="009A4A6D"/>
    <w:rsid w:val="009A5661"/>
    <w:rsid w:val="009A60BF"/>
    <w:rsid w:val="00A024FC"/>
    <w:rsid w:val="00A13265"/>
    <w:rsid w:val="00A14E9E"/>
    <w:rsid w:val="00A314B9"/>
    <w:rsid w:val="00A71136"/>
    <w:rsid w:val="00A851A9"/>
    <w:rsid w:val="00AA249D"/>
    <w:rsid w:val="00AA474C"/>
    <w:rsid w:val="00AD6AD9"/>
    <w:rsid w:val="00AD7E5F"/>
    <w:rsid w:val="00B01AA1"/>
    <w:rsid w:val="00B04DDE"/>
    <w:rsid w:val="00B10CE9"/>
    <w:rsid w:val="00B30C81"/>
    <w:rsid w:val="00B4793B"/>
    <w:rsid w:val="00B57200"/>
    <w:rsid w:val="00B72A3C"/>
    <w:rsid w:val="00BB44F8"/>
    <w:rsid w:val="00BC13F7"/>
    <w:rsid w:val="00BF5865"/>
    <w:rsid w:val="00C1436C"/>
    <w:rsid w:val="00C15633"/>
    <w:rsid w:val="00C15799"/>
    <w:rsid w:val="00C357AD"/>
    <w:rsid w:val="00C37C24"/>
    <w:rsid w:val="00C464F6"/>
    <w:rsid w:val="00C5527E"/>
    <w:rsid w:val="00C6069C"/>
    <w:rsid w:val="00C675B9"/>
    <w:rsid w:val="00C82AC9"/>
    <w:rsid w:val="00C85119"/>
    <w:rsid w:val="00CB0049"/>
    <w:rsid w:val="00CB2FB9"/>
    <w:rsid w:val="00CD5431"/>
    <w:rsid w:val="00CF2491"/>
    <w:rsid w:val="00D1252E"/>
    <w:rsid w:val="00D57772"/>
    <w:rsid w:val="00D72AE3"/>
    <w:rsid w:val="00D75A4D"/>
    <w:rsid w:val="00D82148"/>
    <w:rsid w:val="00D8478B"/>
    <w:rsid w:val="00D86151"/>
    <w:rsid w:val="00DA6300"/>
    <w:rsid w:val="00DA7595"/>
    <w:rsid w:val="00DB0A68"/>
    <w:rsid w:val="00DC43A3"/>
    <w:rsid w:val="00DD2145"/>
    <w:rsid w:val="00DD7C09"/>
    <w:rsid w:val="00DE6EA4"/>
    <w:rsid w:val="00DF2B61"/>
    <w:rsid w:val="00E009FC"/>
    <w:rsid w:val="00E0124F"/>
    <w:rsid w:val="00E101B3"/>
    <w:rsid w:val="00E24223"/>
    <w:rsid w:val="00E27767"/>
    <w:rsid w:val="00E36090"/>
    <w:rsid w:val="00E413B9"/>
    <w:rsid w:val="00E674D3"/>
    <w:rsid w:val="00E70FD0"/>
    <w:rsid w:val="00EA25E5"/>
    <w:rsid w:val="00EB7E2E"/>
    <w:rsid w:val="00ED7623"/>
    <w:rsid w:val="00EE3D9D"/>
    <w:rsid w:val="00EF3794"/>
    <w:rsid w:val="00EF676B"/>
    <w:rsid w:val="00F17B0A"/>
    <w:rsid w:val="00F208E5"/>
    <w:rsid w:val="00F37BD3"/>
    <w:rsid w:val="00F83053"/>
    <w:rsid w:val="00F84067"/>
    <w:rsid w:val="00FE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1A95EF-6810-4CB2-B858-8E49C26C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styleId="Hyperlink">
    <w:name w:val="Hyperlink"/>
    <w:basedOn w:val="DefaultParagraphFont"/>
    <w:uiPriority w:val="99"/>
    <w:semiHidden/>
    <w:unhideWhenUsed/>
    <w:rsid w:val="00C37C24"/>
    <w:rPr>
      <w:color w:val="0000FF"/>
      <w:u w:val="single"/>
    </w:rPr>
  </w:style>
  <w:style w:type="paragraph" w:styleId="ListParagraph">
    <w:name w:val="List Paragraph"/>
    <w:basedOn w:val="Normal"/>
    <w:uiPriority w:val="34"/>
    <w:qFormat/>
    <w:rsid w:val="001D6893"/>
    <w:pPr>
      <w:ind w:left="720"/>
      <w:contextualSpacing/>
    </w:pPr>
  </w:style>
  <w:style w:type="paragraph" w:customStyle="1" w:styleId="enumlev1">
    <w:name w:val="enumlev1"/>
    <w:basedOn w:val="Normal"/>
    <w:link w:val="enumlev1Char"/>
    <w:qFormat/>
    <w:rsid w:val="00526351"/>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character" w:customStyle="1" w:styleId="enumlev1Char">
    <w:name w:val="enumlev1 Char"/>
    <w:link w:val="enumlev1"/>
    <w:locked/>
    <w:rsid w:val="00526351"/>
    <w:rPr>
      <w:rFonts w:eastAsia="Times New Roman"/>
      <w:sz w:val="24"/>
      <w:lang w:val="en-GB"/>
    </w:rPr>
  </w:style>
  <w:style w:type="paragraph" w:customStyle="1" w:styleId="FigureNo">
    <w:name w:val="Figure_No"/>
    <w:basedOn w:val="Normal"/>
    <w:next w:val="Normal"/>
    <w:link w:val="FigureNoChar1"/>
    <w:rsid w:val="0052635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szCs w:val="20"/>
      <w:lang w:val="en-GB"/>
    </w:rPr>
  </w:style>
  <w:style w:type="character" w:customStyle="1" w:styleId="FigureNoChar1">
    <w:name w:val="Figure_No Char1"/>
    <w:link w:val="FigureNo"/>
    <w:rsid w:val="00526351"/>
    <w:rPr>
      <w:rFonts w:eastAsia="Times New Roman"/>
      <w:caps/>
      <w:lang w:val="en-GB"/>
    </w:rPr>
  </w:style>
  <w:style w:type="paragraph" w:customStyle="1" w:styleId="Figure">
    <w:name w:val="Figure"/>
    <w:basedOn w:val="Normal"/>
    <w:next w:val="Normal"/>
    <w:link w:val="FigureChar"/>
    <w:rsid w:val="00526351"/>
    <w:pPr>
      <w:keepNext/>
      <w:keepLines/>
      <w:tabs>
        <w:tab w:val="left" w:pos="1134"/>
        <w:tab w:val="left" w:pos="1871"/>
        <w:tab w:val="left" w:pos="2268"/>
      </w:tabs>
      <w:overflowPunct w:val="0"/>
      <w:autoSpaceDE w:val="0"/>
      <w:autoSpaceDN w:val="0"/>
      <w:adjustRightInd w:val="0"/>
      <w:spacing w:before="120"/>
      <w:jc w:val="center"/>
      <w:textAlignment w:val="baseline"/>
    </w:pPr>
    <w:rPr>
      <w:rFonts w:eastAsia="Times New Roman"/>
      <w:szCs w:val="20"/>
      <w:lang w:val="en-GB"/>
    </w:rPr>
  </w:style>
  <w:style w:type="character" w:customStyle="1" w:styleId="FigureChar">
    <w:name w:val="Figure Char"/>
    <w:link w:val="Figure"/>
    <w:rsid w:val="00526351"/>
    <w:rPr>
      <w:rFonts w:eastAsia="Times New Roman"/>
      <w:sz w:val="24"/>
      <w:lang w:val="en-GB"/>
    </w:rPr>
  </w:style>
  <w:style w:type="paragraph" w:customStyle="1" w:styleId="Figuretitle">
    <w:name w:val="Figure_title"/>
    <w:basedOn w:val="Normal"/>
    <w:next w:val="Normal"/>
    <w:link w:val="FiguretitleChar"/>
    <w:rsid w:val="0052635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sz w:val="20"/>
      <w:szCs w:val="20"/>
      <w:lang w:val="en-GB"/>
    </w:rPr>
  </w:style>
  <w:style w:type="character" w:customStyle="1" w:styleId="FiguretitleChar">
    <w:name w:val="Figure_title Char"/>
    <w:link w:val="Figuretitle"/>
    <w:locked/>
    <w:rsid w:val="00526351"/>
    <w:rPr>
      <w:rFonts w:ascii="Times New Roman Bold" w:eastAsia="Times New Roman" w:hAnsi="Times New Roman Bold"/>
      <w:b/>
      <w:lang w:val="en-GB"/>
    </w:rPr>
  </w:style>
  <w:style w:type="paragraph" w:customStyle="1" w:styleId="Tabletext">
    <w:name w:val="Table_text"/>
    <w:basedOn w:val="Normal"/>
    <w:link w:val="TabletextChar"/>
    <w:qFormat/>
    <w:rsid w:val="008961A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szCs w:val="20"/>
      <w:lang w:val="en-GB"/>
    </w:rPr>
  </w:style>
  <w:style w:type="character" w:customStyle="1" w:styleId="TabletextChar">
    <w:name w:val="Table_text Char"/>
    <w:basedOn w:val="DefaultParagraphFont"/>
    <w:link w:val="Tabletext"/>
    <w:qFormat/>
    <w:rsid w:val="008961A5"/>
    <w:rPr>
      <w:rFonts w:eastAsia="Times New Roman"/>
      <w:lang w:val="en-GB"/>
    </w:rPr>
  </w:style>
  <w:style w:type="paragraph" w:customStyle="1" w:styleId="ResNo">
    <w:name w:val="Res_No"/>
    <w:basedOn w:val="Normal"/>
    <w:next w:val="Normal"/>
    <w:link w:val="ResNoChar"/>
    <w:qFormat/>
    <w:rsid w:val="00C5527E"/>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Restitle">
    <w:name w:val="Res_title"/>
    <w:basedOn w:val="Normal"/>
    <w:next w:val="Normal"/>
    <w:link w:val="RestitleChar"/>
    <w:qFormat/>
    <w:rsid w:val="00C5527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val="en-GB"/>
    </w:rPr>
  </w:style>
  <w:style w:type="character" w:customStyle="1" w:styleId="ResNoChar">
    <w:name w:val="Res_No Char"/>
    <w:basedOn w:val="DefaultParagraphFont"/>
    <w:link w:val="ResNo"/>
    <w:qFormat/>
    <w:rsid w:val="00C5527E"/>
    <w:rPr>
      <w:rFonts w:eastAsia="Times New Roman"/>
      <w:caps/>
      <w:sz w:val="28"/>
      <w:lang w:val="en-GB"/>
    </w:rPr>
  </w:style>
  <w:style w:type="character" w:customStyle="1" w:styleId="RestitleChar">
    <w:name w:val="Res_title Char"/>
    <w:link w:val="Restitle"/>
    <w:qFormat/>
    <w:rsid w:val="00C5527E"/>
    <w:rPr>
      <w:rFonts w:ascii="Times New Roman Bold" w:eastAsia="Times New Roman"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ch.com.s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APT Secretariat</cp:lastModifiedBy>
  <cp:revision>88</cp:revision>
  <cp:lastPrinted>2004-07-28T02:14:00Z</cp:lastPrinted>
  <dcterms:created xsi:type="dcterms:W3CDTF">2018-12-29T18:29:00Z</dcterms:created>
  <dcterms:modified xsi:type="dcterms:W3CDTF">2018-12-31T03:38:00Z</dcterms:modified>
</cp:coreProperties>
</file>