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91D0B" w:rsidTr="00096326">
        <w:trPr>
          <w:cantSplit/>
        </w:trPr>
        <w:tc>
          <w:tcPr>
            <w:tcW w:w="1399" w:type="dxa"/>
            <w:vMerge w:val="restart"/>
          </w:tcPr>
          <w:p w:rsidR="00096326" w:rsidRPr="00891D0B"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6A2D427" wp14:editId="1FB19F4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891D0B" w:rsidRDefault="00096326" w:rsidP="0045458F">
            <w:r w:rsidRPr="00096326">
              <w:t>ASIA-PACIFIC TELECOMMUNITY</w:t>
            </w:r>
          </w:p>
        </w:tc>
        <w:tc>
          <w:tcPr>
            <w:tcW w:w="2700" w:type="dxa"/>
          </w:tcPr>
          <w:p w:rsidR="00096326" w:rsidRPr="00096326" w:rsidRDefault="00096326" w:rsidP="00096326">
            <w:pPr>
              <w:rPr>
                <w:b/>
                <w:bCs/>
                <w:lang w:val="fr-FR"/>
              </w:rPr>
            </w:pPr>
            <w:r w:rsidRPr="00C15799">
              <w:rPr>
                <w:b/>
                <w:lang w:val="fr-FR"/>
              </w:rPr>
              <w:t>Document</w:t>
            </w:r>
            <w:r w:rsidR="00F205D7">
              <w:rPr>
                <w:b/>
                <w:lang w:val="fr-FR"/>
              </w:rPr>
              <w:t xml:space="preserve"> No</w:t>
            </w:r>
            <w:r>
              <w:rPr>
                <w:b/>
                <w:lang w:val="fr-FR"/>
              </w:rPr>
              <w:t xml:space="preserve">: </w:t>
            </w:r>
          </w:p>
        </w:tc>
      </w:tr>
      <w:tr w:rsidR="00DA7595" w:rsidRPr="00C15799" w:rsidTr="00096326">
        <w:trPr>
          <w:cantSplit/>
        </w:trPr>
        <w:tc>
          <w:tcPr>
            <w:tcW w:w="1399" w:type="dxa"/>
            <w:vMerge/>
          </w:tcPr>
          <w:p w:rsidR="00DA7595" w:rsidRPr="00891D0B" w:rsidRDefault="00DA7595" w:rsidP="0045458F"/>
        </w:tc>
        <w:tc>
          <w:tcPr>
            <w:tcW w:w="5720" w:type="dxa"/>
          </w:tcPr>
          <w:p w:rsidR="00DA7595" w:rsidRPr="00891D0B" w:rsidRDefault="00DA7595" w:rsidP="006A64A9">
            <w:pPr>
              <w:spacing w:line="0" w:lineRule="atLeast"/>
            </w:pPr>
            <w:r>
              <w:rPr>
                <w:b/>
              </w:rPr>
              <w:t xml:space="preserve">The </w:t>
            </w:r>
            <w:r w:rsidR="006A64A9">
              <w:rPr>
                <w:b/>
              </w:rPr>
              <w:t xml:space="preserve">4th </w:t>
            </w:r>
            <w:r w:rsidR="00DB0A68">
              <w:rPr>
                <w:b/>
              </w:rPr>
              <w:t>Meeting of the APT Conference Preparatory</w:t>
            </w:r>
            <w:r w:rsidR="002926D4">
              <w:rPr>
                <w:b/>
              </w:rPr>
              <w:t xml:space="preserve"> </w:t>
            </w:r>
            <w:r w:rsidR="00DB0A68">
              <w:rPr>
                <w:b/>
              </w:rPr>
              <w:t xml:space="preserve"> Group for WRC-</w:t>
            </w:r>
            <w:r w:rsidR="00FE3DE5">
              <w:rPr>
                <w:b/>
              </w:rPr>
              <w:t>1</w:t>
            </w:r>
            <w:r w:rsidR="00096326">
              <w:rPr>
                <w:b/>
              </w:rPr>
              <w:t>9</w:t>
            </w:r>
            <w:r w:rsidR="00DB0A68">
              <w:rPr>
                <w:b/>
              </w:rPr>
              <w:t xml:space="preserve"> (APG</w:t>
            </w:r>
            <w:r w:rsidR="00096326">
              <w:rPr>
                <w:b/>
              </w:rPr>
              <w:t>19</w:t>
            </w:r>
            <w:r w:rsidR="00DB0A68">
              <w:rPr>
                <w:b/>
              </w:rPr>
              <w:t>-</w:t>
            </w:r>
            <w:r w:rsidR="006A64A9">
              <w:rPr>
                <w:b/>
              </w:rPr>
              <w:t>4</w:t>
            </w:r>
            <w:r w:rsidR="00DB0A68">
              <w:rPr>
                <w:b/>
              </w:rPr>
              <w:t>)</w:t>
            </w:r>
          </w:p>
        </w:tc>
        <w:tc>
          <w:tcPr>
            <w:tcW w:w="2700" w:type="dxa"/>
          </w:tcPr>
          <w:p w:rsidR="00DA7595" w:rsidRPr="00C15799" w:rsidRDefault="008319BF" w:rsidP="00B97E24">
            <w:pPr>
              <w:rPr>
                <w:b/>
                <w:bCs/>
                <w:lang w:val="fr-FR"/>
              </w:rPr>
            </w:pPr>
            <w:r>
              <w:rPr>
                <w:b/>
                <w:bCs/>
                <w:lang w:val="fr-FR"/>
              </w:rPr>
              <w:t>APG</w:t>
            </w:r>
            <w:r w:rsidR="006A64A9">
              <w:rPr>
                <w:b/>
                <w:bCs/>
                <w:lang w:val="fr-FR"/>
              </w:rPr>
              <w:t>19-4</w:t>
            </w:r>
            <w:r>
              <w:rPr>
                <w:b/>
                <w:bCs/>
                <w:lang w:val="fr-FR"/>
              </w:rPr>
              <w:t>/</w:t>
            </w:r>
            <w:r w:rsidR="00096326">
              <w:rPr>
                <w:b/>
                <w:bCs/>
                <w:lang w:val="fr-FR"/>
              </w:rPr>
              <w:t>IN</w:t>
            </w:r>
            <w:r w:rsidR="00B97E24">
              <w:rPr>
                <w:b/>
                <w:bCs/>
                <w:lang w:val="fr-FR"/>
              </w:rPr>
              <w:t>F</w:t>
            </w:r>
            <w:r w:rsidR="00F205D7">
              <w:rPr>
                <w:b/>
                <w:bCs/>
                <w:lang w:val="fr-FR"/>
              </w:rPr>
              <w:t>-17</w:t>
            </w:r>
          </w:p>
        </w:tc>
      </w:tr>
      <w:tr w:rsidR="004B3553" w:rsidRPr="00891D0B" w:rsidTr="00096326">
        <w:trPr>
          <w:cantSplit/>
          <w:trHeight w:val="219"/>
        </w:trPr>
        <w:tc>
          <w:tcPr>
            <w:tcW w:w="1399" w:type="dxa"/>
            <w:vMerge/>
          </w:tcPr>
          <w:p w:rsidR="004B3553" w:rsidRPr="00C15799" w:rsidRDefault="004B3553" w:rsidP="0045458F">
            <w:pPr>
              <w:rPr>
                <w:lang w:val="fr-FR"/>
              </w:rPr>
            </w:pPr>
          </w:p>
        </w:tc>
        <w:tc>
          <w:tcPr>
            <w:tcW w:w="5720" w:type="dxa"/>
          </w:tcPr>
          <w:p w:rsidR="004B3553" w:rsidRPr="00891D0B" w:rsidRDefault="006A64A9" w:rsidP="006A64A9">
            <w:r>
              <w:t>7</w:t>
            </w:r>
            <w:r w:rsidR="00291C9E">
              <w:t xml:space="preserve"> – </w:t>
            </w:r>
            <w:r>
              <w:t xml:space="preserve">12 January </w:t>
            </w:r>
            <w:r w:rsidR="00F17B0A">
              <w:t>2</w:t>
            </w:r>
            <w:r w:rsidR="00291C9E">
              <w:t>0</w:t>
            </w:r>
            <w:r>
              <w:t>19</w:t>
            </w:r>
            <w:r w:rsidR="004B3553" w:rsidRPr="00891D0B">
              <w:t xml:space="preserve">, </w:t>
            </w:r>
            <w:r>
              <w:t>Busan</w:t>
            </w:r>
            <w:r w:rsidR="004B3553">
              <w:t xml:space="preserve">, </w:t>
            </w:r>
            <w:r>
              <w:t>Republic of Korea</w:t>
            </w:r>
          </w:p>
        </w:tc>
        <w:tc>
          <w:tcPr>
            <w:tcW w:w="2700" w:type="dxa"/>
          </w:tcPr>
          <w:p w:rsidR="004B3553" w:rsidRPr="00712451" w:rsidRDefault="00F205D7" w:rsidP="00F205D7">
            <w:pPr>
              <w:rPr>
                <w:b/>
              </w:rPr>
            </w:pPr>
            <w:r>
              <w:rPr>
                <w:b/>
              </w:rPr>
              <w:t>3</w:t>
            </w:r>
            <w:r w:rsidR="00902433">
              <w:rPr>
                <w:b/>
              </w:rPr>
              <w:t>1</w:t>
            </w:r>
            <w:r w:rsidR="00FE3DE5">
              <w:rPr>
                <w:b/>
              </w:rPr>
              <w:t xml:space="preserve"> </w:t>
            </w:r>
            <w:r w:rsidR="006A64A9">
              <w:rPr>
                <w:b/>
              </w:rPr>
              <w:t xml:space="preserve">December </w:t>
            </w:r>
            <w:r w:rsidR="00291C9E">
              <w:rPr>
                <w:b/>
              </w:rPr>
              <w:t>20</w:t>
            </w:r>
            <w:r w:rsidR="008319BF">
              <w:rPr>
                <w:b/>
              </w:rPr>
              <w:t>1</w:t>
            </w:r>
            <w:r w:rsidR="00F17B0A">
              <w:rPr>
                <w:b/>
              </w:rPr>
              <w:t>8</w:t>
            </w:r>
          </w:p>
        </w:tc>
      </w:tr>
    </w:tbl>
    <w:p w:rsidR="00DA7595" w:rsidRDefault="00DA7595" w:rsidP="00DA7595">
      <w:pPr>
        <w:rPr>
          <w:lang w:eastAsia="ko-KR"/>
        </w:rPr>
      </w:pPr>
    </w:p>
    <w:p w:rsidR="00096326" w:rsidRDefault="00096326" w:rsidP="00DA7595">
      <w:pPr>
        <w:jc w:val="center"/>
        <w:rPr>
          <w:sz w:val="28"/>
          <w:szCs w:val="28"/>
          <w:lang w:eastAsia="ko-KR"/>
        </w:rPr>
      </w:pPr>
    </w:p>
    <w:p w:rsidR="00902433" w:rsidRPr="00343D52" w:rsidRDefault="00902433" w:rsidP="00902433">
      <w:pPr>
        <w:jc w:val="center"/>
        <w:rPr>
          <w:lang w:val="en-GB" w:eastAsia="ko-KR"/>
        </w:rPr>
      </w:pPr>
      <w:r w:rsidRPr="00343D52">
        <w:rPr>
          <w:lang w:val="en-GB" w:eastAsia="ko-KR"/>
        </w:rPr>
        <w:t>GSMA (Hong Kong)</w:t>
      </w:r>
      <w:r w:rsidR="003E787C">
        <w:rPr>
          <w:lang w:val="en-GB" w:eastAsia="ko-KR"/>
        </w:rPr>
        <w:t xml:space="preserve">, </w:t>
      </w:r>
      <w:r w:rsidR="003E787C" w:rsidRPr="003E787C">
        <w:rPr>
          <w:lang w:val="en-GB" w:eastAsia="ko-KR"/>
        </w:rPr>
        <w:t>Telstra Corporation Limited</w:t>
      </w:r>
    </w:p>
    <w:p w:rsidR="00DA7595" w:rsidRPr="00EB7E2E" w:rsidRDefault="00DA7595" w:rsidP="00DA7595">
      <w:pPr>
        <w:jc w:val="center"/>
        <w:rPr>
          <w:sz w:val="26"/>
          <w:szCs w:val="26"/>
          <w:lang w:eastAsia="ko-KR"/>
        </w:rPr>
      </w:pPr>
    </w:p>
    <w:p w:rsidR="00FE3DE5" w:rsidRDefault="00FE3DE5" w:rsidP="0063062B">
      <w:pPr>
        <w:jc w:val="center"/>
        <w:rPr>
          <w:b/>
          <w:bCs/>
          <w:caps/>
          <w:sz w:val="28"/>
          <w:szCs w:val="28"/>
        </w:rPr>
      </w:pPr>
    </w:p>
    <w:p w:rsidR="00902433" w:rsidRPr="00BA1D2B" w:rsidRDefault="00902433" w:rsidP="00902433">
      <w:pPr>
        <w:spacing w:before="120"/>
        <w:jc w:val="center"/>
        <w:rPr>
          <w:b/>
        </w:rPr>
      </w:pPr>
      <w:r>
        <w:rPr>
          <w:b/>
        </w:rPr>
        <w:t>CONSIDERATIONS ON WRC-19 AGENDA ITEM 1.13</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902433" w:rsidRPr="009A2853" w:rsidRDefault="00902433" w:rsidP="00902433">
      <w:pPr>
        <w:outlineLvl w:val="0"/>
        <w:rPr>
          <w:b/>
          <w:sz w:val="22"/>
          <w:szCs w:val="22"/>
        </w:rPr>
      </w:pPr>
      <w:r w:rsidRPr="009A2853">
        <w:rPr>
          <w:b/>
          <w:sz w:val="22"/>
          <w:szCs w:val="22"/>
        </w:rPr>
        <w:t>Introduction</w:t>
      </w:r>
    </w:p>
    <w:p w:rsidR="00902433" w:rsidRPr="002E0285" w:rsidRDefault="00902433" w:rsidP="00902433">
      <w:pPr>
        <w:autoSpaceDE w:val="0"/>
        <w:autoSpaceDN w:val="0"/>
        <w:adjustRightInd w:val="0"/>
        <w:spacing w:after="120"/>
        <w:jc w:val="both"/>
        <w:rPr>
          <w:sz w:val="22"/>
          <w:szCs w:val="22"/>
          <w:lang w:val="en-GB"/>
        </w:rPr>
      </w:pPr>
    </w:p>
    <w:p w:rsidR="00902433" w:rsidRDefault="00902433" w:rsidP="00902433">
      <w:pPr>
        <w:autoSpaceDE w:val="0"/>
        <w:autoSpaceDN w:val="0"/>
        <w:adjustRightInd w:val="0"/>
        <w:spacing w:before="120" w:after="120"/>
        <w:jc w:val="both"/>
        <w:rPr>
          <w:sz w:val="22"/>
          <w:szCs w:val="22"/>
        </w:rPr>
      </w:pPr>
      <w:r w:rsidRPr="0004356D">
        <w:rPr>
          <w:sz w:val="22"/>
          <w:szCs w:val="22"/>
        </w:rPr>
        <w:t xml:space="preserve">5G systems </w:t>
      </w:r>
      <w:r>
        <w:rPr>
          <w:sz w:val="22"/>
          <w:szCs w:val="22"/>
        </w:rPr>
        <w:t>will provide</w:t>
      </w:r>
      <w:r w:rsidRPr="0004356D">
        <w:rPr>
          <w:sz w:val="22"/>
          <w:szCs w:val="22"/>
        </w:rPr>
        <w:t xml:space="preserve"> higher data</w:t>
      </w:r>
      <w:r>
        <w:rPr>
          <w:sz w:val="22"/>
          <w:szCs w:val="22"/>
        </w:rPr>
        <w:t xml:space="preserve"> </w:t>
      </w:r>
      <w:r w:rsidRPr="0004356D">
        <w:rPr>
          <w:sz w:val="22"/>
          <w:szCs w:val="22"/>
        </w:rPr>
        <w:t>rates</w:t>
      </w:r>
      <w:r>
        <w:rPr>
          <w:sz w:val="22"/>
          <w:szCs w:val="22"/>
        </w:rPr>
        <w:t xml:space="preserve"> and greatly enhanced capacity with increased </w:t>
      </w:r>
      <w:r w:rsidRPr="0004356D">
        <w:rPr>
          <w:sz w:val="22"/>
          <w:szCs w:val="22"/>
        </w:rPr>
        <w:t>spectral efficiency</w:t>
      </w:r>
      <w:r>
        <w:rPr>
          <w:sz w:val="22"/>
          <w:szCs w:val="22"/>
        </w:rPr>
        <w:t xml:space="preserve">. To provide this capacity, higher frequency bands will be required for IMT. Agenda Item 1.13 of WRC-19, in accordance with Resolution 238 (WRC-15), seeks to find spectrum above 24 GHz for IMT that will form part of the fabric of 5G services. </w:t>
      </w:r>
      <w:proofErr w:type="spellStart"/>
      <w:proofErr w:type="gramStart"/>
      <w:r>
        <w:rPr>
          <w:sz w:val="22"/>
          <w:szCs w:val="22"/>
        </w:rPr>
        <w:t>mmWave</w:t>
      </w:r>
      <w:proofErr w:type="spellEnd"/>
      <w:proofErr w:type="gramEnd"/>
      <w:r>
        <w:rPr>
          <w:sz w:val="22"/>
          <w:szCs w:val="22"/>
        </w:rPr>
        <w:t xml:space="preserve"> frequencies will cater for the highest capacity needs of 5G and will offer new services reliant on their higher throughput.</w:t>
      </w:r>
    </w:p>
    <w:p w:rsidR="00902433" w:rsidRDefault="00902433" w:rsidP="00902433">
      <w:pPr>
        <w:autoSpaceDE w:val="0"/>
        <w:autoSpaceDN w:val="0"/>
        <w:adjustRightInd w:val="0"/>
        <w:spacing w:before="120" w:after="120"/>
        <w:jc w:val="both"/>
        <w:rPr>
          <w:sz w:val="22"/>
          <w:szCs w:val="22"/>
        </w:rPr>
        <w:sectPr w:rsidR="00902433" w:rsidSect="00902433">
          <w:headerReference w:type="default" r:id="rId8"/>
          <w:footerReference w:type="even" r:id="rId9"/>
          <w:footerReference w:type="default" r:id="rId10"/>
          <w:footerReference w:type="first" r:id="rId11"/>
          <w:type w:val="continuous"/>
          <w:pgSz w:w="11909" w:h="16834" w:code="9"/>
          <w:pgMar w:top="1195" w:right="1152" w:bottom="1138" w:left="1440" w:header="720" w:footer="720" w:gutter="0"/>
          <w:cols w:space="720"/>
          <w:titlePg/>
          <w:docGrid w:linePitch="360"/>
        </w:sectPr>
      </w:pPr>
      <w:r w:rsidRPr="0064125D">
        <w:rPr>
          <w:sz w:val="22"/>
          <w:szCs w:val="22"/>
        </w:rPr>
        <w:t>Resolution </w:t>
      </w:r>
      <w:r w:rsidRPr="0064125D">
        <w:rPr>
          <w:b/>
          <w:bCs/>
          <w:sz w:val="22"/>
          <w:szCs w:val="22"/>
        </w:rPr>
        <w:t>238 (WRC-15)</w:t>
      </w:r>
      <w:r>
        <w:rPr>
          <w:b/>
          <w:bCs/>
          <w:sz w:val="22"/>
          <w:szCs w:val="22"/>
        </w:rPr>
        <w:t xml:space="preserve"> </w:t>
      </w:r>
      <w:r w:rsidRPr="008724BA">
        <w:rPr>
          <w:bCs/>
          <w:sz w:val="22"/>
          <w:szCs w:val="22"/>
        </w:rPr>
        <w:t>invites ITU-R</w:t>
      </w:r>
      <w:r w:rsidRPr="0064125D">
        <w:rPr>
          <w:bCs/>
          <w:sz w:val="22"/>
          <w:szCs w:val="22"/>
        </w:rPr>
        <w:t xml:space="preserve"> to conduct and complete in time for WRC-19 the appropriate sharing and compatibility studies for the frequency bands: </w:t>
      </w:r>
    </w:p>
    <w:p w:rsidR="00902433" w:rsidRPr="00902433" w:rsidRDefault="00902433" w:rsidP="00DD1770">
      <w:pPr>
        <w:numPr>
          <w:ilvl w:val="0"/>
          <w:numId w:val="9"/>
        </w:numPr>
        <w:spacing w:line="259" w:lineRule="auto"/>
        <w:ind w:left="714" w:hanging="357"/>
        <w:contextualSpacing/>
        <w:jc w:val="both"/>
        <w:rPr>
          <w:sz w:val="22"/>
          <w:szCs w:val="22"/>
        </w:rPr>
      </w:pPr>
      <w:r w:rsidRPr="00902433">
        <w:rPr>
          <w:sz w:val="22"/>
          <w:szCs w:val="22"/>
        </w:rPr>
        <w:t>24.25-27.5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31.8-33.4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37-40.5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 xml:space="preserve">40.5-42.5 GHz </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42.5-43.5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45.5-47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 xml:space="preserve">47-47.2 GHz </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47.2-50.2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50.4-52.6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66-71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71-76 GHz</w:t>
      </w:r>
    </w:p>
    <w:p w:rsidR="00902433" w:rsidRPr="0064125D" w:rsidRDefault="00902433" w:rsidP="00902433">
      <w:pPr>
        <w:numPr>
          <w:ilvl w:val="0"/>
          <w:numId w:val="9"/>
        </w:numPr>
        <w:spacing w:line="259" w:lineRule="auto"/>
        <w:ind w:left="714" w:hanging="357"/>
        <w:contextualSpacing/>
        <w:jc w:val="both"/>
        <w:rPr>
          <w:sz w:val="22"/>
          <w:szCs w:val="22"/>
        </w:rPr>
      </w:pPr>
      <w:r w:rsidRPr="0064125D">
        <w:rPr>
          <w:sz w:val="22"/>
          <w:szCs w:val="22"/>
        </w:rPr>
        <w:t>81-86 GHz</w:t>
      </w:r>
    </w:p>
    <w:p w:rsidR="00902433" w:rsidRDefault="00902433" w:rsidP="00902433">
      <w:pPr>
        <w:suppressAutoHyphens/>
        <w:spacing w:after="120"/>
        <w:rPr>
          <w:sz w:val="22"/>
          <w:szCs w:val="22"/>
          <w:lang w:val="en-GB" w:eastAsia="ja-JP"/>
        </w:rPr>
        <w:sectPr w:rsidR="00902433" w:rsidSect="00902433">
          <w:type w:val="continuous"/>
          <w:pgSz w:w="11909" w:h="16834" w:code="9"/>
          <w:pgMar w:top="1195" w:right="1152" w:bottom="1138" w:left="1440" w:header="720" w:footer="720" w:gutter="0"/>
          <w:cols w:num="2" w:space="720"/>
          <w:titlePg/>
          <w:docGrid w:linePitch="360"/>
        </w:sectPr>
      </w:pPr>
    </w:p>
    <w:p w:rsidR="00902433" w:rsidRDefault="00902433" w:rsidP="00902433">
      <w:pPr>
        <w:suppressAutoHyphens/>
        <w:spacing w:after="120"/>
        <w:rPr>
          <w:sz w:val="22"/>
          <w:szCs w:val="22"/>
          <w:lang w:val="en-GB" w:eastAsia="ja-JP"/>
        </w:rPr>
      </w:pPr>
    </w:p>
    <w:p w:rsidR="00902433" w:rsidRDefault="00902433" w:rsidP="00902433">
      <w:pPr>
        <w:suppressAutoHyphens/>
        <w:spacing w:after="120"/>
        <w:rPr>
          <w:sz w:val="22"/>
          <w:szCs w:val="22"/>
          <w:lang w:val="en-GB" w:eastAsia="ja-JP"/>
        </w:rPr>
        <w:sectPr w:rsidR="00902433" w:rsidSect="00902433">
          <w:type w:val="continuous"/>
          <w:pgSz w:w="11909" w:h="16834" w:code="9"/>
          <w:pgMar w:top="1195" w:right="1152" w:bottom="1138" w:left="1440" w:header="720" w:footer="720" w:gutter="0"/>
          <w:cols w:space="720"/>
          <w:titlePg/>
          <w:docGrid w:linePitch="360"/>
        </w:sectPr>
      </w:pPr>
    </w:p>
    <w:p w:rsidR="00902433" w:rsidRPr="002E0285" w:rsidRDefault="00902433" w:rsidP="00902433">
      <w:pPr>
        <w:suppressAutoHyphens/>
        <w:spacing w:after="120"/>
        <w:rPr>
          <w:sz w:val="22"/>
          <w:szCs w:val="22"/>
          <w:lang w:val="en-GB" w:eastAsia="ja-JP"/>
        </w:rPr>
      </w:pPr>
      <w:r>
        <w:rPr>
          <w:sz w:val="22"/>
          <w:szCs w:val="22"/>
          <w:lang w:val="en-GB" w:eastAsia="ja-JP"/>
        </w:rPr>
        <w:t>S</w:t>
      </w:r>
      <w:r w:rsidRPr="002E0285">
        <w:rPr>
          <w:sz w:val="22"/>
          <w:szCs w:val="22"/>
          <w:lang w:val="en-GB" w:eastAsia="ja-JP"/>
        </w:rPr>
        <w:t>tudies f</w:t>
      </w:r>
      <w:r w:rsidRPr="002E0285">
        <w:rPr>
          <w:rFonts w:eastAsia="Malgun Gothic"/>
          <w:sz w:val="22"/>
          <w:szCs w:val="22"/>
          <w:lang w:val="en-GB" w:eastAsia="ko-KR"/>
        </w:rPr>
        <w:t xml:space="preserve">or WRC-19 </w:t>
      </w:r>
      <w:r w:rsidRPr="002E0285">
        <w:rPr>
          <w:sz w:val="22"/>
          <w:szCs w:val="22"/>
          <w:lang w:val="en-GB" w:eastAsia="ja-JP"/>
        </w:rPr>
        <w:t>a</w:t>
      </w:r>
      <w:r w:rsidRPr="002E0285">
        <w:rPr>
          <w:rFonts w:eastAsia="Malgun Gothic"/>
          <w:sz w:val="22"/>
          <w:szCs w:val="22"/>
          <w:lang w:val="en-GB" w:eastAsia="ko-KR"/>
        </w:rPr>
        <w:t xml:space="preserve">genda </w:t>
      </w:r>
      <w:r w:rsidRPr="002E0285">
        <w:rPr>
          <w:sz w:val="22"/>
          <w:szCs w:val="22"/>
          <w:lang w:val="en-GB" w:eastAsia="ja-JP"/>
        </w:rPr>
        <w:t>i</w:t>
      </w:r>
      <w:r w:rsidRPr="002E0285">
        <w:rPr>
          <w:rFonts w:eastAsia="Malgun Gothic"/>
          <w:sz w:val="22"/>
          <w:szCs w:val="22"/>
          <w:lang w:val="en-GB" w:eastAsia="ko-KR"/>
        </w:rPr>
        <w:t>tem 1.13</w:t>
      </w:r>
      <w:r w:rsidRPr="002E0285">
        <w:rPr>
          <w:sz w:val="22"/>
          <w:szCs w:val="22"/>
          <w:lang w:val="en-GB" w:eastAsia="ja-JP"/>
        </w:rPr>
        <w:t xml:space="preserve"> estimated </w:t>
      </w:r>
      <w:r w:rsidRPr="002E0285">
        <w:rPr>
          <w:rFonts w:eastAsia="Malgun Gothic"/>
          <w:sz w:val="22"/>
          <w:szCs w:val="22"/>
          <w:lang w:val="en-GB" w:eastAsia="ko-KR"/>
        </w:rPr>
        <w:t>t</w:t>
      </w:r>
      <w:r w:rsidRPr="002E0285">
        <w:rPr>
          <w:sz w:val="22"/>
          <w:szCs w:val="22"/>
          <w:lang w:val="en-GB" w:eastAsia="ja-JP"/>
        </w:rPr>
        <w:t>he spectrum needs f</w:t>
      </w:r>
      <w:r w:rsidRPr="002E0285">
        <w:rPr>
          <w:rFonts w:eastAsia="SimSun"/>
          <w:sz w:val="22"/>
          <w:szCs w:val="22"/>
          <w:lang w:val="en-GB"/>
        </w:rPr>
        <w:t>or the terrestrial component of IMT in the frequency range between 24.25 GHz and 86 GHz</w:t>
      </w:r>
      <w:r w:rsidRPr="002E0285">
        <w:rPr>
          <w:rFonts w:eastAsia="Malgun Gothic"/>
          <w:sz w:val="22"/>
          <w:szCs w:val="22"/>
          <w:lang w:val="en-GB" w:eastAsia="ko-KR"/>
        </w:rPr>
        <w:t xml:space="preserve">, in accordance with </w:t>
      </w:r>
      <w:r w:rsidRPr="002E0285">
        <w:rPr>
          <w:sz w:val="22"/>
          <w:szCs w:val="22"/>
          <w:lang w:val="en-GB" w:eastAsia="ja-JP"/>
        </w:rPr>
        <w:t>Resolution </w:t>
      </w:r>
      <w:r w:rsidRPr="002E0285">
        <w:rPr>
          <w:b/>
          <w:sz w:val="22"/>
          <w:szCs w:val="22"/>
          <w:lang w:val="en-GB" w:eastAsia="ja-JP"/>
        </w:rPr>
        <w:t>238 (WRC-15)</w:t>
      </w:r>
      <w:r w:rsidRPr="002E0285">
        <w:rPr>
          <w:sz w:val="22"/>
          <w:szCs w:val="22"/>
          <w:lang w:val="en-GB" w:eastAsia="ko-KR"/>
        </w:rPr>
        <w:t xml:space="preserve"> and </w:t>
      </w:r>
      <w:hyperlink r:id="rId12" w:history="1">
        <w:r w:rsidRPr="002E0285">
          <w:rPr>
            <w:rStyle w:val="Hyperlink"/>
            <w:rFonts w:eastAsia="MS Gothic"/>
            <w:sz w:val="22"/>
            <w:szCs w:val="22"/>
            <w:lang w:val="en-GB" w:eastAsia="ko-KR"/>
          </w:rPr>
          <w:t>CA/226</w:t>
        </w:r>
      </w:hyperlink>
      <w:r w:rsidRPr="002E0285">
        <w:rPr>
          <w:sz w:val="22"/>
          <w:szCs w:val="22"/>
          <w:lang w:val="en-GB" w:eastAsia="ja-JP"/>
        </w:rPr>
        <w:t>.</w:t>
      </w:r>
    </w:p>
    <w:p w:rsidR="00902433" w:rsidRPr="002E0285" w:rsidRDefault="00902433" w:rsidP="00902433">
      <w:pPr>
        <w:autoSpaceDE w:val="0"/>
        <w:autoSpaceDN w:val="0"/>
        <w:adjustRightInd w:val="0"/>
        <w:spacing w:after="120"/>
        <w:jc w:val="both"/>
        <w:rPr>
          <w:sz w:val="22"/>
          <w:szCs w:val="22"/>
          <w:lang w:val="en-GB" w:eastAsia="ja-JP"/>
        </w:rPr>
      </w:pPr>
      <w:r w:rsidRPr="002E0285">
        <w:rPr>
          <w:sz w:val="22"/>
          <w:szCs w:val="22"/>
          <w:lang w:val="en-GB" w:eastAsia="ja-JP"/>
        </w:rPr>
        <w:t>The GSMA supports the identification of the following bands for IMT:</w:t>
      </w:r>
    </w:p>
    <w:p w:rsidR="00902433" w:rsidRPr="002E0285" w:rsidRDefault="00902433" w:rsidP="00902433">
      <w:pPr>
        <w:numPr>
          <w:ilvl w:val="1"/>
          <w:numId w:val="11"/>
        </w:numPr>
        <w:tabs>
          <w:tab w:val="clear" w:pos="1440"/>
          <w:tab w:val="num" w:pos="1134"/>
        </w:tabs>
        <w:spacing w:line="276" w:lineRule="auto"/>
        <w:ind w:left="1134" w:hanging="425"/>
        <w:jc w:val="both"/>
        <w:rPr>
          <w:rFonts w:cs="Calibri"/>
          <w:b/>
          <w:bCs/>
          <w:sz w:val="22"/>
          <w:szCs w:val="22"/>
          <w:lang w:val="en-GB"/>
        </w:rPr>
      </w:pPr>
      <w:r w:rsidRPr="002E0285">
        <w:rPr>
          <w:rFonts w:cs="Calibri"/>
          <w:b/>
          <w:bCs/>
          <w:sz w:val="22"/>
          <w:szCs w:val="22"/>
          <w:lang w:val="en-GB"/>
        </w:rPr>
        <w:t>24.25-27.5 GHz (26 GHz range)</w:t>
      </w:r>
    </w:p>
    <w:p w:rsidR="00902433" w:rsidRPr="002E0285" w:rsidRDefault="00902433" w:rsidP="00902433">
      <w:pPr>
        <w:numPr>
          <w:ilvl w:val="1"/>
          <w:numId w:val="11"/>
        </w:numPr>
        <w:tabs>
          <w:tab w:val="clear" w:pos="1440"/>
          <w:tab w:val="num" w:pos="1134"/>
        </w:tabs>
        <w:spacing w:line="276" w:lineRule="auto"/>
        <w:ind w:left="1134" w:hanging="425"/>
        <w:jc w:val="both"/>
        <w:rPr>
          <w:rFonts w:cs="Calibri"/>
          <w:b/>
          <w:bCs/>
          <w:sz w:val="22"/>
          <w:szCs w:val="22"/>
          <w:lang w:val="en-GB"/>
        </w:rPr>
      </w:pPr>
      <w:r w:rsidRPr="002E0285">
        <w:rPr>
          <w:rFonts w:cs="Calibri"/>
          <w:b/>
          <w:bCs/>
          <w:sz w:val="22"/>
          <w:szCs w:val="22"/>
          <w:lang w:val="en-GB"/>
        </w:rPr>
        <w:t>37-43.5 GHz (40 GHz range)</w:t>
      </w:r>
    </w:p>
    <w:p w:rsidR="00902433" w:rsidRPr="002E0285" w:rsidRDefault="00902433" w:rsidP="00902433">
      <w:pPr>
        <w:numPr>
          <w:ilvl w:val="1"/>
          <w:numId w:val="11"/>
        </w:numPr>
        <w:tabs>
          <w:tab w:val="clear" w:pos="1440"/>
          <w:tab w:val="num" w:pos="1134"/>
        </w:tabs>
        <w:spacing w:line="276" w:lineRule="auto"/>
        <w:ind w:left="1134" w:hanging="425"/>
        <w:jc w:val="both"/>
        <w:rPr>
          <w:rFonts w:cs="Calibri"/>
          <w:b/>
          <w:bCs/>
          <w:sz w:val="22"/>
          <w:szCs w:val="22"/>
          <w:lang w:val="en-GB"/>
        </w:rPr>
      </w:pPr>
      <w:r w:rsidRPr="002E0285">
        <w:rPr>
          <w:rFonts w:cs="Calibri"/>
          <w:b/>
          <w:bCs/>
          <w:sz w:val="22"/>
          <w:szCs w:val="22"/>
          <w:lang w:val="en-GB"/>
        </w:rPr>
        <w:t>66-71 GHz</w:t>
      </w:r>
    </w:p>
    <w:p w:rsidR="00902433" w:rsidRPr="002E0285" w:rsidRDefault="00902433" w:rsidP="00902433">
      <w:pPr>
        <w:autoSpaceDE w:val="0"/>
        <w:autoSpaceDN w:val="0"/>
        <w:adjustRightInd w:val="0"/>
        <w:spacing w:before="120" w:after="120"/>
        <w:jc w:val="both"/>
        <w:rPr>
          <w:rFonts w:cs="Calibri"/>
          <w:sz w:val="22"/>
          <w:szCs w:val="22"/>
          <w:lang w:val="en-GB"/>
        </w:rPr>
      </w:pPr>
      <w:r w:rsidRPr="002E0285">
        <w:rPr>
          <w:rFonts w:cs="Calibri"/>
          <w:sz w:val="22"/>
          <w:szCs w:val="22"/>
          <w:lang w:val="en-GB"/>
        </w:rPr>
        <w:t xml:space="preserve">Due to the large amount of spectrum needed for 5G services, further consideration is still required for all the other frequency bands, except for the 32 GHz </w:t>
      </w:r>
      <w:r>
        <w:rPr>
          <w:rFonts w:cs="Calibri"/>
          <w:sz w:val="22"/>
          <w:szCs w:val="22"/>
          <w:lang w:val="en-GB"/>
        </w:rPr>
        <w:t>band</w:t>
      </w:r>
      <w:r w:rsidRPr="002E0285">
        <w:rPr>
          <w:rFonts w:cs="Calibri"/>
          <w:sz w:val="22"/>
          <w:szCs w:val="22"/>
          <w:lang w:val="en-GB"/>
        </w:rPr>
        <w:t xml:space="preserve">. </w:t>
      </w:r>
    </w:p>
    <w:p w:rsidR="00902433" w:rsidRPr="00FF4EC4" w:rsidRDefault="00902433" w:rsidP="00902433">
      <w:pPr>
        <w:autoSpaceDE w:val="0"/>
        <w:autoSpaceDN w:val="0"/>
        <w:adjustRightInd w:val="0"/>
        <w:spacing w:after="120"/>
        <w:jc w:val="both"/>
        <w:rPr>
          <w:rFonts w:cs="Calibri"/>
          <w:bCs/>
          <w:sz w:val="22"/>
          <w:szCs w:val="22"/>
          <w:lang w:val="en-GB"/>
        </w:rPr>
      </w:pPr>
      <w:r w:rsidRPr="002E0285">
        <w:rPr>
          <w:rFonts w:cs="Calibri"/>
          <w:sz w:val="22"/>
          <w:szCs w:val="22"/>
          <w:lang w:val="en-GB"/>
        </w:rPr>
        <w:t>The work of the relevant study group – TG 5/1 – has now been completed and certain issues are worthy of note</w:t>
      </w:r>
      <w:r>
        <w:rPr>
          <w:rFonts w:cs="Calibri"/>
          <w:sz w:val="22"/>
          <w:szCs w:val="22"/>
          <w:lang w:val="en-GB"/>
        </w:rPr>
        <w:t xml:space="preserve">. </w:t>
      </w:r>
      <w:r w:rsidRPr="00FF4EC4">
        <w:rPr>
          <w:rFonts w:cs="Calibri"/>
          <w:bCs/>
          <w:sz w:val="22"/>
          <w:szCs w:val="22"/>
          <w:lang w:val="en-GB"/>
        </w:rPr>
        <w:t>The ITU-R has carried out sharing and compatibility studies between IMT and other services allocated in the bands being considered. These have shown that extra conditions are necessary for certain services. However, the studies have shown that for others there is already sufficient protection margin between the level of emissions expected from an IMT network and the level that could potentially cause interference. In these cases, no extra conditions are necessary.</w:t>
      </w:r>
    </w:p>
    <w:p w:rsidR="00902433" w:rsidRPr="002E0285" w:rsidRDefault="00902433" w:rsidP="00902433">
      <w:pPr>
        <w:autoSpaceDE w:val="0"/>
        <w:autoSpaceDN w:val="0"/>
        <w:adjustRightInd w:val="0"/>
        <w:spacing w:before="120" w:after="120"/>
        <w:jc w:val="both"/>
        <w:rPr>
          <w:rFonts w:cs="Calibri"/>
          <w:sz w:val="22"/>
          <w:szCs w:val="22"/>
          <w:lang w:val="en-GB"/>
        </w:rPr>
      </w:pPr>
      <w:r w:rsidRPr="002E0285">
        <w:rPr>
          <w:rFonts w:cs="Calibri"/>
          <w:sz w:val="22"/>
          <w:szCs w:val="22"/>
          <w:lang w:val="en-GB"/>
        </w:rPr>
        <w:t xml:space="preserve">In the 26 GHz range, a lot of work has focused on the co-existence with passive services in the band 23.6-24 GHz. </w:t>
      </w:r>
      <w:r>
        <w:rPr>
          <w:rFonts w:cs="Calibri"/>
          <w:sz w:val="22"/>
          <w:szCs w:val="22"/>
          <w:lang w:val="en-GB"/>
        </w:rPr>
        <w:t>While i</w:t>
      </w:r>
      <w:r w:rsidRPr="002E0285">
        <w:rPr>
          <w:rFonts w:cs="Calibri"/>
          <w:sz w:val="22"/>
          <w:szCs w:val="22"/>
          <w:lang w:val="en-GB"/>
        </w:rPr>
        <w:t>t is important to protect passive services</w:t>
      </w:r>
      <w:r>
        <w:rPr>
          <w:rFonts w:cs="Calibri"/>
          <w:sz w:val="22"/>
          <w:szCs w:val="22"/>
          <w:lang w:val="en-GB"/>
        </w:rPr>
        <w:t>, it should be done</w:t>
      </w:r>
      <w:r w:rsidRPr="002E0285">
        <w:rPr>
          <w:rFonts w:cs="Calibri"/>
          <w:sz w:val="22"/>
          <w:szCs w:val="22"/>
          <w:lang w:val="en-GB"/>
        </w:rPr>
        <w:t xml:space="preserve"> with the right limit. </w:t>
      </w:r>
      <w:r>
        <w:rPr>
          <w:rFonts w:cs="Calibri"/>
          <w:sz w:val="22"/>
          <w:szCs w:val="22"/>
          <w:lang w:val="en-GB"/>
        </w:rPr>
        <w:t xml:space="preserve">Otherwise, </w:t>
      </w:r>
      <w:r>
        <w:rPr>
          <w:rFonts w:cs="Calibri"/>
          <w:sz w:val="22"/>
          <w:szCs w:val="22"/>
          <w:lang w:val="en-GB"/>
        </w:rPr>
        <w:lastRenderedPageBreak/>
        <w:t>a</w:t>
      </w:r>
      <w:r w:rsidRPr="002E0285">
        <w:rPr>
          <w:rFonts w:cs="Calibri"/>
          <w:sz w:val="22"/>
          <w:szCs w:val="22"/>
          <w:lang w:val="en-GB"/>
        </w:rPr>
        <w:t xml:space="preserve">n overly onerous limit will severely restrict the use of IMT in the 26 GHz band. The GSMA’s study on OOBE limits for base stations supports the values </w:t>
      </w:r>
      <w:r w:rsidRPr="002E0285">
        <w:rPr>
          <w:rFonts w:cs="Calibri"/>
          <w:b/>
          <w:bCs/>
          <w:sz w:val="22"/>
          <w:szCs w:val="22"/>
          <w:lang w:val="en-GB"/>
        </w:rPr>
        <w:t>-</w:t>
      </w:r>
      <w:r w:rsidRPr="002E0285">
        <w:rPr>
          <w:rFonts w:cs="Calibri"/>
          <w:bCs/>
          <w:sz w:val="22"/>
          <w:szCs w:val="22"/>
          <w:lang w:val="en-GB"/>
        </w:rPr>
        <w:t>32 to -35</w:t>
      </w:r>
      <w:r>
        <w:rPr>
          <w:rFonts w:cs="Calibri"/>
          <w:bCs/>
          <w:sz w:val="22"/>
          <w:szCs w:val="22"/>
          <w:lang w:val="en-GB"/>
        </w:rPr>
        <w:t xml:space="preserve"> </w:t>
      </w:r>
      <w:r w:rsidRPr="002E0285">
        <w:rPr>
          <w:rFonts w:cs="Calibri"/>
          <w:bCs/>
          <w:sz w:val="22"/>
          <w:szCs w:val="22"/>
          <w:lang w:val="en-GB"/>
        </w:rPr>
        <w:t>dB(W/200 MHz)</w:t>
      </w:r>
      <w:r w:rsidRPr="002E0285">
        <w:rPr>
          <w:rFonts w:cs="Calibri"/>
          <w:sz w:val="22"/>
          <w:szCs w:val="22"/>
          <w:lang w:val="en-GB"/>
        </w:rPr>
        <w:t>. This falls within the range supported by</w:t>
      </w:r>
      <w:r>
        <w:rPr>
          <w:rFonts w:cs="Calibri"/>
          <w:sz w:val="22"/>
          <w:szCs w:val="22"/>
          <w:lang w:val="en-GB"/>
        </w:rPr>
        <w:t xml:space="preserve"> other regional groups</w:t>
      </w:r>
      <w:r w:rsidRPr="002E0285">
        <w:rPr>
          <w:rFonts w:cs="Calibri"/>
          <w:sz w:val="22"/>
          <w:szCs w:val="22"/>
          <w:lang w:val="en-GB"/>
        </w:rPr>
        <w:t xml:space="preserve"> ASMG and </w:t>
      </w:r>
      <w:r w:rsidRPr="006F3C02">
        <w:rPr>
          <w:rFonts w:cs="Calibri"/>
          <w:sz w:val="22"/>
          <w:szCs w:val="22"/>
          <w:lang w:val="en-GB"/>
        </w:rPr>
        <w:t>ATU</w:t>
      </w:r>
      <w:r w:rsidR="002C6A03">
        <w:rPr>
          <w:rFonts w:cs="Calibri"/>
          <w:sz w:val="22"/>
          <w:szCs w:val="22"/>
          <w:lang w:val="en-GB"/>
        </w:rPr>
        <w:t xml:space="preserve">, </w:t>
      </w:r>
      <w:r w:rsidR="002C6A03" w:rsidRPr="002C6A03">
        <w:rPr>
          <w:rFonts w:cs="Calibri"/>
          <w:sz w:val="22"/>
          <w:szCs w:val="22"/>
          <w:lang w:val="en-GB"/>
        </w:rPr>
        <w:t>as well as preliminarily by CITEL</w:t>
      </w:r>
      <w:r w:rsidR="002C6A03">
        <w:rPr>
          <w:rFonts w:cs="Calibri"/>
          <w:sz w:val="22"/>
          <w:szCs w:val="22"/>
          <w:lang w:val="en-GB"/>
        </w:rPr>
        <w:t>.</w:t>
      </w:r>
    </w:p>
    <w:p w:rsidR="00902433" w:rsidRPr="009A2853" w:rsidRDefault="00902433" w:rsidP="00902433">
      <w:pPr>
        <w:numPr>
          <w:ilvl w:val="0"/>
          <w:numId w:val="10"/>
        </w:numPr>
        <w:spacing w:line="259" w:lineRule="auto"/>
        <w:ind w:left="714" w:hanging="357"/>
        <w:contextualSpacing/>
        <w:jc w:val="both"/>
        <w:rPr>
          <w:rFonts w:cs="Calibri"/>
          <w:b/>
          <w:bCs/>
          <w:sz w:val="22"/>
          <w:szCs w:val="22"/>
          <w:lang w:val="en-ZA"/>
        </w:rPr>
      </w:pPr>
      <w:r w:rsidRPr="009A2853">
        <w:rPr>
          <w:rFonts w:cs="Calibri"/>
          <w:b/>
          <w:bCs/>
          <w:sz w:val="22"/>
          <w:szCs w:val="22"/>
          <w:lang w:val="en-ZA"/>
        </w:rPr>
        <w:t>-32 to -37dB</w:t>
      </w:r>
      <w:r>
        <w:rPr>
          <w:rFonts w:cs="Calibri"/>
          <w:b/>
          <w:bCs/>
          <w:sz w:val="22"/>
          <w:szCs w:val="22"/>
          <w:lang w:val="en-ZA"/>
        </w:rPr>
        <w:t>(</w:t>
      </w:r>
      <w:r w:rsidRPr="009A2853">
        <w:rPr>
          <w:rFonts w:cs="Calibri"/>
          <w:b/>
          <w:bCs/>
          <w:sz w:val="22"/>
          <w:szCs w:val="22"/>
          <w:lang w:val="en-ZA"/>
        </w:rPr>
        <w:t>W/200 MHz</w:t>
      </w:r>
      <w:r>
        <w:rPr>
          <w:rFonts w:cs="Calibri"/>
          <w:b/>
          <w:bCs/>
          <w:sz w:val="22"/>
          <w:szCs w:val="22"/>
          <w:lang w:val="en-ZA"/>
        </w:rPr>
        <w:t>)</w:t>
      </w:r>
      <w:r w:rsidRPr="009A2853">
        <w:rPr>
          <w:rFonts w:cs="Calibri"/>
          <w:b/>
          <w:bCs/>
          <w:sz w:val="22"/>
          <w:szCs w:val="22"/>
          <w:lang w:val="en-ZA"/>
        </w:rPr>
        <w:t xml:space="preserve"> for BS</w:t>
      </w:r>
      <w:r>
        <w:rPr>
          <w:rFonts w:cs="Calibri"/>
          <w:b/>
          <w:bCs/>
          <w:sz w:val="22"/>
          <w:szCs w:val="22"/>
          <w:lang w:val="en-ZA"/>
        </w:rPr>
        <w:t>;</w:t>
      </w:r>
    </w:p>
    <w:p w:rsidR="00902433" w:rsidRPr="009A2853" w:rsidRDefault="00902433" w:rsidP="00902433">
      <w:pPr>
        <w:numPr>
          <w:ilvl w:val="0"/>
          <w:numId w:val="10"/>
        </w:numPr>
        <w:spacing w:line="259" w:lineRule="auto"/>
        <w:ind w:left="714" w:hanging="357"/>
        <w:contextualSpacing/>
        <w:jc w:val="both"/>
        <w:rPr>
          <w:rFonts w:cs="Calibri"/>
          <w:b/>
          <w:bCs/>
          <w:sz w:val="22"/>
          <w:szCs w:val="22"/>
          <w:lang w:val="en-ZA"/>
        </w:rPr>
      </w:pPr>
      <w:r w:rsidRPr="009A2853">
        <w:rPr>
          <w:rFonts w:cs="Calibri"/>
          <w:b/>
          <w:bCs/>
          <w:sz w:val="22"/>
          <w:szCs w:val="22"/>
          <w:lang w:val="en-ZA"/>
        </w:rPr>
        <w:t>-28 to -</w:t>
      </w:r>
      <w:proofErr w:type="gramStart"/>
      <w:r w:rsidRPr="009A2853">
        <w:rPr>
          <w:rFonts w:cs="Calibri"/>
          <w:b/>
          <w:bCs/>
          <w:sz w:val="22"/>
          <w:szCs w:val="22"/>
          <w:lang w:val="en-ZA"/>
        </w:rPr>
        <w:t>30dB</w:t>
      </w:r>
      <w:r>
        <w:rPr>
          <w:rFonts w:cs="Calibri"/>
          <w:b/>
          <w:bCs/>
          <w:sz w:val="22"/>
          <w:szCs w:val="22"/>
          <w:lang w:val="en-ZA"/>
        </w:rPr>
        <w:t>(</w:t>
      </w:r>
      <w:proofErr w:type="gramEnd"/>
      <w:r w:rsidRPr="009A2853">
        <w:rPr>
          <w:rFonts w:cs="Calibri"/>
          <w:b/>
          <w:bCs/>
          <w:sz w:val="22"/>
          <w:szCs w:val="22"/>
          <w:lang w:val="en-ZA"/>
        </w:rPr>
        <w:t>W/200 MHz</w:t>
      </w:r>
      <w:r>
        <w:rPr>
          <w:rFonts w:cs="Calibri"/>
          <w:b/>
          <w:bCs/>
          <w:sz w:val="22"/>
          <w:szCs w:val="22"/>
          <w:lang w:val="en-ZA"/>
        </w:rPr>
        <w:t>)</w:t>
      </w:r>
      <w:r w:rsidRPr="009A2853">
        <w:rPr>
          <w:rFonts w:cs="Calibri"/>
          <w:b/>
          <w:bCs/>
          <w:sz w:val="22"/>
          <w:szCs w:val="22"/>
          <w:lang w:val="en-ZA"/>
        </w:rPr>
        <w:t xml:space="preserve"> for UE</w:t>
      </w:r>
      <w:r>
        <w:rPr>
          <w:rFonts w:cs="Calibri"/>
          <w:b/>
          <w:bCs/>
          <w:sz w:val="22"/>
          <w:szCs w:val="22"/>
          <w:lang w:val="en-ZA"/>
        </w:rPr>
        <w:t>.</w:t>
      </w:r>
    </w:p>
    <w:p w:rsidR="00902433" w:rsidRDefault="00902433" w:rsidP="00902433">
      <w:pPr>
        <w:autoSpaceDE w:val="0"/>
        <w:autoSpaceDN w:val="0"/>
        <w:adjustRightInd w:val="0"/>
        <w:spacing w:after="120"/>
        <w:jc w:val="both"/>
        <w:rPr>
          <w:rFonts w:cs="Calibri"/>
          <w:bCs/>
          <w:sz w:val="22"/>
          <w:szCs w:val="22"/>
          <w:lang w:val="en-GB"/>
        </w:rPr>
      </w:pPr>
    </w:p>
    <w:p w:rsidR="00902433" w:rsidRDefault="00902433" w:rsidP="00902433">
      <w:pPr>
        <w:autoSpaceDE w:val="0"/>
        <w:autoSpaceDN w:val="0"/>
        <w:adjustRightInd w:val="0"/>
        <w:spacing w:after="120"/>
        <w:jc w:val="both"/>
        <w:rPr>
          <w:rFonts w:cs="Calibri"/>
          <w:bCs/>
          <w:sz w:val="22"/>
          <w:szCs w:val="22"/>
          <w:lang w:val="en-GB"/>
        </w:rPr>
      </w:pPr>
      <w:r w:rsidRPr="002E0285">
        <w:rPr>
          <w:rFonts w:cs="Calibri"/>
          <w:bCs/>
          <w:sz w:val="22"/>
          <w:szCs w:val="22"/>
          <w:lang w:val="en-GB"/>
        </w:rPr>
        <w:t xml:space="preserve">With regard to the 40 GHz </w:t>
      </w:r>
      <w:r>
        <w:rPr>
          <w:rFonts w:cs="Calibri"/>
          <w:bCs/>
          <w:sz w:val="22"/>
          <w:szCs w:val="22"/>
          <w:lang w:val="en-GB"/>
        </w:rPr>
        <w:t>band</w:t>
      </w:r>
      <w:r w:rsidRPr="002E0285">
        <w:rPr>
          <w:rFonts w:cs="Calibri"/>
          <w:bCs/>
          <w:sz w:val="22"/>
          <w:szCs w:val="22"/>
          <w:lang w:val="en-GB"/>
        </w:rPr>
        <w:t>, a globally harmonised range at 37-43.5 GHz is also important</w:t>
      </w:r>
      <w:r>
        <w:rPr>
          <w:rFonts w:cs="Calibri"/>
          <w:bCs/>
          <w:sz w:val="22"/>
          <w:szCs w:val="22"/>
          <w:lang w:val="en-GB"/>
        </w:rPr>
        <w:t xml:space="preserve"> as the </w:t>
      </w:r>
      <w:r w:rsidRPr="002E0285">
        <w:rPr>
          <w:rFonts w:cs="Calibri"/>
          <w:bCs/>
          <w:sz w:val="22"/>
          <w:szCs w:val="22"/>
          <w:lang w:val="en-GB"/>
        </w:rPr>
        <w:t xml:space="preserve">wider tuning range will allow for the greatest possible economies of scale </w:t>
      </w:r>
      <w:r>
        <w:rPr>
          <w:rFonts w:cs="Calibri"/>
          <w:bCs/>
          <w:sz w:val="22"/>
          <w:szCs w:val="22"/>
          <w:lang w:val="en-GB"/>
        </w:rPr>
        <w:t>and</w:t>
      </w:r>
      <w:r w:rsidRPr="002E0285">
        <w:rPr>
          <w:rFonts w:cs="Calibri"/>
          <w:bCs/>
          <w:sz w:val="22"/>
          <w:szCs w:val="22"/>
          <w:lang w:val="en-GB"/>
        </w:rPr>
        <w:t xml:space="preserve"> bring the widest benefits of harmonisation to consumers.</w:t>
      </w:r>
    </w:p>
    <w:p w:rsidR="00902433" w:rsidRPr="00FF4EC4" w:rsidRDefault="00902433" w:rsidP="00902433">
      <w:pPr>
        <w:autoSpaceDE w:val="0"/>
        <w:autoSpaceDN w:val="0"/>
        <w:adjustRightInd w:val="0"/>
        <w:spacing w:after="120"/>
        <w:jc w:val="both"/>
        <w:rPr>
          <w:rFonts w:cs="Calibri"/>
          <w:bCs/>
          <w:sz w:val="22"/>
          <w:szCs w:val="22"/>
          <w:lang w:val="en-GB"/>
        </w:rPr>
      </w:pPr>
      <w:r w:rsidRPr="00FF4EC4">
        <w:rPr>
          <w:rFonts w:cs="Calibri"/>
          <w:bCs/>
          <w:sz w:val="22"/>
          <w:szCs w:val="22"/>
          <w:lang w:val="en-GB"/>
        </w:rPr>
        <w:t>The Draft CPM Report for Agenda Item 1.13 is now a complex compendium of every possible condition. It is possible, through the current text, to identify a band for IMT on paper, but effectively render it unusable on the ground. There is a risk at WRC-19 that, unless only the optimal technical conditions are applied, the IMT use of the bands will be severely limited.</w:t>
      </w:r>
      <w:r>
        <w:rPr>
          <w:rFonts w:cs="Calibri"/>
          <w:bCs/>
          <w:sz w:val="22"/>
          <w:szCs w:val="22"/>
          <w:lang w:val="en-GB"/>
        </w:rPr>
        <w:t xml:space="preserve"> In this document the </w:t>
      </w:r>
      <w:r w:rsidR="003E787C">
        <w:rPr>
          <w:rFonts w:cs="Calibri"/>
          <w:bCs/>
          <w:sz w:val="22"/>
          <w:szCs w:val="22"/>
          <w:lang w:val="en-GB"/>
        </w:rPr>
        <w:t>co-sourcing organisation</w:t>
      </w:r>
      <w:r>
        <w:rPr>
          <w:rFonts w:cs="Calibri"/>
          <w:bCs/>
          <w:sz w:val="22"/>
          <w:szCs w:val="22"/>
          <w:lang w:val="en-GB"/>
        </w:rPr>
        <w:t xml:space="preserve"> outlines the optimal conditions to ensure protection of other services where required but still supporting IMT. </w:t>
      </w:r>
    </w:p>
    <w:p w:rsidR="00902433" w:rsidRPr="009A2853" w:rsidRDefault="00861016" w:rsidP="00902433">
      <w:pPr>
        <w:tabs>
          <w:tab w:val="left" w:pos="709"/>
          <w:tab w:val="left" w:pos="1134"/>
        </w:tabs>
        <w:spacing w:before="120" w:after="120"/>
        <w:outlineLvl w:val="0"/>
        <w:rPr>
          <w:b/>
          <w:sz w:val="22"/>
          <w:szCs w:val="22"/>
        </w:rPr>
      </w:pPr>
      <w:r>
        <w:rPr>
          <w:b/>
          <w:sz w:val="22"/>
          <w:szCs w:val="22"/>
        </w:rPr>
        <w:t xml:space="preserve">2. </w:t>
      </w:r>
      <w:r w:rsidR="00902433">
        <w:rPr>
          <w:b/>
          <w:sz w:val="22"/>
          <w:szCs w:val="22"/>
        </w:rPr>
        <w:t>Overview by Frequency Band</w:t>
      </w:r>
    </w:p>
    <w:p w:rsidR="00902433" w:rsidRPr="002E0285" w:rsidRDefault="00902433" w:rsidP="00902433">
      <w:pPr>
        <w:spacing w:before="120" w:after="120"/>
        <w:jc w:val="both"/>
        <w:rPr>
          <w:rFonts w:cs="Calibri"/>
          <w:b/>
          <w:sz w:val="22"/>
          <w:szCs w:val="22"/>
          <w:lang w:val="en-GB"/>
        </w:rPr>
      </w:pPr>
      <w:r w:rsidRPr="002E0285">
        <w:rPr>
          <w:rFonts w:cs="Calibri"/>
          <w:b/>
          <w:sz w:val="22"/>
          <w:szCs w:val="22"/>
          <w:lang w:val="en-GB"/>
        </w:rPr>
        <w:t xml:space="preserve">A. </w:t>
      </w:r>
      <w:r w:rsidRPr="002E0285">
        <w:rPr>
          <w:b/>
          <w:sz w:val="22"/>
          <w:szCs w:val="22"/>
          <w:lang w:val="en-GB"/>
        </w:rPr>
        <w:tab/>
      </w:r>
      <w:r w:rsidRPr="002E0285">
        <w:rPr>
          <w:rFonts w:cs="Calibri"/>
          <w:b/>
          <w:sz w:val="22"/>
          <w:szCs w:val="22"/>
          <w:lang w:val="en-GB"/>
        </w:rPr>
        <w:t xml:space="preserve">26 GHz </w:t>
      </w:r>
    </w:p>
    <w:p w:rsidR="00902433" w:rsidRPr="002E0285" w:rsidRDefault="00902433" w:rsidP="00902433">
      <w:pPr>
        <w:spacing w:before="120" w:after="120"/>
        <w:jc w:val="both"/>
        <w:rPr>
          <w:sz w:val="22"/>
          <w:szCs w:val="22"/>
          <w:lang w:val="en-GB"/>
        </w:rPr>
      </w:pPr>
      <w:r w:rsidRPr="002E0285">
        <w:rPr>
          <w:sz w:val="22"/>
          <w:szCs w:val="22"/>
          <w:lang w:val="en-GB"/>
        </w:rPr>
        <w:t xml:space="preserve">The GSMA </w:t>
      </w:r>
      <w:r w:rsidR="00F67EEC">
        <w:rPr>
          <w:sz w:val="22"/>
          <w:szCs w:val="22"/>
          <w:lang w:val="en-GB"/>
        </w:rPr>
        <w:t>suggests</w:t>
      </w:r>
      <w:r w:rsidR="00F67EEC" w:rsidRPr="002E0285">
        <w:rPr>
          <w:sz w:val="22"/>
          <w:szCs w:val="22"/>
          <w:lang w:val="en-GB"/>
        </w:rPr>
        <w:t xml:space="preserve"> </w:t>
      </w:r>
      <w:r w:rsidR="00F67EEC">
        <w:rPr>
          <w:sz w:val="22"/>
          <w:szCs w:val="22"/>
          <w:lang w:val="en-GB"/>
        </w:rPr>
        <w:t>APT Members to</w:t>
      </w:r>
      <w:r w:rsidR="00F67EEC" w:rsidRPr="002E0285">
        <w:rPr>
          <w:sz w:val="22"/>
          <w:szCs w:val="22"/>
          <w:lang w:val="en-GB"/>
        </w:rPr>
        <w:t xml:space="preserve"> </w:t>
      </w:r>
      <w:r w:rsidRPr="002E0285">
        <w:rPr>
          <w:sz w:val="22"/>
          <w:szCs w:val="22"/>
          <w:lang w:val="en-GB"/>
        </w:rPr>
        <w:t xml:space="preserve">support a new IMT footnote for the 26 GHz range such as: </w:t>
      </w:r>
    </w:p>
    <w:p w:rsidR="00902433" w:rsidRPr="00F3449A" w:rsidRDefault="00902433" w:rsidP="00902433">
      <w:pPr>
        <w:spacing w:before="120" w:after="120"/>
        <w:rPr>
          <w:i/>
          <w:sz w:val="22"/>
          <w:szCs w:val="22"/>
          <w:lang w:val="en-GB"/>
        </w:rPr>
      </w:pPr>
      <w:proofErr w:type="gramStart"/>
      <w:r w:rsidRPr="00F3449A">
        <w:rPr>
          <w:b/>
          <w:i/>
          <w:sz w:val="22"/>
          <w:szCs w:val="22"/>
          <w:lang w:val="en-GB"/>
        </w:rPr>
        <w:t>5.A113b</w:t>
      </w:r>
      <w:proofErr w:type="gramEnd"/>
      <w:r w:rsidRPr="00F3449A">
        <w:rPr>
          <w:b/>
          <w:i/>
          <w:sz w:val="22"/>
          <w:szCs w:val="22"/>
          <w:lang w:val="en-GB"/>
        </w:rPr>
        <w:tab/>
        <w:t xml:space="preserve"> </w:t>
      </w:r>
      <w:r w:rsidRPr="00F3449A">
        <w:rPr>
          <w:i/>
          <w:sz w:val="22"/>
          <w:szCs w:val="22"/>
          <w:lang w:val="en-GB"/>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Resolutions </w:t>
      </w:r>
      <w:r w:rsidRPr="00F3449A">
        <w:rPr>
          <w:b/>
          <w:bCs/>
          <w:i/>
          <w:sz w:val="22"/>
          <w:szCs w:val="22"/>
          <w:lang w:val="en-GB"/>
        </w:rPr>
        <w:t xml:space="preserve">[A113-IMT </w:t>
      </w:r>
      <w:r w:rsidRPr="00F3449A">
        <w:rPr>
          <w:b/>
          <w:bCs/>
          <w:i/>
          <w:sz w:val="22"/>
          <w:szCs w:val="22"/>
          <w:lang w:val="en-GB" w:eastAsia="ja-JP"/>
        </w:rPr>
        <w:t>26 GHZ</w:t>
      </w:r>
      <w:r w:rsidRPr="00F3449A">
        <w:rPr>
          <w:b/>
          <w:bCs/>
          <w:i/>
          <w:sz w:val="22"/>
          <w:szCs w:val="22"/>
          <w:lang w:val="en-GB"/>
        </w:rPr>
        <w:t>] (WRC-19)</w:t>
      </w:r>
      <w:r w:rsidRPr="00F3449A">
        <w:rPr>
          <w:i/>
          <w:sz w:val="22"/>
          <w:szCs w:val="22"/>
          <w:lang w:val="en-GB"/>
        </w:rPr>
        <w:t xml:space="preserve"> and </w:t>
      </w:r>
      <w:r w:rsidRPr="00F3449A">
        <w:rPr>
          <w:b/>
          <w:bCs/>
          <w:i/>
          <w:sz w:val="22"/>
          <w:szCs w:val="22"/>
          <w:lang w:val="en-GB"/>
        </w:rPr>
        <w:t>750 (Rev.WRC-19)</w:t>
      </w:r>
      <w:r w:rsidRPr="00F3449A">
        <w:rPr>
          <w:i/>
          <w:sz w:val="22"/>
          <w:szCs w:val="22"/>
          <w:lang w:val="en-GB"/>
        </w:rPr>
        <w:t xml:space="preserve"> apply.     (WRC</w:t>
      </w:r>
      <w:r w:rsidRPr="00F3449A">
        <w:rPr>
          <w:i/>
          <w:sz w:val="22"/>
          <w:szCs w:val="22"/>
          <w:lang w:val="en-GB"/>
        </w:rPr>
        <w:noBreakHyphen/>
        <w:t>19)</w:t>
      </w:r>
    </w:p>
    <w:p w:rsidR="00902433" w:rsidRPr="002E0285" w:rsidRDefault="00902433" w:rsidP="00902433">
      <w:pPr>
        <w:spacing w:before="120" w:after="120"/>
        <w:rPr>
          <w:sz w:val="22"/>
          <w:szCs w:val="22"/>
          <w:lang w:val="en-GB"/>
        </w:rPr>
      </w:pPr>
      <w:r w:rsidRPr="002E0285">
        <w:rPr>
          <w:sz w:val="22"/>
          <w:szCs w:val="22"/>
          <w:lang w:val="en-GB"/>
        </w:rPr>
        <w:t xml:space="preserve">The GSMA </w:t>
      </w:r>
      <w:r>
        <w:rPr>
          <w:sz w:val="22"/>
          <w:szCs w:val="22"/>
          <w:lang w:val="en-GB"/>
        </w:rPr>
        <w:t>believes</w:t>
      </w:r>
      <w:r w:rsidRPr="002E0285">
        <w:rPr>
          <w:sz w:val="22"/>
          <w:szCs w:val="22"/>
          <w:lang w:val="en-GB"/>
        </w:rPr>
        <w:t xml:space="preserve"> the following methods for the band 24.25-27.5 GHz</w:t>
      </w:r>
      <w:r>
        <w:rPr>
          <w:sz w:val="22"/>
          <w:szCs w:val="22"/>
          <w:lang w:val="en-GB"/>
        </w:rPr>
        <w:t xml:space="preserve"> are the most appropriate</w:t>
      </w:r>
      <w:r w:rsidRPr="002E0285">
        <w:rPr>
          <w:sz w:val="22"/>
          <w:szCs w:val="22"/>
          <w:lang w:val="en-GB"/>
        </w:rPr>
        <w:t>:</w:t>
      </w:r>
    </w:p>
    <w:p w:rsidR="00902433" w:rsidRPr="002E0285" w:rsidRDefault="00902433" w:rsidP="00902433">
      <w:pPr>
        <w:numPr>
          <w:ilvl w:val="0"/>
          <w:numId w:val="12"/>
        </w:numPr>
        <w:spacing w:before="120" w:after="120"/>
        <w:contextualSpacing/>
        <w:jc w:val="both"/>
        <w:rPr>
          <w:sz w:val="22"/>
          <w:szCs w:val="22"/>
          <w:lang w:val="en-GB"/>
        </w:rPr>
      </w:pPr>
      <w:r w:rsidRPr="002E0285">
        <w:rPr>
          <w:sz w:val="22"/>
          <w:szCs w:val="22"/>
          <w:lang w:val="en-GB"/>
        </w:rPr>
        <w:t xml:space="preserve">Method A2, Alternative 2: identification to terrestrial component of IMT in 24.25-27.5 GHz (in the mobile service), including allocation of the band 24.25-25.25 GHz to the mobile service (except aeronautical mobile) on a primary basis in Regions 1 and 2. </w:t>
      </w:r>
    </w:p>
    <w:p w:rsidR="00902433" w:rsidRPr="00F3449A" w:rsidRDefault="00902433" w:rsidP="00902433">
      <w:pPr>
        <w:numPr>
          <w:ilvl w:val="1"/>
          <w:numId w:val="12"/>
        </w:numPr>
        <w:spacing w:before="120" w:after="120"/>
        <w:contextualSpacing/>
        <w:jc w:val="both"/>
        <w:rPr>
          <w:sz w:val="22"/>
          <w:szCs w:val="22"/>
          <w:lang w:val="en-GB"/>
        </w:rPr>
      </w:pPr>
      <w:r w:rsidRPr="002E0285">
        <w:rPr>
          <w:sz w:val="22"/>
          <w:szCs w:val="22"/>
          <w:lang w:val="en-GB"/>
        </w:rPr>
        <w:t>Condition A2a: Option 1 – Resolution 750 (Rev. WRC-19) in Table 1-1.</w:t>
      </w:r>
      <w:r>
        <w:rPr>
          <w:sz w:val="22"/>
          <w:szCs w:val="22"/>
          <w:lang w:val="en-GB"/>
        </w:rPr>
        <w:t xml:space="preserve"> </w:t>
      </w:r>
      <w:r w:rsidRPr="00F3449A">
        <w:rPr>
          <w:sz w:val="22"/>
          <w:szCs w:val="22"/>
          <w:lang w:val="en-GB"/>
        </w:rPr>
        <w:t>Resolution 750 (Rev. WRC-15) Table 1-1 to be updated within the following ranges:</w:t>
      </w:r>
    </w:p>
    <w:p w:rsidR="00902433" w:rsidRPr="002E0285" w:rsidRDefault="00902433" w:rsidP="00902433">
      <w:pPr>
        <w:numPr>
          <w:ilvl w:val="2"/>
          <w:numId w:val="12"/>
        </w:numPr>
        <w:contextualSpacing/>
        <w:jc w:val="both"/>
        <w:rPr>
          <w:sz w:val="22"/>
          <w:szCs w:val="22"/>
          <w:lang w:val="en-GB"/>
        </w:rPr>
      </w:pPr>
      <w:r w:rsidRPr="002E0285">
        <w:rPr>
          <w:sz w:val="22"/>
          <w:szCs w:val="22"/>
          <w:lang w:val="en-GB"/>
        </w:rPr>
        <w:t>IMT-2020 BS: -32 to -37 dB(W/200 MHz)</w:t>
      </w:r>
    </w:p>
    <w:p w:rsidR="00902433" w:rsidRPr="002E0285" w:rsidRDefault="00902433" w:rsidP="00902433">
      <w:pPr>
        <w:numPr>
          <w:ilvl w:val="2"/>
          <w:numId w:val="12"/>
        </w:numPr>
        <w:contextualSpacing/>
        <w:jc w:val="both"/>
        <w:rPr>
          <w:sz w:val="22"/>
          <w:szCs w:val="22"/>
          <w:lang w:val="en-GB"/>
        </w:rPr>
      </w:pPr>
      <w:r w:rsidRPr="002E0285">
        <w:rPr>
          <w:sz w:val="22"/>
          <w:szCs w:val="22"/>
          <w:lang w:val="en-GB"/>
        </w:rPr>
        <w:t>IMT-2020 UE: -28 to -30 dB(W/200 MHz)</w:t>
      </w:r>
    </w:p>
    <w:p w:rsidR="00902433" w:rsidRPr="002E0285" w:rsidRDefault="00902433" w:rsidP="00902433">
      <w:pPr>
        <w:spacing w:before="120" w:after="120"/>
        <w:rPr>
          <w:sz w:val="22"/>
          <w:szCs w:val="22"/>
          <w:lang w:val="en-GB"/>
        </w:rPr>
      </w:pPr>
      <w:r w:rsidRPr="002E0285">
        <w:rPr>
          <w:sz w:val="22"/>
          <w:szCs w:val="22"/>
          <w:lang w:val="en-GB"/>
        </w:rPr>
        <w:t>For all other conditions, no action is necessary due to results of sharing and compatibility studies. In detail,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A2b: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A2c: Option 4 -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A2d: Option 4 -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A2e: Option 9 -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A2f: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A2g: Option 4 - no condition necessary</w:t>
      </w:r>
    </w:p>
    <w:p w:rsidR="00902433" w:rsidRPr="002E0285" w:rsidRDefault="00902433" w:rsidP="00902433">
      <w:pPr>
        <w:jc w:val="both"/>
        <w:rPr>
          <w:sz w:val="22"/>
          <w:szCs w:val="22"/>
          <w:lang w:val="en-GB"/>
        </w:rPr>
      </w:pPr>
    </w:p>
    <w:p w:rsidR="00902433" w:rsidRPr="002E0285" w:rsidRDefault="00902433" w:rsidP="00902433">
      <w:pPr>
        <w:spacing w:before="120" w:after="120"/>
        <w:rPr>
          <w:b/>
          <w:sz w:val="22"/>
          <w:szCs w:val="22"/>
          <w:lang w:val="en-GB"/>
        </w:rPr>
      </w:pPr>
      <w:r w:rsidRPr="002E0285">
        <w:rPr>
          <w:b/>
          <w:sz w:val="22"/>
          <w:szCs w:val="22"/>
          <w:lang w:val="en-GB"/>
        </w:rPr>
        <w:t xml:space="preserve">B. </w:t>
      </w:r>
      <w:r w:rsidRPr="002E0285">
        <w:rPr>
          <w:b/>
          <w:sz w:val="22"/>
          <w:szCs w:val="22"/>
          <w:lang w:val="en-GB"/>
        </w:rPr>
        <w:tab/>
        <w:t>40 GHz (37-43.5 GHz)</w:t>
      </w:r>
    </w:p>
    <w:p w:rsidR="00902433" w:rsidRPr="002E0285" w:rsidRDefault="00902433" w:rsidP="00902433">
      <w:pPr>
        <w:spacing w:before="120" w:after="120"/>
        <w:rPr>
          <w:sz w:val="22"/>
          <w:szCs w:val="22"/>
          <w:lang w:val="en-GB"/>
        </w:rPr>
      </w:pPr>
      <w:r w:rsidRPr="002E0285">
        <w:rPr>
          <w:sz w:val="22"/>
          <w:szCs w:val="22"/>
          <w:lang w:val="en-GB"/>
        </w:rPr>
        <w:t xml:space="preserve">While there are three sub-segments to the 40 GHz range, this should be treated in its entirety as a wider tuning range in order to support global harmonisation. </w:t>
      </w:r>
      <w:r>
        <w:rPr>
          <w:sz w:val="22"/>
          <w:szCs w:val="22"/>
          <w:lang w:val="en-GB"/>
        </w:rPr>
        <w:t>A</w:t>
      </w:r>
      <w:r w:rsidRPr="002E0285">
        <w:rPr>
          <w:sz w:val="22"/>
          <w:szCs w:val="22"/>
          <w:lang w:val="en-GB"/>
        </w:rPr>
        <w:t xml:space="preserve"> single footnote covering the frequency range </w:t>
      </w:r>
      <w:r>
        <w:rPr>
          <w:sz w:val="22"/>
          <w:szCs w:val="22"/>
          <w:lang w:val="en-GB"/>
        </w:rPr>
        <w:t xml:space="preserve">37-43.5 GHz </w:t>
      </w:r>
      <w:r w:rsidRPr="002E0285">
        <w:rPr>
          <w:sz w:val="22"/>
          <w:szCs w:val="22"/>
          <w:lang w:val="en-GB"/>
        </w:rPr>
        <w:t xml:space="preserve">should thus be supported. </w:t>
      </w:r>
    </w:p>
    <w:p w:rsidR="00902433" w:rsidRPr="002E0285" w:rsidRDefault="00902433" w:rsidP="00902433">
      <w:pPr>
        <w:spacing w:before="120" w:after="120"/>
        <w:rPr>
          <w:sz w:val="22"/>
          <w:szCs w:val="22"/>
          <w:lang w:val="en-GB"/>
        </w:rPr>
      </w:pPr>
      <w:r w:rsidRPr="002E0285">
        <w:rPr>
          <w:sz w:val="22"/>
          <w:szCs w:val="22"/>
          <w:lang w:val="en-GB"/>
        </w:rPr>
        <w:t xml:space="preserve">The GSMA </w:t>
      </w:r>
      <w:r w:rsidR="00F67EEC">
        <w:rPr>
          <w:sz w:val="22"/>
          <w:szCs w:val="22"/>
          <w:lang w:val="en-GB"/>
        </w:rPr>
        <w:t>suggests</w:t>
      </w:r>
      <w:r w:rsidR="00F67EEC" w:rsidRPr="002E0285">
        <w:rPr>
          <w:sz w:val="22"/>
          <w:szCs w:val="22"/>
          <w:lang w:val="en-GB"/>
        </w:rPr>
        <w:t xml:space="preserve"> </w:t>
      </w:r>
      <w:r w:rsidR="00F67EEC">
        <w:rPr>
          <w:sz w:val="22"/>
          <w:szCs w:val="22"/>
          <w:lang w:val="en-GB"/>
        </w:rPr>
        <w:t>APT Members to</w:t>
      </w:r>
      <w:r w:rsidR="00F67EEC" w:rsidRPr="002E0285">
        <w:rPr>
          <w:sz w:val="22"/>
          <w:szCs w:val="22"/>
          <w:lang w:val="en-GB"/>
        </w:rPr>
        <w:t xml:space="preserve"> </w:t>
      </w:r>
      <w:r w:rsidRPr="002E0285">
        <w:rPr>
          <w:sz w:val="22"/>
          <w:szCs w:val="22"/>
          <w:lang w:val="en-GB"/>
        </w:rPr>
        <w:t>support creation of a new IMT footnote for the 40 GHz range along the foll</w:t>
      </w:r>
      <w:bookmarkStart w:id="0" w:name="_GoBack"/>
      <w:bookmarkEnd w:id="0"/>
      <w:r w:rsidRPr="002E0285">
        <w:rPr>
          <w:sz w:val="22"/>
          <w:szCs w:val="22"/>
          <w:lang w:val="en-GB"/>
        </w:rPr>
        <w:t>owing lines:</w:t>
      </w:r>
    </w:p>
    <w:p w:rsidR="00902433" w:rsidRPr="00F3449A" w:rsidRDefault="00902433" w:rsidP="00902433">
      <w:pPr>
        <w:spacing w:before="120" w:after="120"/>
        <w:rPr>
          <w:i/>
          <w:color w:val="000000"/>
          <w:sz w:val="22"/>
          <w:szCs w:val="22"/>
          <w:lang w:val="en-GB"/>
        </w:rPr>
      </w:pPr>
      <w:proofErr w:type="gramStart"/>
      <w:r w:rsidRPr="00F3449A">
        <w:rPr>
          <w:b/>
          <w:bCs/>
          <w:i/>
          <w:color w:val="000000"/>
          <w:sz w:val="22"/>
          <w:szCs w:val="22"/>
          <w:lang w:val="en-GB"/>
        </w:rPr>
        <w:lastRenderedPageBreak/>
        <w:t>5.B113X</w:t>
      </w:r>
      <w:proofErr w:type="gramEnd"/>
      <w:r w:rsidRPr="00F3449A">
        <w:rPr>
          <w:b/>
          <w:bCs/>
          <w:i/>
          <w:color w:val="000000"/>
          <w:sz w:val="22"/>
          <w:szCs w:val="22"/>
          <w:lang w:val="en-GB"/>
        </w:rPr>
        <w:t>                </w:t>
      </w:r>
      <w:r w:rsidRPr="00F3449A">
        <w:rPr>
          <w:i/>
          <w:color w:val="000000"/>
          <w:sz w:val="22"/>
          <w:szCs w:val="22"/>
          <w:lang w:val="en-GB"/>
        </w:rPr>
        <w:t>The frequency band 37-43.5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F3449A">
        <w:rPr>
          <w:b/>
          <w:bCs/>
          <w:i/>
          <w:color w:val="000000"/>
          <w:sz w:val="22"/>
          <w:szCs w:val="22"/>
          <w:lang w:val="en-GB"/>
        </w:rPr>
        <w:t>[B113-IMT 40/50 GHZ] (WRC-19)</w:t>
      </w:r>
      <w:r w:rsidRPr="00F3449A">
        <w:rPr>
          <w:i/>
          <w:color w:val="000000"/>
          <w:sz w:val="22"/>
          <w:szCs w:val="22"/>
          <w:lang w:val="en-GB"/>
        </w:rPr>
        <w:t> applies.    (WRC</w:t>
      </w:r>
      <w:r w:rsidRPr="00F3449A">
        <w:rPr>
          <w:i/>
          <w:color w:val="000000"/>
          <w:sz w:val="22"/>
          <w:szCs w:val="22"/>
          <w:lang w:val="en-GB"/>
        </w:rPr>
        <w:noBreakHyphen/>
        <w:t>19)</w:t>
      </w:r>
    </w:p>
    <w:p w:rsidR="00902433" w:rsidRPr="002E0285" w:rsidRDefault="00902433" w:rsidP="00902433">
      <w:pPr>
        <w:spacing w:before="120" w:after="120"/>
        <w:rPr>
          <w:b/>
          <w:sz w:val="22"/>
          <w:szCs w:val="22"/>
          <w:lang w:val="en-GB"/>
        </w:rPr>
      </w:pPr>
      <w:r w:rsidRPr="002E0285">
        <w:rPr>
          <w:b/>
          <w:sz w:val="22"/>
          <w:szCs w:val="22"/>
          <w:lang w:val="en-GB"/>
        </w:rPr>
        <w:tab/>
        <w:t>2.1 37-40.5 GHz</w:t>
      </w:r>
    </w:p>
    <w:p w:rsidR="00902433" w:rsidRPr="002E0285" w:rsidRDefault="00902433" w:rsidP="00902433">
      <w:pPr>
        <w:spacing w:before="120" w:after="120"/>
        <w:jc w:val="both"/>
        <w:rPr>
          <w:sz w:val="22"/>
          <w:szCs w:val="22"/>
          <w:lang w:val="en-GB"/>
        </w:rPr>
      </w:pPr>
      <w:r>
        <w:rPr>
          <w:sz w:val="22"/>
          <w:szCs w:val="22"/>
          <w:lang w:val="en-GB"/>
        </w:rPr>
        <w:t>Suggested m</w:t>
      </w:r>
      <w:r w:rsidRPr="002E0285">
        <w:rPr>
          <w:sz w:val="22"/>
          <w:szCs w:val="22"/>
          <w:lang w:val="en-GB"/>
        </w:rPr>
        <w:t>ethods:</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t>Method C2, Alternative 2: identification to terrestrial component of IMT in 37-40.5 GHz (in the mobile service)</w:t>
      </w:r>
    </w:p>
    <w:p w:rsidR="00902433" w:rsidRPr="002E0285" w:rsidRDefault="00902433" w:rsidP="00902433">
      <w:pPr>
        <w:spacing w:before="120" w:after="120"/>
        <w:rPr>
          <w:sz w:val="22"/>
          <w:szCs w:val="22"/>
          <w:lang w:val="en-GB"/>
        </w:rPr>
      </w:pPr>
      <w:r w:rsidRPr="002E0285">
        <w:rPr>
          <w:sz w:val="22"/>
          <w:szCs w:val="22"/>
          <w:lang w:val="en-GB"/>
        </w:rPr>
        <w:t xml:space="preserve">For the conditions associated with this band, no action is necessary due to results of sharing and compatibility studies. </w:t>
      </w:r>
    </w:p>
    <w:p w:rsidR="00902433" w:rsidRPr="002E0285" w:rsidRDefault="00902433" w:rsidP="00902433">
      <w:pPr>
        <w:spacing w:before="120" w:after="120"/>
        <w:rPr>
          <w:sz w:val="22"/>
          <w:szCs w:val="22"/>
          <w:lang w:val="en-GB"/>
        </w:rPr>
      </w:pPr>
      <w:r w:rsidRPr="002E0285">
        <w:rPr>
          <w:sz w:val="22"/>
          <w:szCs w:val="22"/>
          <w:lang w:val="en-GB"/>
        </w:rPr>
        <w:t>In detail,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C2a: Option 4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C2b: Option 6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C2c: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C2d: Option 2 -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C2e: Option 3 - no condition necessary</w:t>
      </w:r>
    </w:p>
    <w:p w:rsidR="00902433" w:rsidRPr="002E0285" w:rsidRDefault="00902433" w:rsidP="00902433">
      <w:pPr>
        <w:spacing w:before="120" w:after="120"/>
        <w:rPr>
          <w:sz w:val="22"/>
          <w:szCs w:val="22"/>
          <w:lang w:val="en-GB"/>
        </w:rPr>
      </w:pPr>
      <w:r w:rsidRPr="002E0285">
        <w:rPr>
          <w:sz w:val="22"/>
          <w:szCs w:val="22"/>
          <w:lang w:val="en-GB"/>
        </w:rPr>
        <w:t>A</w:t>
      </w:r>
      <w:r w:rsidRPr="002E0285">
        <w:rPr>
          <w:iCs/>
          <w:sz w:val="22"/>
          <w:szCs w:val="22"/>
          <w:lang w:val="en-GB"/>
        </w:rPr>
        <w:t>lthough there is an EESS</w:t>
      </w:r>
      <w:r>
        <w:rPr>
          <w:iCs/>
          <w:sz w:val="22"/>
          <w:szCs w:val="22"/>
          <w:lang w:val="en-GB"/>
        </w:rPr>
        <w:t xml:space="preserve"> (passive)</w:t>
      </w:r>
      <w:r w:rsidRPr="002E0285">
        <w:rPr>
          <w:iCs/>
          <w:sz w:val="22"/>
          <w:szCs w:val="22"/>
          <w:lang w:val="en-GB"/>
        </w:rPr>
        <w:t xml:space="preserve"> allocation in the adjacent band 36-37 GHz, it should be noted that it is not a passive band and not listed in Footnote </w:t>
      </w:r>
      <w:r w:rsidRPr="002E0285">
        <w:rPr>
          <w:b/>
          <w:iCs/>
          <w:sz w:val="22"/>
          <w:szCs w:val="22"/>
          <w:lang w:val="en-GB"/>
        </w:rPr>
        <w:t>5.340</w:t>
      </w:r>
      <w:r w:rsidRPr="002E0285">
        <w:rPr>
          <w:iCs/>
          <w:sz w:val="22"/>
          <w:szCs w:val="22"/>
          <w:lang w:val="en-GB"/>
        </w:rPr>
        <w:t xml:space="preserve">. It is a shared band between passive and active services, therefore Resolution </w:t>
      </w:r>
      <w:r w:rsidRPr="002E0285">
        <w:rPr>
          <w:b/>
          <w:bCs/>
          <w:iCs/>
          <w:sz w:val="22"/>
          <w:szCs w:val="22"/>
          <w:lang w:val="en-GB"/>
        </w:rPr>
        <w:t>750 (Rev.WRC-15)</w:t>
      </w:r>
      <w:r w:rsidRPr="002E0285">
        <w:rPr>
          <w:iCs/>
          <w:sz w:val="22"/>
          <w:szCs w:val="22"/>
          <w:lang w:val="en-GB"/>
        </w:rPr>
        <w:t xml:space="preserve"> would not be applicable. Footnote </w:t>
      </w:r>
      <w:r w:rsidRPr="002E0285">
        <w:rPr>
          <w:b/>
          <w:bCs/>
          <w:iCs/>
          <w:sz w:val="22"/>
          <w:szCs w:val="22"/>
          <w:lang w:val="en-GB"/>
        </w:rPr>
        <w:t>5.550A</w:t>
      </w:r>
      <w:r w:rsidRPr="002E0285">
        <w:rPr>
          <w:iCs/>
          <w:sz w:val="22"/>
          <w:szCs w:val="22"/>
          <w:lang w:val="en-GB"/>
        </w:rPr>
        <w:t xml:space="preserve"> and Resolution </w:t>
      </w:r>
      <w:r w:rsidRPr="002E0285">
        <w:rPr>
          <w:b/>
          <w:bCs/>
          <w:iCs/>
          <w:sz w:val="22"/>
          <w:szCs w:val="22"/>
          <w:lang w:val="en-GB"/>
        </w:rPr>
        <w:t>752 (WRC-07)</w:t>
      </w:r>
      <w:r w:rsidRPr="002E0285">
        <w:rPr>
          <w:iCs/>
          <w:sz w:val="22"/>
          <w:szCs w:val="22"/>
          <w:lang w:val="en-GB"/>
        </w:rPr>
        <w:t xml:space="preserve"> both apply in this case</w:t>
      </w:r>
      <w:r w:rsidRPr="002E0285">
        <w:rPr>
          <w:sz w:val="22"/>
          <w:szCs w:val="22"/>
          <w:lang w:val="en-GB"/>
        </w:rPr>
        <w:t>, as demonstrated by the results of the sharing studies.</w:t>
      </w:r>
    </w:p>
    <w:p w:rsidR="00902433" w:rsidRPr="002E0285" w:rsidRDefault="00902433" w:rsidP="00902433">
      <w:pPr>
        <w:spacing w:before="120" w:after="120"/>
        <w:rPr>
          <w:b/>
          <w:sz w:val="22"/>
          <w:szCs w:val="22"/>
          <w:lang w:val="en-GB"/>
        </w:rPr>
      </w:pPr>
      <w:r w:rsidRPr="002E0285">
        <w:rPr>
          <w:b/>
          <w:sz w:val="22"/>
          <w:szCs w:val="22"/>
          <w:lang w:val="en-GB"/>
        </w:rPr>
        <w:tab/>
        <w:t xml:space="preserve">2.2 </w:t>
      </w:r>
      <w:r w:rsidRPr="002E0285">
        <w:rPr>
          <w:b/>
          <w:sz w:val="22"/>
          <w:szCs w:val="22"/>
          <w:lang w:val="en-GB"/>
        </w:rPr>
        <w:tab/>
        <w:t>40.5-42.5 GHz</w:t>
      </w:r>
    </w:p>
    <w:p w:rsidR="00902433" w:rsidRPr="002E0285" w:rsidRDefault="00902433" w:rsidP="00902433">
      <w:pPr>
        <w:spacing w:before="120" w:after="120"/>
        <w:jc w:val="both"/>
        <w:rPr>
          <w:sz w:val="22"/>
          <w:szCs w:val="22"/>
          <w:lang w:val="en-GB"/>
        </w:rPr>
      </w:pPr>
      <w:r w:rsidRPr="002E0285">
        <w:rPr>
          <w:sz w:val="22"/>
          <w:szCs w:val="22"/>
          <w:lang w:val="en-GB"/>
        </w:rPr>
        <w:t xml:space="preserve">The GSMA </w:t>
      </w:r>
      <w:r w:rsidR="00F67EEC">
        <w:rPr>
          <w:sz w:val="22"/>
          <w:szCs w:val="22"/>
          <w:lang w:val="en-GB"/>
        </w:rPr>
        <w:t>suggests</w:t>
      </w:r>
      <w:r w:rsidR="00F67EEC" w:rsidRPr="002E0285">
        <w:rPr>
          <w:sz w:val="22"/>
          <w:szCs w:val="22"/>
          <w:lang w:val="en-GB"/>
        </w:rPr>
        <w:t xml:space="preserve"> </w:t>
      </w:r>
      <w:r w:rsidR="00F67EEC">
        <w:rPr>
          <w:sz w:val="22"/>
          <w:szCs w:val="22"/>
          <w:lang w:val="en-GB"/>
        </w:rPr>
        <w:t>APT Members to</w:t>
      </w:r>
      <w:r w:rsidR="00F67EEC" w:rsidRPr="002E0285">
        <w:rPr>
          <w:sz w:val="22"/>
          <w:szCs w:val="22"/>
          <w:lang w:val="en-GB"/>
        </w:rPr>
        <w:t xml:space="preserve"> </w:t>
      </w:r>
      <w:r w:rsidRPr="002E0285">
        <w:rPr>
          <w:sz w:val="22"/>
          <w:szCs w:val="22"/>
          <w:lang w:val="en-GB"/>
        </w:rPr>
        <w:t>support:</w:t>
      </w:r>
    </w:p>
    <w:p w:rsidR="00902433" w:rsidRDefault="00902433" w:rsidP="00902433">
      <w:pPr>
        <w:numPr>
          <w:ilvl w:val="0"/>
          <w:numId w:val="13"/>
        </w:numPr>
        <w:spacing w:before="120" w:after="120"/>
        <w:contextualSpacing/>
        <w:jc w:val="both"/>
        <w:rPr>
          <w:sz w:val="22"/>
          <w:szCs w:val="22"/>
          <w:lang w:val="en-GB"/>
        </w:rPr>
      </w:pPr>
      <w:r w:rsidRPr="002E0285">
        <w:rPr>
          <w:sz w:val="22"/>
          <w:szCs w:val="22"/>
          <w:lang w:val="en-GB"/>
        </w:rPr>
        <w:t xml:space="preserve">Method D2, Alternative 2: identification to terrestrial component of IMT in 40.5-42.5 GHz (in the mobile service), including upgrade of the existing secondary allocation to the MS in the frequency band 40.5-42.5 GHz to a primary allocation. </w:t>
      </w:r>
    </w:p>
    <w:p w:rsidR="00902433" w:rsidRPr="00F3449A" w:rsidRDefault="00902433" w:rsidP="00902433">
      <w:pPr>
        <w:spacing w:before="120" w:after="120"/>
        <w:ind w:left="720"/>
        <w:contextualSpacing/>
        <w:jc w:val="both"/>
        <w:rPr>
          <w:sz w:val="22"/>
          <w:szCs w:val="22"/>
          <w:lang w:val="en-GB"/>
        </w:rPr>
      </w:pPr>
    </w:p>
    <w:p w:rsidR="00902433" w:rsidRPr="002E0285" w:rsidRDefault="00902433" w:rsidP="00902433">
      <w:pPr>
        <w:spacing w:before="120" w:after="120"/>
        <w:rPr>
          <w:sz w:val="22"/>
          <w:szCs w:val="22"/>
          <w:lang w:val="en-GB"/>
        </w:rPr>
      </w:pPr>
      <w:r w:rsidRPr="002E0285">
        <w:rPr>
          <w:sz w:val="22"/>
          <w:szCs w:val="22"/>
          <w:lang w:val="en-GB"/>
        </w:rPr>
        <w:t xml:space="preserve">For the conditions associated with this band, no action is necessary due to results of sharing and compatibility studies. </w:t>
      </w:r>
    </w:p>
    <w:p w:rsidR="00902433" w:rsidRPr="002E0285" w:rsidRDefault="00902433" w:rsidP="00902433">
      <w:pPr>
        <w:spacing w:before="120" w:after="120"/>
        <w:rPr>
          <w:sz w:val="22"/>
          <w:szCs w:val="22"/>
          <w:lang w:val="en-GB"/>
        </w:rPr>
      </w:pPr>
      <w:r w:rsidRPr="002E0285">
        <w:rPr>
          <w:sz w:val="22"/>
          <w:szCs w:val="22"/>
          <w:lang w:val="en-GB"/>
        </w:rPr>
        <w:t>In detail,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D2a: Option 5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D2b: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D2c: Option 3 - no condition necessary</w:t>
      </w:r>
    </w:p>
    <w:p w:rsidR="00902433" w:rsidRPr="002E0285" w:rsidRDefault="00902433" w:rsidP="00902433">
      <w:pPr>
        <w:spacing w:before="120" w:after="120"/>
        <w:rPr>
          <w:b/>
          <w:sz w:val="22"/>
          <w:szCs w:val="22"/>
          <w:lang w:val="en-GB"/>
        </w:rPr>
      </w:pPr>
      <w:r w:rsidRPr="002E0285">
        <w:rPr>
          <w:b/>
          <w:sz w:val="22"/>
          <w:szCs w:val="22"/>
          <w:lang w:val="en-GB"/>
        </w:rPr>
        <w:tab/>
        <w:t xml:space="preserve">2.3 </w:t>
      </w:r>
      <w:r w:rsidRPr="002E0285">
        <w:rPr>
          <w:b/>
          <w:sz w:val="22"/>
          <w:szCs w:val="22"/>
          <w:lang w:val="en-GB"/>
        </w:rPr>
        <w:tab/>
        <w:t>42.5-43.5 GHz</w:t>
      </w:r>
    </w:p>
    <w:p w:rsidR="00902433" w:rsidRPr="002E0285" w:rsidRDefault="00902433" w:rsidP="00902433">
      <w:pPr>
        <w:spacing w:before="120" w:after="120"/>
        <w:ind w:left="360"/>
        <w:jc w:val="both"/>
        <w:rPr>
          <w:sz w:val="22"/>
          <w:szCs w:val="22"/>
          <w:lang w:val="en-GB"/>
        </w:rPr>
      </w:pPr>
      <w:r w:rsidRPr="002E0285">
        <w:rPr>
          <w:sz w:val="22"/>
          <w:szCs w:val="22"/>
          <w:lang w:val="en-GB"/>
        </w:rPr>
        <w:t xml:space="preserve">The GSMA </w:t>
      </w:r>
      <w:r>
        <w:rPr>
          <w:sz w:val="22"/>
          <w:szCs w:val="22"/>
          <w:lang w:val="en-GB"/>
        </w:rPr>
        <w:t>suggests</w:t>
      </w:r>
      <w:r w:rsidRPr="002E0285">
        <w:rPr>
          <w:sz w:val="22"/>
          <w:szCs w:val="22"/>
          <w:lang w:val="en-GB"/>
        </w:rPr>
        <w:t xml:space="preserve"> </w:t>
      </w:r>
      <w:r w:rsidR="00861016">
        <w:rPr>
          <w:sz w:val="22"/>
          <w:szCs w:val="22"/>
          <w:lang w:val="en-GB"/>
        </w:rPr>
        <w:t>APT Members</w:t>
      </w:r>
      <w:r>
        <w:rPr>
          <w:sz w:val="22"/>
          <w:szCs w:val="22"/>
          <w:lang w:val="en-GB"/>
        </w:rPr>
        <w:t xml:space="preserve"> to</w:t>
      </w:r>
      <w:r w:rsidRPr="002E0285">
        <w:rPr>
          <w:sz w:val="22"/>
          <w:szCs w:val="22"/>
          <w:lang w:val="en-GB"/>
        </w:rPr>
        <w:t xml:space="preserve"> support:</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t>Method E2, Alternative 2: identification to terrestrial component of IMT in 42.5-43.5 GHz (in the mobile service)</w:t>
      </w:r>
    </w:p>
    <w:p w:rsidR="00902433" w:rsidRPr="002E0285" w:rsidRDefault="00902433" w:rsidP="00902433">
      <w:pPr>
        <w:spacing w:before="120" w:after="120"/>
        <w:rPr>
          <w:sz w:val="22"/>
          <w:szCs w:val="22"/>
          <w:lang w:val="en-GB"/>
        </w:rPr>
      </w:pPr>
      <w:r w:rsidRPr="002E0285">
        <w:rPr>
          <w:sz w:val="22"/>
          <w:szCs w:val="22"/>
          <w:lang w:val="en-GB"/>
        </w:rPr>
        <w:t xml:space="preserve">For the conditions associated with this band, no action is necessary due to results of sharing and compatibility studies. </w:t>
      </w:r>
    </w:p>
    <w:p w:rsidR="00902433" w:rsidRPr="002E0285" w:rsidRDefault="00902433" w:rsidP="00902433">
      <w:pPr>
        <w:spacing w:before="120" w:after="120"/>
        <w:rPr>
          <w:sz w:val="22"/>
          <w:szCs w:val="22"/>
          <w:lang w:val="en-GB"/>
        </w:rPr>
      </w:pPr>
      <w:r w:rsidRPr="002E0285">
        <w:rPr>
          <w:sz w:val="22"/>
          <w:szCs w:val="22"/>
          <w:lang w:val="en-GB"/>
        </w:rPr>
        <w:t>In detail,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E2a: Option 7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E2b: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E2c: Option 4 - no condition necessary</w:t>
      </w:r>
    </w:p>
    <w:p w:rsidR="00902433" w:rsidRPr="002E0285" w:rsidRDefault="00902433" w:rsidP="00902433">
      <w:pPr>
        <w:spacing w:before="120" w:after="120"/>
        <w:jc w:val="both"/>
        <w:rPr>
          <w:b/>
          <w:sz w:val="22"/>
          <w:szCs w:val="22"/>
          <w:lang w:val="en-GB"/>
        </w:rPr>
      </w:pPr>
      <w:r w:rsidRPr="002E0285">
        <w:rPr>
          <w:b/>
          <w:sz w:val="22"/>
          <w:szCs w:val="22"/>
          <w:lang w:val="en-GB"/>
        </w:rPr>
        <w:t xml:space="preserve">C. </w:t>
      </w:r>
      <w:r w:rsidRPr="002E0285">
        <w:rPr>
          <w:b/>
          <w:sz w:val="22"/>
          <w:szCs w:val="22"/>
          <w:lang w:val="en-GB"/>
        </w:rPr>
        <w:tab/>
        <w:t>50 GHz range</w:t>
      </w:r>
    </w:p>
    <w:p w:rsidR="00902433" w:rsidRPr="002E0285" w:rsidRDefault="00902433" w:rsidP="00902433">
      <w:pPr>
        <w:spacing w:before="120" w:after="120"/>
        <w:rPr>
          <w:b/>
          <w:sz w:val="22"/>
          <w:szCs w:val="22"/>
          <w:lang w:val="en-GB"/>
        </w:rPr>
      </w:pPr>
      <w:r w:rsidRPr="002E0285">
        <w:rPr>
          <w:b/>
          <w:sz w:val="22"/>
          <w:szCs w:val="22"/>
          <w:lang w:val="en-GB"/>
        </w:rPr>
        <w:lastRenderedPageBreak/>
        <w:tab/>
        <w:t>3.1</w:t>
      </w:r>
      <w:r w:rsidRPr="002E0285">
        <w:rPr>
          <w:b/>
          <w:sz w:val="22"/>
          <w:szCs w:val="22"/>
          <w:lang w:val="en-GB"/>
        </w:rPr>
        <w:tab/>
        <w:t xml:space="preserve">45.5-47 GHz </w:t>
      </w:r>
    </w:p>
    <w:p w:rsidR="00902433" w:rsidRPr="002E0285" w:rsidRDefault="00902433" w:rsidP="00902433">
      <w:pPr>
        <w:spacing w:before="120" w:after="120"/>
        <w:jc w:val="both"/>
        <w:rPr>
          <w:sz w:val="22"/>
          <w:szCs w:val="22"/>
          <w:lang w:val="en-GB"/>
        </w:rPr>
      </w:pPr>
      <w:r>
        <w:rPr>
          <w:sz w:val="22"/>
          <w:szCs w:val="22"/>
          <w:lang w:val="en-GB"/>
        </w:rPr>
        <w:t>Suggested methods:</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t>Method F2, Alternative 2: identification to terrestrial component of IMT in 45.5-47 GHz (in the mobile service)</w:t>
      </w:r>
    </w:p>
    <w:p w:rsidR="00902433" w:rsidRPr="002E0285" w:rsidRDefault="00902433" w:rsidP="00902433">
      <w:pPr>
        <w:spacing w:before="120" w:after="120"/>
        <w:rPr>
          <w:sz w:val="22"/>
          <w:szCs w:val="22"/>
          <w:lang w:val="en-GB"/>
        </w:rPr>
      </w:pPr>
      <w:r w:rsidRPr="002E0285">
        <w:rPr>
          <w:sz w:val="22"/>
          <w:szCs w:val="22"/>
          <w:lang w:val="en-GB"/>
        </w:rPr>
        <w:t xml:space="preserve">While no studies were done for this band, it is noted that the allocations in this band are same as in the band 66-71 GHz and the results for this should be applicable for the sharing studies with ISS and MSS. </w:t>
      </w:r>
    </w:p>
    <w:p w:rsidR="00902433" w:rsidRPr="002E0285" w:rsidRDefault="00902433" w:rsidP="00902433">
      <w:pPr>
        <w:spacing w:before="120" w:after="120"/>
        <w:rPr>
          <w:sz w:val="22"/>
          <w:szCs w:val="22"/>
          <w:lang w:val="en-GB"/>
        </w:rPr>
      </w:pPr>
      <w:r w:rsidRPr="002E0285">
        <w:rPr>
          <w:sz w:val="22"/>
          <w:szCs w:val="22"/>
          <w:lang w:val="en-GB"/>
        </w:rPr>
        <w:t>In detail,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F2a: TBD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F2b: Option 3 – no condition necessary</w:t>
      </w:r>
    </w:p>
    <w:p w:rsidR="00902433" w:rsidRPr="002E0285" w:rsidRDefault="00902433" w:rsidP="00902433">
      <w:pPr>
        <w:spacing w:before="120" w:after="120"/>
        <w:rPr>
          <w:b/>
          <w:sz w:val="22"/>
          <w:szCs w:val="22"/>
          <w:lang w:val="en-GB"/>
        </w:rPr>
      </w:pPr>
      <w:r w:rsidRPr="002E0285">
        <w:rPr>
          <w:b/>
          <w:sz w:val="22"/>
          <w:szCs w:val="22"/>
          <w:lang w:val="en-GB"/>
        </w:rPr>
        <w:tab/>
        <w:t>3.</w:t>
      </w:r>
      <w:r>
        <w:rPr>
          <w:b/>
          <w:sz w:val="22"/>
          <w:szCs w:val="22"/>
          <w:lang w:val="en-GB"/>
        </w:rPr>
        <w:t>2</w:t>
      </w:r>
      <w:r w:rsidRPr="002E0285">
        <w:rPr>
          <w:b/>
          <w:sz w:val="22"/>
          <w:szCs w:val="22"/>
          <w:lang w:val="en-GB"/>
        </w:rPr>
        <w:tab/>
        <w:t xml:space="preserve">47.2-50.2 GHz </w:t>
      </w:r>
    </w:p>
    <w:p w:rsidR="00902433" w:rsidRPr="002E0285" w:rsidRDefault="00902433" w:rsidP="00902433">
      <w:pPr>
        <w:spacing w:before="120" w:after="120"/>
        <w:jc w:val="both"/>
        <w:rPr>
          <w:sz w:val="22"/>
          <w:szCs w:val="22"/>
          <w:lang w:val="en-GB"/>
        </w:rPr>
      </w:pPr>
      <w:r>
        <w:rPr>
          <w:sz w:val="22"/>
          <w:szCs w:val="22"/>
          <w:lang w:val="en-GB"/>
        </w:rPr>
        <w:t>Suggested methods:</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t>Method H2, Alternative 2: identification to terrestrial component of IMT in 47.2-50.2 GHz (in the mobile service)</w:t>
      </w:r>
    </w:p>
    <w:p w:rsidR="00902433" w:rsidRPr="002E0285" w:rsidRDefault="00902433" w:rsidP="00902433">
      <w:pPr>
        <w:numPr>
          <w:ilvl w:val="1"/>
          <w:numId w:val="13"/>
        </w:numPr>
        <w:spacing w:before="120" w:after="120"/>
        <w:contextualSpacing/>
        <w:jc w:val="both"/>
        <w:rPr>
          <w:sz w:val="22"/>
          <w:szCs w:val="22"/>
          <w:lang w:val="en-GB"/>
        </w:rPr>
      </w:pPr>
      <w:r w:rsidRPr="002E0285">
        <w:rPr>
          <w:sz w:val="22"/>
          <w:szCs w:val="22"/>
          <w:lang w:val="en-GB"/>
        </w:rPr>
        <w:t>Condition H2a: Option 2 – Resolution 750 (Rev. WRC-19) in Table 1-1, taking into account RR No. 5.340.1.</w:t>
      </w:r>
    </w:p>
    <w:p w:rsidR="00902433" w:rsidRPr="002E0285" w:rsidRDefault="00902433" w:rsidP="00902433">
      <w:pPr>
        <w:spacing w:before="120" w:after="120"/>
        <w:rPr>
          <w:sz w:val="22"/>
          <w:szCs w:val="22"/>
          <w:lang w:val="en-GB"/>
        </w:rPr>
      </w:pPr>
      <w:r w:rsidRPr="002E0285">
        <w:rPr>
          <w:sz w:val="22"/>
          <w:szCs w:val="22"/>
          <w:lang w:val="en-GB"/>
        </w:rPr>
        <w:t>For the other conditions associated with this band, no action is necessary due to results of sharing and compatibility studies.</w:t>
      </w:r>
    </w:p>
    <w:p w:rsidR="00902433" w:rsidRPr="002E0285" w:rsidRDefault="00902433" w:rsidP="00902433">
      <w:pPr>
        <w:spacing w:before="120" w:after="120"/>
        <w:rPr>
          <w:sz w:val="22"/>
          <w:szCs w:val="22"/>
          <w:lang w:val="en-GB"/>
        </w:rPr>
      </w:pPr>
      <w:r w:rsidRPr="002E0285">
        <w:rPr>
          <w:sz w:val="22"/>
          <w:szCs w:val="22"/>
          <w:lang w:val="en-GB"/>
        </w:rPr>
        <w:t>In addition,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H2b: Option 8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H2c: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H2d: Option 4 – no condition necessary</w:t>
      </w:r>
    </w:p>
    <w:p w:rsidR="00902433" w:rsidRPr="002E0285" w:rsidRDefault="00902433" w:rsidP="00902433">
      <w:pPr>
        <w:spacing w:before="120" w:after="120"/>
        <w:rPr>
          <w:b/>
          <w:sz w:val="22"/>
          <w:szCs w:val="22"/>
          <w:lang w:val="en-GB"/>
        </w:rPr>
      </w:pPr>
      <w:r w:rsidRPr="002E0285">
        <w:rPr>
          <w:b/>
          <w:sz w:val="22"/>
          <w:szCs w:val="22"/>
          <w:lang w:val="en-GB"/>
        </w:rPr>
        <w:tab/>
        <w:t>3.4</w:t>
      </w:r>
      <w:r w:rsidRPr="002E0285">
        <w:rPr>
          <w:b/>
          <w:sz w:val="22"/>
          <w:szCs w:val="22"/>
          <w:lang w:val="en-GB"/>
        </w:rPr>
        <w:tab/>
        <w:t>50.4-52.6 GHz</w:t>
      </w:r>
    </w:p>
    <w:p w:rsidR="00902433" w:rsidRPr="002E0285" w:rsidRDefault="00902433" w:rsidP="00902433">
      <w:pPr>
        <w:spacing w:before="120" w:after="120"/>
        <w:ind w:left="360"/>
        <w:jc w:val="both"/>
        <w:rPr>
          <w:sz w:val="22"/>
          <w:szCs w:val="22"/>
          <w:lang w:val="en-GB"/>
        </w:rPr>
      </w:pPr>
      <w:r w:rsidRPr="002E0285">
        <w:rPr>
          <w:sz w:val="22"/>
          <w:szCs w:val="22"/>
          <w:lang w:val="en-GB"/>
        </w:rPr>
        <w:t xml:space="preserve">The GSMA </w:t>
      </w:r>
      <w:r w:rsidR="00F67EEC">
        <w:rPr>
          <w:sz w:val="22"/>
          <w:szCs w:val="22"/>
          <w:lang w:val="en-GB"/>
        </w:rPr>
        <w:t>suggests</w:t>
      </w:r>
      <w:r w:rsidR="00F67EEC" w:rsidRPr="002E0285">
        <w:rPr>
          <w:sz w:val="22"/>
          <w:szCs w:val="22"/>
          <w:lang w:val="en-GB"/>
        </w:rPr>
        <w:t xml:space="preserve"> </w:t>
      </w:r>
      <w:r w:rsidR="00F67EEC">
        <w:rPr>
          <w:sz w:val="22"/>
          <w:szCs w:val="22"/>
          <w:lang w:val="en-GB"/>
        </w:rPr>
        <w:t>APT Members to</w:t>
      </w:r>
      <w:r w:rsidR="00F67EEC" w:rsidRPr="002E0285">
        <w:rPr>
          <w:sz w:val="22"/>
          <w:szCs w:val="22"/>
          <w:lang w:val="en-GB"/>
        </w:rPr>
        <w:t xml:space="preserve"> </w:t>
      </w:r>
      <w:r w:rsidRPr="002E0285">
        <w:rPr>
          <w:sz w:val="22"/>
          <w:szCs w:val="22"/>
          <w:lang w:val="en-GB"/>
        </w:rPr>
        <w:t>support:</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t>Method I2, Alternative 2: identification to terrestrial component of IMT in 50.4-52.6 GHz (in the mobile service)</w:t>
      </w:r>
    </w:p>
    <w:p w:rsidR="00902433" w:rsidRPr="002E0285" w:rsidRDefault="00902433" w:rsidP="00902433">
      <w:pPr>
        <w:numPr>
          <w:ilvl w:val="1"/>
          <w:numId w:val="13"/>
        </w:numPr>
        <w:spacing w:before="120" w:after="120"/>
        <w:contextualSpacing/>
        <w:jc w:val="both"/>
        <w:rPr>
          <w:sz w:val="22"/>
          <w:szCs w:val="22"/>
          <w:lang w:val="en-GB"/>
        </w:rPr>
      </w:pPr>
      <w:r w:rsidRPr="002E0285">
        <w:rPr>
          <w:sz w:val="22"/>
          <w:szCs w:val="22"/>
          <w:lang w:val="en-GB"/>
        </w:rPr>
        <w:t>Condition I2a: Option 2 Resolution 750 (Rev. WRC-19) in Table 1-1, taking into account RR No. 5.340.1.</w:t>
      </w:r>
    </w:p>
    <w:p w:rsidR="00902433" w:rsidRPr="002E0285" w:rsidRDefault="00902433" w:rsidP="00902433">
      <w:pPr>
        <w:spacing w:before="120" w:after="120"/>
        <w:rPr>
          <w:sz w:val="22"/>
          <w:szCs w:val="22"/>
          <w:lang w:val="en-GB"/>
        </w:rPr>
      </w:pPr>
      <w:r w:rsidRPr="002E0285">
        <w:rPr>
          <w:sz w:val="22"/>
          <w:szCs w:val="22"/>
          <w:lang w:val="en-GB"/>
        </w:rPr>
        <w:t>For the other conditions associated with this band, no action is necessary due to results of sharing and compatibility studies.</w:t>
      </w:r>
    </w:p>
    <w:p w:rsidR="00902433" w:rsidRPr="002E0285" w:rsidRDefault="00902433" w:rsidP="00902433">
      <w:pPr>
        <w:spacing w:before="120" w:after="120"/>
        <w:rPr>
          <w:sz w:val="22"/>
          <w:szCs w:val="22"/>
          <w:lang w:val="en-GB"/>
        </w:rPr>
      </w:pPr>
      <w:r w:rsidRPr="002E0285">
        <w:rPr>
          <w:sz w:val="22"/>
          <w:szCs w:val="22"/>
          <w:lang w:val="en-GB"/>
        </w:rPr>
        <w:t>In addition, the following is applied:</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I2a: Option 3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I2b: Option 7 – no condition necessary</w:t>
      </w:r>
    </w:p>
    <w:p w:rsidR="00902433" w:rsidRPr="002E0285" w:rsidRDefault="00902433" w:rsidP="00902433">
      <w:pPr>
        <w:numPr>
          <w:ilvl w:val="1"/>
          <w:numId w:val="12"/>
        </w:numPr>
        <w:ind w:left="1491" w:hanging="357"/>
        <w:contextualSpacing/>
        <w:jc w:val="both"/>
        <w:rPr>
          <w:sz w:val="22"/>
          <w:szCs w:val="22"/>
          <w:lang w:val="en-GB"/>
        </w:rPr>
      </w:pPr>
      <w:r w:rsidRPr="002E0285">
        <w:rPr>
          <w:sz w:val="22"/>
          <w:szCs w:val="22"/>
          <w:lang w:val="en-GB"/>
        </w:rPr>
        <w:t>Condition I2c: Option 4 – no condition necessary</w:t>
      </w:r>
    </w:p>
    <w:p w:rsidR="00902433" w:rsidRPr="002E0285" w:rsidRDefault="00902433" w:rsidP="00902433">
      <w:pPr>
        <w:spacing w:before="120" w:after="120"/>
        <w:rPr>
          <w:b/>
          <w:sz w:val="22"/>
          <w:szCs w:val="22"/>
          <w:lang w:val="en-GB"/>
        </w:rPr>
      </w:pPr>
      <w:r w:rsidRPr="002E0285">
        <w:rPr>
          <w:b/>
          <w:sz w:val="22"/>
          <w:szCs w:val="22"/>
          <w:lang w:val="en-GB"/>
        </w:rPr>
        <w:t>D.</w:t>
      </w:r>
      <w:r w:rsidRPr="002E0285">
        <w:rPr>
          <w:b/>
          <w:sz w:val="22"/>
          <w:szCs w:val="22"/>
          <w:lang w:val="en-GB"/>
        </w:rPr>
        <w:tab/>
        <w:t xml:space="preserve">66-71 GHz </w:t>
      </w:r>
    </w:p>
    <w:p w:rsidR="00902433" w:rsidRPr="002E0285" w:rsidRDefault="00902433" w:rsidP="00902433">
      <w:pPr>
        <w:spacing w:before="120" w:after="120"/>
        <w:rPr>
          <w:sz w:val="22"/>
          <w:szCs w:val="22"/>
          <w:lang w:val="en-GB" w:eastAsia="ko-KR"/>
        </w:rPr>
      </w:pPr>
      <w:r w:rsidRPr="002E0285">
        <w:rPr>
          <w:sz w:val="22"/>
          <w:szCs w:val="22"/>
          <w:lang w:val="en-GB" w:eastAsia="ko-KR"/>
        </w:rPr>
        <w:t xml:space="preserve">The GSMA </w:t>
      </w:r>
      <w:r w:rsidR="00F67EEC">
        <w:rPr>
          <w:sz w:val="22"/>
          <w:szCs w:val="22"/>
          <w:lang w:val="en-GB"/>
        </w:rPr>
        <w:t>suggests</w:t>
      </w:r>
      <w:r w:rsidR="00F67EEC" w:rsidRPr="002E0285">
        <w:rPr>
          <w:sz w:val="22"/>
          <w:szCs w:val="22"/>
          <w:lang w:val="en-GB"/>
        </w:rPr>
        <w:t xml:space="preserve"> </w:t>
      </w:r>
      <w:r w:rsidR="00F67EEC">
        <w:rPr>
          <w:sz w:val="22"/>
          <w:szCs w:val="22"/>
          <w:lang w:val="en-GB"/>
        </w:rPr>
        <w:t>APT Members to</w:t>
      </w:r>
      <w:r w:rsidR="00F67EEC" w:rsidRPr="002E0285">
        <w:rPr>
          <w:sz w:val="22"/>
          <w:szCs w:val="22"/>
          <w:lang w:val="en-GB"/>
        </w:rPr>
        <w:t xml:space="preserve"> </w:t>
      </w:r>
      <w:r w:rsidRPr="002E0285">
        <w:rPr>
          <w:sz w:val="22"/>
          <w:szCs w:val="22"/>
          <w:lang w:val="en-GB" w:eastAsia="ko-KR"/>
        </w:rPr>
        <w:t>support a new IMT footnote for the 66-71 GHz range along the following lines:</w:t>
      </w:r>
    </w:p>
    <w:p w:rsidR="00902433" w:rsidRPr="00F3449A" w:rsidRDefault="00902433" w:rsidP="00902433">
      <w:pPr>
        <w:rPr>
          <w:i/>
          <w:sz w:val="22"/>
          <w:szCs w:val="22"/>
          <w:lang w:val="en-GB"/>
        </w:rPr>
      </w:pPr>
      <w:proofErr w:type="gramStart"/>
      <w:r w:rsidRPr="00F3449A">
        <w:rPr>
          <w:b/>
          <w:i/>
          <w:sz w:val="22"/>
          <w:szCs w:val="22"/>
          <w:lang w:val="en-GB"/>
        </w:rPr>
        <w:t>5.J113b</w:t>
      </w:r>
      <w:proofErr w:type="gramEnd"/>
      <w:r w:rsidRPr="00F3449A">
        <w:rPr>
          <w:b/>
          <w:i/>
          <w:sz w:val="22"/>
          <w:szCs w:val="22"/>
          <w:lang w:val="en-GB"/>
        </w:rPr>
        <w:tab/>
      </w:r>
      <w:r w:rsidRPr="00F3449A">
        <w:rPr>
          <w:b/>
          <w:i/>
          <w:sz w:val="22"/>
          <w:szCs w:val="22"/>
          <w:lang w:val="en-GB"/>
        </w:rPr>
        <w:tab/>
      </w:r>
      <w:r w:rsidRPr="00F3449A">
        <w:rPr>
          <w:i/>
          <w:sz w:val="22"/>
          <w:szCs w:val="22"/>
          <w:lang w:val="en-GB"/>
        </w:rPr>
        <w:t xml:space="preserve">The frequency band 66-71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F3449A">
        <w:rPr>
          <w:b/>
          <w:bCs/>
          <w:i/>
          <w:sz w:val="22"/>
          <w:szCs w:val="22"/>
          <w:lang w:val="en-GB"/>
        </w:rPr>
        <w:t xml:space="preserve">[C113-IMT </w:t>
      </w:r>
      <w:r w:rsidRPr="00F3449A">
        <w:rPr>
          <w:b/>
          <w:bCs/>
          <w:i/>
          <w:sz w:val="22"/>
          <w:szCs w:val="22"/>
          <w:lang w:val="en-GB" w:eastAsia="ja-JP"/>
        </w:rPr>
        <w:t>66/71 GHZ</w:t>
      </w:r>
      <w:r w:rsidRPr="00F3449A">
        <w:rPr>
          <w:b/>
          <w:bCs/>
          <w:i/>
          <w:sz w:val="22"/>
          <w:szCs w:val="22"/>
          <w:lang w:val="en-GB"/>
        </w:rPr>
        <w:t>] (WRC-19)</w:t>
      </w:r>
      <w:r w:rsidRPr="00F3449A">
        <w:rPr>
          <w:i/>
          <w:sz w:val="22"/>
          <w:szCs w:val="22"/>
          <w:lang w:val="en-GB"/>
        </w:rPr>
        <w:t xml:space="preserve"> </w:t>
      </w:r>
      <w:r w:rsidRPr="00F3449A">
        <w:rPr>
          <w:bCs/>
          <w:i/>
          <w:sz w:val="22"/>
          <w:szCs w:val="22"/>
          <w:lang w:val="en-GB"/>
        </w:rPr>
        <w:t>applies.]</w:t>
      </w:r>
      <w:r w:rsidRPr="00F3449A">
        <w:rPr>
          <w:i/>
          <w:sz w:val="22"/>
          <w:szCs w:val="22"/>
          <w:lang w:val="en-GB"/>
        </w:rPr>
        <w:t>     (WRC</w:t>
      </w:r>
      <w:r w:rsidRPr="00F3449A">
        <w:rPr>
          <w:i/>
          <w:sz w:val="22"/>
          <w:szCs w:val="22"/>
          <w:lang w:val="en-GB"/>
        </w:rPr>
        <w:noBreakHyphen/>
        <w:t>19)</w:t>
      </w:r>
    </w:p>
    <w:p w:rsidR="00902433" w:rsidRPr="002E0285" w:rsidRDefault="00902433" w:rsidP="00902433">
      <w:pPr>
        <w:spacing w:before="120" w:after="120"/>
        <w:jc w:val="both"/>
        <w:rPr>
          <w:sz w:val="22"/>
          <w:szCs w:val="22"/>
          <w:lang w:val="en-GB"/>
        </w:rPr>
      </w:pPr>
      <w:r w:rsidRPr="002E0285">
        <w:rPr>
          <w:sz w:val="22"/>
          <w:szCs w:val="22"/>
          <w:lang w:val="en-GB"/>
        </w:rPr>
        <w:t>The following methods for the band 66-71 GHz should be adopted:</w:t>
      </w:r>
    </w:p>
    <w:p w:rsidR="00902433" w:rsidRPr="002E0285" w:rsidRDefault="00902433" w:rsidP="00902433">
      <w:pPr>
        <w:numPr>
          <w:ilvl w:val="0"/>
          <w:numId w:val="13"/>
        </w:numPr>
        <w:spacing w:before="120" w:after="120"/>
        <w:contextualSpacing/>
        <w:jc w:val="both"/>
        <w:rPr>
          <w:sz w:val="22"/>
          <w:szCs w:val="22"/>
          <w:lang w:val="en-GB"/>
        </w:rPr>
      </w:pPr>
      <w:r w:rsidRPr="002E0285">
        <w:rPr>
          <w:sz w:val="22"/>
          <w:szCs w:val="22"/>
          <w:lang w:val="en-GB"/>
        </w:rPr>
        <w:lastRenderedPageBreak/>
        <w:t>Method J2, Alternative 2: identification to terrestrial component of IMT in 66-71 GHz (in the mobile service)</w:t>
      </w:r>
    </w:p>
    <w:p w:rsidR="00902433" w:rsidRDefault="00902433" w:rsidP="00902433">
      <w:pPr>
        <w:spacing w:before="120" w:after="120"/>
        <w:rPr>
          <w:sz w:val="22"/>
          <w:szCs w:val="22"/>
          <w:lang w:val="en-GB"/>
        </w:rPr>
      </w:pPr>
    </w:p>
    <w:p w:rsidR="00902433" w:rsidRPr="002E0285" w:rsidRDefault="00902433" w:rsidP="00902433">
      <w:pPr>
        <w:spacing w:before="120" w:after="120"/>
        <w:rPr>
          <w:sz w:val="22"/>
          <w:szCs w:val="22"/>
          <w:lang w:val="en-GB"/>
        </w:rPr>
      </w:pPr>
      <w:r w:rsidRPr="002E0285">
        <w:rPr>
          <w:sz w:val="22"/>
          <w:szCs w:val="22"/>
          <w:lang w:val="en-GB"/>
        </w:rPr>
        <w:t>For the conditions associated with this band the following is applied:</w:t>
      </w:r>
    </w:p>
    <w:p w:rsidR="00902433" w:rsidRPr="002E0285" w:rsidRDefault="00902433" w:rsidP="00902433">
      <w:pPr>
        <w:numPr>
          <w:ilvl w:val="1"/>
          <w:numId w:val="12"/>
        </w:numPr>
        <w:spacing w:before="120" w:after="120"/>
        <w:contextualSpacing/>
        <w:jc w:val="both"/>
        <w:rPr>
          <w:sz w:val="22"/>
          <w:szCs w:val="22"/>
          <w:lang w:val="en-GB"/>
        </w:rPr>
      </w:pPr>
      <w:r w:rsidRPr="002E0285">
        <w:rPr>
          <w:sz w:val="22"/>
          <w:szCs w:val="22"/>
          <w:lang w:val="en-GB"/>
        </w:rPr>
        <w:t xml:space="preserve">Condition J2a: Option 1 </w:t>
      </w:r>
    </w:p>
    <w:p w:rsidR="00902433" w:rsidRPr="002E0285" w:rsidRDefault="00902433" w:rsidP="00902433">
      <w:pPr>
        <w:numPr>
          <w:ilvl w:val="2"/>
          <w:numId w:val="12"/>
        </w:numPr>
        <w:spacing w:before="120" w:after="120"/>
        <w:contextualSpacing/>
        <w:jc w:val="both"/>
        <w:rPr>
          <w:sz w:val="22"/>
          <w:szCs w:val="22"/>
          <w:lang w:val="en-GB"/>
        </w:rPr>
      </w:pPr>
      <w:r w:rsidRPr="002E0285">
        <w:rPr>
          <w:sz w:val="22"/>
          <w:szCs w:val="22"/>
          <w:lang w:val="en-GB"/>
        </w:rPr>
        <w:t>to take into account the latest technical characteristics of IMT and MGWS/WAS and</w:t>
      </w:r>
    </w:p>
    <w:p w:rsidR="00902433" w:rsidRPr="002E0285" w:rsidRDefault="00902433" w:rsidP="00902433">
      <w:pPr>
        <w:numPr>
          <w:ilvl w:val="2"/>
          <w:numId w:val="12"/>
        </w:numPr>
        <w:spacing w:before="120" w:after="120"/>
        <w:contextualSpacing/>
        <w:jc w:val="both"/>
        <w:rPr>
          <w:sz w:val="22"/>
          <w:szCs w:val="22"/>
          <w:lang w:val="en-GB"/>
        </w:rPr>
      </w:pPr>
      <w:r w:rsidRPr="002E0285">
        <w:rPr>
          <w:sz w:val="22"/>
          <w:szCs w:val="22"/>
          <w:lang w:val="en-GB"/>
        </w:rPr>
        <w:t xml:space="preserve">to invite ITU-R to develop Recommendations and Reports that will assist administrations in ensuring that applications and services in the band 66-71 GHz can utilize the band efficiently including the development of appropriate sharing protocols between IMT and MGWS/WAS where needed </w:t>
      </w:r>
    </w:p>
    <w:p w:rsidR="00902433" w:rsidRPr="002E0285" w:rsidRDefault="00902433" w:rsidP="00902433">
      <w:pPr>
        <w:numPr>
          <w:ilvl w:val="1"/>
          <w:numId w:val="12"/>
        </w:numPr>
        <w:spacing w:before="120" w:after="120"/>
        <w:contextualSpacing/>
        <w:jc w:val="both"/>
        <w:rPr>
          <w:sz w:val="22"/>
          <w:szCs w:val="22"/>
          <w:lang w:val="en-GB"/>
        </w:rPr>
      </w:pPr>
      <w:r w:rsidRPr="002E0285">
        <w:rPr>
          <w:sz w:val="22"/>
          <w:szCs w:val="22"/>
          <w:lang w:val="en-GB"/>
        </w:rPr>
        <w:t xml:space="preserve">Condition J2b: Option 1 – Revise RR No. </w:t>
      </w:r>
      <w:r w:rsidRPr="002E0285">
        <w:rPr>
          <w:b/>
          <w:sz w:val="22"/>
          <w:szCs w:val="22"/>
          <w:lang w:val="en-GB"/>
        </w:rPr>
        <w:t>5.553</w:t>
      </w:r>
      <w:r w:rsidRPr="002E0285">
        <w:rPr>
          <w:sz w:val="22"/>
          <w:szCs w:val="22"/>
          <w:lang w:val="en-GB"/>
        </w:rPr>
        <w:t xml:space="preserve"> to remove the 66-71 GHz frequency band from that footnote</w:t>
      </w:r>
    </w:p>
    <w:p w:rsidR="00902433" w:rsidRPr="002E0285" w:rsidRDefault="00902433" w:rsidP="00902433">
      <w:pPr>
        <w:spacing w:before="120" w:after="120"/>
        <w:ind w:left="567"/>
        <w:rPr>
          <w:sz w:val="22"/>
          <w:szCs w:val="22"/>
          <w:lang w:val="en-GB"/>
        </w:rPr>
      </w:pPr>
      <w:r w:rsidRPr="002E0285">
        <w:rPr>
          <w:sz w:val="22"/>
          <w:szCs w:val="22"/>
          <w:lang w:val="en-GB"/>
        </w:rPr>
        <w:t>Condition J2c: Option 3 – no condition necessary</w:t>
      </w:r>
    </w:p>
    <w:p w:rsidR="00902433" w:rsidRPr="009A2853" w:rsidRDefault="00902433" w:rsidP="00902433">
      <w:pPr>
        <w:tabs>
          <w:tab w:val="left" w:pos="709"/>
          <w:tab w:val="left" w:pos="1134"/>
        </w:tabs>
        <w:spacing w:before="120" w:after="120"/>
        <w:outlineLvl w:val="0"/>
        <w:rPr>
          <w:b/>
          <w:sz w:val="22"/>
          <w:szCs w:val="22"/>
        </w:rPr>
      </w:pPr>
    </w:p>
    <w:p w:rsidR="00902433" w:rsidRPr="009A2853" w:rsidRDefault="00902433" w:rsidP="00902433">
      <w:pPr>
        <w:tabs>
          <w:tab w:val="left" w:pos="709"/>
          <w:tab w:val="left" w:pos="1134"/>
        </w:tabs>
        <w:spacing w:before="120" w:after="120"/>
        <w:outlineLvl w:val="0"/>
        <w:rPr>
          <w:b/>
          <w:sz w:val="22"/>
          <w:szCs w:val="22"/>
        </w:rPr>
      </w:pPr>
      <w:r w:rsidRPr="009A2853">
        <w:rPr>
          <w:b/>
          <w:sz w:val="22"/>
          <w:szCs w:val="22"/>
        </w:rPr>
        <w:t>3.</w:t>
      </w:r>
      <w:r w:rsidRPr="009A2853">
        <w:rPr>
          <w:b/>
          <w:sz w:val="22"/>
          <w:szCs w:val="22"/>
        </w:rPr>
        <w:tab/>
        <w:t>Summary</w:t>
      </w:r>
    </w:p>
    <w:p w:rsidR="00902433" w:rsidRDefault="00902433" w:rsidP="00902433">
      <w:pPr>
        <w:tabs>
          <w:tab w:val="num" w:pos="720"/>
        </w:tabs>
        <w:spacing w:after="120"/>
        <w:jc w:val="both"/>
        <w:rPr>
          <w:rFonts w:cs="Calibri"/>
          <w:sz w:val="22"/>
          <w:szCs w:val="22"/>
          <w:lang w:val="en-GB"/>
        </w:rPr>
      </w:pPr>
      <w:r w:rsidRPr="002E0285">
        <w:rPr>
          <w:rFonts w:cs="Calibri"/>
          <w:sz w:val="22"/>
          <w:szCs w:val="22"/>
          <w:lang w:val="en-GB"/>
        </w:rPr>
        <w:t xml:space="preserve">With work at TG 5/1 now concluded, it is important </w:t>
      </w:r>
      <w:r>
        <w:rPr>
          <w:rFonts w:cs="Calibri"/>
          <w:sz w:val="22"/>
          <w:szCs w:val="22"/>
          <w:lang w:val="en-GB"/>
        </w:rPr>
        <w:t xml:space="preserve">for </w:t>
      </w:r>
      <w:r w:rsidR="00861016">
        <w:rPr>
          <w:rFonts w:cs="Calibri"/>
          <w:sz w:val="22"/>
          <w:szCs w:val="22"/>
          <w:lang w:val="en-GB"/>
        </w:rPr>
        <w:t>APT Members</w:t>
      </w:r>
      <w:r>
        <w:rPr>
          <w:rFonts w:cs="Calibri"/>
          <w:sz w:val="22"/>
          <w:szCs w:val="22"/>
          <w:lang w:val="en-GB"/>
        </w:rPr>
        <w:t xml:space="preserve"> to review the results of the studies and the Draft CPM Report in order to identify the best way to satisfy Agenda Item 1.13: additional bands for IMT-2020 above 24 GHz.</w:t>
      </w:r>
    </w:p>
    <w:p w:rsidR="00902433" w:rsidRDefault="00902433" w:rsidP="00902433">
      <w:pPr>
        <w:tabs>
          <w:tab w:val="num" w:pos="720"/>
        </w:tabs>
        <w:spacing w:after="120"/>
        <w:jc w:val="both"/>
        <w:rPr>
          <w:rFonts w:cs="Calibri"/>
          <w:sz w:val="22"/>
          <w:szCs w:val="22"/>
          <w:lang w:val="en-GB"/>
        </w:rPr>
      </w:pPr>
      <w:r w:rsidRPr="002E0285">
        <w:rPr>
          <w:rFonts w:cs="Calibri"/>
          <w:sz w:val="22"/>
          <w:szCs w:val="22"/>
          <w:lang w:val="en-GB"/>
        </w:rPr>
        <w:t xml:space="preserve">The </w:t>
      </w:r>
      <w:r w:rsidR="003E787C" w:rsidRPr="003E787C">
        <w:rPr>
          <w:rFonts w:cs="Calibri"/>
          <w:sz w:val="22"/>
          <w:szCs w:val="22"/>
          <w:lang w:val="en-GB"/>
        </w:rPr>
        <w:t xml:space="preserve">co-sourcing organization and companies to this contribution </w:t>
      </w:r>
      <w:r w:rsidRPr="002E0285">
        <w:rPr>
          <w:rFonts w:cs="Calibri"/>
          <w:sz w:val="22"/>
          <w:szCs w:val="22"/>
          <w:lang w:val="en-GB"/>
        </w:rPr>
        <w:t xml:space="preserve">believes that </w:t>
      </w:r>
      <w:r w:rsidR="00861016">
        <w:rPr>
          <w:rFonts w:cs="Calibri"/>
          <w:sz w:val="22"/>
          <w:szCs w:val="22"/>
          <w:lang w:val="en-GB"/>
        </w:rPr>
        <w:t>APT members</w:t>
      </w:r>
      <w:r w:rsidRPr="002E0285">
        <w:rPr>
          <w:rFonts w:cs="Calibri"/>
          <w:sz w:val="22"/>
          <w:szCs w:val="22"/>
          <w:lang w:val="en-GB"/>
        </w:rPr>
        <w:t xml:space="preserve"> support for the </w:t>
      </w:r>
      <w:r>
        <w:rPr>
          <w:rFonts w:cs="Calibri"/>
          <w:sz w:val="22"/>
          <w:szCs w:val="22"/>
          <w:lang w:val="en-GB"/>
        </w:rPr>
        <w:t>most adequate</w:t>
      </w:r>
      <w:r w:rsidRPr="002E0285">
        <w:rPr>
          <w:rFonts w:cs="Calibri"/>
          <w:sz w:val="22"/>
          <w:szCs w:val="22"/>
          <w:lang w:val="en-GB"/>
        </w:rPr>
        <w:t xml:space="preserve"> methods and subsequent conditions will be vital at CPM and WRC and will lead to the successful roll-out of high capacity 5G in the </w:t>
      </w:r>
      <w:r w:rsidR="00861016">
        <w:rPr>
          <w:rFonts w:cs="Calibri"/>
          <w:sz w:val="22"/>
          <w:szCs w:val="22"/>
          <w:lang w:val="en-GB"/>
        </w:rPr>
        <w:t>APT</w:t>
      </w:r>
      <w:r w:rsidRPr="002E0285">
        <w:rPr>
          <w:rFonts w:cs="Calibri"/>
          <w:sz w:val="22"/>
          <w:szCs w:val="22"/>
          <w:lang w:val="en-GB"/>
        </w:rPr>
        <w:t xml:space="preserve"> region.</w:t>
      </w:r>
    </w:p>
    <w:p w:rsidR="001174B7" w:rsidRPr="00902433" w:rsidRDefault="001174B7" w:rsidP="001174B7">
      <w:pPr>
        <w:jc w:val="both"/>
        <w:rPr>
          <w:b/>
          <w:lang w:val="en-GB"/>
        </w:rPr>
      </w:pPr>
    </w:p>
    <w:p w:rsidR="001174B7" w:rsidRDefault="001174B7" w:rsidP="001174B7">
      <w:pPr>
        <w:jc w:val="both"/>
        <w:rPr>
          <w:b/>
        </w:rPr>
      </w:pPr>
    </w:p>
    <w:p w:rsidR="001174B7" w:rsidRDefault="001174B7" w:rsidP="001174B7">
      <w:pPr>
        <w:jc w:val="both"/>
        <w:rPr>
          <w:b/>
        </w:rPr>
      </w:pPr>
    </w:p>
    <w:p w:rsidR="00F17B0A" w:rsidRDefault="00C357AD" w:rsidP="009A4A6D">
      <w:pPr>
        <w:jc w:val="center"/>
        <w:rPr>
          <w:snapToGrid w:val="0"/>
        </w:rPr>
      </w:pPr>
      <w:r>
        <w:t>____________</w:t>
      </w:r>
    </w:p>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EB7E2E" w:rsidRDefault="00EB7E2E" w:rsidP="00EB7E2E"/>
    <w:p w:rsidR="00F67EEC" w:rsidRPr="00EB7E2E" w:rsidRDefault="00F67EEC" w:rsidP="00EB7E2E"/>
    <w:p w:rsidR="00EB7E2E" w:rsidRPr="00EB7E2E" w:rsidRDefault="00EB7E2E" w:rsidP="00EB7E2E"/>
    <w:p w:rsidR="00EB7E2E" w:rsidRDefault="00EB7E2E" w:rsidP="00EB7E2E"/>
    <w:p w:rsidR="00EB7E2E" w:rsidRPr="00EB7E2E" w:rsidRDefault="00EB7E2E" w:rsidP="00EB7E2E"/>
    <w:p w:rsidR="00EB7E2E" w:rsidRDefault="00EB7E2E" w:rsidP="00EB7E2E"/>
    <w:p w:rsidR="00F17B0A" w:rsidRPr="00EB7E2E" w:rsidRDefault="00F17B0A" w:rsidP="00EB7E2E"/>
    <w:sectPr w:rsidR="00F17B0A" w:rsidRPr="00EB7E2E" w:rsidSect="00902433">
      <w:type w:val="continuous"/>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65" w:rsidRDefault="00236C65">
      <w:r>
        <w:separator/>
      </w:r>
    </w:p>
  </w:endnote>
  <w:endnote w:type="continuationSeparator" w:id="0">
    <w:p w:rsidR="00236C65" w:rsidRDefault="0023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p w:rsidR="00651692" w:rsidRDefault="00651692"/>
  <w:p w:rsidR="00651692" w:rsidRDefault="006516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17B0A" w:rsidP="00F17B0A">
    <w:pPr>
      <w:pStyle w:val="Footer"/>
      <w:ind w:right="360"/>
    </w:pPr>
    <w:r>
      <w:rPr>
        <w:rFonts w:hint="eastAsia"/>
        <w:lang w:eastAsia="ko-KR"/>
      </w:rPr>
      <w:t>A</w:t>
    </w:r>
    <w:r>
      <w:rPr>
        <w:lang w:eastAsia="ko-KR"/>
      </w:rPr>
      <w:t>PG19</w:t>
    </w:r>
    <w:r>
      <w:rPr>
        <w:rFonts w:hint="eastAsia"/>
        <w:lang w:eastAsia="ko-KR"/>
      </w:rPr>
      <w:t>-</w:t>
    </w:r>
    <w:r w:rsidR="00EB7E2E">
      <w:rPr>
        <w:lang w:eastAsia="ko-KR"/>
      </w:rPr>
      <w:t>4</w:t>
    </w:r>
    <w:r>
      <w:rPr>
        <w:rFonts w:hint="eastAsia"/>
        <w:lang w:eastAsia="ko-KR"/>
      </w:rPr>
      <w:t>/</w:t>
    </w:r>
    <w:r>
      <w:rPr>
        <w:lang w:eastAsia="ko-KR"/>
      </w:rPr>
      <w:t>IN</w:t>
    </w:r>
    <w:r w:rsidR="00225C4F">
      <w:rPr>
        <w:lang w:eastAsia="ko-KR"/>
      </w:rPr>
      <w:t>F-17</w:t>
    </w:r>
    <w:r w:rsidRPr="002C7EA9">
      <w:rPr>
        <w:rStyle w:val="PageNumber"/>
      </w:rPr>
      <w:t xml:space="preserve"> </w:t>
    </w:r>
    <w:r>
      <w:rPr>
        <w:rStyle w:val="PageNumber"/>
      </w:rPr>
      <w:tab/>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25C4F">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25C4F">
      <w:rPr>
        <w:rStyle w:val="PageNumber"/>
        <w:noProof/>
      </w:rPr>
      <w:t>5</w:t>
    </w:r>
    <w:r w:rsidR="002C7EA9" w:rsidRPr="002C7EA9">
      <w:rPr>
        <w:rStyle w:val="PageNumber"/>
      </w:rPr>
      <w:fldChar w:fldCharType="end"/>
    </w:r>
  </w:p>
  <w:p w:rsidR="00651692" w:rsidRDefault="00651692"/>
  <w:p w:rsidR="00651692" w:rsidRDefault="006516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Pr="00155F6B" w:rsidRDefault="0097693B" w:rsidP="00762576">
          <w:pPr>
            <w:rPr>
              <w:b/>
              <w:bCs/>
            </w:rPr>
          </w:pPr>
          <w:r w:rsidRPr="00155F6B">
            <w:rPr>
              <w:b/>
              <w:bCs/>
            </w:rPr>
            <w:t>Contact:</w:t>
          </w:r>
        </w:p>
      </w:tc>
      <w:tc>
        <w:tcPr>
          <w:tcW w:w="4394" w:type="dxa"/>
          <w:tcBorders>
            <w:top w:val="single" w:sz="12" w:space="0" w:color="auto"/>
          </w:tcBorders>
        </w:tcPr>
        <w:p w:rsidR="00861016" w:rsidRPr="00861016" w:rsidRDefault="00861016" w:rsidP="00861016">
          <w:pPr>
            <w:pStyle w:val="Equation"/>
            <w:tabs>
              <w:tab w:val="left" w:pos="1191"/>
              <w:tab w:val="left" w:pos="1588"/>
              <w:tab w:val="left" w:pos="1985"/>
            </w:tabs>
            <w:rPr>
              <w:rFonts w:eastAsia="Batang"/>
              <w:szCs w:val="24"/>
            </w:rPr>
          </w:pPr>
          <w:r w:rsidRPr="00861016">
            <w:rPr>
              <w:rFonts w:eastAsia="Batang"/>
              <w:szCs w:val="24"/>
            </w:rPr>
            <w:t>PENG ZHAO</w:t>
          </w:r>
        </w:p>
        <w:p w:rsidR="0097693B" w:rsidRPr="00155F6B" w:rsidRDefault="00861016" w:rsidP="00861016">
          <w:pPr>
            <w:pStyle w:val="Equation"/>
            <w:tabs>
              <w:tab w:val="left" w:pos="1191"/>
              <w:tab w:val="left" w:pos="1588"/>
              <w:tab w:val="left" w:pos="1985"/>
            </w:tabs>
            <w:rPr>
              <w:rFonts w:eastAsia="Batang"/>
              <w:szCs w:val="24"/>
            </w:rPr>
          </w:pPr>
          <w:r w:rsidRPr="00861016">
            <w:rPr>
              <w:rFonts w:eastAsia="Batang"/>
              <w:szCs w:val="24"/>
            </w:rPr>
            <w:t>GSMA (Hong Kong)</w:t>
          </w:r>
        </w:p>
      </w:tc>
      <w:tc>
        <w:tcPr>
          <w:tcW w:w="3912" w:type="dxa"/>
          <w:tcBorders>
            <w:top w:val="single" w:sz="12" w:space="0" w:color="auto"/>
          </w:tcBorders>
        </w:tcPr>
        <w:p w:rsidR="0097693B" w:rsidRPr="00155F6B" w:rsidRDefault="0097693B" w:rsidP="00861016">
          <w:pPr>
            <w:rPr>
              <w:lang w:eastAsia="ja-JP"/>
            </w:rPr>
          </w:pPr>
          <w:r w:rsidRPr="00155F6B">
            <w:t>Email</w:t>
          </w:r>
          <w:r w:rsidRPr="00155F6B">
            <w:rPr>
              <w:rFonts w:hint="eastAsia"/>
            </w:rPr>
            <w:t>:</w:t>
          </w:r>
          <w:r w:rsidR="00861016" w:rsidRPr="00861016">
            <w:t xml:space="preserve"> pzhao@gsma.com</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65" w:rsidRDefault="00236C65">
      <w:r>
        <w:separator/>
      </w:r>
    </w:p>
  </w:footnote>
  <w:footnote w:type="continuationSeparator" w:id="0">
    <w:p w:rsidR="00236C65" w:rsidRDefault="0023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p w:rsidR="00651692" w:rsidRDefault="00651692"/>
  <w:p w:rsidR="00651692" w:rsidRDefault="006516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8FE5BB0"/>
    <w:multiLevelType w:val="hybridMultilevel"/>
    <w:tmpl w:val="621A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4234D"/>
    <w:multiLevelType w:val="hybridMultilevel"/>
    <w:tmpl w:val="2BA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DE53EE8"/>
    <w:multiLevelType w:val="hybridMultilevel"/>
    <w:tmpl w:val="0F88108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582E1E78"/>
    <w:multiLevelType w:val="hybridMultilevel"/>
    <w:tmpl w:val="E7A6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45F5E"/>
    <w:multiLevelType w:val="hybridMultilevel"/>
    <w:tmpl w:val="F10E5516"/>
    <w:lvl w:ilvl="0" w:tplc="A37AFDF0">
      <w:start w:val="1"/>
      <w:numFmt w:val="bullet"/>
      <w:lvlText w:val="-"/>
      <w:lvlJc w:val="left"/>
      <w:pPr>
        <w:tabs>
          <w:tab w:val="num" w:pos="720"/>
        </w:tabs>
        <w:ind w:left="720" w:hanging="360"/>
      </w:pPr>
      <w:rPr>
        <w:rFonts w:ascii="Times New Roman" w:hAnsi="Times New Roman" w:hint="default"/>
      </w:rPr>
    </w:lvl>
    <w:lvl w:ilvl="1" w:tplc="2334C9D8">
      <w:start w:val="1"/>
      <w:numFmt w:val="bullet"/>
      <w:lvlText w:val="•"/>
      <w:lvlJc w:val="left"/>
      <w:pPr>
        <w:tabs>
          <w:tab w:val="num" w:pos="1440"/>
        </w:tabs>
        <w:ind w:left="1440" w:hanging="360"/>
      </w:pPr>
      <w:rPr>
        <w:rFonts w:ascii="Arial" w:hAnsi="Arial" w:hint="default"/>
      </w:rPr>
    </w:lvl>
    <w:lvl w:ilvl="2" w:tplc="D4D0BFA2" w:tentative="1">
      <w:start w:val="1"/>
      <w:numFmt w:val="bullet"/>
      <w:lvlText w:val="-"/>
      <w:lvlJc w:val="left"/>
      <w:pPr>
        <w:tabs>
          <w:tab w:val="num" w:pos="2160"/>
        </w:tabs>
        <w:ind w:left="2160" w:hanging="360"/>
      </w:pPr>
      <w:rPr>
        <w:rFonts w:ascii="Times New Roman" w:hAnsi="Times New Roman" w:hint="default"/>
      </w:rPr>
    </w:lvl>
    <w:lvl w:ilvl="3" w:tplc="40C2DEBA" w:tentative="1">
      <w:start w:val="1"/>
      <w:numFmt w:val="bullet"/>
      <w:lvlText w:val="-"/>
      <w:lvlJc w:val="left"/>
      <w:pPr>
        <w:tabs>
          <w:tab w:val="num" w:pos="2880"/>
        </w:tabs>
        <w:ind w:left="2880" w:hanging="360"/>
      </w:pPr>
      <w:rPr>
        <w:rFonts w:ascii="Times New Roman" w:hAnsi="Times New Roman" w:hint="default"/>
      </w:rPr>
    </w:lvl>
    <w:lvl w:ilvl="4" w:tplc="414C87C2" w:tentative="1">
      <w:start w:val="1"/>
      <w:numFmt w:val="bullet"/>
      <w:lvlText w:val="-"/>
      <w:lvlJc w:val="left"/>
      <w:pPr>
        <w:tabs>
          <w:tab w:val="num" w:pos="3600"/>
        </w:tabs>
        <w:ind w:left="3600" w:hanging="360"/>
      </w:pPr>
      <w:rPr>
        <w:rFonts w:ascii="Times New Roman" w:hAnsi="Times New Roman" w:hint="default"/>
      </w:rPr>
    </w:lvl>
    <w:lvl w:ilvl="5" w:tplc="9FA03A52" w:tentative="1">
      <w:start w:val="1"/>
      <w:numFmt w:val="bullet"/>
      <w:lvlText w:val="-"/>
      <w:lvlJc w:val="left"/>
      <w:pPr>
        <w:tabs>
          <w:tab w:val="num" w:pos="4320"/>
        </w:tabs>
        <w:ind w:left="4320" w:hanging="360"/>
      </w:pPr>
      <w:rPr>
        <w:rFonts w:ascii="Times New Roman" w:hAnsi="Times New Roman" w:hint="default"/>
      </w:rPr>
    </w:lvl>
    <w:lvl w:ilvl="6" w:tplc="A8EA8B86" w:tentative="1">
      <w:start w:val="1"/>
      <w:numFmt w:val="bullet"/>
      <w:lvlText w:val="-"/>
      <w:lvlJc w:val="left"/>
      <w:pPr>
        <w:tabs>
          <w:tab w:val="num" w:pos="5040"/>
        </w:tabs>
        <w:ind w:left="5040" w:hanging="360"/>
      </w:pPr>
      <w:rPr>
        <w:rFonts w:ascii="Times New Roman" w:hAnsi="Times New Roman" w:hint="default"/>
      </w:rPr>
    </w:lvl>
    <w:lvl w:ilvl="7" w:tplc="F962C7A6" w:tentative="1">
      <w:start w:val="1"/>
      <w:numFmt w:val="bullet"/>
      <w:lvlText w:val="-"/>
      <w:lvlJc w:val="left"/>
      <w:pPr>
        <w:tabs>
          <w:tab w:val="num" w:pos="5760"/>
        </w:tabs>
        <w:ind w:left="5760" w:hanging="360"/>
      </w:pPr>
      <w:rPr>
        <w:rFonts w:ascii="Times New Roman" w:hAnsi="Times New Roman" w:hint="default"/>
      </w:rPr>
    </w:lvl>
    <w:lvl w:ilvl="8" w:tplc="C4F203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3"/>
  </w:num>
  <w:num w:numId="3">
    <w:abstractNumId w:val="2"/>
  </w:num>
  <w:num w:numId="4">
    <w:abstractNumId w:val="12"/>
  </w:num>
  <w:num w:numId="5">
    <w:abstractNumId w:val="6"/>
  </w:num>
  <w:num w:numId="6">
    <w:abstractNumId w:val="8"/>
  </w:num>
  <w:num w:numId="7">
    <w:abstractNumId w:val="1"/>
  </w:num>
  <w:num w:numId="8">
    <w:abstractNumId w:val="0"/>
  </w:num>
  <w:num w:numId="9">
    <w:abstractNumId w:val="10"/>
  </w:num>
  <w:num w:numId="10">
    <w:abstractNumId w:val="5"/>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713CF"/>
    <w:rsid w:val="00096326"/>
    <w:rsid w:val="000A5418"/>
    <w:rsid w:val="000A5C23"/>
    <w:rsid w:val="000F517C"/>
    <w:rsid w:val="000F5540"/>
    <w:rsid w:val="001174B7"/>
    <w:rsid w:val="001539DD"/>
    <w:rsid w:val="00155F6B"/>
    <w:rsid w:val="00196568"/>
    <w:rsid w:val="001A2F16"/>
    <w:rsid w:val="001B18C2"/>
    <w:rsid w:val="001D5D7E"/>
    <w:rsid w:val="00225C4F"/>
    <w:rsid w:val="00236C65"/>
    <w:rsid w:val="00253035"/>
    <w:rsid w:val="00254A1B"/>
    <w:rsid w:val="00271210"/>
    <w:rsid w:val="0028454D"/>
    <w:rsid w:val="00291C9E"/>
    <w:rsid w:val="002926D4"/>
    <w:rsid w:val="002C07DA"/>
    <w:rsid w:val="002C6A03"/>
    <w:rsid w:val="002C7EA9"/>
    <w:rsid w:val="00342F20"/>
    <w:rsid w:val="00371351"/>
    <w:rsid w:val="003809C7"/>
    <w:rsid w:val="003B6263"/>
    <w:rsid w:val="003C64A7"/>
    <w:rsid w:val="003D3FDA"/>
    <w:rsid w:val="003E787C"/>
    <w:rsid w:val="00420822"/>
    <w:rsid w:val="0045458F"/>
    <w:rsid w:val="004633B4"/>
    <w:rsid w:val="00490FB9"/>
    <w:rsid w:val="004B3553"/>
    <w:rsid w:val="004F6C66"/>
    <w:rsid w:val="00530E8C"/>
    <w:rsid w:val="00545933"/>
    <w:rsid w:val="00557544"/>
    <w:rsid w:val="00583665"/>
    <w:rsid w:val="00587875"/>
    <w:rsid w:val="00607E2B"/>
    <w:rsid w:val="006139D6"/>
    <w:rsid w:val="00623CE1"/>
    <w:rsid w:val="0063062B"/>
    <w:rsid w:val="00650708"/>
    <w:rsid w:val="00651692"/>
    <w:rsid w:val="00667229"/>
    <w:rsid w:val="00682BE5"/>
    <w:rsid w:val="00690FED"/>
    <w:rsid w:val="006939A5"/>
    <w:rsid w:val="006A64A9"/>
    <w:rsid w:val="006F3C02"/>
    <w:rsid w:val="00712451"/>
    <w:rsid w:val="00731041"/>
    <w:rsid w:val="00732F08"/>
    <w:rsid w:val="0074190C"/>
    <w:rsid w:val="00762576"/>
    <w:rsid w:val="00791060"/>
    <w:rsid w:val="007B5626"/>
    <w:rsid w:val="0080570B"/>
    <w:rsid w:val="008148E1"/>
    <w:rsid w:val="008319BF"/>
    <w:rsid w:val="00861016"/>
    <w:rsid w:val="008D0E09"/>
    <w:rsid w:val="008F1E81"/>
    <w:rsid w:val="00902433"/>
    <w:rsid w:val="009129CC"/>
    <w:rsid w:val="0097693B"/>
    <w:rsid w:val="00993355"/>
    <w:rsid w:val="009A4A6D"/>
    <w:rsid w:val="009A5661"/>
    <w:rsid w:val="00A13265"/>
    <w:rsid w:val="00A63E4F"/>
    <w:rsid w:val="00A71136"/>
    <w:rsid w:val="00A96366"/>
    <w:rsid w:val="00AA474C"/>
    <w:rsid w:val="00AD7E5F"/>
    <w:rsid w:val="00B01AA1"/>
    <w:rsid w:val="00B30C81"/>
    <w:rsid w:val="00B4793B"/>
    <w:rsid w:val="00B97E24"/>
    <w:rsid w:val="00BB44F8"/>
    <w:rsid w:val="00C15633"/>
    <w:rsid w:val="00C15799"/>
    <w:rsid w:val="00C357AD"/>
    <w:rsid w:val="00C6069C"/>
    <w:rsid w:val="00C85119"/>
    <w:rsid w:val="00CD5431"/>
    <w:rsid w:val="00CF2491"/>
    <w:rsid w:val="00D1252E"/>
    <w:rsid w:val="00D57772"/>
    <w:rsid w:val="00D72AE3"/>
    <w:rsid w:val="00D75A4D"/>
    <w:rsid w:val="00D8478B"/>
    <w:rsid w:val="00D86151"/>
    <w:rsid w:val="00DA7595"/>
    <w:rsid w:val="00DB0A68"/>
    <w:rsid w:val="00DC43A3"/>
    <w:rsid w:val="00DD7C09"/>
    <w:rsid w:val="00E0124F"/>
    <w:rsid w:val="00E674D3"/>
    <w:rsid w:val="00E70FD0"/>
    <w:rsid w:val="00EB7E2E"/>
    <w:rsid w:val="00EE7A58"/>
    <w:rsid w:val="00F17B0A"/>
    <w:rsid w:val="00F205D7"/>
    <w:rsid w:val="00F67EEC"/>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A95EF-6810-4CB2-B858-8E49C26C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rsid w:val="00902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R00-CA-CIR-0226/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5</cp:revision>
  <cp:lastPrinted>2004-07-28T02:14:00Z</cp:lastPrinted>
  <dcterms:created xsi:type="dcterms:W3CDTF">2018-12-23T15:35:00Z</dcterms:created>
  <dcterms:modified xsi:type="dcterms:W3CDTF">2018-12-31T04:08:00Z</dcterms:modified>
</cp:coreProperties>
</file>