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1A25A5" w:rsidRPr="00441526" w:rsidTr="006D19A8">
        <w:trPr>
          <w:cantSplit/>
        </w:trPr>
        <w:tc>
          <w:tcPr>
            <w:tcW w:w="1399" w:type="dxa"/>
            <w:vMerge w:val="restart"/>
          </w:tcPr>
          <w:p w:rsidR="001A25A5" w:rsidRPr="00441526" w:rsidRDefault="001A25A5" w:rsidP="006D19A8">
            <w:pPr>
              <w:pStyle w:val="Note"/>
              <w:widowControl w:val="0"/>
              <w:tabs>
                <w:tab w:val="clear" w:pos="284"/>
                <w:tab w:val="clear" w:pos="1134"/>
                <w:tab w:val="clear" w:pos="1871"/>
                <w:tab w:val="clear" w:pos="2268"/>
              </w:tabs>
              <w:wordWrap w:val="0"/>
              <w:spacing w:before="0"/>
              <w:rPr>
                <w:noProof w:val="0"/>
                <w:kern w:val="2"/>
                <w:sz w:val="24"/>
                <w:szCs w:val="24"/>
              </w:rPr>
            </w:pPr>
            <w:r w:rsidRPr="00441526">
              <w:rPr>
                <w:kern w:val="2"/>
                <w:sz w:val="24"/>
                <w:szCs w:val="24"/>
                <w:lang w:eastAsia="en-US"/>
              </w:rPr>
              <w:drawing>
                <wp:inline distT="0" distB="0" distL="0" distR="0">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rsidR="001A25A5" w:rsidRPr="00441526" w:rsidRDefault="001A25A5" w:rsidP="006D19A8">
            <w:r w:rsidRPr="00441526">
              <w:t>ASIA-PACIFIC TELECOMMUNITY</w:t>
            </w:r>
          </w:p>
        </w:tc>
        <w:tc>
          <w:tcPr>
            <w:tcW w:w="2700" w:type="dxa"/>
          </w:tcPr>
          <w:p w:rsidR="001A25A5" w:rsidRPr="00441526" w:rsidRDefault="001A25A5" w:rsidP="006D19A8">
            <w:pPr>
              <w:rPr>
                <w:b/>
                <w:bCs/>
                <w:lang w:val="fr-FR"/>
              </w:rPr>
            </w:pPr>
            <w:r w:rsidRPr="00441526">
              <w:rPr>
                <w:b/>
                <w:lang w:val="fr-FR"/>
              </w:rPr>
              <w:t>Document</w:t>
            </w:r>
            <w:r>
              <w:rPr>
                <w:b/>
                <w:lang w:val="fr-FR"/>
              </w:rPr>
              <w:t xml:space="preserve"> No</w:t>
            </w:r>
            <w:r w:rsidRPr="00441526">
              <w:rPr>
                <w:b/>
                <w:lang w:val="fr-FR"/>
              </w:rPr>
              <w:t xml:space="preserve">: </w:t>
            </w:r>
          </w:p>
        </w:tc>
      </w:tr>
      <w:tr w:rsidR="001A25A5" w:rsidRPr="00441526" w:rsidTr="006D19A8">
        <w:trPr>
          <w:cantSplit/>
        </w:trPr>
        <w:tc>
          <w:tcPr>
            <w:tcW w:w="1399" w:type="dxa"/>
            <w:vMerge/>
          </w:tcPr>
          <w:p w:rsidR="001A25A5" w:rsidRPr="00441526" w:rsidRDefault="001A25A5" w:rsidP="006D19A8"/>
        </w:tc>
        <w:tc>
          <w:tcPr>
            <w:tcW w:w="5720" w:type="dxa"/>
          </w:tcPr>
          <w:p w:rsidR="001A25A5" w:rsidRPr="00441526" w:rsidRDefault="001A25A5" w:rsidP="006D19A8">
            <w:pPr>
              <w:spacing w:line="0" w:lineRule="atLeast"/>
            </w:pPr>
            <w:r w:rsidRPr="00441526">
              <w:rPr>
                <w:b/>
              </w:rPr>
              <w:t xml:space="preserve">The </w:t>
            </w:r>
            <w:r>
              <w:rPr>
                <w:b/>
              </w:rPr>
              <w:t xml:space="preserve">4th </w:t>
            </w:r>
            <w:r w:rsidRPr="00441526">
              <w:rPr>
                <w:b/>
              </w:rPr>
              <w:t>Meeting of the APT Conference Preparatory  Group for WRC-19 (APG19-</w:t>
            </w:r>
            <w:r>
              <w:rPr>
                <w:b/>
              </w:rPr>
              <w:t>4</w:t>
            </w:r>
            <w:r w:rsidRPr="00441526">
              <w:rPr>
                <w:b/>
              </w:rPr>
              <w:t>)</w:t>
            </w:r>
          </w:p>
        </w:tc>
        <w:tc>
          <w:tcPr>
            <w:tcW w:w="2700" w:type="dxa"/>
          </w:tcPr>
          <w:p w:rsidR="001A25A5" w:rsidRPr="00441526" w:rsidRDefault="001A25A5" w:rsidP="002B441E">
            <w:pPr>
              <w:rPr>
                <w:b/>
                <w:bCs/>
                <w:lang w:val="fr-FR"/>
              </w:rPr>
            </w:pPr>
            <w:r w:rsidRPr="00441526">
              <w:rPr>
                <w:b/>
                <w:bCs/>
                <w:lang w:val="fr-FR"/>
              </w:rPr>
              <w:t>APG19-</w:t>
            </w:r>
            <w:r>
              <w:rPr>
                <w:b/>
                <w:bCs/>
                <w:lang w:val="fr-FR"/>
              </w:rPr>
              <w:t>4</w:t>
            </w:r>
            <w:r w:rsidRPr="00441526">
              <w:rPr>
                <w:b/>
                <w:bCs/>
                <w:lang w:val="fr-FR"/>
              </w:rPr>
              <w:t>/</w:t>
            </w:r>
            <w:r>
              <w:rPr>
                <w:b/>
                <w:bCs/>
                <w:lang w:val="fr-FR"/>
              </w:rPr>
              <w:t>INP</w:t>
            </w:r>
            <w:r w:rsidR="002B441E">
              <w:rPr>
                <w:b/>
                <w:bCs/>
                <w:lang w:val="fr-FR"/>
              </w:rPr>
              <w:t>-114</w:t>
            </w:r>
          </w:p>
        </w:tc>
      </w:tr>
      <w:tr w:rsidR="001A25A5" w:rsidRPr="00441526" w:rsidTr="006D19A8">
        <w:trPr>
          <w:cantSplit/>
          <w:trHeight w:val="219"/>
        </w:trPr>
        <w:tc>
          <w:tcPr>
            <w:tcW w:w="1399" w:type="dxa"/>
            <w:vMerge/>
          </w:tcPr>
          <w:p w:rsidR="001A25A5" w:rsidRPr="00441526" w:rsidRDefault="001A25A5" w:rsidP="006D19A8">
            <w:pPr>
              <w:rPr>
                <w:lang w:val="fr-FR"/>
              </w:rPr>
            </w:pPr>
          </w:p>
        </w:tc>
        <w:tc>
          <w:tcPr>
            <w:tcW w:w="5720" w:type="dxa"/>
          </w:tcPr>
          <w:p w:rsidR="001A25A5" w:rsidRPr="00441526" w:rsidRDefault="001A25A5" w:rsidP="002B441E">
            <w:r>
              <w:t>7</w:t>
            </w:r>
            <w:r w:rsidRPr="00441526">
              <w:t xml:space="preserve"> – 1</w:t>
            </w:r>
            <w:r>
              <w:t>2</w:t>
            </w:r>
            <w:r w:rsidRPr="00441526">
              <w:t xml:space="preserve"> </w:t>
            </w:r>
            <w:r>
              <w:t xml:space="preserve">January </w:t>
            </w:r>
            <w:r w:rsidRPr="00441526">
              <w:t>201</w:t>
            </w:r>
            <w:r w:rsidR="002B441E">
              <w:t>9</w:t>
            </w:r>
            <w:r w:rsidRPr="00441526">
              <w:t xml:space="preserve">, </w:t>
            </w:r>
            <w:r>
              <w:t>Busan</w:t>
            </w:r>
            <w:r w:rsidRPr="00441526">
              <w:t xml:space="preserve">, </w:t>
            </w:r>
            <w:r>
              <w:t>Republic of Korea</w:t>
            </w:r>
          </w:p>
        </w:tc>
        <w:tc>
          <w:tcPr>
            <w:tcW w:w="2700" w:type="dxa"/>
          </w:tcPr>
          <w:p w:rsidR="001A25A5" w:rsidRPr="00441526" w:rsidRDefault="001B53A3" w:rsidP="002B441E">
            <w:pPr>
              <w:rPr>
                <w:b/>
              </w:rPr>
            </w:pPr>
            <w:r>
              <w:rPr>
                <w:b/>
              </w:rPr>
              <w:t xml:space="preserve">31 </w:t>
            </w:r>
            <w:r w:rsidR="001A25A5">
              <w:rPr>
                <w:b/>
              </w:rPr>
              <w:t xml:space="preserve">December </w:t>
            </w:r>
            <w:r w:rsidR="001A25A5" w:rsidRPr="00441526">
              <w:rPr>
                <w:b/>
              </w:rPr>
              <w:t>2018</w:t>
            </w:r>
          </w:p>
        </w:tc>
      </w:tr>
    </w:tbl>
    <w:p w:rsidR="00DA7595" w:rsidRPr="001A25A5" w:rsidRDefault="00DA7595" w:rsidP="00DA7595">
      <w:pPr>
        <w:rPr>
          <w:sz w:val="26"/>
          <w:szCs w:val="26"/>
          <w:lang w:eastAsia="ko-KR"/>
        </w:rPr>
      </w:pPr>
    </w:p>
    <w:p w:rsidR="00763BAE" w:rsidRDefault="00763BAE" w:rsidP="00DA7595">
      <w:pPr>
        <w:jc w:val="center"/>
        <w:rPr>
          <w:b/>
          <w:sz w:val="26"/>
          <w:szCs w:val="26"/>
          <w:lang w:eastAsia="ko-KR"/>
        </w:rPr>
      </w:pPr>
    </w:p>
    <w:p w:rsidR="00DA7595" w:rsidRPr="00D15036" w:rsidRDefault="00D15036" w:rsidP="00DA7595">
      <w:pPr>
        <w:jc w:val="center"/>
        <w:rPr>
          <w:b/>
          <w:sz w:val="26"/>
          <w:szCs w:val="26"/>
          <w:lang w:eastAsia="ko-KR"/>
        </w:rPr>
      </w:pPr>
      <w:r w:rsidRPr="00D15036">
        <w:rPr>
          <w:b/>
          <w:sz w:val="26"/>
          <w:szCs w:val="26"/>
          <w:lang w:eastAsia="ko-KR"/>
        </w:rPr>
        <w:t>India (Republic of)</w:t>
      </w:r>
    </w:p>
    <w:p w:rsidR="00FE3DE5" w:rsidRPr="001A25A5" w:rsidRDefault="00FE3DE5" w:rsidP="0063062B">
      <w:pPr>
        <w:jc w:val="center"/>
        <w:rPr>
          <w:bCs/>
          <w:caps/>
          <w:sz w:val="26"/>
          <w:szCs w:val="26"/>
        </w:rPr>
      </w:pPr>
    </w:p>
    <w:p w:rsidR="00C357AD" w:rsidRPr="001A25A5" w:rsidRDefault="00FE3DE5" w:rsidP="0063062B">
      <w:pPr>
        <w:jc w:val="center"/>
        <w:rPr>
          <w:b/>
          <w:bCs/>
          <w:caps/>
        </w:rPr>
      </w:pPr>
      <w:r w:rsidRPr="001A25A5">
        <w:rPr>
          <w:b/>
          <w:bCs/>
          <w:caps/>
        </w:rPr>
        <w:t>preliminary views on WRC-1</w:t>
      </w:r>
      <w:r w:rsidR="000476FF">
        <w:rPr>
          <w:b/>
          <w:bCs/>
          <w:caps/>
        </w:rPr>
        <w:t>9</w:t>
      </w:r>
      <w:r w:rsidR="00D1252E" w:rsidRPr="001A25A5">
        <w:rPr>
          <w:b/>
          <w:bCs/>
          <w:caps/>
        </w:rPr>
        <w:t xml:space="preserve"> agenda item</w:t>
      </w:r>
      <w:r w:rsidR="00630D27">
        <w:rPr>
          <w:b/>
          <w:bCs/>
          <w:caps/>
        </w:rPr>
        <w:t>s</w:t>
      </w:r>
      <w:r w:rsidR="00D1252E" w:rsidRPr="001A25A5">
        <w:rPr>
          <w:b/>
          <w:bCs/>
          <w:caps/>
        </w:rPr>
        <w:t xml:space="preserve"> </w:t>
      </w:r>
      <w:r w:rsidR="002774D2">
        <w:rPr>
          <w:b/>
          <w:bCs/>
          <w:caps/>
        </w:rPr>
        <w:t>1.</w:t>
      </w:r>
      <w:r w:rsidR="00BB5EA5">
        <w:rPr>
          <w:b/>
          <w:bCs/>
          <w:caps/>
        </w:rPr>
        <w:t>13</w:t>
      </w:r>
      <w:r w:rsidR="00630D27">
        <w:rPr>
          <w:b/>
          <w:bCs/>
          <w:caps/>
        </w:rPr>
        <w:t>, 1.16, 9.1 (Issue 9.1.8)</w:t>
      </w:r>
    </w:p>
    <w:p w:rsidR="00DB0A68" w:rsidRDefault="00DB0A68" w:rsidP="00C357AD">
      <w:pPr>
        <w:jc w:val="center"/>
      </w:pPr>
    </w:p>
    <w:p w:rsidR="00763BAE" w:rsidRDefault="00763BAE" w:rsidP="00763BAE">
      <w:pPr>
        <w:jc w:val="both"/>
      </w:pPr>
      <w:r>
        <w:rPr>
          <w:b/>
        </w:rPr>
        <w:t xml:space="preserve">Agenda Item 1.13: </w:t>
      </w:r>
    </w:p>
    <w:p w:rsidR="00763BAE" w:rsidRDefault="00763BAE" w:rsidP="00763BAE">
      <w:pPr>
        <w:jc w:val="both"/>
      </w:pPr>
    </w:p>
    <w:p w:rsidR="00763BAE" w:rsidRDefault="00AA68FA" w:rsidP="00763BAE">
      <w:pPr>
        <w:jc w:val="both"/>
        <w:rPr>
          <w:i/>
        </w:rPr>
      </w:pPr>
      <w:r w:rsidRPr="00AA68FA">
        <w:rPr>
          <w:i/>
        </w:rPr>
        <w:t xml:space="preserve">to consider identification of frequency bands for the future development of International Mobile Telecommunications (IMT), including possible additional allocations to the mobile service on a primary basis, in accordance with Resolution </w:t>
      </w:r>
      <w:r w:rsidRPr="00AA68FA">
        <w:rPr>
          <w:b/>
          <w:bCs/>
          <w:i/>
        </w:rPr>
        <w:t>238 (WRC</w:t>
      </w:r>
      <w:r w:rsidRPr="00AA68FA">
        <w:rPr>
          <w:b/>
          <w:bCs/>
          <w:i/>
        </w:rPr>
        <w:noBreakHyphen/>
        <w:t>15)</w:t>
      </w:r>
      <w:r w:rsidRPr="00AA68FA">
        <w:rPr>
          <w:i/>
        </w:rPr>
        <w:t>;</w:t>
      </w:r>
    </w:p>
    <w:p w:rsidR="00AA68FA" w:rsidRPr="00AA68FA" w:rsidRDefault="00AA68FA" w:rsidP="00763BAE">
      <w:pPr>
        <w:jc w:val="both"/>
        <w:rPr>
          <w:i/>
        </w:rPr>
      </w:pPr>
    </w:p>
    <w:p w:rsidR="00763BAE" w:rsidRDefault="00763BAE" w:rsidP="00763BAE">
      <w:pPr>
        <w:spacing w:after="120"/>
        <w:jc w:val="both"/>
        <w:rPr>
          <w:b/>
          <w:lang w:eastAsia="ko-KR"/>
        </w:rPr>
      </w:pPr>
      <w:r w:rsidRPr="00A30FA5">
        <w:rPr>
          <w:rFonts w:hint="eastAsia"/>
          <w:b/>
          <w:lang w:eastAsia="ko-KR"/>
        </w:rPr>
        <w:t>1. Background</w:t>
      </w:r>
    </w:p>
    <w:p w:rsidR="0049230E" w:rsidRDefault="00366905" w:rsidP="00074C15">
      <w:pPr>
        <w:jc w:val="both"/>
      </w:pPr>
      <w:r>
        <w:t>During the last APG meeting</w:t>
      </w:r>
      <w:r w:rsidR="00074C15">
        <w:t>,</w:t>
      </w:r>
      <w:r>
        <w:t xml:space="preserve"> APG (19-3) held at Perth, Australia in March 2018</w:t>
      </w:r>
      <w:r w:rsidR="00074C15">
        <w:t>,</w:t>
      </w:r>
      <w:r>
        <w:t xml:space="preserve"> India proposed priority for certain frequency ranges for identification for sharing studies for implementation of IMT 2020.</w:t>
      </w:r>
    </w:p>
    <w:p w:rsidR="00366905" w:rsidRDefault="00366905" w:rsidP="0049230E"/>
    <w:p w:rsidR="00366905" w:rsidRDefault="00366905" w:rsidP="00366905">
      <w:pPr>
        <w:spacing w:before="120"/>
        <w:jc w:val="both"/>
      </w:pPr>
      <w:r>
        <w:t>With respect to the key points raised in APG19-2 on prioritization of frequency bands, India has a preference to prioritize the following frequency bands for sharing studies:</w:t>
      </w:r>
    </w:p>
    <w:p w:rsidR="00366905" w:rsidRDefault="00366905" w:rsidP="00366905">
      <w:pPr>
        <w:spacing w:before="120"/>
        <w:jc w:val="both"/>
      </w:pPr>
    </w:p>
    <w:p w:rsidR="00366905" w:rsidRDefault="00366905" w:rsidP="00366905">
      <w:pPr>
        <w:pStyle w:val="ListParagraph"/>
        <w:numPr>
          <w:ilvl w:val="0"/>
          <w:numId w:val="32"/>
        </w:numPr>
        <w:ind w:left="714" w:hanging="357"/>
        <w:jc w:val="both"/>
      </w:pPr>
      <w:r>
        <w:t>24.25 -27.5 GHz</w:t>
      </w:r>
    </w:p>
    <w:p w:rsidR="00366905" w:rsidRDefault="00366905" w:rsidP="00366905">
      <w:pPr>
        <w:pStyle w:val="ListParagraph"/>
        <w:numPr>
          <w:ilvl w:val="0"/>
          <w:numId w:val="32"/>
        </w:numPr>
        <w:ind w:left="714" w:hanging="357"/>
        <w:jc w:val="both"/>
      </w:pPr>
      <w:r>
        <w:t>31.8-33.4</w:t>
      </w:r>
    </w:p>
    <w:p w:rsidR="00B640B4" w:rsidRDefault="00366905" w:rsidP="0049230E">
      <w:pPr>
        <w:pStyle w:val="ListParagraph"/>
        <w:numPr>
          <w:ilvl w:val="0"/>
          <w:numId w:val="32"/>
        </w:numPr>
        <w:jc w:val="both"/>
      </w:pPr>
      <w:r>
        <w:t>37-40.5</w:t>
      </w:r>
    </w:p>
    <w:p w:rsidR="00B640B4" w:rsidRDefault="00B640B4" w:rsidP="00B640B4">
      <w:pPr>
        <w:ind w:left="360"/>
        <w:jc w:val="both"/>
      </w:pPr>
    </w:p>
    <w:p w:rsidR="00486D97" w:rsidRDefault="00486D97" w:rsidP="00B640B4">
      <w:pPr>
        <w:jc w:val="both"/>
        <w:rPr>
          <w:b/>
        </w:rPr>
      </w:pPr>
      <w:r w:rsidRPr="00486D97">
        <w:rPr>
          <w:b/>
        </w:rPr>
        <w:t>1.1: Summary</w:t>
      </w:r>
    </w:p>
    <w:p w:rsidR="00486D97" w:rsidRDefault="00486D97" w:rsidP="00B640B4">
      <w:pPr>
        <w:jc w:val="both"/>
        <w:rPr>
          <w:b/>
        </w:rPr>
      </w:pPr>
    </w:p>
    <w:p w:rsidR="00366905" w:rsidRDefault="00B640B4" w:rsidP="00B640B4">
      <w:pPr>
        <w:jc w:val="both"/>
      </w:pPr>
      <w:r>
        <w:t>After studies carried out by TG5/1 of Study Group 5, India has more clarity of coexistence status of various services with IMT 2020 and is proposing following for IMT identification.</w:t>
      </w:r>
    </w:p>
    <w:p w:rsidR="00B640B4" w:rsidRDefault="00B640B4" w:rsidP="0049230E"/>
    <w:tbl>
      <w:tblPr>
        <w:tblW w:w="5000" w:type="pct"/>
        <w:tblCellMar>
          <w:left w:w="0" w:type="dxa"/>
          <w:right w:w="0" w:type="dxa"/>
        </w:tblCellMar>
        <w:tblLook w:val="04A0" w:firstRow="1" w:lastRow="0" w:firstColumn="1" w:lastColumn="0" w:noHBand="0" w:noVBand="1"/>
      </w:tblPr>
      <w:tblGrid>
        <w:gridCol w:w="643"/>
        <w:gridCol w:w="737"/>
        <w:gridCol w:w="737"/>
        <w:gridCol w:w="738"/>
        <w:gridCol w:w="738"/>
        <w:gridCol w:w="738"/>
        <w:gridCol w:w="738"/>
        <w:gridCol w:w="738"/>
        <w:gridCol w:w="738"/>
        <w:gridCol w:w="738"/>
        <w:gridCol w:w="738"/>
        <w:gridCol w:w="738"/>
        <w:gridCol w:w="774"/>
      </w:tblGrid>
      <w:tr w:rsidR="00366905" w:rsidRPr="00366905" w:rsidTr="005B7A5B">
        <w:trPr>
          <w:trHeight w:val="386"/>
        </w:trPr>
        <w:tc>
          <w:tcPr>
            <w:tcW w:w="337" w:type="pct"/>
            <w:vMerge w:val="restart"/>
            <w:tcBorders>
              <w:top w:val="single" w:sz="8" w:space="0" w:color="000000"/>
              <w:left w:val="single" w:sz="8" w:space="0" w:color="000000"/>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366905" w:rsidRPr="00366905" w:rsidRDefault="00366905" w:rsidP="00366905">
            <w:pPr>
              <w:spacing w:before="100" w:beforeAutospacing="1" w:after="100" w:afterAutospacing="1"/>
              <w:rPr>
                <w:rFonts w:eastAsia="Times New Roman"/>
                <w:color w:val="000000"/>
              </w:rPr>
            </w:pPr>
            <w:r w:rsidRPr="00366905">
              <w:rPr>
                <w:rFonts w:eastAsia="Times New Roman"/>
                <w:color w:val="000000"/>
                <w:lang w:val="en-GB"/>
              </w:rPr>
              <w:t> </w:t>
            </w:r>
          </w:p>
        </w:tc>
        <w:tc>
          <w:tcPr>
            <w:tcW w:w="4663" w:type="pct"/>
            <w:gridSpan w:val="12"/>
            <w:tcBorders>
              <w:top w:val="single" w:sz="8" w:space="0" w:color="000000"/>
              <w:left w:val="nil"/>
              <w:bottom w:val="single" w:sz="8" w:space="0" w:color="000000"/>
              <w:right w:val="single" w:sz="8" w:space="0" w:color="000000"/>
            </w:tcBorders>
            <w:shd w:val="clear" w:color="auto" w:fill="BFBFBF"/>
            <w:tcMar>
              <w:top w:w="15" w:type="dxa"/>
              <w:left w:w="108" w:type="dxa"/>
              <w:bottom w:w="0" w:type="dxa"/>
              <w:right w:w="108" w:type="dxa"/>
            </w:tcMar>
            <w:vAlign w:val="center"/>
            <w:hideMark/>
          </w:tcPr>
          <w:p w:rsidR="00366905" w:rsidRPr="00366905" w:rsidRDefault="00366905" w:rsidP="00366905">
            <w:pPr>
              <w:spacing w:before="100" w:beforeAutospacing="1" w:after="100" w:afterAutospacing="1"/>
              <w:rPr>
                <w:rFonts w:eastAsia="Times New Roman"/>
                <w:color w:val="000000"/>
              </w:rPr>
            </w:pPr>
            <w:r w:rsidRPr="00366905">
              <w:rPr>
                <w:rFonts w:eastAsia="Times New Roman"/>
                <w:color w:val="000000"/>
                <w:lang w:val="en-GB"/>
              </w:rPr>
              <w:t>Frequency bands (GHz) mentioned in Resolution 238 (WRC-15)</w:t>
            </w:r>
          </w:p>
        </w:tc>
      </w:tr>
      <w:tr w:rsidR="00366905" w:rsidRPr="00366905" w:rsidTr="005B7A5B">
        <w:trPr>
          <w:trHeight w:val="406"/>
        </w:trPr>
        <w:tc>
          <w:tcPr>
            <w:tcW w:w="337" w:type="pct"/>
            <w:vMerge/>
            <w:tcBorders>
              <w:top w:val="single" w:sz="8" w:space="0" w:color="000000"/>
              <w:left w:val="single" w:sz="8" w:space="0" w:color="000000"/>
              <w:bottom w:val="single" w:sz="8" w:space="0" w:color="000000"/>
              <w:right w:val="single" w:sz="8" w:space="0" w:color="000000"/>
            </w:tcBorders>
            <w:vAlign w:val="center"/>
            <w:hideMark/>
          </w:tcPr>
          <w:p w:rsidR="00366905" w:rsidRPr="00366905" w:rsidRDefault="00366905" w:rsidP="00366905">
            <w:pPr>
              <w:rPr>
                <w:rFonts w:eastAsia="Times New Roman"/>
                <w:color w:val="000000"/>
              </w:rPr>
            </w:pPr>
          </w:p>
        </w:tc>
        <w:tc>
          <w:tcPr>
            <w:tcW w:w="387" w:type="pct"/>
            <w:tcBorders>
              <w:top w:val="nil"/>
              <w:left w:val="nil"/>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366905" w:rsidRPr="00366905" w:rsidRDefault="00366905" w:rsidP="00366905">
            <w:pPr>
              <w:spacing w:before="100" w:beforeAutospacing="1" w:after="100" w:afterAutospacing="1"/>
              <w:rPr>
                <w:rFonts w:eastAsia="Times New Roman"/>
                <w:color w:val="000000"/>
              </w:rPr>
            </w:pPr>
            <w:r w:rsidRPr="00366905">
              <w:rPr>
                <w:rFonts w:eastAsia="Times New Roman"/>
                <w:color w:val="000000"/>
                <w:lang w:val="en-GB"/>
              </w:rPr>
              <w:t>24.25-27.5</w:t>
            </w:r>
          </w:p>
        </w:tc>
        <w:tc>
          <w:tcPr>
            <w:tcW w:w="387" w:type="pct"/>
            <w:tcBorders>
              <w:top w:val="nil"/>
              <w:left w:val="nil"/>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366905" w:rsidRPr="00366905" w:rsidRDefault="00366905" w:rsidP="00366905">
            <w:pPr>
              <w:spacing w:before="100" w:beforeAutospacing="1" w:after="100" w:afterAutospacing="1"/>
              <w:rPr>
                <w:rFonts w:eastAsia="Times New Roman"/>
                <w:color w:val="000000"/>
              </w:rPr>
            </w:pPr>
            <w:r w:rsidRPr="00366905">
              <w:rPr>
                <w:rFonts w:eastAsia="Times New Roman"/>
                <w:color w:val="000000"/>
                <w:lang w:val="en-GB"/>
              </w:rPr>
              <w:t>31.8-33.4</w:t>
            </w:r>
          </w:p>
        </w:tc>
        <w:tc>
          <w:tcPr>
            <w:tcW w:w="387" w:type="pct"/>
            <w:tcBorders>
              <w:top w:val="nil"/>
              <w:left w:val="nil"/>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366905" w:rsidRPr="00366905" w:rsidRDefault="00366905" w:rsidP="00366905">
            <w:pPr>
              <w:spacing w:before="100" w:beforeAutospacing="1" w:after="100" w:afterAutospacing="1"/>
              <w:rPr>
                <w:rFonts w:eastAsia="Times New Roman"/>
                <w:color w:val="000000"/>
              </w:rPr>
            </w:pPr>
            <w:r w:rsidRPr="00366905">
              <w:rPr>
                <w:rFonts w:eastAsia="Times New Roman"/>
                <w:color w:val="000000"/>
                <w:lang w:val="en-GB"/>
              </w:rPr>
              <w:t>37-40.5</w:t>
            </w:r>
          </w:p>
        </w:tc>
        <w:tc>
          <w:tcPr>
            <w:tcW w:w="387" w:type="pct"/>
            <w:tcBorders>
              <w:top w:val="nil"/>
              <w:left w:val="nil"/>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366905" w:rsidRPr="00366905" w:rsidRDefault="00366905" w:rsidP="00366905">
            <w:pPr>
              <w:spacing w:before="100" w:beforeAutospacing="1" w:after="100" w:afterAutospacing="1"/>
              <w:rPr>
                <w:rFonts w:eastAsia="Times New Roman"/>
                <w:color w:val="000000"/>
              </w:rPr>
            </w:pPr>
            <w:r w:rsidRPr="00366905">
              <w:rPr>
                <w:rFonts w:eastAsia="Times New Roman"/>
                <w:color w:val="000000"/>
                <w:lang w:val="en-GB"/>
              </w:rPr>
              <w:t>40.5-42.5</w:t>
            </w:r>
          </w:p>
        </w:tc>
        <w:tc>
          <w:tcPr>
            <w:tcW w:w="387" w:type="pct"/>
            <w:tcBorders>
              <w:top w:val="nil"/>
              <w:left w:val="nil"/>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366905" w:rsidRPr="00366905" w:rsidRDefault="00366905" w:rsidP="00366905">
            <w:pPr>
              <w:spacing w:before="100" w:beforeAutospacing="1" w:after="100" w:afterAutospacing="1"/>
              <w:rPr>
                <w:rFonts w:eastAsia="Times New Roman"/>
                <w:color w:val="000000"/>
              </w:rPr>
            </w:pPr>
            <w:r w:rsidRPr="00366905">
              <w:rPr>
                <w:rFonts w:eastAsia="Times New Roman"/>
                <w:color w:val="000000"/>
                <w:lang w:val="en-GB"/>
              </w:rPr>
              <w:t>42.5-43.5</w:t>
            </w:r>
          </w:p>
        </w:tc>
        <w:tc>
          <w:tcPr>
            <w:tcW w:w="387" w:type="pct"/>
            <w:tcBorders>
              <w:top w:val="nil"/>
              <w:left w:val="nil"/>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366905" w:rsidRPr="00366905" w:rsidRDefault="00366905" w:rsidP="00366905">
            <w:pPr>
              <w:spacing w:before="100" w:beforeAutospacing="1" w:after="100" w:afterAutospacing="1"/>
              <w:rPr>
                <w:rFonts w:eastAsia="Times New Roman"/>
                <w:color w:val="000000"/>
              </w:rPr>
            </w:pPr>
            <w:r w:rsidRPr="00366905">
              <w:rPr>
                <w:rFonts w:eastAsia="Times New Roman"/>
                <w:color w:val="000000"/>
                <w:lang w:val="en-GB"/>
              </w:rPr>
              <w:t>45.5-47</w:t>
            </w:r>
          </w:p>
        </w:tc>
        <w:tc>
          <w:tcPr>
            <w:tcW w:w="387" w:type="pct"/>
            <w:tcBorders>
              <w:top w:val="nil"/>
              <w:left w:val="nil"/>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366905" w:rsidRPr="00366905" w:rsidRDefault="00366905" w:rsidP="00366905">
            <w:pPr>
              <w:spacing w:before="100" w:beforeAutospacing="1" w:after="100" w:afterAutospacing="1"/>
              <w:rPr>
                <w:rFonts w:eastAsia="Times New Roman"/>
                <w:color w:val="000000"/>
              </w:rPr>
            </w:pPr>
            <w:r w:rsidRPr="00366905">
              <w:rPr>
                <w:rFonts w:eastAsia="Times New Roman"/>
                <w:color w:val="000000"/>
                <w:lang w:val="en-GB"/>
              </w:rPr>
              <w:t>47-47.2</w:t>
            </w:r>
          </w:p>
        </w:tc>
        <w:tc>
          <w:tcPr>
            <w:tcW w:w="387" w:type="pct"/>
            <w:tcBorders>
              <w:top w:val="nil"/>
              <w:left w:val="nil"/>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366905" w:rsidRPr="00366905" w:rsidRDefault="00366905" w:rsidP="00366905">
            <w:pPr>
              <w:spacing w:before="100" w:beforeAutospacing="1" w:after="100" w:afterAutospacing="1"/>
              <w:rPr>
                <w:rFonts w:eastAsia="Times New Roman"/>
                <w:color w:val="000000"/>
              </w:rPr>
            </w:pPr>
            <w:r w:rsidRPr="00366905">
              <w:rPr>
                <w:rFonts w:eastAsia="Times New Roman"/>
                <w:color w:val="000000"/>
                <w:lang w:val="en-GB"/>
              </w:rPr>
              <w:t>47.2-50.2</w:t>
            </w:r>
          </w:p>
        </w:tc>
        <w:tc>
          <w:tcPr>
            <w:tcW w:w="387" w:type="pct"/>
            <w:tcBorders>
              <w:top w:val="nil"/>
              <w:left w:val="nil"/>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366905" w:rsidRPr="00366905" w:rsidRDefault="00366905" w:rsidP="00366905">
            <w:pPr>
              <w:spacing w:before="100" w:beforeAutospacing="1" w:after="100" w:afterAutospacing="1"/>
              <w:rPr>
                <w:rFonts w:eastAsia="Times New Roman"/>
                <w:color w:val="000000"/>
              </w:rPr>
            </w:pPr>
            <w:r w:rsidRPr="00366905">
              <w:rPr>
                <w:rFonts w:eastAsia="Times New Roman"/>
                <w:color w:val="000000"/>
                <w:lang w:val="en-GB"/>
              </w:rPr>
              <w:t>50.4-52.6</w:t>
            </w:r>
          </w:p>
        </w:tc>
        <w:tc>
          <w:tcPr>
            <w:tcW w:w="387" w:type="pct"/>
            <w:tcBorders>
              <w:top w:val="nil"/>
              <w:left w:val="nil"/>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366905" w:rsidRPr="00366905" w:rsidRDefault="00366905" w:rsidP="00366905">
            <w:pPr>
              <w:spacing w:before="100" w:beforeAutospacing="1" w:after="100" w:afterAutospacing="1"/>
              <w:rPr>
                <w:rFonts w:eastAsia="Times New Roman"/>
                <w:color w:val="000000"/>
              </w:rPr>
            </w:pPr>
            <w:r w:rsidRPr="00366905">
              <w:rPr>
                <w:rFonts w:eastAsia="Times New Roman"/>
                <w:color w:val="000000"/>
                <w:lang w:val="en-GB"/>
              </w:rPr>
              <w:t>66-71</w:t>
            </w:r>
          </w:p>
        </w:tc>
        <w:tc>
          <w:tcPr>
            <w:tcW w:w="387" w:type="pct"/>
            <w:tcBorders>
              <w:top w:val="nil"/>
              <w:left w:val="nil"/>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366905" w:rsidRPr="00366905" w:rsidRDefault="00366905" w:rsidP="00366905">
            <w:pPr>
              <w:spacing w:before="100" w:beforeAutospacing="1" w:after="100" w:afterAutospacing="1"/>
              <w:rPr>
                <w:rFonts w:eastAsia="Times New Roman"/>
                <w:color w:val="000000"/>
              </w:rPr>
            </w:pPr>
            <w:r w:rsidRPr="00366905">
              <w:rPr>
                <w:rFonts w:eastAsia="Times New Roman"/>
                <w:color w:val="000000"/>
                <w:lang w:val="en-GB"/>
              </w:rPr>
              <w:t>71-76</w:t>
            </w:r>
          </w:p>
        </w:tc>
        <w:tc>
          <w:tcPr>
            <w:tcW w:w="407" w:type="pct"/>
            <w:tcBorders>
              <w:top w:val="nil"/>
              <w:left w:val="nil"/>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366905" w:rsidRPr="00366905" w:rsidRDefault="00366905" w:rsidP="00366905">
            <w:pPr>
              <w:spacing w:before="100" w:beforeAutospacing="1" w:after="100" w:afterAutospacing="1"/>
              <w:rPr>
                <w:rFonts w:eastAsia="Times New Roman"/>
                <w:color w:val="000000"/>
              </w:rPr>
            </w:pPr>
            <w:r w:rsidRPr="00366905">
              <w:rPr>
                <w:rFonts w:eastAsia="Times New Roman"/>
                <w:color w:val="000000"/>
                <w:lang w:val="en-GB"/>
              </w:rPr>
              <w:t>81-86</w:t>
            </w:r>
          </w:p>
        </w:tc>
      </w:tr>
      <w:tr w:rsidR="00366905" w:rsidRPr="00366905" w:rsidTr="005B7A5B">
        <w:trPr>
          <w:trHeight w:val="289"/>
        </w:trPr>
        <w:tc>
          <w:tcPr>
            <w:tcW w:w="337" w:type="pct"/>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366905" w:rsidRPr="00366905" w:rsidRDefault="00366905" w:rsidP="00366905">
            <w:pPr>
              <w:spacing w:before="100" w:beforeAutospacing="1" w:after="100" w:afterAutospacing="1"/>
              <w:jc w:val="center"/>
              <w:rPr>
                <w:rFonts w:eastAsia="Times New Roman"/>
                <w:color w:val="000000"/>
              </w:rPr>
            </w:pPr>
            <w:r w:rsidRPr="00366905">
              <w:rPr>
                <w:rFonts w:eastAsia="Times New Roman"/>
                <w:color w:val="000000"/>
                <w:lang w:val="en-GB"/>
              </w:rPr>
              <w:t>IND</w:t>
            </w:r>
          </w:p>
        </w:tc>
        <w:tc>
          <w:tcPr>
            <w:tcW w:w="38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66905" w:rsidRPr="00366905" w:rsidRDefault="00366905" w:rsidP="00366905">
            <w:pPr>
              <w:spacing w:before="100" w:beforeAutospacing="1" w:after="100" w:afterAutospacing="1"/>
              <w:jc w:val="center"/>
              <w:rPr>
                <w:rFonts w:eastAsia="Times New Roman"/>
                <w:color w:val="000000"/>
              </w:rPr>
            </w:pPr>
            <w:r w:rsidRPr="00366905">
              <w:rPr>
                <w:rFonts w:eastAsia="Times New Roman"/>
                <w:color w:val="000000"/>
                <w:lang w:val="en-GB"/>
              </w:rPr>
              <w:t>I</w:t>
            </w:r>
          </w:p>
        </w:tc>
        <w:tc>
          <w:tcPr>
            <w:tcW w:w="38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66905" w:rsidRPr="00366905" w:rsidRDefault="00366905" w:rsidP="00366905">
            <w:pPr>
              <w:spacing w:before="100" w:beforeAutospacing="1" w:after="100" w:afterAutospacing="1"/>
              <w:jc w:val="center"/>
              <w:rPr>
                <w:rFonts w:eastAsia="Times New Roman"/>
                <w:color w:val="000000"/>
              </w:rPr>
            </w:pPr>
            <w:r w:rsidRPr="00366905">
              <w:rPr>
                <w:rFonts w:eastAsia="Times New Roman"/>
                <w:color w:val="000000"/>
                <w:lang w:val="en-GB"/>
              </w:rPr>
              <w:t>NOC</w:t>
            </w:r>
          </w:p>
        </w:tc>
        <w:tc>
          <w:tcPr>
            <w:tcW w:w="38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66905" w:rsidRPr="00366905" w:rsidRDefault="00366905" w:rsidP="00366905">
            <w:pPr>
              <w:spacing w:before="100" w:beforeAutospacing="1" w:after="100" w:afterAutospacing="1"/>
              <w:jc w:val="center"/>
              <w:rPr>
                <w:rFonts w:eastAsia="Times New Roman"/>
                <w:color w:val="000000"/>
              </w:rPr>
            </w:pPr>
            <w:r w:rsidRPr="00366905">
              <w:rPr>
                <w:rFonts w:eastAsia="Times New Roman"/>
                <w:color w:val="000000"/>
                <w:lang w:val="en-GB"/>
              </w:rPr>
              <w:t>I</w:t>
            </w:r>
          </w:p>
        </w:tc>
        <w:tc>
          <w:tcPr>
            <w:tcW w:w="38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66905" w:rsidRPr="00366905" w:rsidRDefault="00366905" w:rsidP="00366905">
            <w:pPr>
              <w:spacing w:before="100" w:beforeAutospacing="1" w:after="100" w:afterAutospacing="1"/>
              <w:jc w:val="center"/>
              <w:rPr>
                <w:rFonts w:eastAsia="Times New Roman"/>
                <w:color w:val="000000"/>
              </w:rPr>
            </w:pPr>
            <w:r w:rsidRPr="00366905">
              <w:rPr>
                <w:rFonts w:eastAsia="Times New Roman"/>
                <w:color w:val="000000"/>
                <w:lang w:val="en-GB"/>
              </w:rPr>
              <w:t>I</w:t>
            </w:r>
          </w:p>
        </w:tc>
        <w:tc>
          <w:tcPr>
            <w:tcW w:w="38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66905" w:rsidRPr="00366905" w:rsidRDefault="00366905" w:rsidP="00366905">
            <w:pPr>
              <w:spacing w:before="100" w:beforeAutospacing="1" w:after="100" w:afterAutospacing="1"/>
              <w:jc w:val="center"/>
              <w:rPr>
                <w:rFonts w:eastAsia="Times New Roman"/>
                <w:color w:val="000000"/>
              </w:rPr>
            </w:pPr>
            <w:r w:rsidRPr="00366905">
              <w:rPr>
                <w:rFonts w:eastAsia="Times New Roman"/>
                <w:color w:val="000000"/>
                <w:lang w:val="en-GB"/>
              </w:rPr>
              <w:t>I</w:t>
            </w:r>
          </w:p>
        </w:tc>
        <w:tc>
          <w:tcPr>
            <w:tcW w:w="38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66905" w:rsidRPr="00366905" w:rsidRDefault="00366905" w:rsidP="00366905">
            <w:pPr>
              <w:spacing w:before="100" w:beforeAutospacing="1" w:after="100" w:afterAutospacing="1"/>
              <w:jc w:val="center"/>
              <w:rPr>
                <w:rFonts w:eastAsia="Times New Roman"/>
                <w:color w:val="000000"/>
              </w:rPr>
            </w:pPr>
            <w:r w:rsidRPr="00366905">
              <w:rPr>
                <w:rFonts w:eastAsia="Times New Roman"/>
                <w:color w:val="000000"/>
                <w:lang w:val="en-GB"/>
              </w:rPr>
              <w:t>X</w:t>
            </w:r>
          </w:p>
        </w:tc>
        <w:tc>
          <w:tcPr>
            <w:tcW w:w="38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66905" w:rsidRPr="00366905" w:rsidRDefault="00366905" w:rsidP="00366905">
            <w:pPr>
              <w:spacing w:before="100" w:beforeAutospacing="1" w:after="100" w:afterAutospacing="1"/>
              <w:jc w:val="center"/>
              <w:rPr>
                <w:rFonts w:eastAsia="Times New Roman"/>
                <w:color w:val="000000"/>
              </w:rPr>
            </w:pPr>
            <w:r w:rsidRPr="00366905">
              <w:rPr>
                <w:rFonts w:eastAsia="Times New Roman"/>
                <w:color w:val="000000"/>
                <w:lang w:val="en-GB"/>
              </w:rPr>
              <w:t>X</w:t>
            </w:r>
          </w:p>
        </w:tc>
        <w:tc>
          <w:tcPr>
            <w:tcW w:w="38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66905" w:rsidRPr="00366905" w:rsidRDefault="00366905" w:rsidP="00366905">
            <w:pPr>
              <w:spacing w:before="100" w:beforeAutospacing="1" w:after="100" w:afterAutospacing="1"/>
              <w:jc w:val="center"/>
              <w:rPr>
                <w:rFonts w:eastAsia="Times New Roman"/>
                <w:color w:val="000000"/>
              </w:rPr>
            </w:pPr>
            <w:r w:rsidRPr="00366905">
              <w:rPr>
                <w:rFonts w:eastAsia="Times New Roman"/>
                <w:color w:val="000000"/>
                <w:lang w:val="en-GB"/>
              </w:rPr>
              <w:t>X</w:t>
            </w:r>
          </w:p>
        </w:tc>
        <w:tc>
          <w:tcPr>
            <w:tcW w:w="38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66905" w:rsidRPr="00366905" w:rsidRDefault="00366905" w:rsidP="00366905">
            <w:pPr>
              <w:spacing w:before="100" w:beforeAutospacing="1" w:after="100" w:afterAutospacing="1"/>
              <w:jc w:val="center"/>
              <w:rPr>
                <w:rFonts w:eastAsia="Times New Roman"/>
                <w:color w:val="000000"/>
              </w:rPr>
            </w:pPr>
            <w:r w:rsidRPr="00366905">
              <w:rPr>
                <w:rFonts w:eastAsia="Times New Roman"/>
                <w:color w:val="000000"/>
                <w:lang w:val="en-GB"/>
              </w:rPr>
              <w:t>X</w:t>
            </w:r>
          </w:p>
        </w:tc>
        <w:tc>
          <w:tcPr>
            <w:tcW w:w="38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66905" w:rsidRPr="00366905" w:rsidRDefault="00366905" w:rsidP="00366905">
            <w:pPr>
              <w:spacing w:before="100" w:beforeAutospacing="1" w:after="100" w:afterAutospacing="1"/>
              <w:jc w:val="center"/>
              <w:rPr>
                <w:rFonts w:eastAsia="Times New Roman"/>
                <w:color w:val="000000"/>
              </w:rPr>
            </w:pPr>
            <w:r w:rsidRPr="00366905">
              <w:rPr>
                <w:rFonts w:eastAsia="Times New Roman"/>
                <w:color w:val="000000"/>
                <w:lang w:val="en-GB"/>
              </w:rPr>
              <w:t>NOC</w:t>
            </w:r>
          </w:p>
        </w:tc>
        <w:tc>
          <w:tcPr>
            <w:tcW w:w="38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66905" w:rsidRPr="00366905" w:rsidRDefault="00366905" w:rsidP="00366905">
            <w:pPr>
              <w:spacing w:before="100" w:beforeAutospacing="1" w:after="100" w:afterAutospacing="1"/>
              <w:jc w:val="center"/>
              <w:rPr>
                <w:rFonts w:eastAsia="Times New Roman"/>
                <w:color w:val="000000"/>
              </w:rPr>
            </w:pPr>
            <w:r w:rsidRPr="00366905">
              <w:rPr>
                <w:rFonts w:eastAsia="Times New Roman"/>
                <w:color w:val="000000"/>
                <w:lang w:val="en-GB"/>
              </w:rPr>
              <w:t>NOC</w:t>
            </w:r>
          </w:p>
        </w:tc>
        <w:tc>
          <w:tcPr>
            <w:tcW w:w="407" w:type="pct"/>
            <w:tcBorders>
              <w:top w:val="nil"/>
              <w:left w:val="nil"/>
              <w:bottom w:val="single" w:sz="8" w:space="0" w:color="000000"/>
              <w:right w:val="single" w:sz="8" w:space="0" w:color="000000"/>
            </w:tcBorders>
            <w:tcMar>
              <w:top w:w="15" w:type="dxa"/>
              <w:left w:w="15" w:type="dxa"/>
              <w:bottom w:w="0" w:type="dxa"/>
              <w:right w:w="15" w:type="dxa"/>
            </w:tcMar>
            <w:vAlign w:val="center"/>
            <w:hideMark/>
          </w:tcPr>
          <w:p w:rsidR="00366905" w:rsidRPr="00366905" w:rsidRDefault="00366905" w:rsidP="00366905">
            <w:pPr>
              <w:spacing w:before="100" w:beforeAutospacing="1" w:after="100" w:afterAutospacing="1"/>
              <w:jc w:val="center"/>
              <w:rPr>
                <w:rFonts w:eastAsia="Times New Roman"/>
                <w:color w:val="000000"/>
              </w:rPr>
            </w:pPr>
            <w:r w:rsidRPr="00366905">
              <w:rPr>
                <w:rFonts w:eastAsia="Times New Roman"/>
                <w:color w:val="000000"/>
                <w:lang w:val="en-GB"/>
              </w:rPr>
              <w:t>NOC</w:t>
            </w:r>
          </w:p>
        </w:tc>
      </w:tr>
      <w:tr w:rsidR="00366905" w:rsidRPr="00366905" w:rsidTr="005B7A5B">
        <w:trPr>
          <w:trHeight w:val="289"/>
        </w:trPr>
        <w:tc>
          <w:tcPr>
            <w:tcW w:w="337" w:type="pct"/>
            <w:tcBorders>
              <w:top w:val="nil"/>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hideMark/>
          </w:tcPr>
          <w:p w:rsidR="00366905" w:rsidRPr="00366905" w:rsidRDefault="00366905" w:rsidP="00366905">
            <w:pPr>
              <w:rPr>
                <w:rFonts w:eastAsia="Times New Roman"/>
                <w:color w:val="000000"/>
                <w:sz w:val="27"/>
                <w:szCs w:val="27"/>
              </w:rPr>
            </w:pPr>
          </w:p>
        </w:tc>
        <w:tc>
          <w:tcPr>
            <w:tcW w:w="387" w:type="pct"/>
            <w:tcBorders>
              <w:top w:val="nil"/>
              <w:left w:val="nil"/>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366905" w:rsidRPr="00366905" w:rsidRDefault="00366905" w:rsidP="00366905">
            <w:pPr>
              <w:rPr>
                <w:rFonts w:eastAsia="Times New Roman"/>
                <w:color w:val="000000"/>
                <w:sz w:val="27"/>
                <w:szCs w:val="27"/>
              </w:rPr>
            </w:pPr>
          </w:p>
        </w:tc>
        <w:tc>
          <w:tcPr>
            <w:tcW w:w="387" w:type="pct"/>
            <w:tcBorders>
              <w:top w:val="nil"/>
              <w:left w:val="nil"/>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366905" w:rsidRPr="00366905" w:rsidRDefault="00366905" w:rsidP="00366905">
            <w:pPr>
              <w:rPr>
                <w:rFonts w:eastAsia="Times New Roman"/>
                <w:color w:val="000000"/>
                <w:sz w:val="27"/>
                <w:szCs w:val="27"/>
              </w:rPr>
            </w:pPr>
          </w:p>
        </w:tc>
        <w:tc>
          <w:tcPr>
            <w:tcW w:w="387" w:type="pct"/>
            <w:tcBorders>
              <w:top w:val="nil"/>
              <w:left w:val="nil"/>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366905" w:rsidRPr="00366905" w:rsidRDefault="00366905" w:rsidP="00366905">
            <w:pPr>
              <w:rPr>
                <w:rFonts w:eastAsia="Times New Roman"/>
                <w:color w:val="000000"/>
                <w:sz w:val="27"/>
                <w:szCs w:val="27"/>
              </w:rPr>
            </w:pPr>
          </w:p>
        </w:tc>
        <w:tc>
          <w:tcPr>
            <w:tcW w:w="387" w:type="pct"/>
            <w:tcBorders>
              <w:top w:val="nil"/>
              <w:left w:val="nil"/>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366905" w:rsidRPr="00366905" w:rsidRDefault="00366905" w:rsidP="00366905">
            <w:pPr>
              <w:rPr>
                <w:rFonts w:eastAsia="Times New Roman"/>
                <w:color w:val="000000"/>
                <w:sz w:val="27"/>
                <w:szCs w:val="27"/>
              </w:rPr>
            </w:pPr>
          </w:p>
        </w:tc>
        <w:tc>
          <w:tcPr>
            <w:tcW w:w="387" w:type="pct"/>
            <w:tcBorders>
              <w:top w:val="nil"/>
              <w:left w:val="nil"/>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366905" w:rsidRPr="00366905" w:rsidRDefault="00366905" w:rsidP="00366905">
            <w:pPr>
              <w:rPr>
                <w:rFonts w:eastAsia="Times New Roman"/>
                <w:color w:val="000000"/>
                <w:sz w:val="27"/>
                <w:szCs w:val="27"/>
              </w:rPr>
            </w:pPr>
          </w:p>
        </w:tc>
        <w:tc>
          <w:tcPr>
            <w:tcW w:w="387" w:type="pct"/>
            <w:tcBorders>
              <w:top w:val="nil"/>
              <w:left w:val="nil"/>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366905" w:rsidRPr="00366905" w:rsidRDefault="00366905" w:rsidP="00366905">
            <w:pPr>
              <w:rPr>
                <w:rFonts w:eastAsia="Times New Roman"/>
                <w:color w:val="000000"/>
                <w:sz w:val="27"/>
                <w:szCs w:val="27"/>
              </w:rPr>
            </w:pPr>
          </w:p>
        </w:tc>
        <w:tc>
          <w:tcPr>
            <w:tcW w:w="387" w:type="pct"/>
            <w:tcBorders>
              <w:top w:val="nil"/>
              <w:left w:val="nil"/>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366905" w:rsidRPr="00366905" w:rsidRDefault="00366905" w:rsidP="00366905">
            <w:pPr>
              <w:rPr>
                <w:rFonts w:eastAsia="Times New Roman"/>
                <w:color w:val="000000"/>
                <w:sz w:val="27"/>
                <w:szCs w:val="27"/>
              </w:rPr>
            </w:pPr>
          </w:p>
        </w:tc>
        <w:tc>
          <w:tcPr>
            <w:tcW w:w="387" w:type="pct"/>
            <w:tcBorders>
              <w:top w:val="nil"/>
              <w:left w:val="nil"/>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366905" w:rsidRPr="00366905" w:rsidRDefault="00366905" w:rsidP="00366905">
            <w:pPr>
              <w:rPr>
                <w:rFonts w:eastAsia="Times New Roman"/>
                <w:color w:val="000000"/>
                <w:sz w:val="27"/>
                <w:szCs w:val="27"/>
              </w:rPr>
            </w:pPr>
          </w:p>
        </w:tc>
        <w:tc>
          <w:tcPr>
            <w:tcW w:w="387" w:type="pct"/>
            <w:tcBorders>
              <w:top w:val="nil"/>
              <w:left w:val="nil"/>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366905" w:rsidRPr="00366905" w:rsidRDefault="00366905" w:rsidP="00366905">
            <w:pPr>
              <w:rPr>
                <w:rFonts w:eastAsia="Times New Roman"/>
                <w:color w:val="000000"/>
                <w:sz w:val="27"/>
                <w:szCs w:val="27"/>
              </w:rPr>
            </w:pPr>
          </w:p>
        </w:tc>
        <w:tc>
          <w:tcPr>
            <w:tcW w:w="387" w:type="pct"/>
            <w:tcBorders>
              <w:top w:val="nil"/>
              <w:left w:val="nil"/>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366905" w:rsidRPr="00366905" w:rsidRDefault="00366905" w:rsidP="00366905">
            <w:pPr>
              <w:rPr>
                <w:rFonts w:eastAsia="Times New Roman"/>
                <w:color w:val="000000"/>
                <w:sz w:val="27"/>
                <w:szCs w:val="27"/>
              </w:rPr>
            </w:pPr>
          </w:p>
        </w:tc>
        <w:tc>
          <w:tcPr>
            <w:tcW w:w="387" w:type="pct"/>
            <w:tcBorders>
              <w:top w:val="nil"/>
              <w:left w:val="nil"/>
              <w:bottom w:val="single" w:sz="8" w:space="0" w:color="000000"/>
              <w:right w:val="single" w:sz="8" w:space="0" w:color="000000"/>
            </w:tcBorders>
            <w:shd w:val="clear" w:color="auto" w:fill="D9D9D9"/>
            <w:tcMar>
              <w:top w:w="15" w:type="dxa"/>
              <w:left w:w="15" w:type="dxa"/>
              <w:bottom w:w="0" w:type="dxa"/>
              <w:right w:w="15" w:type="dxa"/>
            </w:tcMar>
            <w:hideMark/>
          </w:tcPr>
          <w:p w:rsidR="00366905" w:rsidRPr="00366905" w:rsidRDefault="00366905" w:rsidP="00366905">
            <w:pPr>
              <w:rPr>
                <w:rFonts w:eastAsia="Times New Roman"/>
                <w:color w:val="000000"/>
                <w:sz w:val="27"/>
                <w:szCs w:val="27"/>
              </w:rPr>
            </w:pPr>
          </w:p>
        </w:tc>
        <w:tc>
          <w:tcPr>
            <w:tcW w:w="407" w:type="pct"/>
            <w:tcBorders>
              <w:top w:val="nil"/>
              <w:left w:val="nil"/>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366905" w:rsidRPr="00366905" w:rsidRDefault="00366905" w:rsidP="00366905">
            <w:pPr>
              <w:rPr>
                <w:rFonts w:eastAsia="Times New Roman"/>
                <w:color w:val="000000"/>
                <w:sz w:val="27"/>
                <w:szCs w:val="27"/>
              </w:rPr>
            </w:pPr>
          </w:p>
        </w:tc>
      </w:tr>
    </w:tbl>
    <w:p w:rsidR="00486D97" w:rsidRDefault="00B640B4" w:rsidP="00486D97">
      <w:pPr>
        <w:jc w:val="both"/>
        <w:rPr>
          <w:rFonts w:eastAsia="MS Mincho"/>
          <w:lang w:val="en-GB" w:eastAsia="ja-JP"/>
        </w:rPr>
      </w:pPr>
      <w:r>
        <w:t xml:space="preserve">I: </w:t>
      </w:r>
      <w:r w:rsidR="00486D97">
        <w:rPr>
          <w:rFonts w:eastAsia="MS Mincho" w:hint="eastAsia"/>
          <w:lang w:val="en-GB" w:eastAsia="ja-JP"/>
        </w:rPr>
        <w:t>Support</w:t>
      </w:r>
      <w:r w:rsidR="00486D97">
        <w:rPr>
          <w:rFonts w:eastAsia="MS Mincho"/>
          <w:lang w:val="en-GB" w:eastAsia="ja-JP"/>
        </w:rPr>
        <w:t xml:space="preserve"> </w:t>
      </w:r>
      <w:r w:rsidR="00486D97">
        <w:rPr>
          <w:rFonts w:eastAsia="MS Mincho" w:hint="eastAsia"/>
          <w:lang w:val="en-GB" w:eastAsia="ja-JP"/>
        </w:rPr>
        <w:t xml:space="preserve">IMT identification </w:t>
      </w:r>
      <w:r w:rsidR="00486D97">
        <w:rPr>
          <w:rFonts w:eastAsia="MS Mincho"/>
          <w:lang w:val="en-GB" w:eastAsia="ja-JP"/>
        </w:rPr>
        <w:t xml:space="preserve">through a new footnote in the Radio regulations </w:t>
      </w:r>
      <w:r w:rsidR="00486D97">
        <w:rPr>
          <w:rFonts w:eastAsia="MS Mincho" w:hint="eastAsia"/>
          <w:lang w:val="en-GB" w:eastAsia="ja-JP"/>
        </w:rPr>
        <w:t xml:space="preserve">based on </w:t>
      </w:r>
      <w:r w:rsidR="00486D97">
        <w:rPr>
          <w:rFonts w:eastAsia="MS Mincho"/>
          <w:lang w:val="en-GB" w:eastAsia="ja-JP"/>
        </w:rPr>
        <w:t xml:space="preserve">the results of </w:t>
      </w:r>
      <w:r w:rsidR="00486D97">
        <w:rPr>
          <w:rFonts w:eastAsia="MS Mincho" w:hint="eastAsia"/>
          <w:lang w:val="en-GB" w:eastAsia="ja-JP"/>
        </w:rPr>
        <w:t xml:space="preserve">sharing and </w:t>
      </w:r>
      <w:r w:rsidR="00486D97">
        <w:rPr>
          <w:rFonts w:eastAsia="MS Mincho"/>
          <w:lang w:val="en-GB" w:eastAsia="ja-JP"/>
        </w:rPr>
        <w:t>compatibility</w:t>
      </w:r>
      <w:r w:rsidR="00486D97">
        <w:rPr>
          <w:rFonts w:eastAsia="MS Mincho" w:hint="eastAsia"/>
          <w:lang w:val="en-GB" w:eastAsia="ja-JP"/>
        </w:rPr>
        <w:t xml:space="preserve"> studies </w:t>
      </w:r>
      <w:r w:rsidR="00486D97">
        <w:rPr>
          <w:rFonts w:eastAsia="MS Mincho"/>
          <w:lang w:val="en-GB" w:eastAsia="ja-JP"/>
        </w:rPr>
        <w:t>undertaken by ITU-R u</w:t>
      </w:r>
      <w:r w:rsidR="00486D97">
        <w:rPr>
          <w:rFonts w:eastAsia="MS Mincho" w:hint="eastAsia"/>
          <w:lang w:val="en-GB" w:eastAsia="ja-JP"/>
        </w:rPr>
        <w:t xml:space="preserve">nder the framework of </w:t>
      </w:r>
      <w:r w:rsidR="00486D97">
        <w:rPr>
          <w:rFonts w:eastAsia="MS Mincho"/>
          <w:lang w:val="en-GB" w:eastAsia="ja-JP"/>
        </w:rPr>
        <w:t>agenda</w:t>
      </w:r>
      <w:r w:rsidR="00486D97">
        <w:rPr>
          <w:rFonts w:eastAsia="MS Mincho" w:hint="eastAsia"/>
          <w:lang w:val="en-GB" w:eastAsia="ja-JP"/>
        </w:rPr>
        <w:t xml:space="preserve"> item 1.13</w:t>
      </w:r>
    </w:p>
    <w:p w:rsidR="00486D97" w:rsidRDefault="00486D97" w:rsidP="00486D97">
      <w:pPr>
        <w:jc w:val="both"/>
        <w:rPr>
          <w:rFonts w:eastAsia="MS Mincho"/>
          <w:lang w:val="en-GB" w:eastAsia="ja-JP"/>
        </w:rPr>
      </w:pPr>
    </w:p>
    <w:p w:rsidR="00486D97" w:rsidRDefault="00B640B4" w:rsidP="00486D97">
      <w:pPr>
        <w:jc w:val="both"/>
        <w:rPr>
          <w:rFonts w:eastAsia="MS Mincho"/>
          <w:lang w:val="en-GB" w:eastAsia="ja-JP"/>
        </w:rPr>
      </w:pPr>
      <w:r>
        <w:t xml:space="preserve">X: </w:t>
      </w:r>
      <w:r w:rsidR="00486D97">
        <w:rPr>
          <w:rFonts w:eastAsia="MS Mincho" w:hint="eastAsia"/>
          <w:lang w:val="en-GB" w:eastAsia="ja-JP"/>
        </w:rPr>
        <w:t xml:space="preserve">Support </w:t>
      </w:r>
      <w:r w:rsidR="00486D97">
        <w:rPr>
          <w:rFonts w:eastAsia="MS Mincho"/>
          <w:lang w:val="en-GB" w:eastAsia="ja-JP"/>
        </w:rPr>
        <w:t xml:space="preserve">Further studies and </w:t>
      </w:r>
      <w:r w:rsidR="00486D97">
        <w:rPr>
          <w:rFonts w:eastAsia="MS Mincho" w:hint="eastAsia"/>
          <w:lang w:val="en-GB" w:eastAsia="ja-JP"/>
        </w:rPr>
        <w:t xml:space="preserve">potential IMT </w:t>
      </w:r>
      <w:r w:rsidR="00486D97">
        <w:rPr>
          <w:rFonts w:eastAsia="MS Mincho"/>
          <w:lang w:val="en-GB" w:eastAsia="ja-JP"/>
        </w:rPr>
        <w:t>identification</w:t>
      </w:r>
      <w:r w:rsidR="00486D97">
        <w:rPr>
          <w:rFonts w:eastAsia="MS Mincho" w:hint="eastAsia"/>
          <w:lang w:val="en-GB" w:eastAsia="ja-JP"/>
        </w:rPr>
        <w:t xml:space="preserve"> with priority if sharing is feasible under the framework of </w:t>
      </w:r>
      <w:r w:rsidR="00486D97">
        <w:rPr>
          <w:rFonts w:eastAsia="MS Mincho"/>
          <w:lang w:val="en-GB" w:eastAsia="ja-JP"/>
        </w:rPr>
        <w:t>agenda</w:t>
      </w:r>
      <w:r w:rsidR="00486D97">
        <w:rPr>
          <w:rFonts w:eastAsia="MS Mincho" w:hint="eastAsia"/>
          <w:lang w:val="en-GB" w:eastAsia="ja-JP"/>
        </w:rPr>
        <w:t xml:space="preserve"> item 1.13</w:t>
      </w:r>
    </w:p>
    <w:p w:rsidR="00486D97" w:rsidRDefault="00486D97" w:rsidP="00486D97">
      <w:pPr>
        <w:jc w:val="both"/>
        <w:rPr>
          <w:rFonts w:eastAsia="MS Mincho"/>
          <w:lang w:val="en-GB" w:eastAsia="ja-JP"/>
        </w:rPr>
      </w:pPr>
    </w:p>
    <w:p w:rsidR="00486D97" w:rsidRDefault="00486D97" w:rsidP="00486D97">
      <w:pPr>
        <w:jc w:val="both"/>
        <w:rPr>
          <w:rFonts w:eastAsia="MS Mincho"/>
          <w:lang w:val="en-GB" w:eastAsia="ja-JP"/>
        </w:rPr>
      </w:pPr>
      <w:r>
        <w:rPr>
          <w:rFonts w:eastAsia="MS Mincho"/>
          <w:lang w:val="en-GB" w:eastAsia="ja-JP"/>
        </w:rPr>
        <w:t>NOC: Support no changes to the Radio Regulations under this band</w:t>
      </w:r>
    </w:p>
    <w:p w:rsidR="00486D97" w:rsidRDefault="00486D97" w:rsidP="00486D97">
      <w:pPr>
        <w:jc w:val="both"/>
        <w:rPr>
          <w:rFonts w:eastAsia="MS Mincho"/>
          <w:lang w:val="en-GB" w:eastAsia="ja-JP"/>
        </w:rPr>
      </w:pPr>
    </w:p>
    <w:p w:rsidR="00BB5EA5" w:rsidRPr="006D7E46" w:rsidRDefault="006D7E46" w:rsidP="00486D97">
      <w:pPr>
        <w:rPr>
          <w:b/>
        </w:rPr>
      </w:pPr>
      <w:r>
        <w:rPr>
          <w:b/>
        </w:rPr>
        <w:lastRenderedPageBreak/>
        <w:t>2.</w:t>
      </w:r>
      <w:r>
        <w:rPr>
          <w:b/>
        </w:rPr>
        <w:tab/>
      </w:r>
      <w:r w:rsidR="00BB5EA5" w:rsidRPr="006D7E46">
        <w:rPr>
          <w:b/>
        </w:rPr>
        <w:t>Key Considerations for CPM Text</w:t>
      </w:r>
    </w:p>
    <w:p w:rsidR="00BB5EA5" w:rsidRDefault="00BB5EA5" w:rsidP="0081259D">
      <w:pPr>
        <w:spacing w:beforeLines="50" w:before="120" w:afterLines="50" w:after="120"/>
        <w:jc w:val="both"/>
        <w:rPr>
          <w:rFonts w:eastAsia="SimSun"/>
          <w:b/>
          <w:lang w:val="en-GB"/>
        </w:rPr>
      </w:pPr>
      <w:r>
        <w:rPr>
          <w:rFonts w:eastAsia="SimSun"/>
          <w:b/>
          <w:lang w:val="en-GB"/>
        </w:rPr>
        <w:t>2.1</w:t>
      </w:r>
      <w:r>
        <w:rPr>
          <w:rFonts w:eastAsia="SimSun"/>
          <w:b/>
          <w:lang w:val="en-GB"/>
        </w:rPr>
        <w:tab/>
      </w:r>
      <w:r>
        <w:rPr>
          <w:b/>
          <w:lang w:val="en-GB"/>
        </w:rPr>
        <w:t xml:space="preserve">Unwanted emission limit in the 24.25-27.5 GHz band </w:t>
      </w:r>
    </w:p>
    <w:p w:rsidR="00BB5EA5" w:rsidRDefault="00BB5EA5" w:rsidP="0081259D">
      <w:pPr>
        <w:spacing w:beforeLines="50" w:before="120" w:after="120"/>
        <w:jc w:val="both"/>
      </w:pPr>
      <w:r>
        <w:rPr>
          <w:lang w:eastAsia="ja-JP"/>
        </w:rPr>
        <w:t xml:space="preserve">The frequency band of 23.6-24.0 GHz is allocated to EESS (passive) globally, and a number of studies have been carried out in ITU-R Task Group 5/1 to determine the technical conditions </w:t>
      </w:r>
      <w:r>
        <w:rPr>
          <w:rFonts w:eastAsia="Calibri"/>
          <w:lang w:eastAsia="fr-FR"/>
        </w:rPr>
        <w:t>for</w:t>
      </w:r>
      <w:r>
        <w:rPr>
          <w:lang w:eastAsia="ja-JP"/>
        </w:rPr>
        <w:t xml:space="preserve"> protection/compatibility of passive services in 23.6-24.0 GHz, </w:t>
      </w:r>
      <w:r>
        <w:rPr>
          <w:lang w:eastAsia="fr-FR"/>
        </w:rPr>
        <w:t>leading to a range of 5G unwanted emission levels that that would be necessary to protect the EESS (passive). While some of the studies were performed on all sensors in Recommendation ITU-R RS.1861 operating in the 23.6-24.0 GHz frequency band, the results summary in draft CPM report (section 2</w:t>
      </w:r>
      <w:r w:rsidR="00C72449">
        <w:rPr>
          <w:lang w:eastAsia="fr-FR"/>
        </w:rPr>
        <w:t xml:space="preserve">/1.13/3.2.1.2) appears to be </w:t>
      </w:r>
      <w:r w:rsidR="00AA68FA">
        <w:rPr>
          <w:lang w:eastAsia="fr-FR"/>
        </w:rPr>
        <w:t xml:space="preserve">based on a </w:t>
      </w:r>
      <w:r>
        <w:rPr>
          <w:lang w:eastAsia="fr-FR"/>
        </w:rPr>
        <w:t>sen</w:t>
      </w:r>
      <w:r w:rsidR="00AA68FA">
        <w:rPr>
          <w:lang w:eastAsia="fr-FR"/>
        </w:rPr>
        <w:t>sitive and restrictive Sensor</w:t>
      </w:r>
      <w:r w:rsidR="00E51174">
        <w:rPr>
          <w:lang w:eastAsia="fr-FR"/>
        </w:rPr>
        <w:t xml:space="preserve"> F3</w:t>
      </w:r>
      <w:r>
        <w:t>.</w:t>
      </w:r>
    </w:p>
    <w:p w:rsidR="005470A1" w:rsidRDefault="005470A1" w:rsidP="0081259D">
      <w:pPr>
        <w:spacing w:beforeLines="50" w:before="120" w:after="120"/>
        <w:jc w:val="both"/>
      </w:pPr>
    </w:p>
    <w:p w:rsidR="005470A1" w:rsidRDefault="005470A1" w:rsidP="0081259D">
      <w:pPr>
        <w:spacing w:beforeLines="50" w:before="120" w:after="120"/>
        <w:jc w:val="both"/>
      </w:pPr>
      <w:r>
        <w:t xml:space="preserve">The results of various studies differ due to differences in the assumptions such as: </w:t>
      </w:r>
    </w:p>
    <w:p w:rsidR="005470A1" w:rsidRDefault="005470A1" w:rsidP="0081259D">
      <w:pPr>
        <w:spacing w:beforeLines="50" w:before="120" w:after="120"/>
        <w:ind w:firstLine="720"/>
        <w:jc w:val="both"/>
      </w:pPr>
      <w:r>
        <w:t>1)</w:t>
      </w:r>
      <w:r>
        <w:tab/>
        <w:t xml:space="preserve">Antenna patterns </w:t>
      </w:r>
    </w:p>
    <w:p w:rsidR="005470A1" w:rsidRDefault="005470A1" w:rsidP="0081259D">
      <w:pPr>
        <w:spacing w:beforeLines="50" w:before="120" w:after="120"/>
        <w:ind w:firstLine="720"/>
        <w:jc w:val="both"/>
      </w:pPr>
      <w:r>
        <w:t>2)</w:t>
      </w:r>
      <w:r>
        <w:tab/>
        <w:t>Apportionment of interference between services</w:t>
      </w:r>
    </w:p>
    <w:p w:rsidR="005470A1" w:rsidRDefault="005470A1" w:rsidP="0081259D">
      <w:pPr>
        <w:spacing w:beforeLines="50" w:before="120" w:after="120"/>
        <w:ind w:firstLine="720"/>
        <w:jc w:val="both"/>
      </w:pPr>
      <w:r>
        <w:t>3)</w:t>
      </w:r>
      <w:r>
        <w:tab/>
        <w:t xml:space="preserve">IMT station densities </w:t>
      </w:r>
    </w:p>
    <w:p w:rsidR="005470A1" w:rsidRDefault="005470A1" w:rsidP="0081259D">
      <w:pPr>
        <w:spacing w:beforeLines="50" w:before="120" w:after="120"/>
        <w:ind w:firstLine="720"/>
        <w:jc w:val="both"/>
      </w:pPr>
      <w:r>
        <w:t>4)</w:t>
      </w:r>
      <w:r>
        <w:tab/>
        <w:t>Interpretation of EESS (passive) protection criteria</w:t>
      </w:r>
    </w:p>
    <w:p w:rsidR="005470A1" w:rsidRDefault="005470A1" w:rsidP="0081259D">
      <w:pPr>
        <w:spacing w:beforeLines="50" w:before="120" w:after="120"/>
        <w:ind w:firstLine="720"/>
        <w:jc w:val="both"/>
      </w:pPr>
      <w:r>
        <w:t>5)</w:t>
      </w:r>
      <w:r>
        <w:tab/>
        <w:t>Multi-operator factor</w:t>
      </w:r>
    </w:p>
    <w:tbl>
      <w:tblPr>
        <w:tblStyle w:val="TableGrid"/>
        <w:tblW w:w="5000" w:type="pct"/>
        <w:tblLook w:val="04A0" w:firstRow="1" w:lastRow="0" w:firstColumn="1" w:lastColumn="0" w:noHBand="0" w:noVBand="1"/>
      </w:tblPr>
      <w:tblGrid>
        <w:gridCol w:w="3177"/>
        <w:gridCol w:w="3178"/>
        <w:gridCol w:w="3178"/>
      </w:tblGrid>
      <w:tr w:rsidR="00DC2329" w:rsidTr="0024180D">
        <w:tc>
          <w:tcPr>
            <w:tcW w:w="1666" w:type="pct"/>
          </w:tcPr>
          <w:p w:rsidR="00DC2329" w:rsidRDefault="00DC2329" w:rsidP="0081259D">
            <w:pPr>
              <w:spacing w:beforeLines="50" w:before="120" w:after="120"/>
              <w:jc w:val="both"/>
              <w:rPr>
                <w:rFonts w:cs="Calibri"/>
                <w:lang w:val="en-GB"/>
              </w:rPr>
            </w:pPr>
            <w:r>
              <w:rPr>
                <w:rFonts w:cs="Calibri"/>
                <w:lang w:val="en-GB"/>
              </w:rPr>
              <w:t>TG5/1 Chairman Report</w:t>
            </w:r>
          </w:p>
          <w:p w:rsidR="00DC2329" w:rsidRPr="0054593C" w:rsidRDefault="00DC2329" w:rsidP="0081259D">
            <w:pPr>
              <w:pStyle w:val="ListParagraph"/>
              <w:numPr>
                <w:ilvl w:val="0"/>
                <w:numId w:val="33"/>
              </w:numPr>
              <w:spacing w:beforeLines="50" w:before="120" w:after="120"/>
              <w:rPr>
                <w:rFonts w:cs="Calibri"/>
                <w:lang w:val="en-GB"/>
              </w:rPr>
            </w:pPr>
            <w:r w:rsidRPr="0054593C">
              <w:rPr>
                <w:rFonts w:cs="Calibri"/>
                <w:lang w:val="en-GB"/>
              </w:rPr>
              <w:t>Passive Sensors (ITU R.RS.1861)</w:t>
            </w:r>
          </w:p>
          <w:p w:rsidR="00DC2329" w:rsidRPr="0054593C" w:rsidRDefault="00DC2329" w:rsidP="0081259D">
            <w:pPr>
              <w:pStyle w:val="ListParagraph"/>
              <w:numPr>
                <w:ilvl w:val="0"/>
                <w:numId w:val="33"/>
              </w:numPr>
              <w:spacing w:beforeLines="50" w:before="120" w:after="120"/>
              <w:rPr>
                <w:rFonts w:cs="Calibri"/>
                <w:lang w:val="en-GB"/>
              </w:rPr>
            </w:pPr>
            <w:r w:rsidRPr="0054593C">
              <w:rPr>
                <w:rFonts w:cs="Calibri"/>
                <w:lang w:val="en-GB"/>
              </w:rPr>
              <w:t>Stringent sensors F3 sensitivity</w:t>
            </w:r>
          </w:p>
          <w:p w:rsidR="00DC2329" w:rsidRPr="0054593C" w:rsidRDefault="00DC2329" w:rsidP="0081259D">
            <w:pPr>
              <w:pStyle w:val="ListParagraph"/>
              <w:numPr>
                <w:ilvl w:val="0"/>
                <w:numId w:val="33"/>
              </w:numPr>
              <w:spacing w:beforeLines="50" w:before="120" w:after="120"/>
              <w:rPr>
                <w:rFonts w:cs="Calibri"/>
                <w:lang w:val="en-GB"/>
              </w:rPr>
            </w:pPr>
            <w:r w:rsidRPr="0054593C">
              <w:rPr>
                <w:rFonts w:cs="Calibri"/>
                <w:lang w:val="en-GB"/>
              </w:rPr>
              <w:t>Limitation on emission from IMT from 24.25 to 27.5 GHz</w:t>
            </w:r>
          </w:p>
        </w:tc>
        <w:tc>
          <w:tcPr>
            <w:tcW w:w="1667" w:type="pct"/>
          </w:tcPr>
          <w:p w:rsidR="00DC2329" w:rsidRDefault="00DC2329" w:rsidP="0081259D">
            <w:pPr>
              <w:spacing w:beforeLines="50" w:before="120" w:after="120"/>
              <w:jc w:val="both"/>
              <w:rPr>
                <w:rFonts w:cs="Calibri"/>
                <w:lang w:val="en-GB"/>
              </w:rPr>
            </w:pPr>
            <w:r>
              <w:rPr>
                <w:rFonts w:cs="Calibri"/>
                <w:lang w:val="en-GB"/>
              </w:rPr>
              <w:t>ATU</w:t>
            </w:r>
          </w:p>
          <w:p w:rsidR="00DC2329" w:rsidRDefault="00DC2329" w:rsidP="0081259D">
            <w:pPr>
              <w:spacing w:beforeLines="50" w:before="120" w:after="120"/>
              <w:jc w:val="both"/>
              <w:rPr>
                <w:rFonts w:cs="Calibri"/>
                <w:lang w:val="en-GB"/>
              </w:rPr>
            </w:pPr>
            <w:r>
              <w:rPr>
                <w:rFonts w:cs="Calibri"/>
                <w:lang w:val="en-GB"/>
              </w:rPr>
              <w:t xml:space="preserve">BS: -32 to -37 </w:t>
            </w:r>
            <w:proofErr w:type="spellStart"/>
            <w:r>
              <w:rPr>
                <w:rFonts w:cs="Calibri"/>
                <w:lang w:val="en-GB"/>
              </w:rPr>
              <w:t>dBW</w:t>
            </w:r>
            <w:proofErr w:type="spellEnd"/>
            <w:r>
              <w:rPr>
                <w:rFonts w:cs="Calibri"/>
                <w:lang w:val="en-GB"/>
              </w:rPr>
              <w:t>/200MHz</w:t>
            </w:r>
          </w:p>
          <w:p w:rsidR="00DC2329" w:rsidRDefault="00DC2329" w:rsidP="0081259D">
            <w:pPr>
              <w:spacing w:beforeLines="50" w:before="120" w:after="120"/>
              <w:jc w:val="both"/>
              <w:rPr>
                <w:rFonts w:cs="Calibri"/>
                <w:lang w:val="en-GB"/>
              </w:rPr>
            </w:pPr>
            <w:r>
              <w:rPr>
                <w:rFonts w:cs="Calibri"/>
                <w:lang w:val="en-GB"/>
              </w:rPr>
              <w:t xml:space="preserve">UE: -28 to -30 </w:t>
            </w:r>
            <w:proofErr w:type="spellStart"/>
            <w:r>
              <w:rPr>
                <w:rFonts w:cs="Calibri"/>
                <w:lang w:val="en-GB"/>
              </w:rPr>
              <w:t>dBW</w:t>
            </w:r>
            <w:proofErr w:type="spellEnd"/>
            <w:r>
              <w:rPr>
                <w:rFonts w:cs="Calibri"/>
                <w:lang w:val="en-GB"/>
              </w:rPr>
              <w:t>/200 MHz</w:t>
            </w:r>
          </w:p>
        </w:tc>
        <w:tc>
          <w:tcPr>
            <w:tcW w:w="1667" w:type="pct"/>
            <w:vMerge w:val="restart"/>
          </w:tcPr>
          <w:p w:rsidR="00DC2329" w:rsidRDefault="00DC2329" w:rsidP="0081259D">
            <w:pPr>
              <w:spacing w:beforeLines="50" w:before="120" w:after="120"/>
              <w:rPr>
                <w:rFonts w:cs="Calibri"/>
                <w:lang w:val="en-GB"/>
              </w:rPr>
            </w:pPr>
            <w:r>
              <w:rPr>
                <w:rFonts w:cs="Calibri"/>
                <w:lang w:val="en-GB"/>
              </w:rPr>
              <w:t>3GPP/GSA</w:t>
            </w:r>
          </w:p>
          <w:p w:rsidR="00DC2329" w:rsidRDefault="00DC2329" w:rsidP="0081259D">
            <w:pPr>
              <w:spacing w:beforeLines="50" w:before="120" w:after="120"/>
              <w:rPr>
                <w:rFonts w:cs="Calibri"/>
                <w:lang w:val="en-GB"/>
              </w:rPr>
            </w:pPr>
            <w:r>
              <w:rPr>
                <w:rFonts w:cs="Calibri"/>
                <w:lang w:val="en-GB"/>
              </w:rPr>
              <w:t xml:space="preserve">BS: -37 </w:t>
            </w:r>
            <w:proofErr w:type="spellStart"/>
            <w:r>
              <w:rPr>
                <w:rFonts w:cs="Calibri"/>
                <w:lang w:val="en-GB"/>
              </w:rPr>
              <w:t>dBW</w:t>
            </w:r>
            <w:proofErr w:type="spellEnd"/>
            <w:r>
              <w:rPr>
                <w:rFonts w:cs="Calibri"/>
                <w:lang w:val="en-GB"/>
              </w:rPr>
              <w:t xml:space="preserve"> /200 MHz substantial impacts on 5G networks and services</w:t>
            </w:r>
          </w:p>
          <w:p w:rsidR="00DC2329" w:rsidRDefault="00DC2329" w:rsidP="0081259D">
            <w:pPr>
              <w:spacing w:beforeLines="50" w:before="120" w:after="120"/>
              <w:rPr>
                <w:rFonts w:cs="Calibri"/>
                <w:lang w:val="en-GB"/>
              </w:rPr>
            </w:pPr>
            <w:r>
              <w:rPr>
                <w:rFonts w:cs="Calibri"/>
                <w:lang w:val="en-GB"/>
              </w:rPr>
              <w:t>Large separation bandwidth (1-1.5 GHz of lower 26 GHz unusable)</w:t>
            </w:r>
          </w:p>
          <w:p w:rsidR="00DC2329" w:rsidRDefault="00DC2329" w:rsidP="0081259D">
            <w:pPr>
              <w:spacing w:beforeLines="50" w:before="120" w:after="120"/>
              <w:rPr>
                <w:rFonts w:cs="Calibri"/>
                <w:lang w:val="en-GB"/>
              </w:rPr>
            </w:pPr>
            <w:r>
              <w:rPr>
                <w:rFonts w:cs="Calibri"/>
                <w:lang w:val="en-GB"/>
              </w:rPr>
              <w:t>BS: -32dBW/200 MHz</w:t>
            </w:r>
          </w:p>
          <w:p w:rsidR="00DC2329" w:rsidRPr="00DC2329" w:rsidRDefault="00DC2329" w:rsidP="0081259D">
            <w:pPr>
              <w:spacing w:beforeLines="50" w:before="120" w:after="120"/>
              <w:rPr>
                <w:rFonts w:cs="Calibri"/>
                <w:lang w:val="en-GB"/>
              </w:rPr>
            </w:pPr>
            <w:r>
              <w:rPr>
                <w:rFonts w:cs="Calibri"/>
                <w:lang w:val="en-GB"/>
              </w:rPr>
              <w:t xml:space="preserve">UE: -28 </w:t>
            </w:r>
            <w:proofErr w:type="spellStart"/>
            <w:r>
              <w:rPr>
                <w:rFonts w:cs="Calibri"/>
                <w:lang w:val="en-GB"/>
              </w:rPr>
              <w:t>dBW</w:t>
            </w:r>
            <w:proofErr w:type="spellEnd"/>
            <w:r>
              <w:rPr>
                <w:rFonts w:cs="Calibri"/>
                <w:lang w:val="en-GB"/>
              </w:rPr>
              <w:t>/200 MHz</w:t>
            </w:r>
          </w:p>
        </w:tc>
      </w:tr>
      <w:tr w:rsidR="00DC2329" w:rsidTr="0024180D">
        <w:tc>
          <w:tcPr>
            <w:tcW w:w="1666" w:type="pct"/>
            <w:vMerge w:val="restart"/>
          </w:tcPr>
          <w:p w:rsidR="00DC2329" w:rsidRDefault="00DC2329" w:rsidP="0081259D">
            <w:pPr>
              <w:spacing w:beforeLines="50" w:before="120" w:after="120"/>
              <w:jc w:val="both"/>
              <w:rPr>
                <w:rFonts w:cs="Calibri"/>
                <w:lang w:val="en-GB"/>
              </w:rPr>
            </w:pPr>
            <w:r>
              <w:rPr>
                <w:rFonts w:cs="Calibri"/>
                <w:lang w:val="en-GB"/>
              </w:rPr>
              <w:t>IMT deployment scenarios</w:t>
            </w:r>
          </w:p>
          <w:p w:rsidR="00DC2329" w:rsidRPr="0054593C" w:rsidRDefault="00DC2329" w:rsidP="0081259D">
            <w:pPr>
              <w:pStyle w:val="ListParagraph"/>
              <w:numPr>
                <w:ilvl w:val="0"/>
                <w:numId w:val="34"/>
              </w:numPr>
              <w:spacing w:beforeLines="50" w:before="120" w:after="120"/>
            </w:pPr>
            <w:r w:rsidRPr="0054593C">
              <w:t xml:space="preserve">Antenna patterns </w:t>
            </w:r>
          </w:p>
          <w:p w:rsidR="00DC2329" w:rsidRPr="0054593C" w:rsidRDefault="00DC2329" w:rsidP="0081259D">
            <w:pPr>
              <w:pStyle w:val="ListParagraph"/>
              <w:numPr>
                <w:ilvl w:val="0"/>
                <w:numId w:val="34"/>
              </w:numPr>
              <w:spacing w:beforeLines="50" w:before="120" w:after="120"/>
            </w:pPr>
            <w:r w:rsidRPr="0054593C">
              <w:t>Apportionment of interference between services</w:t>
            </w:r>
          </w:p>
          <w:p w:rsidR="00DC2329" w:rsidRPr="0054593C" w:rsidRDefault="00DC2329" w:rsidP="0081259D">
            <w:pPr>
              <w:pStyle w:val="ListParagraph"/>
              <w:numPr>
                <w:ilvl w:val="0"/>
                <w:numId w:val="34"/>
              </w:numPr>
              <w:spacing w:beforeLines="50" w:before="120" w:after="120"/>
            </w:pPr>
            <w:r w:rsidRPr="0054593C">
              <w:t xml:space="preserve">IMT station densities </w:t>
            </w:r>
          </w:p>
          <w:p w:rsidR="00DC2329" w:rsidRPr="0054593C" w:rsidRDefault="00DC2329" w:rsidP="0081259D">
            <w:pPr>
              <w:pStyle w:val="ListParagraph"/>
              <w:numPr>
                <w:ilvl w:val="0"/>
                <w:numId w:val="34"/>
              </w:numPr>
              <w:spacing w:beforeLines="50" w:before="120" w:after="120"/>
            </w:pPr>
            <w:r w:rsidRPr="0054593C">
              <w:t>Interpretation of EESS (passive) protection criteria</w:t>
            </w:r>
          </w:p>
          <w:p w:rsidR="00DC2329" w:rsidRPr="0054593C" w:rsidRDefault="00DC2329" w:rsidP="0081259D">
            <w:pPr>
              <w:pStyle w:val="ListParagraph"/>
              <w:numPr>
                <w:ilvl w:val="0"/>
                <w:numId w:val="34"/>
              </w:numPr>
              <w:spacing w:beforeLines="50" w:before="120" w:after="120"/>
            </w:pPr>
            <w:r w:rsidRPr="0054593C">
              <w:t>Multi-operator factor</w:t>
            </w:r>
          </w:p>
        </w:tc>
        <w:tc>
          <w:tcPr>
            <w:tcW w:w="1667" w:type="pct"/>
          </w:tcPr>
          <w:p w:rsidR="00DC2329" w:rsidRDefault="00DC2329" w:rsidP="0081259D">
            <w:pPr>
              <w:spacing w:beforeLines="50" w:before="120" w:after="120"/>
              <w:jc w:val="both"/>
              <w:rPr>
                <w:rFonts w:cs="Calibri"/>
                <w:lang w:val="en-GB"/>
              </w:rPr>
            </w:pPr>
            <w:r>
              <w:rPr>
                <w:rFonts w:cs="Calibri"/>
                <w:lang w:val="en-GB"/>
              </w:rPr>
              <w:t>ASMG</w:t>
            </w:r>
          </w:p>
          <w:p w:rsidR="00DC2329" w:rsidRDefault="00DC2329" w:rsidP="0081259D">
            <w:pPr>
              <w:spacing w:beforeLines="50" w:before="120" w:after="120"/>
              <w:jc w:val="both"/>
              <w:rPr>
                <w:rFonts w:cs="Calibri"/>
                <w:lang w:val="en-GB"/>
              </w:rPr>
            </w:pPr>
            <w:r>
              <w:rPr>
                <w:rFonts w:cs="Calibri"/>
                <w:lang w:val="en-GB"/>
              </w:rPr>
              <w:t xml:space="preserve">BS: -32 to -37 </w:t>
            </w:r>
            <w:proofErr w:type="spellStart"/>
            <w:r>
              <w:rPr>
                <w:rFonts w:cs="Calibri"/>
                <w:lang w:val="en-GB"/>
              </w:rPr>
              <w:t>dBW</w:t>
            </w:r>
            <w:proofErr w:type="spellEnd"/>
            <w:r>
              <w:rPr>
                <w:rFonts w:cs="Calibri"/>
                <w:lang w:val="en-GB"/>
              </w:rPr>
              <w:t>/200 MHz</w:t>
            </w:r>
          </w:p>
        </w:tc>
        <w:tc>
          <w:tcPr>
            <w:tcW w:w="1667" w:type="pct"/>
            <w:vMerge/>
          </w:tcPr>
          <w:p w:rsidR="00DC2329" w:rsidRDefault="00DC2329" w:rsidP="0081259D">
            <w:pPr>
              <w:spacing w:beforeLines="50" w:before="120" w:after="120"/>
              <w:jc w:val="both"/>
              <w:rPr>
                <w:rFonts w:cs="Calibri"/>
                <w:lang w:val="en-GB"/>
              </w:rPr>
            </w:pPr>
          </w:p>
        </w:tc>
      </w:tr>
      <w:tr w:rsidR="00DC2329" w:rsidTr="0024180D">
        <w:tc>
          <w:tcPr>
            <w:tcW w:w="1666" w:type="pct"/>
            <w:vMerge/>
          </w:tcPr>
          <w:p w:rsidR="00DC2329" w:rsidRDefault="00DC2329" w:rsidP="0081259D">
            <w:pPr>
              <w:spacing w:beforeLines="50" w:before="120" w:after="120"/>
              <w:jc w:val="both"/>
              <w:rPr>
                <w:rFonts w:cs="Calibri"/>
                <w:lang w:val="en-GB"/>
              </w:rPr>
            </w:pPr>
          </w:p>
        </w:tc>
        <w:tc>
          <w:tcPr>
            <w:tcW w:w="1667" w:type="pct"/>
          </w:tcPr>
          <w:p w:rsidR="00DC2329" w:rsidRDefault="00DC2329" w:rsidP="0081259D">
            <w:pPr>
              <w:spacing w:beforeLines="50" w:before="120" w:after="120"/>
              <w:jc w:val="both"/>
              <w:rPr>
                <w:rFonts w:cs="Calibri"/>
                <w:lang w:val="en-GB"/>
              </w:rPr>
            </w:pPr>
            <w:r>
              <w:rPr>
                <w:rFonts w:cs="Calibri"/>
                <w:lang w:val="en-GB"/>
              </w:rPr>
              <w:t>CEPT ECC 18(06) July 2018-12-25</w:t>
            </w:r>
          </w:p>
          <w:p w:rsidR="00DC2329" w:rsidRDefault="00DC2329" w:rsidP="0081259D">
            <w:pPr>
              <w:spacing w:beforeLines="50" w:before="120" w:after="120"/>
              <w:jc w:val="both"/>
              <w:rPr>
                <w:rFonts w:cs="Calibri"/>
                <w:lang w:val="en-GB"/>
              </w:rPr>
            </w:pPr>
            <w:r>
              <w:rPr>
                <w:rFonts w:cs="Calibri"/>
                <w:lang w:val="en-GB"/>
              </w:rPr>
              <w:t xml:space="preserve">BS: -42dBW/200 MHz </w:t>
            </w:r>
          </w:p>
        </w:tc>
        <w:tc>
          <w:tcPr>
            <w:tcW w:w="1667" w:type="pct"/>
            <w:vMerge/>
          </w:tcPr>
          <w:p w:rsidR="00DC2329" w:rsidRDefault="00DC2329" w:rsidP="0081259D">
            <w:pPr>
              <w:spacing w:beforeLines="50" w:before="120" w:after="120"/>
              <w:jc w:val="both"/>
              <w:rPr>
                <w:rFonts w:cs="Calibri"/>
                <w:lang w:val="en-GB"/>
              </w:rPr>
            </w:pPr>
          </w:p>
        </w:tc>
      </w:tr>
    </w:tbl>
    <w:p w:rsidR="005470A1" w:rsidRDefault="005470A1" w:rsidP="0081259D">
      <w:pPr>
        <w:spacing w:beforeLines="50" w:before="120" w:after="120"/>
        <w:jc w:val="both"/>
        <w:rPr>
          <w:rFonts w:cs="Calibri"/>
          <w:lang w:val="en-GB"/>
        </w:rPr>
      </w:pPr>
    </w:p>
    <w:p w:rsidR="004E4F8C" w:rsidRDefault="004E4F8C" w:rsidP="004E4F8C">
      <w:pPr>
        <w:spacing w:after="120"/>
        <w:rPr>
          <w:b/>
          <w:lang w:val="en-GB"/>
        </w:rPr>
      </w:pPr>
      <w:r>
        <w:rPr>
          <w:b/>
        </w:rPr>
        <w:t xml:space="preserve">India proposes </w:t>
      </w:r>
      <w:r>
        <w:rPr>
          <w:b/>
          <w:lang w:val="en-GB"/>
        </w:rPr>
        <w:t xml:space="preserve">that APT Administrations should have a common specification for </w:t>
      </w:r>
      <w:r>
        <w:rPr>
          <w:b/>
        </w:rPr>
        <w:t xml:space="preserve">the IMT unwanted emission limits for the 23.6 to 24.0 GHz frequency band to protect EESS (passive): </w:t>
      </w:r>
    </w:p>
    <w:p w:rsidR="004E4F8C" w:rsidRPr="0078791B" w:rsidRDefault="004E4F8C" w:rsidP="004E4F8C">
      <w:pPr>
        <w:numPr>
          <w:ilvl w:val="0"/>
          <w:numId w:val="27"/>
        </w:numPr>
        <w:spacing w:line="256" w:lineRule="auto"/>
        <w:ind w:left="714" w:hanging="357"/>
        <w:contextualSpacing/>
        <w:jc w:val="both"/>
        <w:rPr>
          <w:b/>
          <w:bCs/>
          <w:lang w:val="en-GB"/>
        </w:rPr>
      </w:pPr>
      <w:r w:rsidRPr="0078791B">
        <w:rPr>
          <w:b/>
          <w:bCs/>
          <w:lang w:val="en-GB"/>
        </w:rPr>
        <w:t xml:space="preserve">BS: </w:t>
      </w:r>
      <w:r w:rsidR="002A629D" w:rsidRPr="0078791B">
        <w:rPr>
          <w:b/>
          <w:bCs/>
          <w:lang w:val="en-GB"/>
        </w:rPr>
        <w:t>Better than -28</w:t>
      </w:r>
      <w:r w:rsidRPr="0078791B">
        <w:rPr>
          <w:b/>
          <w:bCs/>
          <w:lang w:val="en-GB"/>
        </w:rPr>
        <w:t xml:space="preserve"> dB(W/200 MHz) </w:t>
      </w:r>
    </w:p>
    <w:p w:rsidR="004E4F8C" w:rsidRPr="0078791B" w:rsidRDefault="004E4F8C" w:rsidP="004E4F8C">
      <w:pPr>
        <w:numPr>
          <w:ilvl w:val="0"/>
          <w:numId w:val="27"/>
        </w:numPr>
        <w:spacing w:line="256" w:lineRule="auto"/>
        <w:ind w:left="714" w:hanging="357"/>
        <w:contextualSpacing/>
        <w:jc w:val="both"/>
        <w:rPr>
          <w:b/>
          <w:bCs/>
          <w:lang w:val="en-GB"/>
        </w:rPr>
      </w:pPr>
      <w:r w:rsidRPr="0078791B">
        <w:rPr>
          <w:b/>
          <w:bCs/>
          <w:lang w:val="en-GB"/>
        </w:rPr>
        <w:t xml:space="preserve">UE: </w:t>
      </w:r>
      <w:r w:rsidR="002A629D" w:rsidRPr="0078791B">
        <w:rPr>
          <w:b/>
          <w:bCs/>
          <w:lang w:val="en-GB"/>
        </w:rPr>
        <w:t xml:space="preserve">Better than </w:t>
      </w:r>
      <w:r w:rsidRPr="0078791B">
        <w:rPr>
          <w:b/>
          <w:bCs/>
          <w:lang w:val="en-GB"/>
        </w:rPr>
        <w:t>-2</w:t>
      </w:r>
      <w:r w:rsidR="002A629D" w:rsidRPr="0078791B">
        <w:rPr>
          <w:b/>
          <w:bCs/>
          <w:lang w:val="en-GB"/>
        </w:rPr>
        <w:t>4</w:t>
      </w:r>
      <w:r w:rsidRPr="0078791B">
        <w:rPr>
          <w:b/>
          <w:bCs/>
          <w:lang w:val="en-GB"/>
        </w:rPr>
        <w:t xml:space="preserve"> dB(W/200 MHz)</w:t>
      </w:r>
    </w:p>
    <w:p w:rsidR="004E4F8C" w:rsidRPr="00EE404B" w:rsidRDefault="004E4F8C" w:rsidP="0081259D">
      <w:pPr>
        <w:spacing w:beforeLines="50" w:before="120" w:after="240"/>
        <w:jc w:val="both"/>
        <w:rPr>
          <w:b/>
          <w:lang w:val="en-GB"/>
        </w:rPr>
      </w:pPr>
      <w:bookmarkStart w:id="0" w:name="_GoBack"/>
      <w:bookmarkEnd w:id="0"/>
    </w:p>
    <w:p w:rsidR="00BB5EA5" w:rsidRDefault="00BB5EA5" w:rsidP="0081259D">
      <w:pPr>
        <w:spacing w:beforeLines="50" w:before="120" w:afterLines="50" w:after="120"/>
        <w:jc w:val="both"/>
        <w:rPr>
          <w:rFonts w:eastAsia="SimSun"/>
          <w:b/>
          <w:lang w:val="en-GB"/>
        </w:rPr>
      </w:pPr>
      <w:r>
        <w:rPr>
          <w:rFonts w:eastAsia="SimSun"/>
          <w:b/>
          <w:lang w:val="en-GB"/>
        </w:rPr>
        <w:lastRenderedPageBreak/>
        <w:t xml:space="preserve">2.2 </w:t>
      </w:r>
      <w:r>
        <w:rPr>
          <w:rFonts w:eastAsia="SimSun"/>
          <w:b/>
          <w:lang w:val="en-GB"/>
        </w:rPr>
        <w:tab/>
        <w:t>IMT and FSS (Earth-to-space)/ISS in the 24.25-27.5 GHz and 42.5-43.5 GHz bands</w:t>
      </w:r>
    </w:p>
    <w:p w:rsidR="00BB5EA5" w:rsidRDefault="00BB5EA5" w:rsidP="0081259D">
      <w:pPr>
        <w:spacing w:afterLines="50" w:after="120"/>
        <w:jc w:val="both"/>
      </w:pPr>
      <w:r>
        <w:t xml:space="preserve">In Region 3, the </w:t>
      </w:r>
      <w:r>
        <w:rPr>
          <w:lang w:eastAsia="ja-JP"/>
        </w:rPr>
        <w:t xml:space="preserve">frequency </w:t>
      </w:r>
      <w:r>
        <w:t xml:space="preserve">bands 24.65-25.25 GHz and 27-27.5 GHz and 42.5-43.5 GHz are allocated to FSS (Earth-to-space), and the frequency bands 24.45-24.75 GHz and 25.25-27.5 GHz are allocated to ISS. </w:t>
      </w:r>
    </w:p>
    <w:p w:rsidR="00BB5EA5" w:rsidRDefault="00BB5EA5" w:rsidP="0081259D">
      <w:pPr>
        <w:spacing w:afterLines="50" w:after="120"/>
        <w:jc w:val="both"/>
      </w:pPr>
      <w:r>
        <w:t>Sharing studies between IMT and FSS/ISS in the 26 and 40 GHz bands, conducted as part of the work of TG 5/1, give clarity on co-existence between these services. These studies show there is a sufficient protection margin between the level of emissions that would be expected from a 5G network and the level that could potentially cause interference to FSS/ISS space stations, see section 2/1.13/3.2.1.3 and 3.2.1.4 and 3.2.4.1 in draft CPM report.</w:t>
      </w:r>
    </w:p>
    <w:p w:rsidR="00BB5EA5" w:rsidRDefault="00BB5EA5" w:rsidP="0081259D">
      <w:pPr>
        <w:spacing w:afterLines="50" w:after="120"/>
        <w:jc w:val="both"/>
      </w:pPr>
      <w:r>
        <w:t>For the 26 GHz band, for the case of aggregate long-term interference from IMT stations into FSS space stations in a geostationary orbit, results showed that the calculated I/N ranged from -40.62 dB to -19 dB for the baseline case, all below the protection criteria agreed by WP 4A. When considering short term interference, all studies provided results that showed maximum I/N values ranging from -28.3 dB to -15.8 dB for the baseline case, which again satisfy the agreed short-term protection criteria. Similar results are found in study results concerning the 42.5-43.5 GHz band.</w:t>
      </w:r>
    </w:p>
    <w:p w:rsidR="00B63378" w:rsidRDefault="00BB5EA5" w:rsidP="0081259D">
      <w:pPr>
        <w:spacing w:afterLines="50" w:after="120"/>
        <w:jc w:val="both"/>
      </w:pPr>
      <w:r>
        <w:t xml:space="preserve">Despite this, certain conditions </w:t>
      </w:r>
      <w:r w:rsidR="00B63378">
        <w:t xml:space="preserve">nevertheless being proposed </w:t>
      </w:r>
      <w:r>
        <w:t>which include an EIRP mask (based on elevation angle), a TRP limit per base station, an</w:t>
      </w:r>
      <w:r w:rsidR="00EE404B">
        <w:t xml:space="preserve">d/or antenna tilting limits. </w:t>
      </w:r>
      <w:r w:rsidR="00B63378">
        <w:t xml:space="preserve">Any </w:t>
      </w:r>
      <w:r>
        <w:t>such condi</w:t>
      </w:r>
      <w:r w:rsidR="00EE404B">
        <w:t>tions c</w:t>
      </w:r>
      <w:r>
        <w:t>ould have a negative impact on the deployment, operation and performan</w:t>
      </w:r>
      <w:r w:rsidR="00EE404B">
        <w:t>ce of 5G networks and services.</w:t>
      </w:r>
      <w:r w:rsidR="00B63378" w:rsidRPr="00B63378">
        <w:t xml:space="preserve"> </w:t>
      </w:r>
      <w:r w:rsidR="00B63378">
        <w:t xml:space="preserve">They are not required given that results of baseline studies show sufficient margins. </w:t>
      </w:r>
    </w:p>
    <w:p w:rsidR="00BB5EA5" w:rsidRDefault="00BB5EA5" w:rsidP="0081259D">
      <w:pPr>
        <w:spacing w:afterLines="50" w:after="120"/>
        <w:jc w:val="both"/>
        <w:rPr>
          <w:b/>
        </w:rPr>
      </w:pPr>
      <w:r>
        <w:t>It should also be noted that almost all of the sharing studies that have been conducted on the potential interference from 5G networks into satellite space station receivers indicate that there is a significant margin between the level of interference calculated and level that could potentially cause interference at the satellite receiver.</w:t>
      </w:r>
      <w:r>
        <w:rPr>
          <w:b/>
        </w:rPr>
        <w:t xml:space="preserve"> </w:t>
      </w:r>
    </w:p>
    <w:p w:rsidR="00581B51" w:rsidRDefault="00581B51" w:rsidP="0081259D">
      <w:pPr>
        <w:spacing w:afterLines="50" w:after="120"/>
        <w:jc w:val="both"/>
        <w:rPr>
          <w:b/>
        </w:rPr>
      </w:pPr>
      <w:r>
        <w:rPr>
          <w:b/>
        </w:rPr>
        <w:t xml:space="preserve">India is of the view that there is no technical justification for incorporating any regulatory provisions related to technical conditions, i.e. EIRP mask, TRP limits, </w:t>
      </w:r>
      <w:proofErr w:type="spellStart"/>
      <w:r>
        <w:rPr>
          <w:b/>
        </w:rPr>
        <w:t>epfd</w:t>
      </w:r>
      <w:proofErr w:type="spellEnd"/>
      <w:r>
        <w:rPr>
          <w:b/>
        </w:rPr>
        <w:t xml:space="preserve"> and/or electrical and mechanical tilting limitations on IMT-2020 base stations, for identification of the bands 24.25-27.5 GHz and 42.5-43.5 GHz in the Radio Regulation.</w:t>
      </w:r>
    </w:p>
    <w:p w:rsidR="00B63378" w:rsidRPr="006D7E46" w:rsidRDefault="00B63378" w:rsidP="0081259D">
      <w:pPr>
        <w:spacing w:afterLines="50" w:after="120"/>
        <w:jc w:val="both"/>
      </w:pPr>
      <w:r w:rsidRPr="006D7E46">
        <w:t xml:space="preserve">In addition, </w:t>
      </w:r>
      <w:r>
        <w:t xml:space="preserve">as </w:t>
      </w:r>
      <w:r w:rsidRPr="006D7E46">
        <w:t>IMT is the victim of interference from FSS earth stations in these two bands, but no conditions to ensure the co-existence between the FSS transmitting earth stations and IMT receiving base stations and terminals operating within frequency bands of 24.25-27.5 GHz and 42.5-43.5 GHz are needed to be specified in Radio Regulation, including development of any ITU-R Recommendation, as this is a matter for the national authority.</w:t>
      </w:r>
    </w:p>
    <w:p w:rsidR="00BB5EA5" w:rsidRDefault="00BB5EA5" w:rsidP="0081259D">
      <w:pPr>
        <w:spacing w:afterLines="50" w:after="120"/>
        <w:jc w:val="both"/>
      </w:pPr>
    </w:p>
    <w:p w:rsidR="00BB5EA5" w:rsidRDefault="00BB5EA5" w:rsidP="0081259D">
      <w:pPr>
        <w:spacing w:beforeLines="50" w:before="120" w:afterLines="50" w:after="120"/>
        <w:jc w:val="both"/>
        <w:rPr>
          <w:rFonts w:eastAsia="SimSun"/>
          <w:b/>
          <w:lang w:val="en-GB"/>
        </w:rPr>
      </w:pPr>
      <w:r>
        <w:rPr>
          <w:rFonts w:eastAsia="SimSun"/>
          <w:b/>
          <w:lang w:val="en-GB"/>
        </w:rPr>
        <w:t xml:space="preserve">2.3 </w:t>
      </w:r>
      <w:r>
        <w:rPr>
          <w:rFonts w:eastAsia="SimSun"/>
          <w:b/>
          <w:lang w:val="en-GB"/>
        </w:rPr>
        <w:tab/>
        <w:t>Unwanted emission level in the 40 GHz band</w:t>
      </w:r>
    </w:p>
    <w:p w:rsidR="00BB5EA5" w:rsidRDefault="00BB5EA5" w:rsidP="006A0110">
      <w:pPr>
        <w:spacing w:before="120" w:after="120"/>
        <w:jc w:val="both"/>
        <w:rPr>
          <w:lang w:val="en-GB"/>
        </w:rPr>
      </w:pPr>
      <w:r>
        <w:rPr>
          <w:iCs/>
          <w:lang w:val="en-GB"/>
        </w:rPr>
        <w:t xml:space="preserve">The frequency band 36-37 GHz is </w:t>
      </w:r>
      <w:r>
        <w:rPr>
          <w:lang w:val="en-GB"/>
        </w:rPr>
        <w:t xml:space="preserve">allocated on a primary basis to both EESS (passive) and the MS and FS with coexistence conditions currently addressed in Resolution 752 (WRC-07). The unwanted emission level of −13 dB(m/MHz), </w:t>
      </w:r>
      <w:r w:rsidR="00B63378">
        <w:rPr>
          <w:spacing w:val="-2"/>
          <w:lang w:eastAsia="ja-JP"/>
        </w:rPr>
        <w:t xml:space="preserve">i.e. −43 dB(W/MHz), </w:t>
      </w:r>
      <w:r>
        <w:rPr>
          <w:lang w:val="en-GB"/>
        </w:rPr>
        <w:t xml:space="preserve">for an IMT station, which is equivalent to −13 </w:t>
      </w:r>
      <w:proofErr w:type="spellStart"/>
      <w:r>
        <w:rPr>
          <w:lang w:val="en-GB"/>
        </w:rPr>
        <w:t>dBW</w:t>
      </w:r>
      <w:proofErr w:type="spellEnd"/>
      <w:r w:rsidR="00B63378">
        <w:rPr>
          <w:lang w:val="en-GB"/>
        </w:rPr>
        <w:t>/GHz</w:t>
      </w:r>
      <w:r>
        <w:rPr>
          <w:lang w:val="en-GB"/>
        </w:rPr>
        <w:t xml:space="preserve"> in the frequency band 36-37 GHz, satisfies the conditions described in Resolution 752 (WRC-07) (where the sharing criteria for stations in the mobile service is −10 </w:t>
      </w:r>
      <w:proofErr w:type="spellStart"/>
      <w:r>
        <w:rPr>
          <w:lang w:val="en-GB"/>
        </w:rPr>
        <w:t>dBW</w:t>
      </w:r>
      <w:proofErr w:type="spellEnd"/>
      <w:r>
        <w:rPr>
          <w:lang w:val="en-GB"/>
        </w:rPr>
        <w:t xml:space="preserve">) to coexist with the EESS (passive). From this perspective, </w:t>
      </w:r>
      <w:r>
        <w:rPr>
          <w:b/>
          <w:lang w:val="en-GB"/>
        </w:rPr>
        <w:t>there is no need to define additional OOBE limit for IMT systems operating in the frequency band 37-43.5 GHz to ensure coexistence with the EESS (passive) systems operating in the frequency band 36-37 GHz</w:t>
      </w:r>
      <w:r>
        <w:rPr>
          <w:lang w:val="en-GB"/>
        </w:rPr>
        <w:t xml:space="preserve">. </w:t>
      </w:r>
    </w:p>
    <w:p w:rsidR="00BB5EA5" w:rsidRDefault="00BB5EA5" w:rsidP="006A0110">
      <w:pPr>
        <w:spacing w:before="120" w:after="120"/>
        <w:jc w:val="both"/>
        <w:rPr>
          <w:lang w:val="en-GB"/>
        </w:rPr>
      </w:pPr>
      <w:r>
        <w:rPr>
          <w:lang w:val="en-GB"/>
        </w:rPr>
        <w:t xml:space="preserve">In addition, passive services in the frequency band 36-37 GHz share the band with active MS and FS, so the frequency band 36-37 GHz is not a pure passive band and is not listed in </w:t>
      </w:r>
      <w:r>
        <w:rPr>
          <w:iCs/>
          <w:lang w:val="en-GB"/>
        </w:rPr>
        <w:t xml:space="preserve">Footnote </w:t>
      </w:r>
      <w:r>
        <w:rPr>
          <w:b/>
          <w:iCs/>
          <w:lang w:val="en-GB"/>
        </w:rPr>
        <w:lastRenderedPageBreak/>
        <w:t>5.340</w:t>
      </w:r>
      <w:r>
        <w:rPr>
          <w:iCs/>
          <w:lang w:val="en-GB"/>
        </w:rPr>
        <w:t xml:space="preserve">. </w:t>
      </w:r>
      <w:r>
        <w:rPr>
          <w:lang w:val="en-GB"/>
        </w:rPr>
        <w:t xml:space="preserve">Thus, EESS (passive) observations in this frequency band already currently have to accept a certain level of interference and that situation would not change through the use of the 37-43.5 GHz band by IMT systems. </w:t>
      </w:r>
    </w:p>
    <w:p w:rsidR="00BB5EA5" w:rsidRDefault="00BB5EA5" w:rsidP="006A0110">
      <w:pPr>
        <w:spacing w:before="120" w:after="120"/>
        <w:jc w:val="both"/>
        <w:rPr>
          <w:lang w:val="en-GB"/>
        </w:rPr>
      </w:pPr>
      <w:r>
        <w:rPr>
          <w:b/>
          <w:lang w:val="en-GB"/>
        </w:rPr>
        <w:t xml:space="preserve">Therefore, </w:t>
      </w:r>
      <w:r w:rsidR="00763BAE">
        <w:rPr>
          <w:b/>
          <w:lang w:val="en-GB"/>
        </w:rPr>
        <w:t>India</w:t>
      </w:r>
      <w:r>
        <w:rPr>
          <w:b/>
          <w:lang w:val="en-GB"/>
        </w:rPr>
        <w:t xml:space="preserve"> is of the opinion that it is not appropriate to include this frequency band 36-37 GHz in any revision to Resolution 750 (Rev.WRC-15)</w:t>
      </w:r>
      <w:r>
        <w:rPr>
          <w:lang w:val="en-GB"/>
        </w:rPr>
        <w:t>.</w:t>
      </w:r>
    </w:p>
    <w:p w:rsidR="0081259D" w:rsidRDefault="0081259D" w:rsidP="006A0110">
      <w:pPr>
        <w:spacing w:before="120" w:after="120"/>
        <w:jc w:val="both"/>
        <w:rPr>
          <w:lang w:val="en-GB"/>
        </w:rPr>
      </w:pPr>
    </w:p>
    <w:p w:rsidR="00BB5EA5" w:rsidRDefault="00BB5EA5" w:rsidP="0081259D">
      <w:pPr>
        <w:spacing w:beforeLines="50" w:before="120" w:afterLines="50" w:after="120"/>
        <w:jc w:val="both"/>
        <w:rPr>
          <w:rFonts w:eastAsia="SimSun"/>
          <w:b/>
          <w:lang w:val="en-GB"/>
        </w:rPr>
      </w:pPr>
      <w:r>
        <w:rPr>
          <w:rFonts w:eastAsia="SimSun"/>
          <w:b/>
          <w:lang w:val="en-GB"/>
        </w:rPr>
        <w:t xml:space="preserve">2.4 </w:t>
      </w:r>
      <w:r>
        <w:rPr>
          <w:rFonts w:eastAsia="SimSun"/>
          <w:b/>
          <w:lang w:val="en-GB"/>
        </w:rPr>
        <w:tab/>
        <w:t xml:space="preserve">Identification </w:t>
      </w:r>
      <w:proofErr w:type="gramStart"/>
      <w:r>
        <w:rPr>
          <w:rFonts w:eastAsia="SimSun"/>
          <w:b/>
          <w:lang w:val="en-GB"/>
        </w:rPr>
        <w:t>of  37</w:t>
      </w:r>
      <w:proofErr w:type="gramEnd"/>
      <w:r>
        <w:rPr>
          <w:rFonts w:eastAsia="SimSun"/>
          <w:b/>
          <w:lang w:val="en-GB"/>
        </w:rPr>
        <w:t>-43.5 GHz band to IMT</w:t>
      </w:r>
    </w:p>
    <w:p w:rsidR="005B7A5B" w:rsidRPr="005B7A5B" w:rsidRDefault="005B7A5B" w:rsidP="005B7A5B">
      <w:pPr>
        <w:spacing w:before="120" w:after="120"/>
        <w:jc w:val="both"/>
        <w:rPr>
          <w:lang w:val="en-GB"/>
        </w:rPr>
      </w:pPr>
      <w:r w:rsidRPr="005B7A5B">
        <w:rPr>
          <w:lang w:val="en-GB"/>
        </w:rPr>
        <w:t>The harmonized spectrum for mobile broadband provides economies of scale and benefits to consumers and businesses especially for developing countries besides supporting global roaming. Harmonized spectrum identification also helps standardization bodies (e.g. 3GPP) to develop technology for global deployment with lesser complexities. Therefore, a global IMT identification of 37-43.5 GHz would allow each country/region to assign spectrum for IMT-2020 as per their priorities. Availability of large contiguous block of spectrum in 40 GHz band allows to address the need of higher spectrum needs in spectrum bands above 24.25 GHz.</w:t>
      </w:r>
    </w:p>
    <w:p w:rsidR="005B7A5B" w:rsidRPr="005B7A5B" w:rsidRDefault="005B7A5B" w:rsidP="005B7A5B">
      <w:pPr>
        <w:spacing w:before="120" w:after="120"/>
        <w:jc w:val="both"/>
        <w:rPr>
          <w:lang w:val="en-GB"/>
        </w:rPr>
      </w:pPr>
      <w:r w:rsidRPr="005B7A5B">
        <w:rPr>
          <w:lang w:val="en-GB"/>
        </w:rPr>
        <w:t>In light of the ITU-R studies showing feasibility of sharing and the benefits of international harmonization, India proposes the following identification in various spectrum bands between 37-43.5 GHz –</w:t>
      </w:r>
    </w:p>
    <w:p w:rsidR="005B7A5B" w:rsidRPr="005B7A5B" w:rsidRDefault="005B7A5B" w:rsidP="005B7A5B">
      <w:pPr>
        <w:spacing w:before="120" w:after="120"/>
        <w:jc w:val="both"/>
        <w:rPr>
          <w:lang w:val="en-GB"/>
        </w:rPr>
      </w:pPr>
      <w:r w:rsidRPr="005B7A5B">
        <w:rPr>
          <w:lang w:val="en-GB"/>
        </w:rPr>
        <w:t>(</w:t>
      </w:r>
      <w:proofErr w:type="gramStart"/>
      <w:r w:rsidRPr="005B7A5B">
        <w:rPr>
          <w:lang w:val="en-GB"/>
        </w:rPr>
        <w:t>a</w:t>
      </w:r>
      <w:proofErr w:type="gramEnd"/>
      <w:r w:rsidRPr="005B7A5B">
        <w:rPr>
          <w:lang w:val="en-GB"/>
        </w:rPr>
        <w:t>)    37 – 40.5 GHz  : IMT identification</w:t>
      </w:r>
    </w:p>
    <w:p w:rsidR="005B7A5B" w:rsidRPr="005B7A5B" w:rsidRDefault="005B7A5B" w:rsidP="005B7A5B">
      <w:pPr>
        <w:spacing w:before="120" w:after="120"/>
        <w:jc w:val="both"/>
        <w:rPr>
          <w:lang w:val="en-GB"/>
        </w:rPr>
      </w:pPr>
      <w:r w:rsidRPr="005B7A5B">
        <w:rPr>
          <w:lang w:val="en-GB"/>
        </w:rPr>
        <w:t xml:space="preserve">(b)   40.5 – 42.5 </w:t>
      </w:r>
      <w:proofErr w:type="gramStart"/>
      <w:r w:rsidRPr="005B7A5B">
        <w:rPr>
          <w:lang w:val="en-GB"/>
        </w:rPr>
        <w:t>GHz  :</w:t>
      </w:r>
      <w:proofErr w:type="gramEnd"/>
      <w:r w:rsidRPr="005B7A5B">
        <w:rPr>
          <w:lang w:val="en-GB"/>
        </w:rPr>
        <w:t xml:space="preserve"> Upgrade Mobile as Primary Service and IMT identification</w:t>
      </w:r>
    </w:p>
    <w:p w:rsidR="005B7A5B" w:rsidRPr="005B7A5B" w:rsidRDefault="005B7A5B" w:rsidP="005B7A5B">
      <w:pPr>
        <w:spacing w:before="120" w:after="120"/>
        <w:jc w:val="both"/>
        <w:rPr>
          <w:lang w:val="en-GB"/>
        </w:rPr>
      </w:pPr>
      <w:r w:rsidRPr="005B7A5B">
        <w:rPr>
          <w:lang w:val="en-GB"/>
        </w:rPr>
        <w:t xml:space="preserve">(c)    42.5 – 43.5 </w:t>
      </w:r>
      <w:proofErr w:type="gramStart"/>
      <w:r w:rsidRPr="005B7A5B">
        <w:rPr>
          <w:lang w:val="en-GB"/>
        </w:rPr>
        <w:t>GHz  :</w:t>
      </w:r>
      <w:proofErr w:type="gramEnd"/>
      <w:r w:rsidRPr="005B7A5B">
        <w:rPr>
          <w:lang w:val="en-GB"/>
        </w:rPr>
        <w:t xml:space="preserve"> IMT identification</w:t>
      </w:r>
    </w:p>
    <w:p w:rsidR="00BB5EA5" w:rsidRPr="00DF5A96" w:rsidRDefault="00BB5EA5" w:rsidP="00DF5A96">
      <w:pPr>
        <w:pStyle w:val="ListParagraph"/>
        <w:numPr>
          <w:ilvl w:val="0"/>
          <w:numId w:val="30"/>
        </w:numPr>
        <w:tabs>
          <w:tab w:val="left" w:pos="1134"/>
          <w:tab w:val="left" w:pos="2268"/>
        </w:tabs>
        <w:spacing w:before="240" w:after="240"/>
        <w:ind w:hanging="720"/>
        <w:jc w:val="both"/>
        <w:rPr>
          <w:b/>
        </w:rPr>
      </w:pPr>
      <w:r w:rsidRPr="00DF5A96">
        <w:rPr>
          <w:b/>
        </w:rPr>
        <w:t>Positions for CPM Text</w:t>
      </w:r>
    </w:p>
    <w:p w:rsidR="00BB5EA5" w:rsidRDefault="006D7E46" w:rsidP="0081259D">
      <w:pPr>
        <w:spacing w:beforeLines="50" w:before="120" w:afterLines="50" w:after="120"/>
        <w:jc w:val="both"/>
        <w:rPr>
          <w:rFonts w:eastAsia="SimSun"/>
          <w:b/>
          <w:lang w:val="en-GB"/>
        </w:rPr>
      </w:pPr>
      <w:r>
        <w:rPr>
          <w:rFonts w:eastAsia="SimSun"/>
          <w:b/>
          <w:lang w:val="en-GB"/>
        </w:rPr>
        <w:t>3.1</w:t>
      </w:r>
      <w:r>
        <w:rPr>
          <w:rFonts w:eastAsia="SimSun"/>
          <w:b/>
          <w:lang w:val="en-GB"/>
        </w:rPr>
        <w:tab/>
        <w:t xml:space="preserve">26 GHz </w:t>
      </w:r>
      <w:r w:rsidR="00BB5EA5">
        <w:rPr>
          <w:rFonts w:eastAsia="SimSun"/>
          <w:b/>
          <w:lang w:val="en-GB"/>
        </w:rPr>
        <w:t xml:space="preserve">(24.25-27.5 GHz) </w:t>
      </w:r>
    </w:p>
    <w:p w:rsidR="00BB5EA5" w:rsidRDefault="00763BAE" w:rsidP="00BB5EA5">
      <w:pPr>
        <w:spacing w:before="120" w:after="120"/>
        <w:rPr>
          <w:b/>
          <w:lang w:val="en-GB"/>
        </w:rPr>
      </w:pPr>
      <w:r w:rsidRPr="00A2252D">
        <w:rPr>
          <w:b/>
          <w:lang w:val="en-GB"/>
        </w:rPr>
        <w:t>India</w:t>
      </w:r>
      <w:r w:rsidR="00BB5EA5" w:rsidRPr="00A2252D">
        <w:rPr>
          <w:b/>
          <w:lang w:val="en-GB"/>
        </w:rPr>
        <w:t xml:space="preserve"> supports a new IMT footnote for the 26 GHz range such as: </w:t>
      </w:r>
    </w:p>
    <w:p w:rsidR="00BB5EA5" w:rsidRDefault="00BB5EA5" w:rsidP="008423A0">
      <w:pPr>
        <w:spacing w:before="120" w:after="120"/>
        <w:jc w:val="both"/>
        <w:rPr>
          <w:lang w:val="en-GB"/>
        </w:rPr>
      </w:pPr>
      <w:r>
        <w:rPr>
          <w:b/>
          <w:lang w:val="en-GB"/>
        </w:rPr>
        <w:t>5.A</w:t>
      </w:r>
      <w:r w:rsidR="003F77B9">
        <w:rPr>
          <w:b/>
          <w:lang w:val="en-GB"/>
        </w:rPr>
        <w:t>.</w:t>
      </w:r>
      <w:r>
        <w:rPr>
          <w:b/>
          <w:lang w:val="en-GB"/>
        </w:rPr>
        <w:t>113b</w:t>
      </w:r>
      <w:r>
        <w:rPr>
          <w:b/>
          <w:lang w:val="en-GB"/>
        </w:rPr>
        <w:tab/>
      </w:r>
      <w:r>
        <w:rPr>
          <w:lang w:val="en-GB"/>
        </w:rPr>
        <w:t xml:space="preserve">The frequency band 24.25-27.5 GHz is identified for use by administrations wishing to implement the terrestrial component of International Mobile Telecommunications (IMT). This identification does not preclude the use of this frequency band by any application of the services to which they are allocated and does not establish priority in the Radio Regulations. </w:t>
      </w:r>
      <w:r>
        <w:rPr>
          <w:bCs/>
          <w:lang w:val="en-GB"/>
        </w:rPr>
        <w:t xml:space="preserve">Resolution </w:t>
      </w:r>
      <w:r>
        <w:rPr>
          <w:b/>
          <w:bCs/>
          <w:lang w:val="en-GB"/>
        </w:rPr>
        <w:t>750 (Rev.WRC-19)</w:t>
      </w:r>
      <w:r>
        <w:rPr>
          <w:lang w:val="en-GB"/>
        </w:rPr>
        <w:t xml:space="preserve"> </w:t>
      </w:r>
      <w:r>
        <w:rPr>
          <w:bCs/>
          <w:lang w:val="en-GB"/>
        </w:rPr>
        <w:t>applies</w:t>
      </w:r>
      <w:r w:rsidR="003F77B9">
        <w:rPr>
          <w:lang w:val="en-GB"/>
        </w:rPr>
        <w:t xml:space="preserve">. </w:t>
      </w:r>
      <w:r>
        <w:rPr>
          <w:lang w:val="en-GB"/>
        </w:rPr>
        <w:t>(WRC</w:t>
      </w:r>
      <w:r>
        <w:rPr>
          <w:lang w:val="en-GB"/>
        </w:rPr>
        <w:noBreakHyphen/>
        <w:t>19)</w:t>
      </w:r>
    </w:p>
    <w:p w:rsidR="00763FE0" w:rsidRPr="00A2252D" w:rsidRDefault="00763FE0" w:rsidP="008423A0">
      <w:pPr>
        <w:spacing w:before="120" w:after="120"/>
        <w:jc w:val="both"/>
        <w:rPr>
          <w:b/>
          <w:lang w:val="en-GB"/>
        </w:rPr>
      </w:pPr>
      <w:r w:rsidRPr="00A2252D">
        <w:rPr>
          <w:b/>
          <w:lang w:val="en-GB"/>
        </w:rPr>
        <w:t>India supports the following methods and conditions for the band 24.25-27.5 GHz:</w:t>
      </w:r>
    </w:p>
    <w:p w:rsidR="00763FE0" w:rsidRDefault="00763FE0" w:rsidP="00A2252D">
      <w:pPr>
        <w:numPr>
          <w:ilvl w:val="0"/>
          <w:numId w:val="31"/>
        </w:numPr>
        <w:spacing w:before="120" w:after="120"/>
        <w:contextualSpacing/>
        <w:jc w:val="both"/>
        <w:rPr>
          <w:lang w:val="en-GB"/>
        </w:rPr>
      </w:pPr>
      <w:r>
        <w:rPr>
          <w:lang w:val="en-GB"/>
        </w:rPr>
        <w:t xml:space="preserve">Method A2, Alternative 2: identification to terrestrial component of IMT in 24.25-27.5 GHz (in the mobile service), including allocation of the band 24.25-25.25 GHz to the mobile service (except aeronautical mobile) on a primary basis in Regions 1 and 2. </w:t>
      </w:r>
    </w:p>
    <w:p w:rsidR="00A2252D" w:rsidRDefault="00A2252D" w:rsidP="00A2252D">
      <w:pPr>
        <w:spacing w:before="120" w:after="120"/>
        <w:ind w:left="775"/>
        <w:contextualSpacing/>
        <w:jc w:val="both"/>
        <w:rPr>
          <w:lang w:val="en-GB"/>
        </w:rPr>
      </w:pPr>
    </w:p>
    <w:p w:rsidR="00763FE0" w:rsidRDefault="00763FE0" w:rsidP="00A2252D">
      <w:pPr>
        <w:numPr>
          <w:ilvl w:val="0"/>
          <w:numId w:val="31"/>
        </w:numPr>
        <w:spacing w:before="120" w:after="120"/>
        <w:contextualSpacing/>
        <w:jc w:val="both"/>
        <w:rPr>
          <w:lang w:val="en-GB"/>
        </w:rPr>
      </w:pPr>
      <w:r>
        <w:rPr>
          <w:lang w:val="en-GB"/>
        </w:rPr>
        <w:t>Condition A2a: Option 1 – Resolution 750 (Rev. WRC-19) in Table 1-1.</w:t>
      </w:r>
    </w:p>
    <w:p w:rsidR="00763FE0" w:rsidRPr="00A2252D" w:rsidRDefault="00763FE0" w:rsidP="00A2252D">
      <w:pPr>
        <w:spacing w:before="120" w:after="120"/>
        <w:ind w:left="709"/>
        <w:jc w:val="both"/>
        <w:rPr>
          <w:lang w:val="en-GB"/>
        </w:rPr>
      </w:pPr>
      <w:r w:rsidRPr="00A2252D">
        <w:rPr>
          <w:lang w:val="en-GB"/>
        </w:rPr>
        <w:t xml:space="preserve">Resolution 750 (Rev. WRC-15) Table 1-1 to be updated with the unwanted emission levels as below which are adequate to ensure the compatibility with EESS (passive) in the adjacent band at 23.6-24 GHz. </w:t>
      </w:r>
    </w:p>
    <w:p w:rsidR="00FA6793" w:rsidRPr="0078791B" w:rsidRDefault="00FA6793" w:rsidP="00FA6793">
      <w:pPr>
        <w:numPr>
          <w:ilvl w:val="0"/>
          <w:numId w:val="27"/>
        </w:numPr>
        <w:spacing w:line="256" w:lineRule="auto"/>
        <w:ind w:left="714" w:hanging="357"/>
        <w:contextualSpacing/>
        <w:jc w:val="both"/>
        <w:rPr>
          <w:b/>
          <w:bCs/>
          <w:lang w:val="en-GB"/>
        </w:rPr>
      </w:pPr>
      <w:r w:rsidRPr="0078791B">
        <w:rPr>
          <w:b/>
          <w:bCs/>
          <w:lang w:val="en-GB"/>
        </w:rPr>
        <w:t xml:space="preserve">BS: Better than -28 dB(W/200 MHz) </w:t>
      </w:r>
    </w:p>
    <w:p w:rsidR="00FA6793" w:rsidRPr="0078791B" w:rsidRDefault="00FA6793" w:rsidP="00FA6793">
      <w:pPr>
        <w:numPr>
          <w:ilvl w:val="0"/>
          <w:numId w:val="27"/>
        </w:numPr>
        <w:spacing w:line="256" w:lineRule="auto"/>
        <w:ind w:left="714" w:hanging="357"/>
        <w:contextualSpacing/>
        <w:jc w:val="both"/>
        <w:rPr>
          <w:b/>
          <w:bCs/>
          <w:lang w:val="en-GB"/>
        </w:rPr>
      </w:pPr>
      <w:r w:rsidRPr="0078791B">
        <w:rPr>
          <w:b/>
          <w:bCs/>
          <w:lang w:val="en-GB"/>
        </w:rPr>
        <w:t>UE: Better than -24 dB(W/200 MHz)</w:t>
      </w:r>
    </w:p>
    <w:p w:rsidR="00BB5EA5" w:rsidRDefault="00763FE0" w:rsidP="0081259D">
      <w:pPr>
        <w:spacing w:beforeLines="50" w:before="120" w:afterLines="50" w:after="120"/>
        <w:jc w:val="both"/>
        <w:rPr>
          <w:lang w:val="en-GB"/>
        </w:rPr>
      </w:pPr>
      <w:r>
        <w:rPr>
          <w:lang w:val="en-GB"/>
        </w:rPr>
        <w:t>For all other conditions, no action is necessary due to results of sharing and compatibility studies.</w:t>
      </w:r>
    </w:p>
    <w:p w:rsidR="0078791B" w:rsidRDefault="0078791B" w:rsidP="0081259D">
      <w:pPr>
        <w:spacing w:beforeLines="50" w:before="120" w:afterLines="50" w:after="120"/>
        <w:jc w:val="both"/>
        <w:rPr>
          <w:lang w:val="en-GB"/>
        </w:rPr>
      </w:pPr>
    </w:p>
    <w:p w:rsidR="0078791B" w:rsidRDefault="0078791B" w:rsidP="0081259D">
      <w:pPr>
        <w:spacing w:beforeLines="50" w:before="120" w:afterLines="50" w:after="120"/>
        <w:jc w:val="both"/>
        <w:rPr>
          <w:rFonts w:eastAsia="SimSun"/>
          <w:b/>
          <w:lang w:val="en-GB"/>
        </w:rPr>
      </w:pPr>
    </w:p>
    <w:p w:rsidR="00BB5EA5" w:rsidRDefault="00BB5EA5" w:rsidP="0081259D">
      <w:pPr>
        <w:spacing w:beforeLines="50" w:before="120" w:afterLines="50" w:after="120"/>
        <w:jc w:val="both"/>
        <w:rPr>
          <w:rFonts w:eastAsia="SimSun"/>
          <w:b/>
          <w:lang w:val="en-GB"/>
        </w:rPr>
      </w:pPr>
      <w:r>
        <w:rPr>
          <w:rFonts w:eastAsia="SimSun"/>
          <w:b/>
          <w:lang w:val="en-GB"/>
        </w:rPr>
        <w:lastRenderedPageBreak/>
        <w:t>3.</w:t>
      </w:r>
      <w:r w:rsidR="006D7E46">
        <w:rPr>
          <w:rFonts w:eastAsia="SimSun"/>
          <w:b/>
          <w:lang w:val="en-GB"/>
        </w:rPr>
        <w:t>2</w:t>
      </w:r>
      <w:r>
        <w:rPr>
          <w:rFonts w:eastAsia="SimSun"/>
          <w:b/>
          <w:lang w:val="en-GB"/>
        </w:rPr>
        <w:tab/>
        <w:t>40 GHz range (37-43.5 GHz)</w:t>
      </w:r>
    </w:p>
    <w:p w:rsidR="00BB5EA5" w:rsidRDefault="00BB5EA5" w:rsidP="00B90659">
      <w:pPr>
        <w:spacing w:before="120" w:after="120"/>
        <w:jc w:val="both"/>
        <w:rPr>
          <w:lang w:val="en-GB"/>
        </w:rPr>
      </w:pPr>
      <w:r>
        <w:rPr>
          <w:lang w:val="en-GB"/>
        </w:rPr>
        <w:t xml:space="preserve">While there are three sub-segments to the 40 GHz range, this should be treated in its entirety as a wider tuning range in order to support global harmonisation. In order to create a harmonised global band, a single footnote covering the frequency range should be created which covers the full range at 37-43.5 GHz should thus be supported. </w:t>
      </w:r>
    </w:p>
    <w:p w:rsidR="00BB5EA5" w:rsidRPr="00B90659" w:rsidRDefault="00763BAE" w:rsidP="00B90659">
      <w:pPr>
        <w:spacing w:before="120" w:after="120"/>
        <w:jc w:val="both"/>
        <w:rPr>
          <w:b/>
          <w:lang w:val="en-GB"/>
        </w:rPr>
      </w:pPr>
      <w:r w:rsidRPr="00B90659">
        <w:rPr>
          <w:b/>
          <w:lang w:val="en-GB"/>
        </w:rPr>
        <w:t>India</w:t>
      </w:r>
      <w:r w:rsidR="00BB5EA5" w:rsidRPr="00B90659">
        <w:rPr>
          <w:b/>
          <w:lang w:val="en-GB"/>
        </w:rPr>
        <w:t xml:space="preserve"> supports creation of a new IMT footnote for the 40 GHz range along the following lines:</w:t>
      </w:r>
    </w:p>
    <w:p w:rsidR="00BB5EA5" w:rsidRDefault="00BB5EA5" w:rsidP="00B90659">
      <w:pPr>
        <w:spacing w:before="120" w:after="120"/>
        <w:jc w:val="both"/>
        <w:rPr>
          <w:rFonts w:eastAsia="Times New Roman"/>
          <w:color w:val="000000"/>
          <w:lang w:val="en-GB"/>
        </w:rPr>
      </w:pPr>
      <w:r>
        <w:rPr>
          <w:rFonts w:eastAsia="Times New Roman"/>
          <w:b/>
          <w:bCs/>
          <w:color w:val="000000"/>
          <w:lang w:val="en-GB"/>
        </w:rPr>
        <w:t>5.B</w:t>
      </w:r>
      <w:r w:rsidR="003F77B9">
        <w:rPr>
          <w:rFonts w:eastAsia="Times New Roman"/>
          <w:b/>
          <w:bCs/>
          <w:color w:val="000000"/>
          <w:lang w:val="en-GB"/>
        </w:rPr>
        <w:t>.</w:t>
      </w:r>
      <w:r>
        <w:rPr>
          <w:rFonts w:eastAsia="Times New Roman"/>
          <w:b/>
          <w:bCs/>
          <w:color w:val="000000"/>
          <w:lang w:val="en-GB"/>
        </w:rPr>
        <w:t>113X</w:t>
      </w:r>
      <w:r w:rsidR="003F77B9">
        <w:rPr>
          <w:rFonts w:eastAsia="Times New Roman"/>
          <w:b/>
          <w:bCs/>
          <w:color w:val="000000"/>
          <w:lang w:val="en-GB"/>
        </w:rPr>
        <w:tab/>
        <w:t>T</w:t>
      </w:r>
      <w:r>
        <w:rPr>
          <w:rFonts w:eastAsia="Times New Roman"/>
          <w:color w:val="000000"/>
          <w:lang w:val="en-GB"/>
        </w:rPr>
        <w:t>he frequency band 37-43.5 GHz is identified for use by administrations wishing to implement the terrestrial component of International Mobile Telecommunications (IMT). This identification does not preclude the use of this frequency band by any application of the services to which they are allocated and does not establish priority in the Radio Regulations.   (WRC</w:t>
      </w:r>
      <w:r>
        <w:rPr>
          <w:rFonts w:eastAsia="Times New Roman"/>
          <w:color w:val="000000"/>
          <w:lang w:val="en-GB"/>
        </w:rPr>
        <w:noBreakHyphen/>
        <w:t>19)</w:t>
      </w:r>
    </w:p>
    <w:p w:rsidR="003F77B9" w:rsidRDefault="003F77B9" w:rsidP="0081259D">
      <w:pPr>
        <w:spacing w:beforeLines="50" w:before="120" w:afterLines="50" w:after="120"/>
        <w:jc w:val="both"/>
        <w:rPr>
          <w:rFonts w:eastAsia="SimSun"/>
          <w:b/>
          <w:lang w:val="en-GB"/>
        </w:rPr>
      </w:pPr>
      <w:r>
        <w:rPr>
          <w:rFonts w:eastAsia="SimSun"/>
          <w:b/>
          <w:lang w:val="en-GB"/>
        </w:rPr>
        <w:t>3.3</w:t>
      </w:r>
      <w:r w:rsidR="00BB5EA5">
        <w:rPr>
          <w:rFonts w:eastAsia="SimSun"/>
          <w:b/>
          <w:lang w:val="en-GB"/>
        </w:rPr>
        <w:tab/>
      </w:r>
      <w:r>
        <w:rPr>
          <w:rFonts w:eastAsia="SimSun"/>
          <w:b/>
          <w:lang w:val="en-GB"/>
        </w:rPr>
        <w:t>37-43.5 GHz</w:t>
      </w:r>
    </w:p>
    <w:p w:rsidR="00BB5EA5" w:rsidRDefault="003F77B9" w:rsidP="0081259D">
      <w:pPr>
        <w:spacing w:beforeLines="50" w:before="120" w:afterLines="50" w:after="120"/>
        <w:jc w:val="both"/>
        <w:rPr>
          <w:rFonts w:eastAsia="SimSun"/>
          <w:b/>
          <w:lang w:val="en-GB"/>
        </w:rPr>
      </w:pPr>
      <w:r>
        <w:rPr>
          <w:rFonts w:eastAsia="SimSun"/>
          <w:b/>
          <w:lang w:val="en-GB"/>
        </w:rPr>
        <w:t>3.3.1</w:t>
      </w:r>
      <w:r>
        <w:rPr>
          <w:rFonts w:eastAsia="SimSun"/>
          <w:b/>
          <w:lang w:val="en-GB"/>
        </w:rPr>
        <w:tab/>
      </w:r>
      <w:r w:rsidR="00BB5EA5">
        <w:rPr>
          <w:rFonts w:eastAsia="SimSun"/>
          <w:b/>
          <w:lang w:val="en-GB"/>
        </w:rPr>
        <w:t xml:space="preserve">37-40.5 GHz </w:t>
      </w:r>
    </w:p>
    <w:p w:rsidR="00BB5EA5" w:rsidRPr="00B90659" w:rsidRDefault="00763BAE" w:rsidP="00BB5EA5">
      <w:pPr>
        <w:spacing w:before="120" w:after="120"/>
        <w:rPr>
          <w:b/>
          <w:lang w:val="en-GB"/>
        </w:rPr>
      </w:pPr>
      <w:r w:rsidRPr="00B90659">
        <w:rPr>
          <w:b/>
          <w:lang w:val="en-GB"/>
        </w:rPr>
        <w:t>India</w:t>
      </w:r>
      <w:r w:rsidR="00BB5EA5" w:rsidRPr="00B90659">
        <w:rPr>
          <w:b/>
          <w:lang w:val="en-GB"/>
        </w:rPr>
        <w:t xml:space="preserve"> supports:</w:t>
      </w:r>
    </w:p>
    <w:p w:rsidR="00763FE0" w:rsidRPr="00763FE0" w:rsidRDefault="00BB5EA5" w:rsidP="00763FE0">
      <w:pPr>
        <w:numPr>
          <w:ilvl w:val="0"/>
          <w:numId w:val="16"/>
        </w:numPr>
        <w:spacing w:before="120" w:after="120"/>
        <w:contextualSpacing/>
        <w:jc w:val="both"/>
        <w:rPr>
          <w:lang w:val="en-GB"/>
        </w:rPr>
      </w:pPr>
      <w:r w:rsidRPr="00763FE0">
        <w:rPr>
          <w:lang w:val="en-GB"/>
        </w:rPr>
        <w:t>Method C2, Alternative 2: identification to terrestrial component of IMT in 37-40.5 GHz (in the mobile service)</w:t>
      </w:r>
      <w:r w:rsidR="00763FE0">
        <w:rPr>
          <w:lang w:val="en-GB"/>
        </w:rPr>
        <w:t xml:space="preserve">. </w:t>
      </w:r>
      <w:r w:rsidR="00763FE0" w:rsidRPr="00763FE0">
        <w:rPr>
          <w:lang w:val="en-GB"/>
        </w:rPr>
        <w:t>For the conditions associated with this band, no action is necessary due to results of sharing and compatibility studies.</w:t>
      </w:r>
    </w:p>
    <w:p w:rsidR="00BB5EA5" w:rsidRDefault="00BB5EA5" w:rsidP="00BB5EA5">
      <w:pPr>
        <w:spacing w:before="120" w:after="120"/>
        <w:ind w:left="775"/>
        <w:contextualSpacing/>
        <w:jc w:val="both"/>
        <w:rPr>
          <w:sz w:val="10"/>
          <w:szCs w:val="10"/>
          <w:lang w:val="en-GB"/>
        </w:rPr>
      </w:pPr>
    </w:p>
    <w:p w:rsidR="00BB5EA5" w:rsidRDefault="00BB5EA5" w:rsidP="0081259D">
      <w:pPr>
        <w:spacing w:beforeLines="50" w:before="120" w:afterLines="50" w:after="120"/>
        <w:jc w:val="both"/>
        <w:rPr>
          <w:rFonts w:eastAsia="SimSun"/>
          <w:b/>
          <w:lang w:val="en-GB"/>
        </w:rPr>
      </w:pPr>
    </w:p>
    <w:p w:rsidR="00B90659" w:rsidRDefault="00B90659" w:rsidP="0081259D">
      <w:pPr>
        <w:spacing w:beforeLines="50" w:before="120" w:afterLines="50" w:after="120"/>
        <w:jc w:val="both"/>
        <w:rPr>
          <w:rFonts w:eastAsia="SimSun"/>
          <w:b/>
          <w:lang w:val="en-GB"/>
        </w:rPr>
      </w:pPr>
    </w:p>
    <w:p w:rsidR="00BB5EA5" w:rsidRDefault="00BB5EA5" w:rsidP="0081259D">
      <w:pPr>
        <w:spacing w:beforeLines="50" w:before="120" w:afterLines="50" w:after="120"/>
        <w:jc w:val="both"/>
        <w:rPr>
          <w:rFonts w:eastAsia="SimSun"/>
          <w:b/>
          <w:lang w:val="en-GB"/>
        </w:rPr>
      </w:pPr>
      <w:r>
        <w:rPr>
          <w:rFonts w:eastAsia="SimSun"/>
          <w:b/>
          <w:lang w:val="en-GB"/>
        </w:rPr>
        <w:t>3.3.2</w:t>
      </w:r>
      <w:r>
        <w:rPr>
          <w:rFonts w:eastAsia="SimSun"/>
          <w:b/>
          <w:lang w:val="en-GB"/>
        </w:rPr>
        <w:tab/>
        <w:t>40.5-42.5 GHz</w:t>
      </w:r>
    </w:p>
    <w:p w:rsidR="00BB5EA5" w:rsidRPr="00B90659" w:rsidRDefault="00763BAE" w:rsidP="00BB5EA5">
      <w:pPr>
        <w:spacing w:before="120" w:after="120"/>
        <w:rPr>
          <w:b/>
          <w:lang w:val="en-GB"/>
        </w:rPr>
      </w:pPr>
      <w:r w:rsidRPr="00B90659">
        <w:rPr>
          <w:b/>
          <w:lang w:val="en-GB"/>
        </w:rPr>
        <w:t>India</w:t>
      </w:r>
      <w:r w:rsidR="00BB5EA5" w:rsidRPr="00B90659">
        <w:rPr>
          <w:b/>
          <w:lang w:val="en-GB"/>
        </w:rPr>
        <w:t xml:space="preserve"> supports:</w:t>
      </w:r>
    </w:p>
    <w:p w:rsidR="00BB5EA5" w:rsidRDefault="00BB5EA5" w:rsidP="00BB5EA5">
      <w:pPr>
        <w:numPr>
          <w:ilvl w:val="0"/>
          <w:numId w:val="17"/>
        </w:numPr>
        <w:spacing w:before="120" w:after="120"/>
        <w:contextualSpacing/>
        <w:jc w:val="both"/>
        <w:rPr>
          <w:lang w:val="en-GB"/>
        </w:rPr>
      </w:pPr>
      <w:r>
        <w:rPr>
          <w:lang w:val="en-GB"/>
        </w:rPr>
        <w:t xml:space="preserve">Method D2, Alternative 2: identification to terrestrial component of IMT in 40.5-42.5 GHz (in the mobile service), including upgrade of the existing secondary allocation to the MS in the frequency band 40.5-42.5 GHz to a primary allocation. </w:t>
      </w:r>
      <w:r w:rsidR="00763FE0">
        <w:rPr>
          <w:lang w:val="en-GB"/>
        </w:rPr>
        <w:t>For the conditions associated with this band, no action is necessary due to results of sharing and compatibility studies.</w:t>
      </w:r>
    </w:p>
    <w:p w:rsidR="00BB5EA5" w:rsidRDefault="00BB5EA5" w:rsidP="0081259D">
      <w:pPr>
        <w:spacing w:beforeLines="50" w:before="120" w:afterLines="50" w:after="120"/>
        <w:jc w:val="both"/>
        <w:rPr>
          <w:rFonts w:eastAsia="SimSun"/>
          <w:b/>
          <w:lang w:val="en-GB"/>
        </w:rPr>
      </w:pPr>
    </w:p>
    <w:p w:rsidR="00BB5EA5" w:rsidRDefault="00BB5EA5" w:rsidP="0081259D">
      <w:pPr>
        <w:spacing w:beforeLines="50" w:before="120" w:afterLines="50" w:after="120"/>
        <w:jc w:val="both"/>
        <w:rPr>
          <w:rFonts w:eastAsia="SimSun"/>
          <w:b/>
          <w:lang w:val="en-GB"/>
        </w:rPr>
      </w:pPr>
      <w:r>
        <w:rPr>
          <w:rFonts w:eastAsia="SimSun"/>
          <w:b/>
          <w:lang w:val="en-GB"/>
        </w:rPr>
        <w:t>3.3.3</w:t>
      </w:r>
      <w:r>
        <w:rPr>
          <w:rFonts w:eastAsia="SimSun"/>
          <w:b/>
          <w:lang w:val="en-GB"/>
        </w:rPr>
        <w:tab/>
        <w:t>42.5-43.5 GHz</w:t>
      </w:r>
    </w:p>
    <w:p w:rsidR="00BB5EA5" w:rsidRPr="00B90659" w:rsidRDefault="00763BAE" w:rsidP="00BB5EA5">
      <w:pPr>
        <w:spacing w:before="120" w:after="120"/>
        <w:rPr>
          <w:b/>
          <w:lang w:val="en-GB"/>
        </w:rPr>
      </w:pPr>
      <w:r w:rsidRPr="00B90659">
        <w:rPr>
          <w:b/>
          <w:lang w:val="en-GB"/>
        </w:rPr>
        <w:t>India</w:t>
      </w:r>
      <w:r w:rsidR="00BB5EA5" w:rsidRPr="00B90659">
        <w:rPr>
          <w:b/>
          <w:lang w:val="en-GB"/>
        </w:rPr>
        <w:t xml:space="preserve"> supports:</w:t>
      </w:r>
    </w:p>
    <w:p w:rsidR="00763FE0" w:rsidRPr="00763FE0" w:rsidRDefault="00BB5EA5" w:rsidP="00763FE0">
      <w:pPr>
        <w:numPr>
          <w:ilvl w:val="0"/>
          <w:numId w:val="17"/>
        </w:numPr>
        <w:spacing w:before="120" w:after="120"/>
        <w:contextualSpacing/>
        <w:jc w:val="both"/>
        <w:rPr>
          <w:lang w:val="en-GB"/>
        </w:rPr>
      </w:pPr>
      <w:r>
        <w:rPr>
          <w:lang w:val="en-GB"/>
        </w:rPr>
        <w:t>Method E2, Alternative 2: identification to terrestrial component of IMT in 42.5-43.5 GHz (in the mobile service)</w:t>
      </w:r>
      <w:r w:rsidR="00763FE0">
        <w:rPr>
          <w:lang w:val="en-GB"/>
        </w:rPr>
        <w:t>. For the conditions associated with this band, no action is necessary due to results of sharing and compatibility studies.</w:t>
      </w:r>
    </w:p>
    <w:p w:rsidR="00BB5EA5" w:rsidRDefault="00BB5EA5" w:rsidP="00BB5EA5">
      <w:pPr>
        <w:spacing w:before="120" w:after="120"/>
        <w:ind w:left="720"/>
        <w:contextualSpacing/>
        <w:jc w:val="both"/>
        <w:rPr>
          <w:sz w:val="10"/>
          <w:szCs w:val="10"/>
          <w:lang w:val="en-GB"/>
        </w:rPr>
      </w:pPr>
    </w:p>
    <w:p w:rsidR="00763FE0" w:rsidRDefault="00763FE0" w:rsidP="0081259D">
      <w:pPr>
        <w:spacing w:beforeLines="50" w:before="120" w:afterLines="50" w:after="120"/>
        <w:jc w:val="both"/>
        <w:rPr>
          <w:rFonts w:eastAsia="SimSun"/>
          <w:b/>
          <w:lang w:val="en-GB"/>
        </w:rPr>
      </w:pPr>
    </w:p>
    <w:p w:rsidR="00763FE0" w:rsidRDefault="00763FE0" w:rsidP="0081259D">
      <w:pPr>
        <w:spacing w:beforeLines="50" w:before="120" w:afterLines="50" w:after="120"/>
        <w:jc w:val="both"/>
        <w:rPr>
          <w:rFonts w:eastAsia="SimSun"/>
          <w:b/>
          <w:lang w:val="en-GB"/>
        </w:rPr>
      </w:pPr>
      <w:r>
        <w:rPr>
          <w:rFonts w:eastAsia="SimSun"/>
          <w:b/>
          <w:lang w:val="en-GB"/>
        </w:rPr>
        <w:t>3.4</w:t>
      </w:r>
      <w:r>
        <w:rPr>
          <w:rFonts w:eastAsia="SimSun"/>
          <w:b/>
          <w:lang w:val="en-GB"/>
        </w:rPr>
        <w:tab/>
        <w:t>50 GHz range (45.5-52.6 GHz)</w:t>
      </w:r>
    </w:p>
    <w:p w:rsidR="00763FE0" w:rsidRDefault="00763FE0" w:rsidP="0081259D">
      <w:pPr>
        <w:spacing w:beforeLines="50" w:before="120" w:afterLines="50" w:after="120"/>
        <w:jc w:val="both"/>
        <w:rPr>
          <w:rFonts w:eastAsia="SimSun"/>
          <w:b/>
          <w:lang w:val="en-GB"/>
        </w:rPr>
      </w:pPr>
      <w:r>
        <w:rPr>
          <w:rFonts w:eastAsia="SimSun"/>
          <w:b/>
          <w:lang w:val="en-GB"/>
        </w:rPr>
        <w:t>3.4.1</w:t>
      </w:r>
      <w:r>
        <w:rPr>
          <w:rFonts w:eastAsia="SimSun"/>
          <w:b/>
          <w:lang w:val="en-GB"/>
        </w:rPr>
        <w:tab/>
        <w:t xml:space="preserve">45.5-47 GHz </w:t>
      </w:r>
    </w:p>
    <w:p w:rsidR="00763FE0" w:rsidRPr="00B90659" w:rsidRDefault="00763FE0" w:rsidP="00B90659">
      <w:pPr>
        <w:spacing w:before="120" w:after="120"/>
        <w:jc w:val="both"/>
        <w:rPr>
          <w:b/>
          <w:lang w:val="en-GB"/>
        </w:rPr>
      </w:pPr>
      <w:r w:rsidRPr="00B90659">
        <w:rPr>
          <w:b/>
          <w:lang w:val="en-GB"/>
        </w:rPr>
        <w:t>India supports:</w:t>
      </w:r>
    </w:p>
    <w:p w:rsidR="00763FE0" w:rsidRDefault="00763FE0" w:rsidP="00B90659">
      <w:pPr>
        <w:numPr>
          <w:ilvl w:val="0"/>
          <w:numId w:val="29"/>
        </w:numPr>
        <w:spacing w:before="120" w:after="120"/>
        <w:contextualSpacing/>
        <w:jc w:val="both"/>
        <w:rPr>
          <w:lang w:val="en-GB"/>
        </w:rPr>
      </w:pPr>
      <w:r>
        <w:rPr>
          <w:lang w:val="en-GB"/>
        </w:rPr>
        <w:t>Method F2, Alternative 2: identification to terrestrial component of IMT in 45.5-47 GHz (in the mobile service)</w:t>
      </w:r>
      <w:r w:rsidR="00AB1142">
        <w:rPr>
          <w:lang w:val="en-GB"/>
        </w:rPr>
        <w:t>.</w:t>
      </w:r>
    </w:p>
    <w:p w:rsidR="00763FE0" w:rsidRDefault="00763FE0" w:rsidP="00B90659">
      <w:pPr>
        <w:spacing w:before="120" w:after="120"/>
        <w:ind w:left="360"/>
        <w:jc w:val="both"/>
        <w:rPr>
          <w:lang w:val="en-GB"/>
        </w:rPr>
      </w:pPr>
      <w:r>
        <w:rPr>
          <w:lang w:val="en-GB"/>
        </w:rPr>
        <w:t xml:space="preserve">While no studies were done yet for this band, it is noted that the allocations in this band are same as in the band 66-71 GHz and the results for this should be applicable for the sharing studies with ISS and MSS. </w:t>
      </w:r>
    </w:p>
    <w:p w:rsidR="00763FE0" w:rsidRDefault="00763FE0" w:rsidP="00B90659">
      <w:pPr>
        <w:spacing w:before="120" w:after="120"/>
        <w:ind w:left="360"/>
        <w:jc w:val="both"/>
        <w:rPr>
          <w:lang w:val="en-GB"/>
        </w:rPr>
      </w:pPr>
      <w:r>
        <w:rPr>
          <w:lang w:val="en-GB"/>
        </w:rPr>
        <w:t>In addition, the following is applied:</w:t>
      </w:r>
    </w:p>
    <w:p w:rsidR="00763FE0" w:rsidRDefault="00763FE0" w:rsidP="00B90659">
      <w:pPr>
        <w:numPr>
          <w:ilvl w:val="1"/>
          <w:numId w:val="29"/>
        </w:numPr>
        <w:spacing w:before="120" w:after="120"/>
        <w:contextualSpacing/>
        <w:jc w:val="both"/>
        <w:rPr>
          <w:lang w:val="en-GB"/>
        </w:rPr>
      </w:pPr>
      <w:r>
        <w:rPr>
          <w:lang w:val="en-GB"/>
        </w:rPr>
        <w:lastRenderedPageBreak/>
        <w:t>Condition F2a: TBD</w:t>
      </w:r>
      <w:r w:rsidR="00AB1142">
        <w:rPr>
          <w:lang w:val="en-GB"/>
        </w:rPr>
        <w:t xml:space="preserve"> as no studies available</w:t>
      </w:r>
    </w:p>
    <w:p w:rsidR="00763FE0" w:rsidRDefault="00763FE0" w:rsidP="00B90659">
      <w:pPr>
        <w:numPr>
          <w:ilvl w:val="1"/>
          <w:numId w:val="29"/>
        </w:numPr>
        <w:spacing w:before="120" w:after="120"/>
        <w:contextualSpacing/>
        <w:jc w:val="both"/>
        <w:rPr>
          <w:lang w:val="en-GB"/>
        </w:rPr>
      </w:pPr>
      <w:r>
        <w:rPr>
          <w:lang w:val="en-GB"/>
        </w:rPr>
        <w:t>Condition F2b: Option 3 – no condition necessary</w:t>
      </w:r>
    </w:p>
    <w:p w:rsidR="00763FE0" w:rsidRDefault="00763FE0" w:rsidP="00763FE0">
      <w:pPr>
        <w:spacing w:before="120" w:after="120"/>
        <w:ind w:left="720"/>
        <w:contextualSpacing/>
        <w:jc w:val="both"/>
        <w:rPr>
          <w:sz w:val="10"/>
          <w:szCs w:val="10"/>
          <w:lang w:val="en-GB"/>
        </w:rPr>
      </w:pPr>
    </w:p>
    <w:p w:rsidR="00763FE0" w:rsidRDefault="00763FE0" w:rsidP="00763FE0">
      <w:pPr>
        <w:spacing w:before="120" w:after="120"/>
        <w:rPr>
          <w:b/>
          <w:lang w:val="en-GB"/>
        </w:rPr>
      </w:pPr>
    </w:p>
    <w:p w:rsidR="00763FE0" w:rsidRDefault="00763FE0" w:rsidP="00763FE0">
      <w:pPr>
        <w:spacing w:before="120" w:after="120"/>
        <w:rPr>
          <w:b/>
          <w:lang w:val="en-GB"/>
        </w:rPr>
      </w:pPr>
      <w:r>
        <w:rPr>
          <w:b/>
          <w:lang w:val="en-GB"/>
        </w:rPr>
        <w:t>3.4.2</w:t>
      </w:r>
      <w:r>
        <w:rPr>
          <w:b/>
          <w:lang w:val="en-GB"/>
        </w:rPr>
        <w:tab/>
        <w:t xml:space="preserve">47-47.2 GHz </w:t>
      </w:r>
    </w:p>
    <w:p w:rsidR="00763FE0" w:rsidRPr="00B90659" w:rsidRDefault="00763FE0" w:rsidP="00B90659">
      <w:pPr>
        <w:spacing w:before="120" w:after="120"/>
        <w:jc w:val="both"/>
        <w:rPr>
          <w:b/>
          <w:lang w:val="en-GB"/>
        </w:rPr>
      </w:pPr>
      <w:r w:rsidRPr="00B90659">
        <w:rPr>
          <w:b/>
          <w:lang w:val="en-GB"/>
        </w:rPr>
        <w:t>India supports:</w:t>
      </w:r>
    </w:p>
    <w:p w:rsidR="00763FE0" w:rsidRDefault="00763FE0" w:rsidP="00B90659">
      <w:pPr>
        <w:numPr>
          <w:ilvl w:val="0"/>
          <w:numId w:val="29"/>
        </w:numPr>
        <w:spacing w:before="120" w:after="120"/>
        <w:contextualSpacing/>
        <w:jc w:val="both"/>
        <w:rPr>
          <w:lang w:val="en-GB"/>
        </w:rPr>
      </w:pPr>
      <w:r>
        <w:rPr>
          <w:lang w:val="en-GB"/>
        </w:rPr>
        <w:t>Method G2, Alternative 2: identification to terrestrial component of IMT in 47-47.2 GHz (in the mobile service)</w:t>
      </w:r>
    </w:p>
    <w:p w:rsidR="00763FE0" w:rsidRDefault="00763FE0" w:rsidP="00B90659">
      <w:pPr>
        <w:spacing w:before="120" w:after="120"/>
        <w:ind w:firstLine="360"/>
        <w:jc w:val="both"/>
        <w:rPr>
          <w:lang w:val="en-GB"/>
        </w:rPr>
      </w:pPr>
      <w:r>
        <w:rPr>
          <w:lang w:val="en-GB"/>
        </w:rPr>
        <w:t>The following is applied:</w:t>
      </w:r>
    </w:p>
    <w:p w:rsidR="00763FE0" w:rsidRDefault="00763FE0" w:rsidP="00B90659">
      <w:pPr>
        <w:numPr>
          <w:ilvl w:val="1"/>
          <w:numId w:val="29"/>
        </w:numPr>
        <w:spacing w:before="120" w:after="120"/>
        <w:contextualSpacing/>
        <w:jc w:val="both"/>
        <w:rPr>
          <w:lang w:val="en-GB"/>
        </w:rPr>
      </w:pPr>
      <w:r>
        <w:rPr>
          <w:lang w:val="en-GB"/>
        </w:rPr>
        <w:t>Condition G2a: TBD</w:t>
      </w:r>
      <w:r w:rsidR="00AB1142">
        <w:rPr>
          <w:lang w:val="en-GB"/>
        </w:rPr>
        <w:t xml:space="preserve"> as no studies available</w:t>
      </w:r>
    </w:p>
    <w:p w:rsidR="00763FE0" w:rsidRDefault="00763FE0" w:rsidP="00B90659">
      <w:pPr>
        <w:numPr>
          <w:ilvl w:val="1"/>
          <w:numId w:val="29"/>
        </w:numPr>
        <w:spacing w:before="120" w:after="120"/>
        <w:contextualSpacing/>
        <w:jc w:val="both"/>
        <w:rPr>
          <w:lang w:val="en-GB"/>
        </w:rPr>
      </w:pPr>
      <w:r>
        <w:rPr>
          <w:lang w:val="en-GB"/>
        </w:rPr>
        <w:t>Condition G2b: Option 3 – no condition necessary</w:t>
      </w:r>
    </w:p>
    <w:p w:rsidR="00763FE0" w:rsidRDefault="00763FE0" w:rsidP="00B90659">
      <w:pPr>
        <w:spacing w:before="120" w:after="120"/>
        <w:ind w:left="720"/>
        <w:contextualSpacing/>
        <w:jc w:val="both"/>
        <w:rPr>
          <w:sz w:val="10"/>
          <w:szCs w:val="10"/>
          <w:lang w:val="en-GB"/>
        </w:rPr>
      </w:pPr>
    </w:p>
    <w:p w:rsidR="00763FE0" w:rsidRDefault="00763FE0" w:rsidP="00B90659">
      <w:pPr>
        <w:spacing w:before="120" w:after="120"/>
        <w:jc w:val="both"/>
        <w:rPr>
          <w:b/>
          <w:lang w:val="en-GB"/>
        </w:rPr>
      </w:pPr>
    </w:p>
    <w:p w:rsidR="00763FE0" w:rsidRDefault="00763FE0" w:rsidP="00B90659">
      <w:pPr>
        <w:spacing w:before="120" w:after="120"/>
        <w:jc w:val="both"/>
        <w:rPr>
          <w:b/>
          <w:lang w:val="en-GB"/>
        </w:rPr>
      </w:pPr>
      <w:r>
        <w:rPr>
          <w:b/>
          <w:lang w:val="en-GB"/>
        </w:rPr>
        <w:t>3.4.3</w:t>
      </w:r>
      <w:r>
        <w:rPr>
          <w:b/>
          <w:lang w:val="en-GB"/>
        </w:rPr>
        <w:tab/>
        <w:t xml:space="preserve">47.2-50.2 GHz </w:t>
      </w:r>
    </w:p>
    <w:p w:rsidR="00763FE0" w:rsidRDefault="00763FE0" w:rsidP="00B90659">
      <w:pPr>
        <w:spacing w:before="120" w:after="120"/>
        <w:jc w:val="both"/>
        <w:rPr>
          <w:lang w:val="en-GB"/>
        </w:rPr>
      </w:pPr>
      <w:r>
        <w:rPr>
          <w:lang w:val="en-GB"/>
        </w:rPr>
        <w:t>India supports:</w:t>
      </w:r>
    </w:p>
    <w:p w:rsidR="00763FE0" w:rsidRDefault="00763FE0" w:rsidP="00B90659">
      <w:pPr>
        <w:numPr>
          <w:ilvl w:val="0"/>
          <w:numId w:val="29"/>
        </w:numPr>
        <w:spacing w:before="120" w:after="120"/>
        <w:contextualSpacing/>
        <w:jc w:val="both"/>
        <w:rPr>
          <w:lang w:val="en-GB"/>
        </w:rPr>
      </w:pPr>
      <w:r>
        <w:rPr>
          <w:lang w:val="en-GB"/>
        </w:rPr>
        <w:t>Method H2, Alternative 2: identification to terrestrial component of IMT in 47.2-50.2 GHz (in the mobile service)</w:t>
      </w:r>
    </w:p>
    <w:p w:rsidR="00763FE0" w:rsidRDefault="00763FE0" w:rsidP="00B90659">
      <w:pPr>
        <w:numPr>
          <w:ilvl w:val="1"/>
          <w:numId w:val="29"/>
        </w:numPr>
        <w:spacing w:before="120" w:after="120"/>
        <w:contextualSpacing/>
        <w:jc w:val="both"/>
        <w:rPr>
          <w:lang w:val="en-GB"/>
        </w:rPr>
      </w:pPr>
      <w:r>
        <w:rPr>
          <w:lang w:val="en-GB"/>
        </w:rPr>
        <w:t>Condition H2a: Option 3.</w:t>
      </w:r>
    </w:p>
    <w:p w:rsidR="00763FE0" w:rsidRDefault="00763FE0" w:rsidP="00B90659">
      <w:pPr>
        <w:spacing w:before="120" w:after="120"/>
        <w:ind w:left="360"/>
        <w:jc w:val="both"/>
        <w:rPr>
          <w:lang w:val="en-GB"/>
        </w:rPr>
      </w:pPr>
      <w:r>
        <w:rPr>
          <w:lang w:val="en-GB"/>
        </w:rPr>
        <w:t>For the other conditions associated with this band, no action is necessary due to results of sharing and compatibility studies. In detail, the following is applied:</w:t>
      </w:r>
    </w:p>
    <w:p w:rsidR="00763FE0" w:rsidRDefault="00763FE0" w:rsidP="00B90659">
      <w:pPr>
        <w:numPr>
          <w:ilvl w:val="1"/>
          <w:numId w:val="29"/>
        </w:numPr>
        <w:spacing w:before="120" w:after="120"/>
        <w:contextualSpacing/>
        <w:jc w:val="both"/>
        <w:rPr>
          <w:lang w:val="en-GB"/>
        </w:rPr>
      </w:pPr>
      <w:r>
        <w:rPr>
          <w:lang w:val="en-GB"/>
        </w:rPr>
        <w:t>Condition H2b: Option 8 – no condition necessary</w:t>
      </w:r>
    </w:p>
    <w:p w:rsidR="00763FE0" w:rsidRDefault="00763FE0" w:rsidP="0051247F">
      <w:pPr>
        <w:numPr>
          <w:ilvl w:val="1"/>
          <w:numId w:val="29"/>
        </w:numPr>
        <w:spacing w:before="120" w:after="120"/>
        <w:contextualSpacing/>
        <w:jc w:val="both"/>
        <w:rPr>
          <w:lang w:val="en-GB"/>
        </w:rPr>
      </w:pPr>
      <w:r>
        <w:rPr>
          <w:lang w:val="en-GB"/>
        </w:rPr>
        <w:t>Condition H2c: Option 3 – no condition necessary</w:t>
      </w:r>
    </w:p>
    <w:p w:rsidR="00763FE0" w:rsidRDefault="00763FE0" w:rsidP="0051247F">
      <w:pPr>
        <w:numPr>
          <w:ilvl w:val="1"/>
          <w:numId w:val="29"/>
        </w:numPr>
        <w:spacing w:before="120" w:after="120"/>
        <w:contextualSpacing/>
        <w:jc w:val="both"/>
        <w:rPr>
          <w:lang w:val="en-GB"/>
        </w:rPr>
      </w:pPr>
      <w:r>
        <w:rPr>
          <w:lang w:val="en-GB"/>
        </w:rPr>
        <w:t>Condition H2d: Option 4 – no condition necessary</w:t>
      </w:r>
    </w:p>
    <w:p w:rsidR="00763FE0" w:rsidRDefault="00763FE0" w:rsidP="00763FE0">
      <w:pPr>
        <w:spacing w:before="120" w:after="120"/>
        <w:ind w:left="720"/>
        <w:contextualSpacing/>
        <w:jc w:val="both"/>
        <w:rPr>
          <w:sz w:val="10"/>
          <w:szCs w:val="10"/>
          <w:lang w:val="en-GB"/>
        </w:rPr>
      </w:pPr>
    </w:p>
    <w:p w:rsidR="00763FE0" w:rsidRDefault="00763FE0" w:rsidP="00763FE0">
      <w:pPr>
        <w:spacing w:before="120" w:after="120"/>
        <w:rPr>
          <w:b/>
          <w:lang w:val="en-GB"/>
        </w:rPr>
      </w:pPr>
    </w:p>
    <w:p w:rsidR="00763FE0" w:rsidRDefault="00763FE0" w:rsidP="00763FE0">
      <w:pPr>
        <w:spacing w:before="120" w:after="120"/>
        <w:rPr>
          <w:b/>
          <w:lang w:val="en-GB"/>
        </w:rPr>
      </w:pPr>
      <w:r>
        <w:rPr>
          <w:b/>
          <w:lang w:val="en-GB"/>
        </w:rPr>
        <w:t>3.4.4</w:t>
      </w:r>
      <w:r>
        <w:rPr>
          <w:b/>
          <w:lang w:val="en-GB"/>
        </w:rPr>
        <w:tab/>
        <w:t>50.4-52.6 GHz</w:t>
      </w:r>
    </w:p>
    <w:p w:rsidR="00763FE0" w:rsidRPr="00B90659" w:rsidRDefault="00763FE0" w:rsidP="00763FE0">
      <w:pPr>
        <w:spacing w:before="120" w:after="120"/>
        <w:rPr>
          <w:b/>
          <w:lang w:val="en-GB"/>
        </w:rPr>
      </w:pPr>
      <w:r w:rsidRPr="00B90659">
        <w:rPr>
          <w:b/>
          <w:lang w:val="en-GB"/>
        </w:rPr>
        <w:t>India supports:</w:t>
      </w:r>
    </w:p>
    <w:p w:rsidR="00763FE0" w:rsidRDefault="00763FE0" w:rsidP="00763FE0">
      <w:pPr>
        <w:numPr>
          <w:ilvl w:val="0"/>
          <w:numId w:val="29"/>
        </w:numPr>
        <w:spacing w:before="120" w:after="120"/>
        <w:contextualSpacing/>
        <w:jc w:val="both"/>
        <w:rPr>
          <w:lang w:val="en-GB"/>
        </w:rPr>
      </w:pPr>
      <w:r>
        <w:rPr>
          <w:lang w:val="en-GB"/>
        </w:rPr>
        <w:t>Method I2, Alternative 2: identification to terrestrial component of IMT in 50.4-52.6 GHz (in the mobile service)</w:t>
      </w:r>
    </w:p>
    <w:p w:rsidR="00763FE0" w:rsidRDefault="00763FE0" w:rsidP="00763FE0">
      <w:pPr>
        <w:numPr>
          <w:ilvl w:val="0"/>
          <w:numId w:val="29"/>
        </w:numPr>
        <w:spacing w:before="120" w:after="120"/>
        <w:contextualSpacing/>
        <w:jc w:val="both"/>
        <w:rPr>
          <w:lang w:val="en-GB"/>
        </w:rPr>
      </w:pPr>
      <w:r>
        <w:rPr>
          <w:lang w:val="en-GB"/>
        </w:rPr>
        <w:t>Condition I2a: Option 2 Resolution 750 (Rev. WRC-19) in Table 1-1, taking into account RR No. 5.340.1.</w:t>
      </w:r>
    </w:p>
    <w:p w:rsidR="00763FE0" w:rsidRDefault="00763FE0" w:rsidP="00763FE0">
      <w:pPr>
        <w:spacing w:before="120" w:after="120"/>
        <w:ind w:left="360"/>
        <w:rPr>
          <w:lang w:val="en-GB"/>
        </w:rPr>
      </w:pPr>
      <w:r>
        <w:rPr>
          <w:lang w:val="en-GB"/>
        </w:rPr>
        <w:t>For the other conditions associated with this band, no action is necessary due to results of sharing and compatibility studies. In detail, the following is applied:</w:t>
      </w:r>
    </w:p>
    <w:p w:rsidR="00763FE0" w:rsidRDefault="00763FE0" w:rsidP="0051247F">
      <w:pPr>
        <w:numPr>
          <w:ilvl w:val="1"/>
          <w:numId w:val="29"/>
        </w:numPr>
        <w:spacing w:before="120" w:after="120"/>
        <w:contextualSpacing/>
        <w:jc w:val="both"/>
        <w:rPr>
          <w:lang w:val="en-GB"/>
        </w:rPr>
      </w:pPr>
      <w:r>
        <w:rPr>
          <w:lang w:val="en-GB"/>
        </w:rPr>
        <w:t>Condition I2a: Option 3 – no condition necessary</w:t>
      </w:r>
    </w:p>
    <w:p w:rsidR="00763FE0" w:rsidRDefault="00763FE0" w:rsidP="0051247F">
      <w:pPr>
        <w:numPr>
          <w:ilvl w:val="1"/>
          <w:numId w:val="29"/>
        </w:numPr>
        <w:spacing w:before="120" w:after="120"/>
        <w:contextualSpacing/>
        <w:jc w:val="both"/>
        <w:rPr>
          <w:lang w:val="en-GB"/>
        </w:rPr>
      </w:pPr>
      <w:r>
        <w:rPr>
          <w:lang w:val="en-GB"/>
        </w:rPr>
        <w:t>Condition I2b: Option 7 – no condition necessary</w:t>
      </w:r>
    </w:p>
    <w:p w:rsidR="00763FE0" w:rsidRDefault="00763FE0" w:rsidP="0051247F">
      <w:pPr>
        <w:numPr>
          <w:ilvl w:val="1"/>
          <w:numId w:val="29"/>
        </w:numPr>
        <w:spacing w:before="120" w:after="120"/>
        <w:contextualSpacing/>
        <w:jc w:val="both"/>
        <w:rPr>
          <w:lang w:val="en-GB"/>
        </w:rPr>
      </w:pPr>
      <w:r>
        <w:rPr>
          <w:lang w:val="en-GB"/>
        </w:rPr>
        <w:t>Condition I2c: Option 4 – no condition necessary</w:t>
      </w:r>
    </w:p>
    <w:p w:rsidR="00763FE0" w:rsidRDefault="00763FE0" w:rsidP="00763FE0">
      <w:pPr>
        <w:jc w:val="both"/>
        <w:rPr>
          <w:b/>
          <w:lang w:val="en-GB"/>
        </w:rPr>
      </w:pPr>
    </w:p>
    <w:p w:rsidR="0078791B" w:rsidRDefault="0078791B" w:rsidP="0078791B">
      <w:pPr>
        <w:jc w:val="both"/>
      </w:pPr>
      <w:r>
        <w:rPr>
          <w:b/>
        </w:rPr>
        <w:t xml:space="preserve">Agenda Item 1.16: </w:t>
      </w:r>
    </w:p>
    <w:p w:rsidR="0078791B" w:rsidRDefault="0078791B" w:rsidP="0078791B">
      <w:pPr>
        <w:jc w:val="both"/>
        <w:rPr>
          <w:i/>
        </w:rPr>
      </w:pPr>
      <w:r w:rsidRPr="008C5813">
        <w:rPr>
          <w:rFonts w:eastAsia="Times New Roman"/>
          <w:i/>
          <w:iCs/>
          <w:szCs w:val="20"/>
        </w:rPr>
        <w:t xml:space="preserve">to consider issues related to wireless access systems, including radio local area networks (WAS/RLAN), in the frequency bands between </w:t>
      </w:r>
      <w:bookmarkStart w:id="1" w:name="_Hlk532914879"/>
      <w:r w:rsidRPr="008C5813">
        <w:rPr>
          <w:rFonts w:eastAsia="Times New Roman"/>
          <w:i/>
          <w:iCs/>
          <w:szCs w:val="20"/>
        </w:rPr>
        <w:t>5 150 MHz and 5 925 MHz</w:t>
      </w:r>
      <w:bookmarkEnd w:id="1"/>
      <w:r w:rsidRPr="008C5813">
        <w:rPr>
          <w:rFonts w:eastAsia="Times New Roman"/>
          <w:i/>
          <w:iCs/>
          <w:szCs w:val="20"/>
        </w:rPr>
        <w:t xml:space="preserve">, and take the appropriate regulatory actions, including additional spectrum allocations to the mobile service, in accordance with Resolution </w:t>
      </w:r>
      <w:r w:rsidRPr="008C5813">
        <w:rPr>
          <w:rFonts w:eastAsia="Times New Roman"/>
          <w:b/>
          <w:bCs/>
          <w:i/>
          <w:iCs/>
          <w:szCs w:val="20"/>
        </w:rPr>
        <w:t>239 (WRC-15)</w:t>
      </w:r>
      <w:r w:rsidRPr="008C5813">
        <w:rPr>
          <w:rFonts w:eastAsia="Times New Roman"/>
          <w:i/>
          <w:iCs/>
          <w:szCs w:val="20"/>
        </w:rPr>
        <w:t>;</w:t>
      </w:r>
    </w:p>
    <w:p w:rsidR="0078791B" w:rsidRDefault="0078791B" w:rsidP="0078791B">
      <w:pPr>
        <w:jc w:val="both"/>
        <w:rPr>
          <w:i/>
        </w:rPr>
      </w:pPr>
    </w:p>
    <w:p w:rsidR="0078791B" w:rsidRPr="00A30FA5" w:rsidRDefault="0078791B" w:rsidP="0078791B">
      <w:pPr>
        <w:spacing w:after="120"/>
        <w:jc w:val="both"/>
        <w:rPr>
          <w:b/>
          <w:lang w:eastAsia="ko-KR"/>
        </w:rPr>
      </w:pPr>
      <w:r w:rsidRPr="00A30FA5">
        <w:rPr>
          <w:rFonts w:hint="eastAsia"/>
          <w:b/>
          <w:lang w:eastAsia="ko-KR"/>
        </w:rPr>
        <w:t>1. Background</w:t>
      </w:r>
    </w:p>
    <w:p w:rsidR="0078791B" w:rsidRDefault="0078791B" w:rsidP="0078791B">
      <w:pPr>
        <w:tabs>
          <w:tab w:val="left" w:pos="1134"/>
          <w:tab w:val="left" w:pos="1871"/>
          <w:tab w:val="left" w:pos="2268"/>
        </w:tabs>
        <w:overflowPunct w:val="0"/>
        <w:autoSpaceDE w:val="0"/>
        <w:autoSpaceDN w:val="0"/>
        <w:adjustRightInd w:val="0"/>
        <w:spacing w:before="120"/>
        <w:textAlignment w:val="baseline"/>
        <w:rPr>
          <w:rFonts w:eastAsia="Times New Roman"/>
          <w:szCs w:val="20"/>
          <w:lang w:val="en-GB" w:eastAsia="ja-JP"/>
        </w:rPr>
      </w:pPr>
      <w:r>
        <w:rPr>
          <w:rFonts w:eastAsia="Times New Roman"/>
          <w:szCs w:val="20"/>
          <w:lang w:val="en-GB" w:eastAsia="ja-JP"/>
        </w:rPr>
        <w:t xml:space="preserve">Many frequency bands in the frequency range </w:t>
      </w:r>
      <w:r w:rsidRPr="00587F7F">
        <w:rPr>
          <w:rFonts w:eastAsia="Times New Roman"/>
          <w:szCs w:val="20"/>
          <w:lang w:val="en-GB" w:eastAsia="ja-JP"/>
        </w:rPr>
        <w:t xml:space="preserve">5 150 MHz </w:t>
      </w:r>
      <w:r>
        <w:rPr>
          <w:rFonts w:eastAsia="Times New Roman"/>
          <w:szCs w:val="20"/>
          <w:lang w:val="en-GB" w:eastAsia="ja-JP"/>
        </w:rPr>
        <w:t>to</w:t>
      </w:r>
      <w:r w:rsidRPr="00587F7F">
        <w:rPr>
          <w:rFonts w:eastAsia="Times New Roman"/>
          <w:szCs w:val="20"/>
          <w:lang w:val="en-GB" w:eastAsia="ja-JP"/>
        </w:rPr>
        <w:t xml:space="preserve"> 5 925 MHz </w:t>
      </w:r>
      <w:r>
        <w:rPr>
          <w:rFonts w:eastAsia="Times New Roman"/>
          <w:szCs w:val="20"/>
          <w:lang w:val="en-GB" w:eastAsia="ja-JP"/>
        </w:rPr>
        <w:t xml:space="preserve">are extensively used for </w:t>
      </w:r>
      <w:r w:rsidRPr="00587F7F">
        <w:rPr>
          <w:rFonts w:eastAsia="Times New Roman"/>
          <w:szCs w:val="20"/>
          <w:lang w:val="en-GB" w:eastAsia="ja-JP"/>
        </w:rPr>
        <w:t>Wireless access services (WAS) and Radio Local Area networks (RLANs)</w:t>
      </w:r>
      <w:r>
        <w:rPr>
          <w:rFonts w:eastAsia="Times New Roman"/>
          <w:szCs w:val="20"/>
          <w:lang w:val="en-GB" w:eastAsia="ja-JP"/>
        </w:rPr>
        <w:t xml:space="preserve">. These services </w:t>
      </w:r>
      <w:r w:rsidRPr="00587F7F">
        <w:rPr>
          <w:rFonts w:eastAsia="Times New Roman"/>
          <w:szCs w:val="20"/>
          <w:lang w:val="en-GB" w:eastAsia="ja-JP"/>
        </w:rPr>
        <w:t xml:space="preserve">have proven to be a success </w:t>
      </w:r>
      <w:r>
        <w:rPr>
          <w:rFonts w:eastAsia="Times New Roman"/>
          <w:szCs w:val="20"/>
          <w:lang w:val="en-GB" w:eastAsia="ja-JP"/>
        </w:rPr>
        <w:t>in improving wireless broadband penetration, and has helped</w:t>
      </w:r>
      <w:r w:rsidRPr="00587F7F">
        <w:rPr>
          <w:rFonts w:eastAsia="Times New Roman"/>
          <w:szCs w:val="20"/>
          <w:lang w:val="en-GB" w:eastAsia="ja-JP"/>
        </w:rPr>
        <w:t xml:space="preserve">, mobile carriers increase their reliance on Wi-Fi offload, voice over-Wi-Fi, and similar </w:t>
      </w:r>
      <w:r>
        <w:rPr>
          <w:rFonts w:eastAsia="Times New Roman"/>
          <w:szCs w:val="20"/>
          <w:lang w:val="en-GB" w:eastAsia="ja-JP"/>
        </w:rPr>
        <w:t>applications.</w:t>
      </w:r>
      <w:r w:rsidRPr="00587F7F">
        <w:rPr>
          <w:rFonts w:eastAsia="Times New Roman"/>
          <w:szCs w:val="20"/>
          <w:lang w:val="en-GB" w:eastAsia="ja-JP"/>
        </w:rPr>
        <w:t xml:space="preserve"> As </w:t>
      </w:r>
      <w:r w:rsidRPr="00587F7F">
        <w:rPr>
          <w:rFonts w:eastAsia="Times New Roman"/>
          <w:szCs w:val="20"/>
          <w:lang w:val="en-GB" w:eastAsia="ja-JP"/>
        </w:rPr>
        <w:lastRenderedPageBreak/>
        <w:t>technology evolves to meet increasing performance demands and traffic on broadband WAS increases, the use of wider bandwidth channels in order to support high data rates creates a need for additional spectrum</w:t>
      </w:r>
      <w:r w:rsidRPr="0079524C">
        <w:rPr>
          <w:rFonts w:eastAsia="Times New Roman"/>
          <w:szCs w:val="20"/>
          <w:lang w:val="en-GB" w:eastAsia="ja-JP"/>
        </w:rPr>
        <w:t>.</w:t>
      </w:r>
      <w:r>
        <w:rPr>
          <w:rFonts w:eastAsia="Times New Roman"/>
          <w:szCs w:val="20"/>
          <w:lang w:val="en-GB" w:eastAsia="ja-JP"/>
        </w:rPr>
        <w:t xml:space="preserve"> Proliferation and demand of spectrum in this frequency range is ever increasing for cheaper wireless broadband services. India has recently identified spectrum in various spectrum bands within this frequency range for deployment of WAS and RLAN. </w:t>
      </w:r>
    </w:p>
    <w:p w:rsidR="0078791B" w:rsidRDefault="0078791B" w:rsidP="0078791B">
      <w:pPr>
        <w:spacing w:afterLines="50" w:after="120"/>
        <w:rPr>
          <w:b/>
        </w:rPr>
      </w:pPr>
    </w:p>
    <w:p w:rsidR="0078791B" w:rsidRPr="001E6EB7" w:rsidRDefault="0078791B" w:rsidP="0078791B">
      <w:pPr>
        <w:spacing w:afterLines="50" w:after="120"/>
        <w:rPr>
          <w:rFonts w:eastAsiaTheme="minorEastAsia"/>
          <w:lang w:eastAsia="ja-JP"/>
        </w:rPr>
      </w:pPr>
      <w:r>
        <w:rPr>
          <w:b/>
        </w:rPr>
        <w:t xml:space="preserve">2. </w:t>
      </w:r>
      <w:r w:rsidRPr="006D7E46">
        <w:rPr>
          <w:b/>
        </w:rPr>
        <w:t>Key Considerations for CPM Text</w:t>
      </w:r>
    </w:p>
    <w:p w:rsidR="0078791B" w:rsidRPr="00FB503A" w:rsidRDefault="0078791B" w:rsidP="0078791B">
      <w:pPr>
        <w:rPr>
          <w:rFonts w:eastAsia="Times New Roman"/>
          <w:szCs w:val="20"/>
          <w:lang w:val="en-GB"/>
        </w:rPr>
      </w:pPr>
      <w:r w:rsidRPr="00FB503A">
        <w:rPr>
          <w:rFonts w:eastAsia="Times New Roman"/>
          <w:szCs w:val="20"/>
          <w:lang w:val="en-GB"/>
        </w:rPr>
        <w:t>Resolution 239 (WRC 15), calls for ITU-R to study WAS/RLAN technical characteristics and operational requirements in the 5 GHz frequency range. It also calls for ITU-R to perform sharing and compatibility studies between WAS/RLAN applications and incumbent services in the frequency bands 5 150-5 350 MHz, 5 350-5 470 MHz, 5 725 5 850 MHz and 5 850-5 925 MHz while ensuring the protection of incumbent services including their current and planned use, to consider enabling outdoor WAS/RLAN operations in the band 5 150-5 350 MHz, and potential mobile service allocations to accommodate WAS/RLAN operations in the 5 350 5 470 MHz and 5 725 5 850 MHz frequency ranges, and identify potential WAS/RLAN use in 5 850 5 925 MHz frequency range.</w:t>
      </w:r>
    </w:p>
    <w:p w:rsidR="0078791B" w:rsidRDefault="0078791B" w:rsidP="0078791B">
      <w:pPr>
        <w:jc w:val="both"/>
        <w:rPr>
          <w:rFonts w:eastAsia="Times New Roman"/>
          <w:szCs w:val="20"/>
          <w:lang w:val="en-GB"/>
        </w:rPr>
      </w:pPr>
    </w:p>
    <w:p w:rsidR="0078791B" w:rsidRPr="00696163" w:rsidRDefault="0078791B" w:rsidP="0078791B">
      <w:pPr>
        <w:jc w:val="both"/>
        <w:rPr>
          <w:rFonts w:eastAsia="Times New Roman"/>
          <w:szCs w:val="20"/>
          <w:lang w:val="en-GB" w:eastAsia="ja-JP"/>
        </w:rPr>
      </w:pPr>
      <w:r w:rsidRPr="005C7C38">
        <w:rPr>
          <w:rFonts w:eastAsia="Times New Roman"/>
          <w:szCs w:val="20"/>
          <w:lang w:val="en-GB"/>
        </w:rPr>
        <w:t xml:space="preserve"> </w:t>
      </w:r>
      <w:r w:rsidRPr="00333A94">
        <w:rPr>
          <w:rFonts w:eastAsia="Times New Roman"/>
          <w:szCs w:val="20"/>
          <w:lang w:val="en-GB"/>
        </w:rPr>
        <w:t xml:space="preserve">No studies were agreed for the frequency band 5 725-5 850 </w:t>
      </w:r>
      <w:proofErr w:type="spellStart"/>
      <w:r w:rsidRPr="00333A94">
        <w:rPr>
          <w:rFonts w:eastAsia="Times New Roman"/>
          <w:szCs w:val="20"/>
          <w:lang w:val="en-GB"/>
        </w:rPr>
        <w:t>MHz.</w:t>
      </w:r>
      <w:proofErr w:type="spellEnd"/>
      <w:r w:rsidRPr="00333A94">
        <w:rPr>
          <w:rFonts w:eastAsia="Times New Roman"/>
          <w:szCs w:val="20"/>
          <w:lang w:val="en-GB"/>
        </w:rPr>
        <w:t xml:space="preserve"> As such, WRC-15 concluded no change (NOC) for these frequency bands and established a WRC-19 agenda item to continue the work.</w:t>
      </w:r>
    </w:p>
    <w:p w:rsidR="0078791B" w:rsidRDefault="0078791B" w:rsidP="0078791B">
      <w:pPr>
        <w:tabs>
          <w:tab w:val="left" w:pos="1134"/>
          <w:tab w:val="left" w:pos="1871"/>
          <w:tab w:val="left" w:pos="2268"/>
        </w:tabs>
        <w:overflowPunct w:val="0"/>
        <w:autoSpaceDE w:val="0"/>
        <w:autoSpaceDN w:val="0"/>
        <w:adjustRightInd w:val="0"/>
        <w:spacing w:before="120"/>
        <w:textAlignment w:val="baseline"/>
        <w:rPr>
          <w:rFonts w:eastAsia="Times New Roman"/>
          <w:szCs w:val="20"/>
          <w:lang w:val="en-GB" w:eastAsia="ja-JP"/>
        </w:rPr>
      </w:pPr>
    </w:p>
    <w:p w:rsidR="0078791B" w:rsidRDefault="0078791B" w:rsidP="0078791B">
      <w:pPr>
        <w:tabs>
          <w:tab w:val="left" w:pos="1134"/>
          <w:tab w:val="left" w:pos="1871"/>
          <w:tab w:val="left" w:pos="2268"/>
        </w:tabs>
        <w:overflowPunct w:val="0"/>
        <w:autoSpaceDE w:val="0"/>
        <w:autoSpaceDN w:val="0"/>
        <w:adjustRightInd w:val="0"/>
        <w:spacing w:before="120"/>
        <w:textAlignment w:val="baseline"/>
        <w:rPr>
          <w:rFonts w:eastAsia="Times New Roman"/>
          <w:szCs w:val="20"/>
          <w:lang w:val="en-GB" w:eastAsia="ja-JP"/>
        </w:rPr>
      </w:pPr>
    </w:p>
    <w:p w:rsidR="0078791B" w:rsidRPr="000A5418" w:rsidRDefault="0078791B" w:rsidP="0078791B">
      <w:pPr>
        <w:jc w:val="both"/>
        <w:rPr>
          <w:b/>
        </w:rPr>
      </w:pPr>
      <w:r>
        <w:rPr>
          <w:b/>
        </w:rPr>
        <w:t>3</w:t>
      </w:r>
      <w:r w:rsidRPr="000A5418">
        <w:rPr>
          <w:b/>
        </w:rPr>
        <w:t>. Preliminary Views</w:t>
      </w:r>
      <w:r>
        <w:rPr>
          <w:b/>
        </w:rPr>
        <w:t xml:space="preserve"> of India</w:t>
      </w:r>
    </w:p>
    <w:p w:rsidR="0078791B" w:rsidRDefault="0078791B" w:rsidP="0078791B">
      <w:pPr>
        <w:tabs>
          <w:tab w:val="left" w:pos="1134"/>
          <w:tab w:val="left" w:pos="1871"/>
          <w:tab w:val="left" w:pos="2268"/>
        </w:tabs>
        <w:overflowPunct w:val="0"/>
        <w:autoSpaceDE w:val="0"/>
        <w:autoSpaceDN w:val="0"/>
        <w:adjustRightInd w:val="0"/>
        <w:spacing w:before="120"/>
        <w:textAlignment w:val="baseline"/>
        <w:rPr>
          <w:rFonts w:eastAsia="Times New Roman"/>
          <w:szCs w:val="20"/>
          <w:lang w:val="en-GB"/>
        </w:rPr>
      </w:pPr>
      <w:r>
        <w:rPr>
          <w:rFonts w:eastAsia="Times New Roman"/>
          <w:color w:val="000000"/>
          <w:szCs w:val="20"/>
          <w:lang w:val="en-GB"/>
        </w:rPr>
        <w:t>India supports M</w:t>
      </w:r>
      <w:r w:rsidRPr="00AF4702">
        <w:rPr>
          <w:rFonts w:eastAsia="Batang"/>
          <w:szCs w:val="20"/>
          <w:lang w:val="en-GB"/>
        </w:rPr>
        <w:t>ethod</w:t>
      </w:r>
      <w:r>
        <w:rPr>
          <w:rFonts w:eastAsia="Batang"/>
          <w:szCs w:val="20"/>
          <w:lang w:val="en-GB"/>
        </w:rPr>
        <w:t xml:space="preserve">s </w:t>
      </w:r>
      <w:r w:rsidRPr="0079524C">
        <w:rPr>
          <w:rFonts w:eastAsia="Batang"/>
          <w:szCs w:val="20"/>
          <w:lang w:val="en-GB"/>
        </w:rPr>
        <w:t xml:space="preserve">of no change to the Radio Regulations </w:t>
      </w:r>
      <w:r>
        <w:rPr>
          <w:rFonts w:eastAsia="Batang"/>
          <w:szCs w:val="20"/>
          <w:lang w:val="en-GB"/>
        </w:rPr>
        <w:t xml:space="preserve">as follows to </w:t>
      </w:r>
      <w:r w:rsidRPr="0079524C">
        <w:rPr>
          <w:rFonts w:eastAsia="Batang"/>
          <w:szCs w:val="20"/>
          <w:lang w:val="en-GB"/>
        </w:rPr>
        <w:t>satisfy this agenda item</w:t>
      </w:r>
      <w:r>
        <w:rPr>
          <w:rFonts w:eastAsia="Batang"/>
          <w:szCs w:val="20"/>
          <w:lang w:val="en-GB"/>
        </w:rPr>
        <w:t>-</w:t>
      </w:r>
      <w:r w:rsidRPr="00AF4702">
        <w:rPr>
          <w:rFonts w:eastAsia="Times New Roman"/>
          <w:szCs w:val="20"/>
          <w:lang w:val="en-GB"/>
        </w:rPr>
        <w:t xml:space="preserve"> </w:t>
      </w:r>
    </w:p>
    <w:p w:rsidR="0078791B" w:rsidRPr="005C7C38" w:rsidRDefault="0078791B" w:rsidP="0078791B">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rFonts w:eastAsia="Times New Roman"/>
          <w:b/>
          <w:szCs w:val="20"/>
        </w:rPr>
      </w:pPr>
      <w:bookmarkStart w:id="2" w:name="_Hlk514934325"/>
      <w:bookmarkStart w:id="3" w:name="_Hlk514926894"/>
      <w:r w:rsidRPr="005C7C38">
        <w:rPr>
          <w:rFonts w:eastAsia="Times New Roman"/>
          <w:b/>
          <w:szCs w:val="20"/>
        </w:rPr>
        <w:t>Frequency band 5 150-5 250 </w:t>
      </w:r>
      <w:proofErr w:type="gramStart"/>
      <w:r w:rsidRPr="005C7C38">
        <w:rPr>
          <w:rFonts w:eastAsia="Times New Roman"/>
          <w:b/>
          <w:szCs w:val="20"/>
        </w:rPr>
        <w:t>MHz</w:t>
      </w:r>
      <w:bookmarkEnd w:id="2"/>
      <w:r>
        <w:rPr>
          <w:rFonts w:eastAsia="Times New Roman"/>
          <w:b/>
          <w:szCs w:val="20"/>
        </w:rPr>
        <w:t xml:space="preserve"> :</w:t>
      </w:r>
      <w:bookmarkStart w:id="4" w:name="_Hlk514934396"/>
      <w:bookmarkEnd w:id="3"/>
      <w:proofErr w:type="gramEnd"/>
      <w:r w:rsidRPr="005C7C38">
        <w:rPr>
          <w:rFonts w:eastAsia="Times New Roman"/>
          <w:b/>
          <w:szCs w:val="20"/>
        </w:rPr>
        <w:t xml:space="preserve"> Method A1</w:t>
      </w:r>
      <w:r>
        <w:rPr>
          <w:rFonts w:eastAsia="Times New Roman"/>
          <w:b/>
          <w:szCs w:val="20"/>
        </w:rPr>
        <w:t xml:space="preserve"> -</w:t>
      </w:r>
      <w:r w:rsidRPr="005C7C38">
        <w:rPr>
          <w:rFonts w:eastAsia="Times New Roman"/>
          <w:b/>
          <w:szCs w:val="20"/>
        </w:rPr>
        <w:t xml:space="preserve"> </w:t>
      </w:r>
      <w:bookmarkStart w:id="5" w:name="_Hlk514929032"/>
      <w:r w:rsidRPr="005C7C38">
        <w:rPr>
          <w:rFonts w:eastAsia="Times New Roman"/>
          <w:b/>
          <w:szCs w:val="20"/>
        </w:rPr>
        <w:t>No change to the RR</w:t>
      </w:r>
      <w:bookmarkEnd w:id="4"/>
      <w:bookmarkEnd w:id="5"/>
    </w:p>
    <w:p w:rsidR="0078791B" w:rsidRDefault="0078791B" w:rsidP="0078791B">
      <w:pPr>
        <w:overflowPunct w:val="0"/>
        <w:autoSpaceDE w:val="0"/>
        <w:autoSpaceDN w:val="0"/>
        <w:adjustRightInd w:val="0"/>
        <w:spacing w:before="120"/>
        <w:textAlignment w:val="baseline"/>
        <w:rPr>
          <w:rFonts w:eastAsia="Times New Roman"/>
          <w:lang w:eastAsia="zh-CN"/>
        </w:rPr>
      </w:pPr>
      <w:bookmarkStart w:id="6" w:name="_Hlk515174510"/>
      <w:bookmarkStart w:id="7" w:name="_Hlk514927404"/>
      <w:bookmarkStart w:id="8" w:name="_Hlk514927342"/>
      <w:r w:rsidRPr="005C7C38">
        <w:rPr>
          <w:rFonts w:eastAsia="Times New Roman"/>
          <w:lang w:eastAsia="zh-CN"/>
        </w:rPr>
        <w:t xml:space="preserve">No changes are proposed to the RR, with the exception of the suppression of Resolution </w:t>
      </w:r>
      <w:r w:rsidRPr="005C7C38">
        <w:rPr>
          <w:rFonts w:eastAsia="Times New Roman"/>
          <w:b/>
          <w:lang w:eastAsia="zh-CN"/>
        </w:rPr>
        <w:t>239 (WRC-15)</w:t>
      </w:r>
      <w:r w:rsidRPr="005C7C38">
        <w:rPr>
          <w:rFonts w:eastAsia="Times New Roman"/>
          <w:lang w:eastAsia="zh-CN"/>
        </w:rPr>
        <w:t xml:space="preserve">. The provisions of Resolution </w:t>
      </w:r>
      <w:r w:rsidRPr="005C7C38">
        <w:rPr>
          <w:rFonts w:eastAsia="Times New Roman"/>
          <w:b/>
          <w:lang w:eastAsia="zh-CN"/>
        </w:rPr>
        <w:t>229 (Rev.WRC-12)</w:t>
      </w:r>
      <w:r w:rsidRPr="005C7C38">
        <w:rPr>
          <w:rFonts w:eastAsia="Times New Roman"/>
          <w:lang w:eastAsia="zh-CN"/>
        </w:rPr>
        <w:t xml:space="preserve"> applied to RLAN in this band should be retained to protect incumbents as supported by some ITU-R studies.</w:t>
      </w:r>
      <w:bookmarkStart w:id="9" w:name="_Hlk514934526"/>
      <w:bookmarkEnd w:id="6"/>
      <w:bookmarkEnd w:id="7"/>
      <w:bookmarkEnd w:id="8"/>
    </w:p>
    <w:p w:rsidR="0078791B" w:rsidRPr="005C7C38" w:rsidRDefault="0078791B" w:rsidP="0078791B">
      <w:pPr>
        <w:overflowPunct w:val="0"/>
        <w:autoSpaceDE w:val="0"/>
        <w:autoSpaceDN w:val="0"/>
        <w:adjustRightInd w:val="0"/>
        <w:spacing w:before="120"/>
        <w:textAlignment w:val="baseline"/>
        <w:rPr>
          <w:rFonts w:eastAsia="Times New Roman"/>
          <w:b/>
          <w:szCs w:val="20"/>
        </w:rPr>
      </w:pPr>
      <w:r w:rsidRPr="005C7C38">
        <w:rPr>
          <w:rFonts w:eastAsia="Times New Roman"/>
          <w:b/>
          <w:szCs w:val="20"/>
        </w:rPr>
        <w:t xml:space="preserve">Frequency band 5 250-5 350 </w:t>
      </w:r>
      <w:proofErr w:type="gramStart"/>
      <w:r w:rsidRPr="005C7C38">
        <w:rPr>
          <w:rFonts w:eastAsia="Times New Roman"/>
          <w:b/>
          <w:szCs w:val="20"/>
        </w:rPr>
        <w:t>MHz</w:t>
      </w:r>
      <w:r>
        <w:rPr>
          <w:rFonts w:eastAsia="Times New Roman"/>
          <w:b/>
          <w:szCs w:val="20"/>
        </w:rPr>
        <w:t xml:space="preserve"> :</w:t>
      </w:r>
      <w:proofErr w:type="gramEnd"/>
      <w:r w:rsidRPr="005C7C38">
        <w:rPr>
          <w:rFonts w:eastAsia="Times New Roman"/>
          <w:b/>
          <w:szCs w:val="20"/>
        </w:rPr>
        <w:t xml:space="preserve"> Method B</w:t>
      </w:r>
      <w:r>
        <w:rPr>
          <w:rFonts w:eastAsia="Times New Roman"/>
          <w:b/>
          <w:szCs w:val="20"/>
        </w:rPr>
        <w:t xml:space="preserve"> -</w:t>
      </w:r>
      <w:r w:rsidRPr="005C7C38">
        <w:rPr>
          <w:rFonts w:eastAsia="Times New Roman"/>
          <w:b/>
          <w:szCs w:val="20"/>
        </w:rPr>
        <w:t xml:space="preserve"> No change to the RR</w:t>
      </w:r>
      <w:bookmarkEnd w:id="9"/>
    </w:p>
    <w:p w:rsidR="0078791B" w:rsidRPr="005C7C38" w:rsidRDefault="0078791B" w:rsidP="0078791B">
      <w:pPr>
        <w:overflowPunct w:val="0"/>
        <w:autoSpaceDE w:val="0"/>
        <w:autoSpaceDN w:val="0"/>
        <w:adjustRightInd w:val="0"/>
        <w:spacing w:before="120"/>
        <w:textAlignment w:val="baseline"/>
        <w:rPr>
          <w:rFonts w:eastAsia="Times New Roman"/>
        </w:rPr>
      </w:pPr>
      <w:bookmarkStart w:id="10" w:name="_Hlk515176291"/>
      <w:r w:rsidRPr="005C7C38">
        <w:rPr>
          <w:rFonts w:eastAsia="Times New Roman"/>
        </w:rPr>
        <w:t xml:space="preserve">Only one method is proposed, with no change to the RR, except suppression of Resolution </w:t>
      </w:r>
      <w:r w:rsidRPr="005C7C38">
        <w:rPr>
          <w:rFonts w:eastAsia="Times New Roman"/>
          <w:b/>
        </w:rPr>
        <w:t>239 (WRC</w:t>
      </w:r>
      <w:r w:rsidRPr="005C7C38">
        <w:rPr>
          <w:rFonts w:eastAsia="Times New Roman"/>
          <w:b/>
        </w:rPr>
        <w:noBreakHyphen/>
        <w:t>15)</w:t>
      </w:r>
      <w:r w:rsidRPr="005C7C38">
        <w:rPr>
          <w:rFonts w:eastAsia="Times New Roman"/>
        </w:rPr>
        <w:t xml:space="preserve">. The provisions of Resolution </w:t>
      </w:r>
      <w:r w:rsidRPr="005C7C38">
        <w:rPr>
          <w:rFonts w:eastAsia="Times New Roman"/>
          <w:b/>
        </w:rPr>
        <w:t>229 (Rev.WRC-12)</w:t>
      </w:r>
      <w:bookmarkEnd w:id="10"/>
      <w:r w:rsidRPr="005C7C38">
        <w:rPr>
          <w:rFonts w:eastAsia="Times New Roman"/>
        </w:rPr>
        <w:t xml:space="preserve"> continue to be applied to RLAN in this band to protect incumbents.</w:t>
      </w:r>
    </w:p>
    <w:p w:rsidR="0078791B" w:rsidRPr="005C7C38" w:rsidRDefault="0078791B" w:rsidP="0078791B">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rFonts w:eastAsia="Times New Roman"/>
          <w:b/>
          <w:szCs w:val="20"/>
          <w:lang w:eastAsia="ja-JP"/>
        </w:rPr>
      </w:pPr>
      <w:bookmarkStart w:id="11" w:name="_Hlk514934568"/>
      <w:r w:rsidRPr="005C7C38">
        <w:rPr>
          <w:rFonts w:eastAsia="Times New Roman"/>
          <w:b/>
          <w:szCs w:val="20"/>
        </w:rPr>
        <w:t>Frequency band 5 350-5 470 </w:t>
      </w:r>
      <w:proofErr w:type="gramStart"/>
      <w:r w:rsidRPr="005C7C38">
        <w:rPr>
          <w:rFonts w:eastAsia="Times New Roman"/>
          <w:b/>
          <w:szCs w:val="20"/>
        </w:rPr>
        <w:t>MHz</w:t>
      </w:r>
      <w:r>
        <w:rPr>
          <w:rFonts w:eastAsia="Times New Roman"/>
          <w:b/>
          <w:szCs w:val="20"/>
        </w:rPr>
        <w:t xml:space="preserve"> :</w:t>
      </w:r>
      <w:proofErr w:type="gramEnd"/>
      <w:r w:rsidRPr="005C7C38">
        <w:rPr>
          <w:rFonts w:eastAsia="Times New Roman"/>
          <w:b/>
          <w:szCs w:val="20"/>
          <w:lang w:eastAsia="ja-JP"/>
        </w:rPr>
        <w:t xml:space="preserve"> Method C</w:t>
      </w:r>
      <w:r>
        <w:rPr>
          <w:rFonts w:eastAsia="Times New Roman"/>
          <w:b/>
          <w:szCs w:val="20"/>
          <w:lang w:eastAsia="ja-JP"/>
        </w:rPr>
        <w:t xml:space="preserve"> -</w:t>
      </w:r>
      <w:r w:rsidRPr="005C7C38">
        <w:rPr>
          <w:rFonts w:eastAsia="Times New Roman"/>
          <w:b/>
          <w:szCs w:val="20"/>
          <w:lang w:eastAsia="ja-JP"/>
        </w:rPr>
        <w:t xml:space="preserve"> </w:t>
      </w:r>
      <w:bookmarkStart w:id="12" w:name="_Hlk514929635"/>
      <w:r w:rsidRPr="005C7C38">
        <w:rPr>
          <w:rFonts w:eastAsia="Times New Roman"/>
          <w:b/>
          <w:szCs w:val="20"/>
        </w:rPr>
        <w:t>No change to the RR</w:t>
      </w:r>
      <w:bookmarkEnd w:id="11"/>
      <w:bookmarkEnd w:id="12"/>
    </w:p>
    <w:p w:rsidR="0078791B" w:rsidRPr="005C7C38" w:rsidRDefault="0078791B" w:rsidP="0078791B">
      <w:pPr>
        <w:overflowPunct w:val="0"/>
        <w:autoSpaceDE w:val="0"/>
        <w:autoSpaceDN w:val="0"/>
        <w:adjustRightInd w:val="0"/>
        <w:spacing w:before="120"/>
        <w:textAlignment w:val="baseline"/>
        <w:rPr>
          <w:rFonts w:eastAsia="Times New Roman"/>
          <w:szCs w:val="20"/>
          <w:lang w:eastAsia="ja-JP"/>
        </w:rPr>
      </w:pPr>
      <w:r w:rsidRPr="005C7C38">
        <w:rPr>
          <w:rFonts w:eastAsia="Times New Roman"/>
          <w:bCs/>
          <w:szCs w:val="20"/>
        </w:rPr>
        <w:t xml:space="preserve">Only one method is proposed, with no change to the RR, except suppression of Resolution </w:t>
      </w:r>
      <w:r w:rsidRPr="005C7C38">
        <w:rPr>
          <w:rFonts w:eastAsia="Times New Roman"/>
          <w:b/>
          <w:bCs/>
          <w:szCs w:val="20"/>
        </w:rPr>
        <w:t>239 (WRC</w:t>
      </w:r>
      <w:r w:rsidRPr="005C7C38">
        <w:rPr>
          <w:rFonts w:eastAsia="Times New Roman"/>
          <w:b/>
          <w:bCs/>
          <w:szCs w:val="20"/>
        </w:rPr>
        <w:noBreakHyphen/>
        <w:t>15</w:t>
      </w:r>
      <w:r w:rsidRPr="005C7C38">
        <w:rPr>
          <w:rFonts w:eastAsia="Times New Roman"/>
          <w:bCs/>
          <w:szCs w:val="20"/>
        </w:rPr>
        <w:t>).</w:t>
      </w:r>
    </w:p>
    <w:p w:rsidR="0078791B" w:rsidRPr="005C7C38" w:rsidRDefault="0078791B" w:rsidP="0078791B">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rFonts w:eastAsia="Times New Roman"/>
          <w:b/>
          <w:szCs w:val="20"/>
        </w:rPr>
      </w:pPr>
      <w:bookmarkStart w:id="13" w:name="_Hlk514934595"/>
      <w:r w:rsidRPr="005C7C38">
        <w:rPr>
          <w:rFonts w:eastAsia="Times New Roman"/>
          <w:b/>
          <w:szCs w:val="20"/>
        </w:rPr>
        <w:t>Frequency band</w:t>
      </w:r>
      <w:r>
        <w:rPr>
          <w:rFonts w:eastAsia="Times New Roman"/>
          <w:b/>
          <w:szCs w:val="20"/>
        </w:rPr>
        <w:t xml:space="preserve"> </w:t>
      </w:r>
      <w:r w:rsidRPr="005C7C38">
        <w:rPr>
          <w:rFonts w:eastAsia="Times New Roman"/>
          <w:b/>
          <w:szCs w:val="20"/>
        </w:rPr>
        <w:t>5 725-5 850 </w:t>
      </w:r>
      <w:proofErr w:type="gramStart"/>
      <w:r w:rsidRPr="005C7C38">
        <w:rPr>
          <w:rFonts w:eastAsia="Times New Roman"/>
          <w:b/>
          <w:szCs w:val="20"/>
        </w:rPr>
        <w:t>MHz</w:t>
      </w:r>
      <w:r>
        <w:rPr>
          <w:rFonts w:eastAsia="Times New Roman"/>
          <w:b/>
          <w:szCs w:val="20"/>
        </w:rPr>
        <w:t xml:space="preserve"> :</w:t>
      </w:r>
      <w:bookmarkStart w:id="14" w:name="_Hlk514929220"/>
      <w:proofErr w:type="gramEnd"/>
      <w:r w:rsidRPr="005C7C38">
        <w:rPr>
          <w:rFonts w:eastAsia="Times New Roman"/>
          <w:b/>
          <w:szCs w:val="20"/>
        </w:rPr>
        <w:t xml:space="preserve"> Method D1</w:t>
      </w:r>
      <w:r>
        <w:rPr>
          <w:rFonts w:eastAsia="Times New Roman"/>
          <w:b/>
          <w:szCs w:val="20"/>
        </w:rPr>
        <w:t xml:space="preserve"> -</w:t>
      </w:r>
      <w:r w:rsidRPr="005C7C38">
        <w:rPr>
          <w:rFonts w:eastAsia="Times New Roman"/>
          <w:b/>
          <w:szCs w:val="20"/>
        </w:rPr>
        <w:t xml:space="preserve"> No change to the RR</w:t>
      </w:r>
      <w:bookmarkEnd w:id="13"/>
    </w:p>
    <w:bookmarkEnd w:id="14"/>
    <w:p w:rsidR="0078791B" w:rsidRPr="005C7C38" w:rsidRDefault="0078791B" w:rsidP="0078791B">
      <w:pPr>
        <w:overflowPunct w:val="0"/>
        <w:autoSpaceDE w:val="0"/>
        <w:autoSpaceDN w:val="0"/>
        <w:adjustRightInd w:val="0"/>
        <w:spacing w:before="120"/>
        <w:textAlignment w:val="baseline"/>
        <w:rPr>
          <w:rFonts w:eastAsia="Times New Roman"/>
          <w:lang w:eastAsia="zh-CN"/>
        </w:rPr>
      </w:pPr>
      <w:r w:rsidRPr="005C7C38">
        <w:rPr>
          <w:rFonts w:eastAsia="Times New Roman"/>
          <w:lang w:eastAsia="zh-CN"/>
        </w:rPr>
        <w:t xml:space="preserve">No changes are proposed to the RR, with the exception of the suppression of Resolution </w:t>
      </w:r>
      <w:r w:rsidRPr="005C7C38">
        <w:rPr>
          <w:rFonts w:eastAsia="Times New Roman"/>
          <w:b/>
          <w:lang w:eastAsia="zh-CN"/>
        </w:rPr>
        <w:t>239 (WRC-15)</w:t>
      </w:r>
      <w:r w:rsidRPr="005C7C38">
        <w:rPr>
          <w:rFonts w:eastAsia="Times New Roman"/>
          <w:lang w:eastAsia="zh-CN"/>
        </w:rPr>
        <w:t>.</w:t>
      </w:r>
    </w:p>
    <w:p w:rsidR="0078791B" w:rsidRPr="005C7C38" w:rsidRDefault="0078791B" w:rsidP="0078791B">
      <w:pPr>
        <w:keepNext/>
        <w:keepLines/>
        <w:tabs>
          <w:tab w:val="left" w:pos="1134"/>
          <w:tab w:val="left" w:pos="1871"/>
          <w:tab w:val="left" w:pos="2268"/>
        </w:tabs>
        <w:overflowPunct w:val="0"/>
        <w:autoSpaceDE w:val="0"/>
        <w:autoSpaceDN w:val="0"/>
        <w:adjustRightInd w:val="0"/>
        <w:spacing w:before="200"/>
        <w:ind w:left="1134" w:hanging="1134"/>
        <w:textAlignment w:val="baseline"/>
        <w:outlineLvl w:val="1"/>
        <w:rPr>
          <w:rFonts w:eastAsia="Times New Roman"/>
          <w:b/>
        </w:rPr>
      </w:pPr>
      <w:bookmarkStart w:id="15" w:name="_Hlk514934700"/>
      <w:r w:rsidRPr="005C7C38">
        <w:rPr>
          <w:rFonts w:eastAsia="Times New Roman"/>
          <w:b/>
          <w:szCs w:val="20"/>
        </w:rPr>
        <w:t>Frequency band 5 850-5 925 </w:t>
      </w:r>
      <w:proofErr w:type="gramStart"/>
      <w:r w:rsidRPr="005C7C38">
        <w:rPr>
          <w:rFonts w:eastAsia="Times New Roman"/>
          <w:b/>
          <w:szCs w:val="20"/>
        </w:rPr>
        <w:t>MHz</w:t>
      </w:r>
      <w:r>
        <w:rPr>
          <w:rFonts w:eastAsia="Times New Roman"/>
          <w:b/>
          <w:szCs w:val="20"/>
        </w:rPr>
        <w:t xml:space="preserve"> :</w:t>
      </w:r>
      <w:proofErr w:type="gramEnd"/>
      <w:r w:rsidRPr="005C7C38">
        <w:rPr>
          <w:rFonts w:eastAsia="Times New Roman"/>
          <w:b/>
          <w:szCs w:val="20"/>
        </w:rPr>
        <w:t xml:space="preserve"> Method E</w:t>
      </w:r>
      <w:r>
        <w:rPr>
          <w:rFonts w:eastAsia="Times New Roman"/>
          <w:b/>
          <w:szCs w:val="20"/>
        </w:rPr>
        <w:t xml:space="preserve"> -</w:t>
      </w:r>
      <w:r w:rsidRPr="005C7C38">
        <w:rPr>
          <w:rFonts w:eastAsia="Times New Roman"/>
          <w:b/>
          <w:szCs w:val="20"/>
        </w:rPr>
        <w:t xml:space="preserve"> No change to the RR</w:t>
      </w:r>
      <w:bookmarkEnd w:id="15"/>
    </w:p>
    <w:p w:rsidR="0078791B" w:rsidRPr="005C7C38" w:rsidRDefault="0078791B" w:rsidP="0078791B">
      <w:pPr>
        <w:overflowPunct w:val="0"/>
        <w:autoSpaceDE w:val="0"/>
        <w:autoSpaceDN w:val="0"/>
        <w:adjustRightInd w:val="0"/>
        <w:spacing w:before="120"/>
        <w:textAlignment w:val="baseline"/>
        <w:rPr>
          <w:rFonts w:eastAsia="Times New Roman"/>
          <w:lang w:eastAsia="ja-JP"/>
        </w:rPr>
      </w:pPr>
      <w:r w:rsidRPr="005C7C38">
        <w:rPr>
          <w:rFonts w:eastAsia="Times New Roman"/>
          <w:bCs/>
          <w:szCs w:val="20"/>
        </w:rPr>
        <w:t xml:space="preserve">Only one method is proposed, with no change to the RR, except suppression of Resolution </w:t>
      </w:r>
      <w:r w:rsidRPr="005C7C38">
        <w:rPr>
          <w:rFonts w:eastAsia="Times New Roman"/>
          <w:b/>
          <w:bCs/>
          <w:szCs w:val="20"/>
        </w:rPr>
        <w:t>239 (WRC</w:t>
      </w:r>
      <w:r w:rsidRPr="005C7C38">
        <w:rPr>
          <w:rFonts w:eastAsia="Times New Roman"/>
          <w:b/>
          <w:bCs/>
          <w:szCs w:val="20"/>
        </w:rPr>
        <w:noBreakHyphen/>
        <w:t>15</w:t>
      </w:r>
      <w:r w:rsidRPr="005C7C38">
        <w:rPr>
          <w:rFonts w:eastAsia="Times New Roman"/>
          <w:bCs/>
          <w:szCs w:val="20"/>
        </w:rPr>
        <w:t>).</w:t>
      </w:r>
    </w:p>
    <w:p w:rsidR="0078791B" w:rsidRDefault="0078791B" w:rsidP="00763FE0">
      <w:pPr>
        <w:jc w:val="center"/>
      </w:pPr>
    </w:p>
    <w:p w:rsidR="0078791B" w:rsidRDefault="0078791B" w:rsidP="0078791B">
      <w:pPr>
        <w:jc w:val="both"/>
        <w:rPr>
          <w:b/>
        </w:rPr>
      </w:pPr>
    </w:p>
    <w:p w:rsidR="0078791B" w:rsidRDefault="0078791B" w:rsidP="0078791B">
      <w:pPr>
        <w:jc w:val="both"/>
      </w:pPr>
      <w:r>
        <w:rPr>
          <w:b/>
        </w:rPr>
        <w:lastRenderedPageBreak/>
        <w:t xml:space="preserve">Agenda Item 9.1 Issue 9.1.8: </w:t>
      </w:r>
    </w:p>
    <w:p w:rsidR="0078791B" w:rsidRDefault="0078791B" w:rsidP="0078791B">
      <w:pPr>
        <w:jc w:val="both"/>
        <w:rPr>
          <w:i/>
        </w:rPr>
      </w:pPr>
      <w:r>
        <w:rPr>
          <w:i/>
        </w:rPr>
        <w:t>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Radiocommunication Sector (ITU-R) scope of work, in accordance with Resolution 958 (WRC-15)</w:t>
      </w:r>
    </w:p>
    <w:p w:rsidR="0078791B" w:rsidRDefault="0078791B" w:rsidP="0078791B">
      <w:pPr>
        <w:jc w:val="both"/>
      </w:pPr>
    </w:p>
    <w:p w:rsidR="0078791B" w:rsidRDefault="0078791B" w:rsidP="0078791B">
      <w:pPr>
        <w:jc w:val="both"/>
      </w:pPr>
    </w:p>
    <w:p w:rsidR="0078791B" w:rsidRDefault="0078791B" w:rsidP="0078791B">
      <w:pPr>
        <w:spacing w:after="120"/>
        <w:jc w:val="both"/>
        <w:rPr>
          <w:b/>
          <w:lang w:eastAsia="ko-KR"/>
        </w:rPr>
      </w:pPr>
      <w:r>
        <w:rPr>
          <w:b/>
          <w:lang w:eastAsia="ko-KR"/>
        </w:rPr>
        <w:t>1. Background</w:t>
      </w:r>
    </w:p>
    <w:p w:rsidR="0078791B" w:rsidRDefault="0078791B" w:rsidP="0078791B">
      <w:pPr>
        <w:jc w:val="both"/>
      </w:pPr>
      <w:r>
        <w:t xml:space="preserve">Resolution 958 (WRC-15) calls for ITU-R to study technical and operational aspects of radio networks and systems, as well as spectrum needed, including possible harmonized use of spectrum for narrowband and broadband machine-type communication (MTC) infrastructure in order to develop Recommendations, Reports and/or Handbooks, as appropriate. </w:t>
      </w:r>
    </w:p>
    <w:p w:rsidR="0078791B" w:rsidRDefault="0078791B" w:rsidP="0078791B">
      <w:pPr>
        <w:jc w:val="both"/>
      </w:pPr>
    </w:p>
    <w:p w:rsidR="0078791B" w:rsidRDefault="0078791B" w:rsidP="0078791B">
      <w:pPr>
        <w:jc w:val="both"/>
      </w:pPr>
      <w:r>
        <w:t xml:space="preserve">ITU-R Working Party 5D (WP 5D), which is the responsible group on Agenda Item 9.1 (Issue 9.1.8), have completed the task of drafting new </w:t>
      </w:r>
      <w:hyperlink r:id="rId8" w:history="1">
        <w:r>
          <w:rPr>
            <w:rStyle w:val="Hyperlink"/>
          </w:rPr>
          <w:t>Report ITU-R M.[IMT. MTC]</w:t>
        </w:r>
      </w:hyperlink>
      <w:r>
        <w:t xml:space="preserve"> - The use of the terrestrial component of International Mobile Telecommunications (IMT) for Narrowband Broadband Machine-Type Communications and have elevated it to a new report in WP 5D. The document has been submitted to Study Group 5 for consideration and action.</w:t>
      </w:r>
    </w:p>
    <w:p w:rsidR="0078791B" w:rsidRDefault="0078791B" w:rsidP="0078791B">
      <w:pPr>
        <w:jc w:val="both"/>
      </w:pPr>
    </w:p>
    <w:p w:rsidR="0078791B" w:rsidRDefault="0078791B" w:rsidP="0078791B">
      <w:pPr>
        <w:jc w:val="both"/>
      </w:pPr>
      <w:r>
        <w:t xml:space="preserve">The CPM text for this agenda item concluded that there is no need to take any regulatory action in the Radio Regulations with respect to specific spectrum for the use of narrowband and broadband MTC applications in the Radio Regulations. </w:t>
      </w:r>
    </w:p>
    <w:p w:rsidR="0078791B" w:rsidRDefault="0078791B" w:rsidP="0078791B">
      <w:pPr>
        <w:jc w:val="both"/>
      </w:pPr>
    </w:p>
    <w:p w:rsidR="0078791B" w:rsidRDefault="0078791B" w:rsidP="0078791B">
      <w:pPr>
        <w:jc w:val="both"/>
      </w:pPr>
    </w:p>
    <w:p w:rsidR="0078791B" w:rsidRDefault="0078791B" w:rsidP="0078791B">
      <w:pPr>
        <w:jc w:val="both"/>
        <w:rPr>
          <w:b/>
        </w:rPr>
      </w:pPr>
      <w:r>
        <w:rPr>
          <w:b/>
        </w:rPr>
        <w:t>2. Preliminary Views</w:t>
      </w:r>
    </w:p>
    <w:p w:rsidR="0078791B" w:rsidRDefault="0078791B" w:rsidP="0078791B">
      <w:pPr>
        <w:jc w:val="both"/>
      </w:pPr>
    </w:p>
    <w:p w:rsidR="0078791B" w:rsidRDefault="0078791B" w:rsidP="0078791B">
      <w:pPr>
        <w:jc w:val="both"/>
      </w:pPr>
      <w:r>
        <w:t>India’s is of the view that narrowband and broadband machine-type communication infrastructures should be able to use existing frequency bands allocated to MOBILE service. This includes frequency bands identified for IMT.</w:t>
      </w:r>
    </w:p>
    <w:p w:rsidR="0078791B" w:rsidRDefault="0078791B" w:rsidP="0078791B">
      <w:pPr>
        <w:jc w:val="both"/>
      </w:pPr>
      <w:r>
        <w:t>As concluded in the CPM text:</w:t>
      </w:r>
    </w:p>
    <w:p w:rsidR="0078791B" w:rsidRDefault="0078791B" w:rsidP="0078791B">
      <w:pPr>
        <w:jc w:val="both"/>
      </w:pPr>
    </w:p>
    <w:p w:rsidR="0078791B" w:rsidRDefault="0078791B" w:rsidP="0078791B">
      <w:pPr>
        <w:pStyle w:val="ListParagraph"/>
        <w:numPr>
          <w:ilvl w:val="0"/>
          <w:numId w:val="35"/>
        </w:numPr>
        <w:jc w:val="both"/>
      </w:pPr>
      <w:r>
        <w:t xml:space="preserve">there is no need to identify specific spectrum for those applications in the Radio Regulations. </w:t>
      </w:r>
    </w:p>
    <w:p w:rsidR="0078791B" w:rsidRDefault="0078791B" w:rsidP="0078791B">
      <w:pPr>
        <w:pStyle w:val="ListParagraph"/>
        <w:numPr>
          <w:ilvl w:val="0"/>
          <w:numId w:val="35"/>
        </w:numPr>
        <w:jc w:val="both"/>
      </w:pPr>
      <w:r>
        <w:t>There is no need for any regulatory action in the Radio Regulations with regard to specific spectrum requirement for MTC.</w:t>
      </w:r>
    </w:p>
    <w:p w:rsidR="0078791B" w:rsidRDefault="0078791B" w:rsidP="0078791B">
      <w:pPr>
        <w:pStyle w:val="ListParagraph"/>
        <w:numPr>
          <w:ilvl w:val="0"/>
          <w:numId w:val="35"/>
        </w:numPr>
        <w:jc w:val="both"/>
      </w:pPr>
      <w:r>
        <w:t>there may be other ways to address the harmonized use of spectrum to support the implementation of narrowband and broadband MTC.</w:t>
      </w:r>
    </w:p>
    <w:p w:rsidR="0078791B" w:rsidRDefault="0078791B" w:rsidP="0078791B">
      <w:pPr>
        <w:pStyle w:val="ListParagraph"/>
        <w:numPr>
          <w:ilvl w:val="0"/>
          <w:numId w:val="35"/>
        </w:numPr>
        <w:jc w:val="both"/>
      </w:pPr>
      <w:r>
        <w:t xml:space="preserve">The study of technical and operational aspects including the potential harmonized spectrum usage to support the implementation of narrowband and broadband MTC infrastructures could be further accomplished through the course of the work in ITU-R Study Groups including the development of ITU-R Recommendations, Reports and/or Handbooks, as appropriate. </w:t>
      </w:r>
    </w:p>
    <w:p w:rsidR="0078791B" w:rsidRDefault="0078791B" w:rsidP="0078791B"/>
    <w:p w:rsidR="00763FE0" w:rsidRDefault="001F272B" w:rsidP="00763FE0">
      <w:pPr>
        <w:jc w:val="center"/>
        <w:rPr>
          <w:snapToGrid w:val="0"/>
        </w:rPr>
      </w:pPr>
      <w:r>
        <w:t>_________________________________________________________________</w:t>
      </w:r>
      <w:r w:rsidR="00763FE0">
        <w:t>____________</w:t>
      </w:r>
    </w:p>
    <w:p w:rsidR="00763FE0" w:rsidRDefault="00763FE0" w:rsidP="00763FE0">
      <w:pPr>
        <w:spacing w:before="120" w:after="120"/>
        <w:rPr>
          <w:lang w:val="en-GB"/>
        </w:rPr>
      </w:pPr>
      <w:r>
        <w:rPr>
          <w:lang w:val="en-GB"/>
        </w:rPr>
        <w:t xml:space="preserve"> </w:t>
      </w:r>
    </w:p>
    <w:p w:rsidR="00DA7595" w:rsidRPr="009A4A6D" w:rsidRDefault="00DA7595" w:rsidP="009A4A6D">
      <w:pPr>
        <w:jc w:val="center"/>
        <w:rPr>
          <w:snapToGrid w:val="0"/>
        </w:rPr>
      </w:pPr>
    </w:p>
    <w:sectPr w:rsidR="00DA7595" w:rsidRPr="009A4A6D"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6F4" w:rsidRDefault="001806F4">
      <w:r>
        <w:separator/>
      </w:r>
    </w:p>
  </w:endnote>
  <w:endnote w:type="continuationSeparator" w:id="0">
    <w:p w:rsidR="001806F4" w:rsidRDefault="0018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D86EDC"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1A25A5" w:rsidP="001A25A5">
    <w:pPr>
      <w:pStyle w:val="Footer"/>
      <w:ind w:right="360"/>
    </w:pPr>
    <w:r>
      <w:rPr>
        <w:rFonts w:hint="eastAsia"/>
        <w:lang w:eastAsia="ko-KR"/>
      </w:rPr>
      <w:t>A</w:t>
    </w:r>
    <w:r>
      <w:rPr>
        <w:lang w:eastAsia="ko-KR"/>
      </w:rPr>
      <w:t>PG19</w:t>
    </w:r>
    <w:r>
      <w:rPr>
        <w:rFonts w:hint="eastAsia"/>
        <w:lang w:eastAsia="ko-KR"/>
      </w:rPr>
      <w:t>-</w:t>
    </w:r>
    <w:r>
      <w:rPr>
        <w:lang w:eastAsia="ko-KR"/>
      </w:rPr>
      <w:t>4</w:t>
    </w:r>
    <w:r>
      <w:rPr>
        <w:rFonts w:hint="eastAsia"/>
        <w:lang w:eastAsia="ko-KR"/>
      </w:rPr>
      <w:t>/</w:t>
    </w:r>
    <w:r>
      <w:rPr>
        <w:lang w:eastAsia="ko-KR"/>
      </w:rPr>
      <w:t>INP-</w:t>
    </w:r>
    <w:r w:rsidR="00FB0D60">
      <w:rPr>
        <w:lang w:eastAsia="ko-KR"/>
      </w:rPr>
      <w:t>114</w:t>
    </w:r>
    <w:r>
      <w:rPr>
        <w:lang w:eastAsia="ko-KR"/>
      </w:rPr>
      <w:tab/>
    </w:r>
    <w:r>
      <w:rPr>
        <w:lang w:eastAsia="ko-KR"/>
      </w:rPr>
      <w:tab/>
    </w:r>
    <w:r w:rsidR="002C7EA9" w:rsidRPr="002C7EA9">
      <w:rPr>
        <w:rStyle w:val="PageNumber"/>
      </w:rPr>
      <w:t xml:space="preserve">Page </w:t>
    </w:r>
    <w:r w:rsidR="00D86EDC" w:rsidRPr="002C7EA9">
      <w:rPr>
        <w:rStyle w:val="PageNumber"/>
      </w:rPr>
      <w:fldChar w:fldCharType="begin"/>
    </w:r>
    <w:r w:rsidR="002C7EA9" w:rsidRPr="002C7EA9">
      <w:rPr>
        <w:rStyle w:val="PageNumber"/>
      </w:rPr>
      <w:instrText xml:space="preserve"> PAGE </w:instrText>
    </w:r>
    <w:r w:rsidR="00D86EDC" w:rsidRPr="002C7EA9">
      <w:rPr>
        <w:rStyle w:val="PageNumber"/>
      </w:rPr>
      <w:fldChar w:fldCharType="separate"/>
    </w:r>
    <w:r w:rsidR="00FB0D60">
      <w:rPr>
        <w:rStyle w:val="PageNumber"/>
        <w:noProof/>
      </w:rPr>
      <w:t>8</w:t>
    </w:r>
    <w:r w:rsidR="00D86EDC" w:rsidRPr="002C7EA9">
      <w:rPr>
        <w:rStyle w:val="PageNumber"/>
      </w:rPr>
      <w:fldChar w:fldCharType="end"/>
    </w:r>
    <w:r w:rsidR="002C7EA9" w:rsidRPr="002C7EA9">
      <w:rPr>
        <w:rStyle w:val="PageNumber"/>
      </w:rPr>
      <w:t xml:space="preserve"> of </w:t>
    </w:r>
    <w:r w:rsidR="00D86EDC" w:rsidRPr="002C7EA9">
      <w:rPr>
        <w:rStyle w:val="PageNumber"/>
      </w:rPr>
      <w:fldChar w:fldCharType="begin"/>
    </w:r>
    <w:r w:rsidR="002C7EA9" w:rsidRPr="002C7EA9">
      <w:rPr>
        <w:rStyle w:val="PageNumber"/>
      </w:rPr>
      <w:instrText xml:space="preserve"> NUMPAGES </w:instrText>
    </w:r>
    <w:r w:rsidR="00D86EDC" w:rsidRPr="002C7EA9">
      <w:rPr>
        <w:rStyle w:val="PageNumber"/>
      </w:rPr>
      <w:fldChar w:fldCharType="separate"/>
    </w:r>
    <w:r w:rsidR="00FB0D60">
      <w:rPr>
        <w:rStyle w:val="PageNumber"/>
        <w:noProof/>
      </w:rPr>
      <w:t>8</w:t>
    </w:r>
    <w:r w:rsidR="00D86EDC"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rsidRPr="001A25A5">
      <w:trPr>
        <w:cantSplit/>
        <w:trHeight w:val="204"/>
        <w:jc w:val="center"/>
      </w:trPr>
      <w:tc>
        <w:tcPr>
          <w:tcW w:w="1617" w:type="dxa"/>
          <w:tcBorders>
            <w:top w:val="single" w:sz="12" w:space="0" w:color="auto"/>
          </w:tcBorders>
        </w:tcPr>
        <w:p w:rsidR="0097693B" w:rsidRPr="001A25A5" w:rsidRDefault="0097693B" w:rsidP="00762576">
          <w:pPr>
            <w:rPr>
              <w:b/>
              <w:bCs/>
            </w:rPr>
          </w:pPr>
          <w:r w:rsidRPr="001A25A5">
            <w:rPr>
              <w:b/>
              <w:bCs/>
            </w:rPr>
            <w:t>Contact:</w:t>
          </w:r>
        </w:p>
      </w:tc>
      <w:tc>
        <w:tcPr>
          <w:tcW w:w="4394" w:type="dxa"/>
          <w:tcBorders>
            <w:top w:val="single" w:sz="12" w:space="0" w:color="auto"/>
          </w:tcBorders>
        </w:tcPr>
        <w:p w:rsidR="0097693B" w:rsidRPr="001A25A5" w:rsidRDefault="0097693B" w:rsidP="00762576">
          <w:pPr>
            <w:pStyle w:val="Equation"/>
            <w:tabs>
              <w:tab w:val="clear" w:pos="4820"/>
              <w:tab w:val="clear" w:pos="9639"/>
              <w:tab w:val="left" w:pos="1191"/>
              <w:tab w:val="left" w:pos="1588"/>
              <w:tab w:val="left" w:pos="1985"/>
            </w:tabs>
            <w:spacing w:beforeLines="0"/>
            <w:rPr>
              <w:rFonts w:eastAsia="Batang"/>
              <w:szCs w:val="24"/>
              <w:lang w:eastAsia="ko-KR"/>
            </w:rPr>
          </w:pPr>
          <w:r w:rsidRPr="001A25A5">
            <w:rPr>
              <w:rFonts w:eastAsia="Batang" w:hint="eastAsia"/>
              <w:szCs w:val="24"/>
              <w:lang w:eastAsia="ko-KR"/>
            </w:rPr>
            <w:t>NAME</w:t>
          </w:r>
          <w:r w:rsidR="00B84BAD">
            <w:rPr>
              <w:rFonts w:eastAsia="Batang"/>
              <w:szCs w:val="24"/>
              <w:lang w:eastAsia="ko-KR"/>
            </w:rPr>
            <w:t xml:space="preserve"> (Wireless Adviser)</w:t>
          </w:r>
        </w:p>
        <w:p w:rsidR="007B7902" w:rsidRDefault="007B7902" w:rsidP="007B7902">
          <w:pPr>
            <w:pStyle w:val="Equation"/>
            <w:tabs>
              <w:tab w:val="clear" w:pos="4820"/>
              <w:tab w:val="clear" w:pos="9639"/>
              <w:tab w:val="left" w:pos="1191"/>
              <w:tab w:val="left" w:pos="1588"/>
              <w:tab w:val="left" w:pos="1985"/>
            </w:tabs>
            <w:spacing w:beforeLines="0"/>
            <w:rPr>
              <w:rFonts w:eastAsia="Batang"/>
              <w:szCs w:val="24"/>
              <w:lang w:eastAsia="ko-KR"/>
            </w:rPr>
          </w:pPr>
          <w:r>
            <w:rPr>
              <w:rFonts w:eastAsia="Batang"/>
              <w:szCs w:val="24"/>
              <w:lang w:eastAsia="ko-KR"/>
            </w:rPr>
            <w:t>Department of Telecom</w:t>
          </w:r>
          <w:r w:rsidR="0097693B" w:rsidRPr="001A25A5">
            <w:rPr>
              <w:rFonts w:eastAsia="Batang" w:hint="eastAsia"/>
              <w:szCs w:val="24"/>
              <w:lang w:eastAsia="ko-KR"/>
            </w:rPr>
            <w:t xml:space="preserve">, </w:t>
          </w:r>
        </w:p>
        <w:p w:rsidR="0097693B" w:rsidRPr="001A25A5" w:rsidRDefault="007B7902" w:rsidP="007B7902">
          <w:pPr>
            <w:pStyle w:val="Equation"/>
            <w:tabs>
              <w:tab w:val="clear" w:pos="4820"/>
              <w:tab w:val="clear" w:pos="9639"/>
              <w:tab w:val="left" w:pos="1191"/>
              <w:tab w:val="left" w:pos="1588"/>
              <w:tab w:val="left" w:pos="1985"/>
            </w:tabs>
            <w:spacing w:beforeLines="0"/>
            <w:rPr>
              <w:rFonts w:eastAsia="Batang"/>
              <w:szCs w:val="24"/>
            </w:rPr>
          </w:pPr>
          <w:r>
            <w:rPr>
              <w:rFonts w:eastAsia="Batang"/>
              <w:szCs w:val="24"/>
              <w:lang w:eastAsia="ko-KR"/>
            </w:rPr>
            <w:t>India</w:t>
          </w:r>
        </w:p>
      </w:tc>
      <w:tc>
        <w:tcPr>
          <w:tcW w:w="3912" w:type="dxa"/>
          <w:tcBorders>
            <w:top w:val="single" w:sz="12" w:space="0" w:color="auto"/>
          </w:tcBorders>
        </w:tcPr>
        <w:p w:rsidR="0097693B" w:rsidRPr="001A25A5" w:rsidRDefault="0097693B" w:rsidP="00762576">
          <w:pPr>
            <w:rPr>
              <w:lang w:eastAsia="ja-JP"/>
            </w:rPr>
          </w:pPr>
          <w:r w:rsidRPr="001A25A5">
            <w:t>Email</w:t>
          </w:r>
          <w:r w:rsidRPr="001A25A5">
            <w:rPr>
              <w:rFonts w:hint="eastAsia"/>
            </w:rPr>
            <w:t xml:space="preserve">: </w:t>
          </w:r>
          <w:r w:rsidR="00B84BAD">
            <w:t>wawpc@nic.in</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6F4" w:rsidRDefault="001806F4">
      <w:r>
        <w:separator/>
      </w:r>
    </w:p>
  </w:footnote>
  <w:footnote w:type="continuationSeparator" w:id="0">
    <w:p w:rsidR="001806F4" w:rsidRDefault="00180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C15633">
    <w:pPr>
      <w:pStyle w:val="Header"/>
      <w:tabs>
        <w:tab w:val="center" w:pos="4763"/>
        <w:tab w:val="left" w:pos="5820"/>
      </w:tabs>
      <w:rPr>
        <w:lang w:eastAsia="ko-KR"/>
      </w:rPr>
    </w:pPr>
    <w:r>
      <w:rPr>
        <w:lang w:eastAsia="ko-KR"/>
      </w:rPr>
      <w:tab/>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82F44"/>
    <w:multiLevelType w:val="hybridMultilevel"/>
    <w:tmpl w:val="680AA59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96CC3"/>
    <w:multiLevelType w:val="hybridMultilevel"/>
    <w:tmpl w:val="6FCEC49E"/>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D5A6FE3"/>
    <w:multiLevelType w:val="hybridMultilevel"/>
    <w:tmpl w:val="5D36356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104D19C8"/>
    <w:multiLevelType w:val="hybridMultilevel"/>
    <w:tmpl w:val="75248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B666C"/>
    <w:multiLevelType w:val="hybridMultilevel"/>
    <w:tmpl w:val="104ECBE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0EE0E76"/>
    <w:multiLevelType w:val="hybridMultilevel"/>
    <w:tmpl w:val="DAD844D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8FE5BB0"/>
    <w:multiLevelType w:val="hybridMultilevel"/>
    <w:tmpl w:val="621A0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4234D"/>
    <w:multiLevelType w:val="hybridMultilevel"/>
    <w:tmpl w:val="F4E2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CE569DC"/>
    <w:multiLevelType w:val="hybridMultilevel"/>
    <w:tmpl w:val="F822FC8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3DE53EE8"/>
    <w:multiLevelType w:val="hybridMultilevel"/>
    <w:tmpl w:val="CFFA549A"/>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hint="default"/>
      </w:rPr>
    </w:lvl>
    <w:lvl w:ilvl="2" w:tplc="04090005">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7" w15:restartNumberingAfterBreak="0">
    <w:nsid w:val="3F847525"/>
    <w:multiLevelType w:val="hybridMultilevel"/>
    <w:tmpl w:val="DCF094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6A97BDB"/>
    <w:multiLevelType w:val="hybridMultilevel"/>
    <w:tmpl w:val="29E21798"/>
    <w:lvl w:ilvl="0" w:tplc="24DC94B6">
      <w:start w:val="1"/>
      <w:numFmt w:val="decimal"/>
      <w:lvlText w:val="3.3.%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0050669"/>
    <w:multiLevelType w:val="multilevel"/>
    <w:tmpl w:val="C5DAEAA6"/>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10F7FEF"/>
    <w:multiLevelType w:val="hybridMultilevel"/>
    <w:tmpl w:val="88BC3406"/>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1" w15:restartNumberingAfterBreak="0">
    <w:nsid w:val="527A496B"/>
    <w:multiLevelType w:val="hybridMultilevel"/>
    <w:tmpl w:val="F964F7E8"/>
    <w:lvl w:ilvl="0" w:tplc="6BC0441E">
      <w:start w:val="1"/>
      <w:numFmt w:val="bullet"/>
      <w:lvlText w:val="-"/>
      <w:lvlJc w:val="left"/>
      <w:pPr>
        <w:ind w:left="720" w:hanging="360"/>
      </w:pPr>
      <w:rPr>
        <w:rFonts w:ascii="Times New Roman" w:eastAsia="BatangChe"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A4B43F8"/>
    <w:multiLevelType w:val="hybridMultilevel"/>
    <w:tmpl w:val="7C3EBBC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B482EDC"/>
    <w:multiLevelType w:val="hybridMultilevel"/>
    <w:tmpl w:val="BA865042"/>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DF71D4E"/>
    <w:multiLevelType w:val="hybridMultilevel"/>
    <w:tmpl w:val="2182BD1A"/>
    <w:lvl w:ilvl="0" w:tplc="CCB4D29C">
      <w:numFmt w:val="bullet"/>
      <w:lvlText w:val="-"/>
      <w:lvlJc w:val="left"/>
      <w:pPr>
        <w:ind w:left="720" w:hanging="360"/>
      </w:pPr>
      <w:rPr>
        <w:rFonts w:ascii="Times New Roman" w:eastAsia="BatangChe"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689D2E0C"/>
    <w:multiLevelType w:val="hybridMultilevel"/>
    <w:tmpl w:val="EDF0BCB8"/>
    <w:lvl w:ilvl="0" w:tplc="4F18BF6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A01F2F"/>
    <w:multiLevelType w:val="hybridMultilevel"/>
    <w:tmpl w:val="F05A649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714944A8"/>
    <w:multiLevelType w:val="hybridMultilevel"/>
    <w:tmpl w:val="F93063E0"/>
    <w:lvl w:ilvl="0" w:tplc="7722F8DE">
      <w:start w:val="3"/>
      <w:numFmt w:val="decimal"/>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2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9" w15:restartNumberingAfterBreak="0">
    <w:nsid w:val="7BF943ED"/>
    <w:multiLevelType w:val="hybridMultilevel"/>
    <w:tmpl w:val="3DEE2074"/>
    <w:lvl w:ilvl="0" w:tplc="CCB4D29C">
      <w:numFmt w:val="bullet"/>
      <w:lvlText w:val="-"/>
      <w:lvlJc w:val="left"/>
      <w:pPr>
        <w:ind w:left="720" w:hanging="360"/>
      </w:pPr>
      <w:rPr>
        <w:rFonts w:ascii="Times New Roman" w:eastAsia="BatangChe"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7CD25B8C"/>
    <w:multiLevelType w:val="hybridMultilevel"/>
    <w:tmpl w:val="C58AB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8"/>
  </w:num>
  <w:num w:numId="4">
    <w:abstractNumId w:val="28"/>
  </w:num>
  <w:num w:numId="5">
    <w:abstractNumId w:val="12"/>
  </w:num>
  <w:num w:numId="6">
    <w:abstractNumId w:val="14"/>
  </w:num>
  <w:num w:numId="7">
    <w:abstractNumId w:val="6"/>
  </w:num>
  <w:num w:numId="8">
    <w:abstractNumId w:val="3"/>
  </w:num>
  <w:num w:numId="9">
    <w:abstractNumId w:val="5"/>
  </w:num>
  <w:num w:numId="10">
    <w:abstractNumId w:val="24"/>
  </w:num>
  <w:num w:numId="11">
    <w:abstractNumId w:val="29"/>
  </w:num>
  <w:num w:numId="12">
    <w:abstractNumId w:val="17"/>
  </w:num>
  <w:num w:numId="13">
    <w:abstractNumId w:val="23"/>
  </w:num>
  <w:num w:numId="14">
    <w:abstractNumId w:val="19"/>
  </w:num>
  <w:num w:numId="15">
    <w:abstractNumId w:val="11"/>
  </w:num>
  <w:num w:numId="16">
    <w:abstractNumId w:val="16"/>
  </w:num>
  <w:num w:numId="17">
    <w:abstractNumId w:val="10"/>
  </w:num>
  <w:num w:numId="18">
    <w:abstractNumId w:val="30"/>
  </w:num>
  <w:num w:numId="19">
    <w:abstractNumId w:val="0"/>
  </w:num>
  <w:num w:numId="20">
    <w:abstractNumId w:val="15"/>
  </w:num>
  <w:num w:numId="21">
    <w:abstractNumId w:val="22"/>
  </w:num>
  <w:num w:numId="22">
    <w:abstractNumId w:val="2"/>
  </w:num>
  <w:num w:numId="23">
    <w:abstractNumId w:val="18"/>
  </w:num>
  <w:num w:numId="24">
    <w:abstractNumId w:val="4"/>
  </w:num>
  <w:num w:numId="25">
    <w:abstractNumId w:val="25"/>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6"/>
  </w:num>
  <w:num w:numId="29">
    <w:abstractNumId w:val="10"/>
  </w:num>
  <w:num w:numId="30">
    <w:abstractNumId w:val="27"/>
  </w:num>
  <w:num w:numId="31">
    <w:abstractNumId w:val="1"/>
  </w:num>
  <w:num w:numId="32">
    <w:abstractNumId w:val="21"/>
  </w:num>
  <w:num w:numId="33">
    <w:abstractNumId w:val="7"/>
  </w:num>
  <w:num w:numId="34">
    <w:abstractNumId w:val="26"/>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
  <w:rsids>
    <w:rsidRoot w:val="002774D2"/>
    <w:rsid w:val="0000593D"/>
    <w:rsid w:val="0003595B"/>
    <w:rsid w:val="0004637B"/>
    <w:rsid w:val="000476FF"/>
    <w:rsid w:val="000713CF"/>
    <w:rsid w:val="00074C15"/>
    <w:rsid w:val="00075A9E"/>
    <w:rsid w:val="000A5418"/>
    <w:rsid w:val="000F0037"/>
    <w:rsid w:val="000F517C"/>
    <w:rsid w:val="000F5540"/>
    <w:rsid w:val="001539DD"/>
    <w:rsid w:val="001806F4"/>
    <w:rsid w:val="00185484"/>
    <w:rsid w:val="00196568"/>
    <w:rsid w:val="001A25A5"/>
    <w:rsid w:val="001A2F16"/>
    <w:rsid w:val="001B18C2"/>
    <w:rsid w:val="001B53A3"/>
    <w:rsid w:val="001D5D7E"/>
    <w:rsid w:val="001E2E4D"/>
    <w:rsid w:val="001F272B"/>
    <w:rsid w:val="0024180D"/>
    <w:rsid w:val="00251C6C"/>
    <w:rsid w:val="00254A1B"/>
    <w:rsid w:val="00271407"/>
    <w:rsid w:val="002774D2"/>
    <w:rsid w:val="0028454D"/>
    <w:rsid w:val="00291C9E"/>
    <w:rsid w:val="002926D4"/>
    <w:rsid w:val="002A629D"/>
    <w:rsid w:val="002B441E"/>
    <w:rsid w:val="002C07DA"/>
    <w:rsid w:val="002C440C"/>
    <w:rsid w:val="002C7EA9"/>
    <w:rsid w:val="002F7ED7"/>
    <w:rsid w:val="00304556"/>
    <w:rsid w:val="00322C77"/>
    <w:rsid w:val="00334551"/>
    <w:rsid w:val="00342F20"/>
    <w:rsid w:val="00366905"/>
    <w:rsid w:val="003809C7"/>
    <w:rsid w:val="003B6263"/>
    <w:rsid w:val="003C64A7"/>
    <w:rsid w:val="003D18CC"/>
    <w:rsid w:val="003D3FDA"/>
    <w:rsid w:val="003F1440"/>
    <w:rsid w:val="003F77B9"/>
    <w:rsid w:val="00410D4A"/>
    <w:rsid w:val="00417938"/>
    <w:rsid w:val="00420822"/>
    <w:rsid w:val="00431CE7"/>
    <w:rsid w:val="0045458F"/>
    <w:rsid w:val="004633B4"/>
    <w:rsid w:val="00486D97"/>
    <w:rsid w:val="0049230E"/>
    <w:rsid w:val="004A7510"/>
    <w:rsid w:val="004B3553"/>
    <w:rsid w:val="004B58BD"/>
    <w:rsid w:val="004B679F"/>
    <w:rsid w:val="004C69FB"/>
    <w:rsid w:val="004D2144"/>
    <w:rsid w:val="004E4F8C"/>
    <w:rsid w:val="0051247F"/>
    <w:rsid w:val="00527873"/>
    <w:rsid w:val="00530E8C"/>
    <w:rsid w:val="00532B32"/>
    <w:rsid w:val="00535B1E"/>
    <w:rsid w:val="00536308"/>
    <w:rsid w:val="00545933"/>
    <w:rsid w:val="0054593C"/>
    <w:rsid w:val="005470A1"/>
    <w:rsid w:val="005554B7"/>
    <w:rsid w:val="00557544"/>
    <w:rsid w:val="005625FB"/>
    <w:rsid w:val="0057272F"/>
    <w:rsid w:val="00581B51"/>
    <w:rsid w:val="00587875"/>
    <w:rsid w:val="005A2F71"/>
    <w:rsid w:val="005A6FF8"/>
    <w:rsid w:val="005B1454"/>
    <w:rsid w:val="005B1A83"/>
    <w:rsid w:val="005B7A5B"/>
    <w:rsid w:val="005D6C24"/>
    <w:rsid w:val="00607E2B"/>
    <w:rsid w:val="006139D6"/>
    <w:rsid w:val="0061674E"/>
    <w:rsid w:val="00623CE1"/>
    <w:rsid w:val="0063062B"/>
    <w:rsid w:val="00630D27"/>
    <w:rsid w:val="00667229"/>
    <w:rsid w:val="00682307"/>
    <w:rsid w:val="00682BE5"/>
    <w:rsid w:val="00690FED"/>
    <w:rsid w:val="006939A5"/>
    <w:rsid w:val="006A0110"/>
    <w:rsid w:val="006A4050"/>
    <w:rsid w:val="006B460F"/>
    <w:rsid w:val="006D19A8"/>
    <w:rsid w:val="006D7E46"/>
    <w:rsid w:val="0070101B"/>
    <w:rsid w:val="00706309"/>
    <w:rsid w:val="00712451"/>
    <w:rsid w:val="007238E2"/>
    <w:rsid w:val="00725D50"/>
    <w:rsid w:val="00731041"/>
    <w:rsid w:val="00732F08"/>
    <w:rsid w:val="0074190C"/>
    <w:rsid w:val="0074313F"/>
    <w:rsid w:val="00762576"/>
    <w:rsid w:val="00763BAE"/>
    <w:rsid w:val="00763FE0"/>
    <w:rsid w:val="0078791B"/>
    <w:rsid w:val="00791060"/>
    <w:rsid w:val="007B5626"/>
    <w:rsid w:val="007B7902"/>
    <w:rsid w:val="007D5DD9"/>
    <w:rsid w:val="007E644E"/>
    <w:rsid w:val="0080570B"/>
    <w:rsid w:val="0081259D"/>
    <w:rsid w:val="008148E1"/>
    <w:rsid w:val="008319BF"/>
    <w:rsid w:val="008423A0"/>
    <w:rsid w:val="00843A32"/>
    <w:rsid w:val="00891381"/>
    <w:rsid w:val="008A34BD"/>
    <w:rsid w:val="008D0E09"/>
    <w:rsid w:val="008D3A66"/>
    <w:rsid w:val="008F04F4"/>
    <w:rsid w:val="0092602A"/>
    <w:rsid w:val="00942A52"/>
    <w:rsid w:val="00945EE4"/>
    <w:rsid w:val="00967908"/>
    <w:rsid w:val="0097693B"/>
    <w:rsid w:val="00993355"/>
    <w:rsid w:val="009A30B9"/>
    <w:rsid w:val="009A4A6D"/>
    <w:rsid w:val="00A0067C"/>
    <w:rsid w:val="00A13265"/>
    <w:rsid w:val="00A2252D"/>
    <w:rsid w:val="00A638AF"/>
    <w:rsid w:val="00A71136"/>
    <w:rsid w:val="00A81E0E"/>
    <w:rsid w:val="00AA474C"/>
    <w:rsid w:val="00AA68FA"/>
    <w:rsid w:val="00AB1142"/>
    <w:rsid w:val="00AD7E5F"/>
    <w:rsid w:val="00B01AA1"/>
    <w:rsid w:val="00B15DAF"/>
    <w:rsid w:val="00B16263"/>
    <w:rsid w:val="00B2048F"/>
    <w:rsid w:val="00B24516"/>
    <w:rsid w:val="00B30C81"/>
    <w:rsid w:val="00B4793B"/>
    <w:rsid w:val="00B63378"/>
    <w:rsid w:val="00B640B4"/>
    <w:rsid w:val="00B81B47"/>
    <w:rsid w:val="00B84BAD"/>
    <w:rsid w:val="00B90659"/>
    <w:rsid w:val="00BB5EA5"/>
    <w:rsid w:val="00C15633"/>
    <w:rsid w:val="00C15799"/>
    <w:rsid w:val="00C22134"/>
    <w:rsid w:val="00C357AD"/>
    <w:rsid w:val="00C52A40"/>
    <w:rsid w:val="00C6069C"/>
    <w:rsid w:val="00C72449"/>
    <w:rsid w:val="00C85119"/>
    <w:rsid w:val="00CB23DA"/>
    <w:rsid w:val="00CD5431"/>
    <w:rsid w:val="00CF2491"/>
    <w:rsid w:val="00D1252E"/>
    <w:rsid w:val="00D15036"/>
    <w:rsid w:val="00D15978"/>
    <w:rsid w:val="00D21013"/>
    <w:rsid w:val="00D57772"/>
    <w:rsid w:val="00D60B3D"/>
    <w:rsid w:val="00D67A54"/>
    <w:rsid w:val="00D71E74"/>
    <w:rsid w:val="00D72AE3"/>
    <w:rsid w:val="00D75A4D"/>
    <w:rsid w:val="00D8478B"/>
    <w:rsid w:val="00D86151"/>
    <w:rsid w:val="00D86EDC"/>
    <w:rsid w:val="00D909DA"/>
    <w:rsid w:val="00DA7595"/>
    <w:rsid w:val="00DB0A68"/>
    <w:rsid w:val="00DC2329"/>
    <w:rsid w:val="00DC43A3"/>
    <w:rsid w:val="00DD3F41"/>
    <w:rsid w:val="00DD47A8"/>
    <w:rsid w:val="00DD7C09"/>
    <w:rsid w:val="00DF5A96"/>
    <w:rsid w:val="00E0124F"/>
    <w:rsid w:val="00E41173"/>
    <w:rsid w:val="00E51174"/>
    <w:rsid w:val="00E674D3"/>
    <w:rsid w:val="00E70FD0"/>
    <w:rsid w:val="00E80524"/>
    <w:rsid w:val="00E91D24"/>
    <w:rsid w:val="00EC38A0"/>
    <w:rsid w:val="00EE404B"/>
    <w:rsid w:val="00F02E7F"/>
    <w:rsid w:val="00F24745"/>
    <w:rsid w:val="00F84067"/>
    <w:rsid w:val="00FA6793"/>
    <w:rsid w:val="00FA6D36"/>
    <w:rsid w:val="00FB0D60"/>
    <w:rsid w:val="00FE3DE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6457D8-51E2-461B-93FF-27C61AE6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3">
    <w:name w:val="heading 3"/>
    <w:basedOn w:val="Normal"/>
    <w:next w:val="Normal"/>
    <w:link w:val="Heading3Char"/>
    <w:semiHidden/>
    <w:unhideWhenUsed/>
    <w:qFormat/>
    <w:rsid w:val="001E2E4D"/>
    <w:pPr>
      <w:keepNext/>
      <w:keepLines/>
      <w:spacing w:before="40"/>
      <w:outlineLvl w:val="2"/>
    </w:pPr>
    <w:rPr>
      <w:rFonts w:asciiTheme="majorHAnsi" w:eastAsiaTheme="majorEastAsia" w:hAnsiTheme="majorHAnsi" w:cstheme="majorBidi"/>
      <w:color w:val="243F60" w:themeColor="accent1" w:themeShade="7F"/>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075A9E"/>
    <w:pPr>
      <w:ind w:left="720"/>
      <w:contextualSpacing/>
    </w:pPr>
  </w:style>
  <w:style w:type="character" w:styleId="Hyperlink">
    <w:name w:val="Hyperlink"/>
    <w:basedOn w:val="DefaultParagraphFont"/>
    <w:unhideWhenUsed/>
    <w:rsid w:val="005A6FF8"/>
    <w:rPr>
      <w:color w:val="0000FF" w:themeColor="hyperlink"/>
      <w:u w:val="single"/>
    </w:rPr>
  </w:style>
  <w:style w:type="paragraph" w:customStyle="1" w:styleId="Tabletext">
    <w:name w:val="Table_text"/>
    <w:basedOn w:val="Normal"/>
    <w:link w:val="TabletextChar"/>
    <w:rsid w:val="00F02E7F"/>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0"/>
      <w:szCs w:val="20"/>
      <w:lang w:val="en-GB"/>
    </w:rPr>
  </w:style>
  <w:style w:type="character" w:customStyle="1" w:styleId="TabletextChar">
    <w:name w:val="Table_text Char"/>
    <w:basedOn w:val="DefaultParagraphFont"/>
    <w:link w:val="Tabletext"/>
    <w:locked/>
    <w:rsid w:val="00F02E7F"/>
    <w:rPr>
      <w:rFonts w:eastAsia="Times New Roman"/>
      <w:lang w:val="en-GB"/>
    </w:rPr>
  </w:style>
  <w:style w:type="table" w:styleId="TableGrid">
    <w:name w:val="Table Grid"/>
    <w:basedOn w:val="TableNormal"/>
    <w:rsid w:val="00F02E7F"/>
    <w:rPr>
      <w:rFonts w:ascii="CG Times" w:eastAsia="Times New Roman"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1E2E4D"/>
    <w:rPr>
      <w:rFonts w:asciiTheme="majorHAnsi" w:eastAsiaTheme="majorEastAsia" w:hAnsiTheme="majorHAnsi" w:cstheme="majorBidi"/>
      <w:color w:val="243F60" w:themeColor="accent1" w:themeShade="7F"/>
      <w:sz w:val="24"/>
      <w:szCs w:val="24"/>
    </w:rPr>
  </w:style>
  <w:style w:type="character" w:styleId="PlaceholderText">
    <w:name w:val="Placeholder Text"/>
    <w:basedOn w:val="DefaultParagraphFont"/>
    <w:uiPriority w:val="99"/>
    <w:semiHidden/>
    <w:rsid w:val="001E2E4D"/>
    <w:rPr>
      <w:color w:val="808080"/>
    </w:rPr>
  </w:style>
  <w:style w:type="paragraph" w:styleId="BalloonText">
    <w:name w:val="Balloon Text"/>
    <w:basedOn w:val="Normal"/>
    <w:link w:val="BalloonTextChar"/>
    <w:semiHidden/>
    <w:unhideWhenUsed/>
    <w:rsid w:val="00D15036"/>
    <w:rPr>
      <w:rFonts w:ascii="Tahoma" w:hAnsi="Tahoma" w:cs="Tahoma"/>
      <w:sz w:val="16"/>
      <w:szCs w:val="16"/>
    </w:rPr>
  </w:style>
  <w:style w:type="character" w:customStyle="1" w:styleId="BalloonTextChar">
    <w:name w:val="Balloon Text Char"/>
    <w:basedOn w:val="DefaultParagraphFont"/>
    <w:link w:val="BalloonText"/>
    <w:semiHidden/>
    <w:rsid w:val="00D15036"/>
    <w:rPr>
      <w:rFonts w:ascii="Tahoma" w:eastAsia="BatangChe" w:hAnsi="Tahoma" w:cs="Tahoma"/>
      <w:sz w:val="16"/>
      <w:szCs w:val="16"/>
    </w:rPr>
  </w:style>
  <w:style w:type="paragraph" w:customStyle="1" w:styleId="xxmsonormal">
    <w:name w:val="x_xmsonormal"/>
    <w:basedOn w:val="Normal"/>
    <w:rsid w:val="00BB5EA5"/>
    <w:rPr>
      <w:rFonts w:ascii="Calibri" w:eastAsia="Calibri" w:hAnsi="Calibri" w:cs="Calibri"/>
      <w:sz w:val="22"/>
      <w:szCs w:val="22"/>
      <w:lang w:val="de-DE" w:eastAsia="de-DE"/>
    </w:rPr>
  </w:style>
  <w:style w:type="character" w:styleId="CommentReference">
    <w:name w:val="annotation reference"/>
    <w:basedOn w:val="DefaultParagraphFont"/>
    <w:semiHidden/>
    <w:unhideWhenUsed/>
    <w:rsid w:val="00E41173"/>
    <w:rPr>
      <w:sz w:val="16"/>
      <w:szCs w:val="16"/>
    </w:rPr>
  </w:style>
  <w:style w:type="paragraph" w:styleId="CommentText">
    <w:name w:val="annotation text"/>
    <w:basedOn w:val="Normal"/>
    <w:link w:val="CommentTextChar"/>
    <w:semiHidden/>
    <w:unhideWhenUsed/>
    <w:rsid w:val="00E41173"/>
    <w:rPr>
      <w:sz w:val="20"/>
      <w:szCs w:val="20"/>
    </w:rPr>
  </w:style>
  <w:style w:type="character" w:customStyle="1" w:styleId="CommentTextChar">
    <w:name w:val="Comment Text Char"/>
    <w:basedOn w:val="DefaultParagraphFont"/>
    <w:link w:val="CommentText"/>
    <w:semiHidden/>
    <w:rsid w:val="00E41173"/>
    <w:rPr>
      <w:rFonts w:eastAsia="BatangChe"/>
    </w:rPr>
  </w:style>
  <w:style w:type="paragraph" w:styleId="CommentSubject">
    <w:name w:val="annotation subject"/>
    <w:basedOn w:val="CommentText"/>
    <w:next w:val="CommentText"/>
    <w:link w:val="CommentSubjectChar"/>
    <w:semiHidden/>
    <w:unhideWhenUsed/>
    <w:rsid w:val="00E41173"/>
    <w:rPr>
      <w:b/>
      <w:bCs/>
    </w:rPr>
  </w:style>
  <w:style w:type="character" w:customStyle="1" w:styleId="CommentSubjectChar">
    <w:name w:val="Comment Subject Char"/>
    <w:basedOn w:val="CommentTextChar"/>
    <w:link w:val="CommentSubject"/>
    <w:semiHidden/>
    <w:rsid w:val="00E41173"/>
    <w:rPr>
      <w:rFonts w:eastAsia="BatangChe"/>
      <w:b/>
      <w:bCs/>
    </w:rPr>
  </w:style>
  <w:style w:type="character" w:customStyle="1" w:styleId="FooterChar">
    <w:name w:val="Footer Char"/>
    <w:basedOn w:val="DefaultParagraphFont"/>
    <w:link w:val="Footer"/>
    <w:uiPriority w:val="99"/>
    <w:rsid w:val="00D909DA"/>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8053">
      <w:bodyDiv w:val="1"/>
      <w:marLeft w:val="0"/>
      <w:marRight w:val="0"/>
      <w:marTop w:val="0"/>
      <w:marBottom w:val="0"/>
      <w:divBdr>
        <w:top w:val="none" w:sz="0" w:space="0" w:color="auto"/>
        <w:left w:val="none" w:sz="0" w:space="0" w:color="auto"/>
        <w:bottom w:val="none" w:sz="0" w:space="0" w:color="auto"/>
        <w:right w:val="none" w:sz="0" w:space="0" w:color="auto"/>
      </w:divBdr>
    </w:div>
    <w:div w:id="303124859">
      <w:bodyDiv w:val="1"/>
      <w:marLeft w:val="0"/>
      <w:marRight w:val="0"/>
      <w:marTop w:val="0"/>
      <w:marBottom w:val="0"/>
      <w:divBdr>
        <w:top w:val="none" w:sz="0" w:space="0" w:color="auto"/>
        <w:left w:val="none" w:sz="0" w:space="0" w:color="auto"/>
        <w:bottom w:val="none" w:sz="0" w:space="0" w:color="auto"/>
        <w:right w:val="none" w:sz="0" w:space="0" w:color="auto"/>
      </w:divBdr>
    </w:div>
    <w:div w:id="749348135">
      <w:bodyDiv w:val="1"/>
      <w:marLeft w:val="0"/>
      <w:marRight w:val="0"/>
      <w:marTop w:val="0"/>
      <w:marBottom w:val="0"/>
      <w:divBdr>
        <w:top w:val="none" w:sz="0" w:space="0" w:color="auto"/>
        <w:left w:val="none" w:sz="0" w:space="0" w:color="auto"/>
        <w:bottom w:val="none" w:sz="0" w:space="0" w:color="auto"/>
        <w:right w:val="none" w:sz="0" w:space="0" w:color="auto"/>
      </w:divBdr>
    </w:div>
    <w:div w:id="927540506">
      <w:bodyDiv w:val="1"/>
      <w:marLeft w:val="0"/>
      <w:marRight w:val="0"/>
      <w:marTop w:val="0"/>
      <w:marBottom w:val="0"/>
      <w:divBdr>
        <w:top w:val="none" w:sz="0" w:space="0" w:color="auto"/>
        <w:left w:val="none" w:sz="0" w:space="0" w:color="auto"/>
        <w:bottom w:val="none" w:sz="0" w:space="0" w:color="auto"/>
        <w:right w:val="none" w:sz="0" w:space="0" w:color="auto"/>
      </w:divBdr>
    </w:div>
    <w:div w:id="988049566">
      <w:bodyDiv w:val="1"/>
      <w:marLeft w:val="0"/>
      <w:marRight w:val="0"/>
      <w:marTop w:val="0"/>
      <w:marBottom w:val="0"/>
      <w:divBdr>
        <w:top w:val="none" w:sz="0" w:space="0" w:color="auto"/>
        <w:left w:val="none" w:sz="0" w:space="0" w:color="auto"/>
        <w:bottom w:val="none" w:sz="0" w:space="0" w:color="auto"/>
        <w:right w:val="none" w:sz="0" w:space="0" w:color="auto"/>
      </w:divBdr>
    </w:div>
    <w:div w:id="1036203369">
      <w:bodyDiv w:val="1"/>
      <w:marLeft w:val="0"/>
      <w:marRight w:val="0"/>
      <w:marTop w:val="0"/>
      <w:marBottom w:val="0"/>
      <w:divBdr>
        <w:top w:val="none" w:sz="0" w:space="0" w:color="auto"/>
        <w:left w:val="none" w:sz="0" w:space="0" w:color="auto"/>
        <w:bottom w:val="none" w:sz="0" w:space="0" w:color="auto"/>
        <w:right w:val="none" w:sz="0" w:space="0" w:color="auto"/>
      </w:divBdr>
    </w:div>
    <w:div w:id="1061245999">
      <w:bodyDiv w:val="1"/>
      <w:marLeft w:val="0"/>
      <w:marRight w:val="0"/>
      <w:marTop w:val="0"/>
      <w:marBottom w:val="0"/>
      <w:divBdr>
        <w:top w:val="none" w:sz="0" w:space="0" w:color="auto"/>
        <w:left w:val="none" w:sz="0" w:space="0" w:color="auto"/>
        <w:bottom w:val="none" w:sz="0" w:space="0" w:color="auto"/>
        <w:right w:val="none" w:sz="0" w:space="0" w:color="auto"/>
      </w:divBdr>
    </w:div>
    <w:div w:id="1223101743">
      <w:bodyDiv w:val="1"/>
      <w:marLeft w:val="0"/>
      <w:marRight w:val="0"/>
      <w:marTop w:val="0"/>
      <w:marBottom w:val="0"/>
      <w:divBdr>
        <w:top w:val="none" w:sz="0" w:space="0" w:color="auto"/>
        <w:left w:val="none" w:sz="0" w:space="0" w:color="auto"/>
        <w:bottom w:val="none" w:sz="0" w:space="0" w:color="auto"/>
        <w:right w:val="none" w:sz="0" w:space="0" w:color="auto"/>
      </w:divBdr>
    </w:div>
    <w:div w:id="1345784179">
      <w:bodyDiv w:val="1"/>
      <w:marLeft w:val="0"/>
      <w:marRight w:val="0"/>
      <w:marTop w:val="0"/>
      <w:marBottom w:val="0"/>
      <w:divBdr>
        <w:top w:val="none" w:sz="0" w:space="0" w:color="auto"/>
        <w:left w:val="none" w:sz="0" w:space="0" w:color="auto"/>
        <w:bottom w:val="none" w:sz="0" w:space="0" w:color="auto"/>
        <w:right w:val="none" w:sz="0" w:space="0" w:color="auto"/>
      </w:divBdr>
    </w:div>
    <w:div w:id="1370758679">
      <w:bodyDiv w:val="1"/>
      <w:marLeft w:val="0"/>
      <w:marRight w:val="0"/>
      <w:marTop w:val="0"/>
      <w:marBottom w:val="0"/>
      <w:divBdr>
        <w:top w:val="none" w:sz="0" w:space="0" w:color="auto"/>
        <w:left w:val="none" w:sz="0" w:space="0" w:color="auto"/>
        <w:bottom w:val="none" w:sz="0" w:space="0" w:color="auto"/>
        <w:right w:val="none" w:sz="0" w:space="0" w:color="auto"/>
      </w:divBdr>
    </w:div>
    <w:div w:id="1391462086">
      <w:bodyDiv w:val="1"/>
      <w:marLeft w:val="0"/>
      <w:marRight w:val="0"/>
      <w:marTop w:val="0"/>
      <w:marBottom w:val="0"/>
      <w:divBdr>
        <w:top w:val="none" w:sz="0" w:space="0" w:color="auto"/>
        <w:left w:val="none" w:sz="0" w:space="0" w:color="auto"/>
        <w:bottom w:val="none" w:sz="0" w:space="0" w:color="auto"/>
        <w:right w:val="none" w:sz="0" w:space="0" w:color="auto"/>
      </w:divBdr>
    </w:div>
    <w:div w:id="149294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5-SG05-C-0099/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APT%20and%20ITU%20templates\APT\APG19-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APG19-4.dotx</Template>
  <TotalTime>66</TotalTime>
  <Pages>8</Pages>
  <Words>2977</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COAI;vtiwathia@coai.in;vsrivastava@coai.in</dc:creator>
  <cp:lastModifiedBy>APT Secretariat</cp:lastModifiedBy>
  <cp:revision>30</cp:revision>
  <cp:lastPrinted>2004-07-28T02:14:00Z</cp:lastPrinted>
  <dcterms:created xsi:type="dcterms:W3CDTF">2018-12-19T07:51:00Z</dcterms:created>
  <dcterms:modified xsi:type="dcterms:W3CDTF">2018-12-31T11:24:00Z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1542265133</vt:lpwstr>
  </property>
  <property fmtid="{D5CDD505-2E9C-101B-9397-08002B2CF9AE}" pid="7" name="_AdHocReviewCycleID">
    <vt:i4>1813873670</vt:i4>
  </property>
  <property fmtid="{D5CDD505-2E9C-101B-9397-08002B2CF9AE}" pid="8" name="_EmailSubject">
    <vt:lpwstr>AI 1.13</vt:lpwstr>
  </property>
  <property fmtid="{D5CDD505-2E9C-101B-9397-08002B2CF9AE}" pid="9" name="_AuthorEmail">
    <vt:lpwstr>jitendra@qti.qualcomm.com</vt:lpwstr>
  </property>
  <property fmtid="{D5CDD505-2E9C-101B-9397-08002B2CF9AE}" pid="10" name="_AuthorEmailDisplayName">
    <vt:lpwstr>Jitendra Singh</vt:lpwstr>
  </property>
  <property fmtid="{D5CDD505-2E9C-101B-9397-08002B2CF9AE}" pid="11" name="_ReviewingToolsShownOnce">
    <vt:lpwstr/>
  </property>
</Properties>
</file>