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0F100D" w:rsidTr="00096326">
        <w:trPr>
          <w:cantSplit/>
        </w:trPr>
        <w:tc>
          <w:tcPr>
            <w:tcW w:w="1399" w:type="dxa"/>
            <w:vMerge w:val="restart"/>
          </w:tcPr>
          <w:p w:rsidR="00096326" w:rsidRPr="000F100D" w:rsidRDefault="00096326" w:rsidP="0045458F">
            <w:pPr>
              <w:pStyle w:val="Note"/>
              <w:widowControl w:val="0"/>
              <w:tabs>
                <w:tab w:val="clear" w:pos="284"/>
                <w:tab w:val="clear" w:pos="1134"/>
                <w:tab w:val="clear" w:pos="1871"/>
                <w:tab w:val="clear" w:pos="2268"/>
              </w:tabs>
              <w:wordWrap w:val="0"/>
              <w:spacing w:before="0"/>
              <w:rPr>
                <w:noProof w:val="0"/>
                <w:kern w:val="2"/>
                <w:sz w:val="24"/>
                <w:szCs w:val="24"/>
                <w:lang w:val="en-NZ"/>
              </w:rPr>
            </w:pPr>
            <w:r w:rsidRPr="000F100D">
              <w:rPr>
                <w:kern w:val="2"/>
                <w:sz w:val="24"/>
                <w:szCs w:val="24"/>
                <w:lang w:eastAsia="en-US"/>
              </w:rPr>
              <w:drawing>
                <wp:inline distT="0" distB="0" distL="0" distR="0" wp14:anchorId="147F35FA" wp14:editId="6F46723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0F100D" w:rsidRDefault="00096326" w:rsidP="0045458F">
            <w:pPr>
              <w:rPr>
                <w:lang w:val="en-NZ"/>
              </w:rPr>
            </w:pPr>
            <w:r w:rsidRPr="000F100D">
              <w:rPr>
                <w:lang w:val="en-NZ"/>
              </w:rPr>
              <w:t>ASIA-PACIFIC TELECOMMUNITY</w:t>
            </w:r>
          </w:p>
        </w:tc>
        <w:tc>
          <w:tcPr>
            <w:tcW w:w="2700" w:type="dxa"/>
          </w:tcPr>
          <w:p w:rsidR="00096326" w:rsidRPr="000F100D" w:rsidRDefault="00096326" w:rsidP="00096326">
            <w:pPr>
              <w:rPr>
                <w:b/>
                <w:bCs/>
                <w:lang w:val="en-NZ"/>
              </w:rPr>
            </w:pPr>
            <w:r w:rsidRPr="000F100D">
              <w:rPr>
                <w:b/>
                <w:lang w:val="en-NZ"/>
              </w:rPr>
              <w:t>Document</w:t>
            </w:r>
            <w:r w:rsidR="00D6202F">
              <w:rPr>
                <w:b/>
                <w:lang w:val="en-NZ"/>
              </w:rPr>
              <w:t xml:space="preserve"> No.</w:t>
            </w:r>
            <w:r w:rsidRPr="000F100D">
              <w:rPr>
                <w:b/>
                <w:lang w:val="en-NZ"/>
              </w:rPr>
              <w:t xml:space="preserve">: </w:t>
            </w:r>
          </w:p>
        </w:tc>
      </w:tr>
      <w:tr w:rsidR="00DA7595" w:rsidRPr="000F100D" w:rsidTr="00096326">
        <w:trPr>
          <w:cantSplit/>
        </w:trPr>
        <w:tc>
          <w:tcPr>
            <w:tcW w:w="1399" w:type="dxa"/>
            <w:vMerge/>
          </w:tcPr>
          <w:p w:rsidR="00DA7595" w:rsidRPr="000F100D" w:rsidRDefault="00DA7595" w:rsidP="0045458F">
            <w:pPr>
              <w:rPr>
                <w:lang w:val="en-NZ"/>
              </w:rPr>
            </w:pPr>
          </w:p>
        </w:tc>
        <w:tc>
          <w:tcPr>
            <w:tcW w:w="5720" w:type="dxa"/>
          </w:tcPr>
          <w:p w:rsidR="00DA7595" w:rsidRPr="000F100D" w:rsidRDefault="00DA7595" w:rsidP="001C6B22">
            <w:pPr>
              <w:spacing w:line="0" w:lineRule="atLeast"/>
              <w:rPr>
                <w:lang w:val="en-NZ"/>
              </w:rPr>
            </w:pPr>
            <w:r w:rsidRPr="000F100D">
              <w:rPr>
                <w:b/>
                <w:lang w:val="en-NZ"/>
              </w:rPr>
              <w:t xml:space="preserve">The </w:t>
            </w:r>
            <w:r w:rsidR="001C6B22">
              <w:rPr>
                <w:b/>
                <w:lang w:val="en-NZ"/>
              </w:rPr>
              <w:t>4th</w:t>
            </w:r>
            <w:r w:rsidR="00096326" w:rsidRPr="000F100D">
              <w:rPr>
                <w:b/>
                <w:lang w:val="en-NZ"/>
              </w:rPr>
              <w:t xml:space="preserve"> </w:t>
            </w:r>
            <w:r w:rsidR="00DB0A68" w:rsidRPr="000F100D">
              <w:rPr>
                <w:b/>
                <w:lang w:val="en-NZ"/>
              </w:rPr>
              <w:t>Meeting of the APT Conference Preparatory</w:t>
            </w:r>
            <w:r w:rsidR="002926D4" w:rsidRPr="000F100D">
              <w:rPr>
                <w:b/>
                <w:lang w:val="en-NZ"/>
              </w:rPr>
              <w:t xml:space="preserve"> </w:t>
            </w:r>
            <w:r w:rsidR="00DB0A68" w:rsidRPr="000F100D">
              <w:rPr>
                <w:b/>
                <w:lang w:val="en-NZ"/>
              </w:rPr>
              <w:t xml:space="preserve"> Group for WRC-</w:t>
            </w:r>
            <w:r w:rsidR="00FE3DE5" w:rsidRPr="000F100D">
              <w:rPr>
                <w:b/>
                <w:lang w:val="en-NZ"/>
              </w:rPr>
              <w:t>1</w:t>
            </w:r>
            <w:r w:rsidR="00096326" w:rsidRPr="000F100D">
              <w:rPr>
                <w:b/>
                <w:lang w:val="en-NZ"/>
              </w:rPr>
              <w:t>9</w:t>
            </w:r>
            <w:r w:rsidR="00DB0A68" w:rsidRPr="000F100D">
              <w:rPr>
                <w:b/>
                <w:lang w:val="en-NZ"/>
              </w:rPr>
              <w:t xml:space="preserve"> (APG</w:t>
            </w:r>
            <w:r w:rsidR="00096326" w:rsidRPr="000F100D">
              <w:rPr>
                <w:b/>
                <w:lang w:val="en-NZ"/>
              </w:rPr>
              <w:t>19</w:t>
            </w:r>
            <w:r w:rsidR="00DB0A68" w:rsidRPr="000F100D">
              <w:rPr>
                <w:b/>
                <w:lang w:val="en-NZ"/>
              </w:rPr>
              <w:t>-</w:t>
            </w:r>
            <w:r w:rsidR="001C6B22">
              <w:rPr>
                <w:b/>
                <w:lang w:val="en-NZ"/>
              </w:rPr>
              <w:t>4</w:t>
            </w:r>
            <w:r w:rsidR="00DB0A68" w:rsidRPr="000F100D">
              <w:rPr>
                <w:b/>
                <w:lang w:val="en-NZ"/>
              </w:rPr>
              <w:t>)</w:t>
            </w:r>
          </w:p>
        </w:tc>
        <w:tc>
          <w:tcPr>
            <w:tcW w:w="2700" w:type="dxa"/>
          </w:tcPr>
          <w:p w:rsidR="00DA7595" w:rsidRPr="000F100D" w:rsidRDefault="008319BF" w:rsidP="001C6B22">
            <w:pPr>
              <w:rPr>
                <w:b/>
                <w:bCs/>
                <w:lang w:val="en-NZ"/>
              </w:rPr>
            </w:pPr>
            <w:r w:rsidRPr="000F100D">
              <w:rPr>
                <w:b/>
                <w:bCs/>
                <w:lang w:val="en-NZ"/>
              </w:rPr>
              <w:t>APG</w:t>
            </w:r>
            <w:r w:rsidR="00096326" w:rsidRPr="000F100D">
              <w:rPr>
                <w:b/>
                <w:bCs/>
                <w:lang w:val="en-NZ"/>
              </w:rPr>
              <w:t>19-</w:t>
            </w:r>
            <w:r w:rsidR="001C6B22">
              <w:rPr>
                <w:b/>
                <w:bCs/>
                <w:lang w:val="en-NZ"/>
              </w:rPr>
              <w:t>4</w:t>
            </w:r>
            <w:r w:rsidRPr="000F100D">
              <w:rPr>
                <w:b/>
                <w:bCs/>
                <w:lang w:val="en-NZ"/>
              </w:rPr>
              <w:t>/</w:t>
            </w:r>
            <w:r w:rsidR="00096326" w:rsidRPr="000F100D">
              <w:rPr>
                <w:b/>
                <w:bCs/>
                <w:lang w:val="en-NZ"/>
              </w:rPr>
              <w:t>INP</w:t>
            </w:r>
            <w:r w:rsidR="00D1252E" w:rsidRPr="000F100D">
              <w:rPr>
                <w:b/>
                <w:bCs/>
                <w:lang w:val="en-NZ"/>
              </w:rPr>
              <w:t>-</w:t>
            </w:r>
            <w:r w:rsidR="00D6202F">
              <w:rPr>
                <w:b/>
                <w:bCs/>
                <w:lang w:val="en-NZ"/>
              </w:rPr>
              <w:t>23</w:t>
            </w:r>
          </w:p>
        </w:tc>
      </w:tr>
      <w:tr w:rsidR="004B3553" w:rsidRPr="000F100D" w:rsidTr="00096326">
        <w:trPr>
          <w:cantSplit/>
          <w:trHeight w:val="219"/>
        </w:trPr>
        <w:tc>
          <w:tcPr>
            <w:tcW w:w="1399" w:type="dxa"/>
            <w:vMerge/>
          </w:tcPr>
          <w:p w:rsidR="004B3553" w:rsidRPr="000F100D" w:rsidRDefault="004B3553" w:rsidP="0045458F">
            <w:pPr>
              <w:rPr>
                <w:lang w:val="en-NZ"/>
              </w:rPr>
            </w:pPr>
          </w:p>
        </w:tc>
        <w:tc>
          <w:tcPr>
            <w:tcW w:w="5720" w:type="dxa"/>
          </w:tcPr>
          <w:p w:rsidR="004B3553" w:rsidRPr="000F100D" w:rsidRDefault="001C6B22" w:rsidP="001C6B22">
            <w:pPr>
              <w:rPr>
                <w:lang w:val="en-NZ"/>
              </w:rPr>
            </w:pPr>
            <w:r>
              <w:rPr>
                <w:lang w:val="en-NZ"/>
              </w:rPr>
              <w:t>7</w:t>
            </w:r>
            <w:r w:rsidR="00291C9E" w:rsidRPr="000F100D">
              <w:rPr>
                <w:lang w:val="en-NZ"/>
              </w:rPr>
              <w:t xml:space="preserve"> – </w:t>
            </w:r>
            <w:r w:rsidR="00096326" w:rsidRPr="000F100D">
              <w:rPr>
                <w:lang w:val="en-NZ"/>
              </w:rPr>
              <w:t>1</w:t>
            </w:r>
            <w:r>
              <w:rPr>
                <w:lang w:val="en-NZ"/>
              </w:rPr>
              <w:t>2</w:t>
            </w:r>
            <w:r w:rsidR="002E672F">
              <w:rPr>
                <w:lang w:val="en-NZ"/>
              </w:rPr>
              <w:t xml:space="preserve"> </w:t>
            </w:r>
            <w:r>
              <w:rPr>
                <w:lang w:val="en-NZ"/>
              </w:rPr>
              <w:t>January</w:t>
            </w:r>
            <w:r w:rsidR="00FE3DE5" w:rsidRPr="000F100D">
              <w:rPr>
                <w:lang w:val="en-NZ"/>
              </w:rPr>
              <w:t xml:space="preserve"> </w:t>
            </w:r>
            <w:r w:rsidR="00291C9E" w:rsidRPr="000F100D">
              <w:rPr>
                <w:lang w:val="en-NZ"/>
              </w:rPr>
              <w:t>20</w:t>
            </w:r>
            <w:r w:rsidR="00096326" w:rsidRPr="000F100D">
              <w:rPr>
                <w:lang w:val="en-NZ"/>
              </w:rPr>
              <w:t>1</w:t>
            </w:r>
            <w:r>
              <w:rPr>
                <w:lang w:val="en-NZ"/>
              </w:rPr>
              <w:t>9</w:t>
            </w:r>
            <w:r w:rsidR="004B3553" w:rsidRPr="000F100D">
              <w:rPr>
                <w:lang w:val="en-NZ"/>
              </w:rPr>
              <w:t xml:space="preserve">, </w:t>
            </w:r>
            <w:r>
              <w:rPr>
                <w:lang w:val="en-NZ"/>
              </w:rPr>
              <w:t>Busan</w:t>
            </w:r>
            <w:r w:rsidR="002E672F">
              <w:rPr>
                <w:lang w:val="en-NZ"/>
              </w:rPr>
              <w:t xml:space="preserve">, </w:t>
            </w:r>
            <w:r>
              <w:rPr>
                <w:lang w:val="en-NZ"/>
              </w:rPr>
              <w:t>Republic of Korea</w:t>
            </w:r>
          </w:p>
        </w:tc>
        <w:tc>
          <w:tcPr>
            <w:tcW w:w="2700" w:type="dxa"/>
          </w:tcPr>
          <w:p w:rsidR="004B3553" w:rsidRPr="000F100D" w:rsidRDefault="00D6202F" w:rsidP="00D6202F">
            <w:pPr>
              <w:rPr>
                <w:b/>
                <w:lang w:val="en-NZ"/>
              </w:rPr>
            </w:pPr>
            <w:r>
              <w:rPr>
                <w:b/>
                <w:lang w:val="en-NZ"/>
              </w:rPr>
              <w:t>21 December</w:t>
            </w:r>
            <w:r w:rsidR="00FE3DE5" w:rsidRPr="000F100D">
              <w:rPr>
                <w:b/>
                <w:lang w:val="en-NZ"/>
              </w:rPr>
              <w:t xml:space="preserve"> </w:t>
            </w:r>
            <w:r w:rsidR="00291C9E" w:rsidRPr="000F100D">
              <w:rPr>
                <w:b/>
                <w:lang w:val="en-NZ"/>
              </w:rPr>
              <w:t>20</w:t>
            </w:r>
            <w:r w:rsidR="008319BF" w:rsidRPr="000F100D">
              <w:rPr>
                <w:b/>
                <w:lang w:val="en-NZ"/>
              </w:rPr>
              <w:t>1</w:t>
            </w:r>
            <w:r>
              <w:rPr>
                <w:b/>
                <w:lang w:val="en-NZ"/>
              </w:rPr>
              <w:t>8</w:t>
            </w:r>
          </w:p>
        </w:tc>
      </w:tr>
    </w:tbl>
    <w:p w:rsidR="00DA7595" w:rsidRPr="000F100D" w:rsidRDefault="00DA7595" w:rsidP="00DA7595">
      <w:pPr>
        <w:rPr>
          <w:lang w:val="en-NZ" w:eastAsia="ko-KR"/>
        </w:rPr>
      </w:pPr>
    </w:p>
    <w:p w:rsidR="00096326" w:rsidRPr="000F100D" w:rsidRDefault="00096326" w:rsidP="00DA7595">
      <w:pPr>
        <w:jc w:val="center"/>
        <w:rPr>
          <w:sz w:val="28"/>
          <w:szCs w:val="28"/>
          <w:lang w:val="en-NZ" w:eastAsia="ko-KR"/>
        </w:rPr>
      </w:pPr>
    </w:p>
    <w:p w:rsidR="00DA7595" w:rsidRPr="000F100D" w:rsidRDefault="004D5DD3" w:rsidP="00DA7595">
      <w:pPr>
        <w:jc w:val="center"/>
        <w:rPr>
          <w:sz w:val="28"/>
          <w:szCs w:val="28"/>
          <w:lang w:val="en-NZ" w:eastAsia="ko-KR"/>
        </w:rPr>
      </w:pPr>
      <w:r w:rsidRPr="000F100D">
        <w:rPr>
          <w:sz w:val="28"/>
          <w:szCs w:val="28"/>
          <w:lang w:val="en-NZ" w:eastAsia="ko-KR"/>
        </w:rPr>
        <w:t>New Zealand</w:t>
      </w:r>
    </w:p>
    <w:p w:rsidR="00FE3DE5" w:rsidRPr="000F100D" w:rsidRDefault="00FE3DE5" w:rsidP="0063062B">
      <w:pPr>
        <w:jc w:val="center"/>
        <w:rPr>
          <w:b/>
          <w:bCs/>
          <w:caps/>
          <w:sz w:val="28"/>
          <w:szCs w:val="28"/>
          <w:lang w:val="en-NZ"/>
        </w:rPr>
      </w:pPr>
    </w:p>
    <w:p w:rsidR="00C357AD" w:rsidRPr="000F100D" w:rsidRDefault="00FE3DE5" w:rsidP="00916452">
      <w:pPr>
        <w:jc w:val="center"/>
        <w:rPr>
          <w:b/>
          <w:bCs/>
          <w:caps/>
          <w:lang w:val="en-NZ"/>
        </w:rPr>
      </w:pPr>
      <w:r w:rsidRPr="000F100D">
        <w:rPr>
          <w:b/>
          <w:bCs/>
          <w:caps/>
          <w:lang w:val="en-NZ"/>
        </w:rPr>
        <w:t>preliminary views on WRC-1</w:t>
      </w:r>
      <w:r w:rsidR="004D5DD3" w:rsidRPr="000F100D">
        <w:rPr>
          <w:b/>
          <w:bCs/>
          <w:caps/>
          <w:lang w:val="en-NZ"/>
        </w:rPr>
        <w:t>9</w:t>
      </w:r>
      <w:r w:rsidR="00D1252E" w:rsidRPr="000F100D">
        <w:rPr>
          <w:b/>
          <w:bCs/>
          <w:caps/>
          <w:lang w:val="en-NZ"/>
        </w:rPr>
        <w:t xml:space="preserve"> agenda items 1</w:t>
      </w:r>
      <w:r w:rsidR="00715F4D">
        <w:rPr>
          <w:b/>
          <w:bCs/>
          <w:caps/>
          <w:lang w:val="en-NZ"/>
        </w:rPr>
        <w:t>.1</w:t>
      </w:r>
      <w:r w:rsidR="00085AF7">
        <w:rPr>
          <w:b/>
          <w:bCs/>
          <w:caps/>
          <w:lang w:val="en-NZ"/>
        </w:rPr>
        <w:t>3</w:t>
      </w:r>
      <w:r w:rsidR="00D1252E" w:rsidRPr="000F100D">
        <w:rPr>
          <w:b/>
          <w:bCs/>
          <w:caps/>
          <w:lang w:val="en-NZ"/>
        </w:rPr>
        <w:t xml:space="preserve">, </w:t>
      </w:r>
      <w:r w:rsidR="00715F4D">
        <w:rPr>
          <w:b/>
          <w:bCs/>
          <w:caps/>
          <w:lang w:val="en-NZ"/>
        </w:rPr>
        <w:t>1.1</w:t>
      </w:r>
      <w:r w:rsidR="00085AF7">
        <w:rPr>
          <w:b/>
          <w:bCs/>
          <w:caps/>
          <w:lang w:val="en-NZ"/>
        </w:rPr>
        <w:t>6</w:t>
      </w:r>
      <w:r w:rsidR="00916452">
        <w:rPr>
          <w:b/>
          <w:bCs/>
          <w:caps/>
          <w:lang w:val="en-NZ"/>
        </w:rPr>
        <w:t xml:space="preserve">, </w:t>
      </w:r>
      <w:bookmarkStart w:id="0" w:name="_GoBack"/>
      <w:bookmarkEnd w:id="0"/>
      <w:r w:rsidR="00085AF7">
        <w:rPr>
          <w:b/>
          <w:bCs/>
          <w:caps/>
          <w:lang w:val="en-NZ"/>
        </w:rPr>
        <w:t>9.1 (Issues 9.1.1, 9.1.5, 9.1.8)</w:t>
      </w:r>
    </w:p>
    <w:p w:rsidR="00DB0A68" w:rsidRPr="000F100D" w:rsidRDefault="00DB0A68" w:rsidP="00C357AD">
      <w:pPr>
        <w:jc w:val="center"/>
        <w:rPr>
          <w:lang w:val="en-NZ"/>
        </w:rPr>
      </w:pPr>
    </w:p>
    <w:p w:rsidR="00DB6DA1" w:rsidRPr="000F100D" w:rsidRDefault="00DB6DA1" w:rsidP="00C357AD">
      <w:pPr>
        <w:jc w:val="both"/>
        <w:rPr>
          <w:b/>
          <w:lang w:val="en-NZ"/>
        </w:rPr>
      </w:pPr>
    </w:p>
    <w:p w:rsidR="008319BF" w:rsidRPr="00715F4D" w:rsidRDefault="000A5418" w:rsidP="00715F4D">
      <w:pPr>
        <w:pStyle w:val="Heading1"/>
        <w:jc w:val="left"/>
        <w:rPr>
          <w:u w:val="none"/>
          <w:lang w:val="en-NZ"/>
        </w:rPr>
      </w:pPr>
      <w:r w:rsidRPr="00715F4D">
        <w:rPr>
          <w:u w:val="none"/>
          <w:lang w:val="en-NZ"/>
        </w:rPr>
        <w:t xml:space="preserve">Agenda Item </w:t>
      </w:r>
      <w:r w:rsidR="00715F4D" w:rsidRPr="00715F4D">
        <w:rPr>
          <w:u w:val="none"/>
          <w:lang w:val="en-NZ"/>
        </w:rPr>
        <w:t>1</w:t>
      </w:r>
      <w:r w:rsidRPr="00715F4D">
        <w:rPr>
          <w:u w:val="none"/>
          <w:lang w:val="en-NZ"/>
        </w:rPr>
        <w:t>.1</w:t>
      </w:r>
      <w:r w:rsidR="00085AF7">
        <w:rPr>
          <w:u w:val="none"/>
          <w:lang w:val="en-NZ"/>
        </w:rPr>
        <w:t>3</w:t>
      </w:r>
      <w:r w:rsidRPr="00715F4D">
        <w:rPr>
          <w:u w:val="none"/>
          <w:lang w:val="en-NZ"/>
        </w:rPr>
        <w:t xml:space="preserve"> </w:t>
      </w:r>
    </w:p>
    <w:p w:rsidR="000A5418" w:rsidRDefault="00085AF7" w:rsidP="00C357AD">
      <w:pPr>
        <w:jc w:val="both"/>
        <w:rPr>
          <w:i/>
          <w:lang w:val="en-NZ"/>
        </w:rPr>
      </w:pPr>
      <w:r w:rsidRPr="00085AF7">
        <w:rPr>
          <w:i/>
          <w:lang w:val="en-NZ"/>
        </w:rPr>
        <w:t xml:space="preserve">to consider identification of frequency bands for the future development of International Mobile Telecommunications (IMT), including possible additional allocations to the mobile service on a primary basis, in accordance with Resolution </w:t>
      </w:r>
      <w:r w:rsidRPr="00085AF7">
        <w:rPr>
          <w:b/>
          <w:i/>
          <w:lang w:val="en-NZ"/>
        </w:rPr>
        <w:t>238 (WRC-15)</w:t>
      </w:r>
    </w:p>
    <w:p w:rsidR="00085AF7" w:rsidRPr="000F100D" w:rsidRDefault="00085AF7" w:rsidP="00C357AD">
      <w:pPr>
        <w:jc w:val="both"/>
        <w:rPr>
          <w:lang w:val="en-NZ"/>
        </w:rPr>
      </w:pPr>
    </w:p>
    <w:p w:rsidR="000A5418" w:rsidRPr="000F100D" w:rsidRDefault="000A5418" w:rsidP="000A5418">
      <w:pPr>
        <w:spacing w:after="120"/>
        <w:jc w:val="both"/>
        <w:rPr>
          <w:b/>
          <w:lang w:val="en-NZ" w:eastAsia="ko-KR"/>
        </w:rPr>
      </w:pPr>
      <w:r w:rsidRPr="000F100D">
        <w:rPr>
          <w:b/>
          <w:lang w:val="en-NZ" w:eastAsia="ko-KR"/>
        </w:rPr>
        <w:t>1. Background</w:t>
      </w:r>
    </w:p>
    <w:p w:rsidR="00715F4D" w:rsidRDefault="00126B7C" w:rsidP="00715F4D">
      <w:pPr>
        <w:jc w:val="both"/>
        <w:rPr>
          <w:lang w:val="en-NZ"/>
        </w:rPr>
      </w:pPr>
      <w:r>
        <w:rPr>
          <w:lang w:val="en-NZ"/>
        </w:rPr>
        <w:t>A</w:t>
      </w:r>
      <w:r w:rsidRPr="00085AF7">
        <w:rPr>
          <w:lang w:val="en-NZ"/>
        </w:rPr>
        <w:t xml:space="preserve">genda item 1.13 aims to identify suitable frequency bands above 24 GHz for larger contiguous blocks of spectrum </w:t>
      </w:r>
      <w:r>
        <w:rPr>
          <w:lang w:val="en-NZ"/>
        </w:rPr>
        <w:t>t</w:t>
      </w:r>
      <w:r w:rsidRPr="00085AF7">
        <w:rPr>
          <w:lang w:val="en-NZ"/>
        </w:rPr>
        <w:t>o</w:t>
      </w:r>
      <w:r>
        <w:rPr>
          <w:lang w:val="en-NZ"/>
        </w:rPr>
        <w:t xml:space="preserve"> facilitate</w:t>
      </w:r>
      <w:r w:rsidRPr="00085AF7">
        <w:rPr>
          <w:lang w:val="en-NZ"/>
        </w:rPr>
        <w:t xml:space="preserve"> the development of IMT</w:t>
      </w:r>
      <w:r>
        <w:rPr>
          <w:lang w:val="en-NZ"/>
        </w:rPr>
        <w:t xml:space="preserve"> beyond </w:t>
      </w:r>
      <w:r w:rsidRPr="00085AF7">
        <w:rPr>
          <w:lang w:val="en-NZ"/>
        </w:rPr>
        <w:t>2020.</w:t>
      </w:r>
      <w:r>
        <w:rPr>
          <w:lang w:val="en-NZ"/>
        </w:rPr>
        <w:t xml:space="preserve"> These </w:t>
      </w:r>
      <w:r w:rsidR="00085AF7" w:rsidRPr="00085AF7">
        <w:rPr>
          <w:lang w:val="en-NZ"/>
        </w:rPr>
        <w:t>IMT</w:t>
      </w:r>
      <w:r w:rsidR="00085AF7">
        <w:rPr>
          <w:lang w:val="en-NZ"/>
        </w:rPr>
        <w:t>-2020</w:t>
      </w:r>
      <w:r w:rsidR="00085AF7" w:rsidRPr="00085AF7">
        <w:rPr>
          <w:lang w:val="en-NZ"/>
        </w:rPr>
        <w:t xml:space="preserve"> systems are </w:t>
      </w:r>
      <w:r>
        <w:rPr>
          <w:lang w:val="en-NZ"/>
        </w:rPr>
        <w:t xml:space="preserve">expected to </w:t>
      </w:r>
      <w:r w:rsidR="00085AF7" w:rsidRPr="00085AF7">
        <w:rPr>
          <w:lang w:val="en-NZ"/>
        </w:rPr>
        <w:t xml:space="preserve">be evolved to provide diverse usage scenarios and applications, such as enhanced mobile broadband (eMBB), massive machine type communications (mMTC) and ultra-reliable and low latency communications (URLLC). Such applications will require larger contiguous blocks of spectrum than those available in frequency bands currently identified for use by IMT </w:t>
      </w:r>
      <w:r w:rsidR="00085AF7">
        <w:rPr>
          <w:lang w:val="en-NZ"/>
        </w:rPr>
        <w:t>(</w:t>
      </w:r>
      <w:r w:rsidR="00085AF7" w:rsidRPr="00085AF7">
        <w:rPr>
          <w:lang w:val="en-NZ"/>
        </w:rPr>
        <w:t>below 6 GHz</w:t>
      </w:r>
      <w:r w:rsidR="00085AF7">
        <w:rPr>
          <w:lang w:val="en-NZ"/>
        </w:rPr>
        <w:t>)</w:t>
      </w:r>
      <w:r w:rsidR="00085AF7" w:rsidRPr="00085AF7">
        <w:rPr>
          <w:lang w:val="en-NZ"/>
        </w:rPr>
        <w:t xml:space="preserve">. </w:t>
      </w:r>
    </w:p>
    <w:p w:rsidR="00715F4D" w:rsidRPr="00715F4D" w:rsidRDefault="00715F4D" w:rsidP="00715F4D">
      <w:pPr>
        <w:jc w:val="both"/>
        <w:rPr>
          <w:lang w:val="en-NZ"/>
        </w:rPr>
      </w:pPr>
    </w:p>
    <w:p w:rsidR="00085AF7" w:rsidRPr="00085AF7" w:rsidRDefault="00085AF7" w:rsidP="00085AF7">
      <w:pPr>
        <w:jc w:val="both"/>
        <w:rPr>
          <w:lang w:val="en-NZ"/>
        </w:rPr>
      </w:pPr>
      <w:r w:rsidRPr="00085AF7">
        <w:rPr>
          <w:lang w:val="en-NZ"/>
        </w:rPr>
        <w:t xml:space="preserve">Resolution </w:t>
      </w:r>
      <w:r w:rsidRPr="0068246E">
        <w:rPr>
          <w:b/>
          <w:lang w:val="en-NZ"/>
        </w:rPr>
        <w:t>238 (WRC-15)</w:t>
      </w:r>
      <w:r w:rsidRPr="00085AF7">
        <w:rPr>
          <w:lang w:val="en-NZ"/>
        </w:rPr>
        <w:t xml:space="preserve"> specifies the following frequency bands in </w:t>
      </w:r>
      <w:r w:rsidRPr="0068246E">
        <w:rPr>
          <w:i/>
          <w:lang w:val="en-NZ"/>
        </w:rPr>
        <w:t xml:space="preserve">resolves to invite ITU-R </w:t>
      </w:r>
      <w:r w:rsidRPr="00085AF7">
        <w:rPr>
          <w:lang w:val="en-NZ"/>
        </w:rPr>
        <w:t>2 for the appropriate sharing and compatibility studies with respect to services in adjacent bands:</w:t>
      </w:r>
    </w:p>
    <w:p w:rsidR="00085AF7" w:rsidRPr="00085AF7" w:rsidRDefault="00085AF7" w:rsidP="00085AF7">
      <w:pPr>
        <w:pStyle w:val="ListParagraph"/>
        <w:numPr>
          <w:ilvl w:val="0"/>
          <w:numId w:val="11"/>
        </w:numPr>
        <w:jc w:val="both"/>
        <w:rPr>
          <w:lang w:val="en-NZ"/>
        </w:rPr>
      </w:pPr>
      <w:r w:rsidRPr="00085AF7">
        <w:rPr>
          <w:lang w:val="en-NZ"/>
        </w:rPr>
        <w:t>24.25-27.5 GHz2, 37-40.5 GHz, 42.5-43.5 GHz, 45.5-47 GHz, 47.2-50.2 GHz, 50.4-52.6 GHz, 66-76 GHz and 81-86 GHz, which have allocations to the mobile service on a primary basis; and</w:t>
      </w:r>
    </w:p>
    <w:p w:rsidR="00085AF7" w:rsidRDefault="00085AF7" w:rsidP="00085AF7">
      <w:pPr>
        <w:pStyle w:val="ListParagraph"/>
        <w:numPr>
          <w:ilvl w:val="0"/>
          <w:numId w:val="11"/>
        </w:numPr>
        <w:jc w:val="both"/>
        <w:rPr>
          <w:lang w:val="en-NZ"/>
        </w:rPr>
      </w:pPr>
      <w:r w:rsidRPr="00085AF7">
        <w:rPr>
          <w:lang w:val="en-NZ"/>
        </w:rPr>
        <w:t>31.8-33.4 GHz, 40.5-42.5 GHz and 47-47.2 GHz, which may require additional allocations to the mobile service on a primary basis.</w:t>
      </w:r>
    </w:p>
    <w:p w:rsidR="00986EF3" w:rsidRDefault="00986EF3" w:rsidP="00085AF7">
      <w:pPr>
        <w:jc w:val="both"/>
        <w:rPr>
          <w:lang w:val="en-NZ"/>
        </w:rPr>
      </w:pPr>
    </w:p>
    <w:p w:rsidR="00986EF3" w:rsidRPr="008E4DCD" w:rsidRDefault="008E4DCD" w:rsidP="00085AF7">
      <w:pPr>
        <w:jc w:val="both"/>
        <w:rPr>
          <w:lang w:val="en-GB"/>
        </w:rPr>
      </w:pPr>
      <w:r w:rsidRPr="008E4DCD">
        <w:rPr>
          <w:lang w:val="en-GB"/>
        </w:rPr>
        <w:t>With respect to the</w:t>
      </w:r>
      <w:r w:rsidR="001C6B22">
        <w:rPr>
          <w:lang w:val="en-GB"/>
        </w:rPr>
        <w:t xml:space="preserve"> development of sharing studies, it is noted that system parameters, propagation models and other clarifications on sensitivity analysis </w:t>
      </w:r>
      <w:r w:rsidR="00DB6DA1">
        <w:rPr>
          <w:lang w:val="en-GB"/>
        </w:rPr>
        <w:t>are outlined in</w:t>
      </w:r>
      <w:r w:rsidR="00DB6DA1" w:rsidRPr="00DB6DA1">
        <w:rPr>
          <w:lang w:val="en-GB"/>
        </w:rPr>
        <w:t xml:space="preserve"> </w:t>
      </w:r>
      <w:r w:rsidR="00DB6DA1">
        <w:rPr>
          <w:lang w:val="en-GB"/>
        </w:rPr>
        <w:t xml:space="preserve">the TG 5/1 </w:t>
      </w:r>
      <w:r w:rsidR="00DB6DA1" w:rsidRPr="008E4DCD">
        <w:rPr>
          <w:lang w:val="en-GB"/>
        </w:rPr>
        <w:t>Chairman’s Report</w:t>
      </w:r>
      <w:r w:rsidR="00DB6DA1">
        <w:rPr>
          <w:lang w:val="en-GB"/>
        </w:rPr>
        <w:t xml:space="preserve"> (</w:t>
      </w:r>
      <w:r w:rsidRPr="008E4DCD">
        <w:rPr>
          <w:lang w:val="en-GB"/>
        </w:rPr>
        <w:t xml:space="preserve">Document </w:t>
      </w:r>
      <w:hyperlink r:id="rId8" w:history="1">
        <w:r w:rsidRPr="00DB6DA1">
          <w:rPr>
            <w:rStyle w:val="Hyperlink"/>
            <w:lang w:val="en-GB"/>
          </w:rPr>
          <w:t>5-1/</w:t>
        </w:r>
        <w:r w:rsidR="00DB6DA1" w:rsidRPr="00DB6DA1">
          <w:rPr>
            <w:rStyle w:val="Hyperlink"/>
            <w:lang w:val="en-GB"/>
          </w:rPr>
          <w:t>478 Annex 1</w:t>
        </w:r>
      </w:hyperlink>
      <w:r w:rsidR="00DB6DA1">
        <w:rPr>
          <w:lang w:val="en-GB"/>
        </w:rPr>
        <w:t xml:space="preserve">). Individual sharing studies </w:t>
      </w:r>
      <w:r w:rsidRPr="008E4DCD">
        <w:rPr>
          <w:lang w:val="en-GB"/>
        </w:rPr>
        <w:t xml:space="preserve">are </w:t>
      </w:r>
      <w:r w:rsidR="00DB6DA1">
        <w:rPr>
          <w:lang w:val="en-GB"/>
        </w:rPr>
        <w:t xml:space="preserve">also </w:t>
      </w:r>
      <w:r w:rsidRPr="008E4DCD">
        <w:rPr>
          <w:lang w:val="en-GB"/>
        </w:rPr>
        <w:t xml:space="preserve">available in </w:t>
      </w:r>
      <w:r w:rsidR="00152023">
        <w:rPr>
          <w:lang w:val="en-GB"/>
        </w:rPr>
        <w:t>various</w:t>
      </w:r>
      <w:r w:rsidRPr="008E4DCD">
        <w:rPr>
          <w:lang w:val="en-GB"/>
        </w:rPr>
        <w:t xml:space="preserve"> </w:t>
      </w:r>
      <w:r w:rsidR="00152023">
        <w:rPr>
          <w:lang w:val="en-GB"/>
        </w:rPr>
        <w:t xml:space="preserve">annexes to the TG 5/1 </w:t>
      </w:r>
      <w:r w:rsidRPr="008E4DCD">
        <w:rPr>
          <w:lang w:val="en-GB"/>
        </w:rPr>
        <w:t>Chairman’s Report (Annexes 3-1</w:t>
      </w:r>
      <w:r w:rsidR="00152023">
        <w:rPr>
          <w:lang w:val="en-GB"/>
        </w:rPr>
        <w:t>2</w:t>
      </w:r>
      <w:r w:rsidRPr="008E4DCD">
        <w:rPr>
          <w:lang w:val="en-GB"/>
        </w:rPr>
        <w:t xml:space="preserve"> to Document </w:t>
      </w:r>
      <w:hyperlink r:id="rId9" w:history="1">
        <w:r w:rsidRPr="008E4DCD">
          <w:rPr>
            <w:rStyle w:val="Hyperlink"/>
            <w:lang w:val="en-GB"/>
          </w:rPr>
          <w:t>5-1/</w:t>
        </w:r>
        <w:r w:rsidR="00DB6DA1">
          <w:rPr>
            <w:rStyle w:val="Hyperlink"/>
            <w:lang w:val="en-GB"/>
          </w:rPr>
          <w:t>47</w:t>
        </w:r>
        <w:r w:rsidR="00152023">
          <w:rPr>
            <w:rStyle w:val="Hyperlink"/>
            <w:lang w:val="en-GB"/>
          </w:rPr>
          <w:t>8</w:t>
        </w:r>
      </w:hyperlink>
      <w:r w:rsidRPr="008E4DCD">
        <w:rPr>
          <w:lang w:val="en-GB"/>
        </w:rPr>
        <w:t>).</w:t>
      </w:r>
    </w:p>
    <w:p w:rsidR="005941D4" w:rsidRPr="00085AF7" w:rsidRDefault="005941D4" w:rsidP="00085AF7">
      <w:pPr>
        <w:jc w:val="both"/>
        <w:rPr>
          <w:lang w:val="en-NZ"/>
        </w:rPr>
      </w:pPr>
    </w:p>
    <w:p w:rsidR="00986EF3" w:rsidRPr="00632348" w:rsidRDefault="00986EF3" w:rsidP="00986EF3">
      <w:pPr>
        <w:spacing w:after="120"/>
        <w:jc w:val="both"/>
        <w:rPr>
          <w:b/>
          <w:lang w:val="en-NZ" w:eastAsia="ko-KR"/>
        </w:rPr>
      </w:pPr>
      <w:r w:rsidRPr="00632348">
        <w:rPr>
          <w:b/>
          <w:lang w:val="en-NZ" w:eastAsia="ko-KR"/>
        </w:rPr>
        <w:t>2. Method</w:t>
      </w:r>
      <w:r>
        <w:rPr>
          <w:b/>
          <w:lang w:val="en-NZ" w:eastAsia="ko-KR"/>
        </w:rPr>
        <w:t>(</w:t>
      </w:r>
      <w:r w:rsidRPr="00632348">
        <w:rPr>
          <w:b/>
          <w:lang w:val="en-NZ" w:eastAsia="ko-KR"/>
        </w:rPr>
        <w:t>s</w:t>
      </w:r>
      <w:r>
        <w:rPr>
          <w:b/>
          <w:lang w:val="en-NZ" w:eastAsia="ko-KR"/>
        </w:rPr>
        <w:t>)</w:t>
      </w:r>
      <w:r w:rsidRPr="00632348">
        <w:rPr>
          <w:b/>
          <w:lang w:val="en-NZ" w:eastAsia="ko-KR"/>
        </w:rPr>
        <w:t xml:space="preserve"> to satisfy the Agenda Item</w:t>
      </w:r>
    </w:p>
    <w:p w:rsidR="00344332" w:rsidRDefault="00344332" w:rsidP="00085AF7">
      <w:pPr>
        <w:jc w:val="both"/>
        <w:rPr>
          <w:lang w:val="en-NZ"/>
        </w:rPr>
      </w:pPr>
      <w:r>
        <w:rPr>
          <w:lang w:val="en-NZ"/>
        </w:rPr>
        <w:t xml:space="preserve">Given the complexity of the </w:t>
      </w:r>
      <w:r w:rsidR="00082484">
        <w:rPr>
          <w:lang w:val="en-NZ"/>
        </w:rPr>
        <w:t xml:space="preserve">overall </w:t>
      </w:r>
      <w:r>
        <w:rPr>
          <w:lang w:val="en-NZ"/>
        </w:rPr>
        <w:t>combination</w:t>
      </w:r>
      <w:r w:rsidR="00082484">
        <w:rPr>
          <w:lang w:val="en-NZ"/>
        </w:rPr>
        <w:t>s</w:t>
      </w:r>
      <w:r>
        <w:rPr>
          <w:lang w:val="en-NZ"/>
        </w:rPr>
        <w:t xml:space="preserve"> of Methods, Alternatives, Conditions and associated Options, a </w:t>
      </w:r>
      <w:r w:rsidR="00082484">
        <w:rPr>
          <w:lang w:val="en-NZ"/>
        </w:rPr>
        <w:t>simplified version</w:t>
      </w:r>
      <w:r>
        <w:rPr>
          <w:lang w:val="en-NZ"/>
        </w:rPr>
        <w:t xml:space="preserve"> of the proposed methods to satisfy</w:t>
      </w:r>
      <w:r w:rsidR="00DB6DA1" w:rsidRPr="00632348">
        <w:rPr>
          <w:lang w:val="en-NZ"/>
        </w:rPr>
        <w:t xml:space="preserve"> </w:t>
      </w:r>
      <w:r w:rsidR="00DB6DA1">
        <w:rPr>
          <w:lang w:val="en-NZ"/>
        </w:rPr>
        <w:t>WRC-19 A</w:t>
      </w:r>
      <w:r w:rsidR="00DB6DA1" w:rsidRPr="00632348">
        <w:rPr>
          <w:lang w:val="en-NZ"/>
        </w:rPr>
        <w:t>genda item</w:t>
      </w:r>
      <w:r w:rsidR="00DB6DA1">
        <w:rPr>
          <w:lang w:val="en-NZ"/>
        </w:rPr>
        <w:t xml:space="preserve"> 1.1</w:t>
      </w:r>
      <w:r w:rsidR="00986EF3">
        <w:rPr>
          <w:lang w:val="en-NZ"/>
        </w:rPr>
        <w:t>3</w:t>
      </w:r>
      <w:r>
        <w:rPr>
          <w:lang w:val="en-NZ"/>
        </w:rPr>
        <w:t xml:space="preserve"> can be found in the embedded </w:t>
      </w:r>
      <w:r w:rsidR="00082484">
        <w:rPr>
          <w:lang w:val="en-NZ"/>
        </w:rPr>
        <w:t xml:space="preserve">summary </w:t>
      </w:r>
      <w:r>
        <w:rPr>
          <w:lang w:val="en-NZ"/>
        </w:rPr>
        <w:t xml:space="preserve">table. For full details, please refer to the precise text as contained in the </w:t>
      </w:r>
      <w:r w:rsidRPr="00632348">
        <w:rPr>
          <w:lang w:val="en-NZ"/>
        </w:rPr>
        <w:t xml:space="preserve">draft CPM </w:t>
      </w:r>
      <w:r>
        <w:rPr>
          <w:lang w:val="en-NZ"/>
        </w:rPr>
        <w:t>Report</w:t>
      </w:r>
      <w:r w:rsidR="00082484">
        <w:rPr>
          <w:lang w:val="en-NZ"/>
        </w:rPr>
        <w:t xml:space="preserve"> (Document </w:t>
      </w:r>
      <w:hyperlink r:id="rId10" w:history="1">
        <w:r w:rsidR="00082484" w:rsidRPr="00082484">
          <w:rPr>
            <w:rStyle w:val="Hyperlink"/>
            <w:lang w:val="en-NZ"/>
          </w:rPr>
          <w:t>CPM19-2/1</w:t>
        </w:r>
      </w:hyperlink>
      <w:r w:rsidR="00082484">
        <w:rPr>
          <w:lang w:val="en-NZ"/>
        </w:rPr>
        <w:t>)</w:t>
      </w:r>
      <w:r>
        <w:rPr>
          <w:lang w:val="en-NZ"/>
        </w:rPr>
        <w:t>.</w:t>
      </w:r>
    </w:p>
    <w:p w:rsidR="00715F4D" w:rsidRDefault="00344332" w:rsidP="00085AF7">
      <w:pPr>
        <w:jc w:val="both"/>
        <w:rPr>
          <w:lang w:val="en-NZ"/>
        </w:rPr>
      </w:pPr>
      <w:r>
        <w:rPr>
          <w:lang w:val="en-NZ"/>
        </w:rPr>
        <w:t xml:space="preserve"> </w:t>
      </w:r>
      <w:bookmarkStart w:id="1" w:name="_MON_1603630938"/>
      <w:bookmarkEnd w:id="1"/>
      <w:r w:rsidR="005618EC">
        <w:rPr>
          <w:lang w:val="en-NZ"/>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606887207" r:id="rId12">
            <o:FieldCodes>\s</o:FieldCodes>
          </o:OLEObject>
        </w:object>
      </w:r>
    </w:p>
    <w:p w:rsidR="000A5418" w:rsidRPr="000F100D" w:rsidRDefault="00986EF3" w:rsidP="003078CC">
      <w:pPr>
        <w:spacing w:after="120"/>
        <w:jc w:val="both"/>
        <w:rPr>
          <w:b/>
          <w:lang w:val="en-NZ" w:eastAsia="ko-KR"/>
        </w:rPr>
      </w:pPr>
      <w:r>
        <w:rPr>
          <w:b/>
          <w:lang w:val="en-NZ" w:eastAsia="ko-KR"/>
        </w:rPr>
        <w:lastRenderedPageBreak/>
        <w:t>3</w:t>
      </w:r>
      <w:r w:rsidR="000A5418" w:rsidRPr="000F100D">
        <w:rPr>
          <w:b/>
          <w:lang w:val="en-NZ" w:eastAsia="ko-KR"/>
        </w:rPr>
        <w:t>. Preliminary Views</w:t>
      </w:r>
    </w:p>
    <w:p w:rsidR="00344332" w:rsidRDefault="00344332" w:rsidP="00344332">
      <w:pPr>
        <w:jc w:val="both"/>
        <w:rPr>
          <w:lang w:val="en-NZ"/>
        </w:rPr>
      </w:pPr>
      <w:r w:rsidRPr="00344332">
        <w:rPr>
          <w:lang w:val="en-NZ"/>
        </w:rPr>
        <w:t xml:space="preserve">New Zealand has a preference toward identifying the frequency bands 24.25-27.5 GHz and 37-43.5 GHz, or portions thereof, as possible candidate bands to satisfy this agenda item. </w:t>
      </w:r>
    </w:p>
    <w:p w:rsidR="00344332" w:rsidRPr="00344332" w:rsidRDefault="00344332" w:rsidP="00344332">
      <w:pPr>
        <w:jc w:val="both"/>
        <w:rPr>
          <w:lang w:val="en-NZ"/>
        </w:rPr>
      </w:pPr>
    </w:p>
    <w:p w:rsidR="00344332" w:rsidRPr="00344332" w:rsidRDefault="00344332" w:rsidP="00344332">
      <w:pPr>
        <w:jc w:val="both"/>
        <w:rPr>
          <w:lang w:val="en-NZ"/>
        </w:rPr>
      </w:pPr>
      <w:r w:rsidRPr="00344332">
        <w:rPr>
          <w:lang w:val="en-NZ"/>
        </w:rPr>
        <w:t>For frequency band 24.25-27.5 GHz, New Zealand supports Method A2, Alternative 2, with the following options for the associated conditions:</w:t>
      </w:r>
    </w:p>
    <w:p w:rsidR="00344332" w:rsidRPr="00FE4FAD" w:rsidRDefault="00344332" w:rsidP="00FE4FAD">
      <w:pPr>
        <w:pStyle w:val="ListParagraph"/>
        <w:numPr>
          <w:ilvl w:val="0"/>
          <w:numId w:val="15"/>
        </w:numPr>
        <w:jc w:val="both"/>
        <w:rPr>
          <w:lang w:val="en-NZ"/>
        </w:rPr>
      </w:pPr>
      <w:r w:rsidRPr="00FE4FAD">
        <w:rPr>
          <w:lang w:val="en-NZ"/>
        </w:rPr>
        <w:t>Condition A2a: Option 1 - mandatory limit to protect EESS (passive) in the band 23.6-24 GHz, but only applicable to the portion of 24.25-25.25 GHz as active band</w:t>
      </w:r>
    </w:p>
    <w:p w:rsidR="00344332" w:rsidRPr="00FE4FAD" w:rsidRDefault="00344332" w:rsidP="00FE4FAD">
      <w:pPr>
        <w:pStyle w:val="ListParagraph"/>
        <w:numPr>
          <w:ilvl w:val="0"/>
          <w:numId w:val="15"/>
        </w:numPr>
        <w:jc w:val="both"/>
        <w:rPr>
          <w:lang w:val="en-NZ"/>
        </w:rPr>
      </w:pPr>
      <w:r w:rsidRPr="00FE4FAD">
        <w:rPr>
          <w:lang w:val="en-NZ"/>
        </w:rPr>
        <w:t>Condition A2b: Option 3 - no condition is necessary to protect EESS in second harmonic</w:t>
      </w:r>
    </w:p>
    <w:p w:rsidR="00344332" w:rsidRPr="00FE4FAD" w:rsidRDefault="00344332" w:rsidP="00FE4FAD">
      <w:pPr>
        <w:pStyle w:val="ListParagraph"/>
        <w:numPr>
          <w:ilvl w:val="0"/>
          <w:numId w:val="15"/>
        </w:numPr>
        <w:jc w:val="both"/>
        <w:rPr>
          <w:lang w:val="en-NZ"/>
        </w:rPr>
      </w:pPr>
      <w:r w:rsidRPr="00FE4FAD">
        <w:rPr>
          <w:lang w:val="en-NZ"/>
        </w:rPr>
        <w:t>Condition A2c: Option 4 - no condition is necessary for stations in SRS/EESS as it is a national matter</w:t>
      </w:r>
    </w:p>
    <w:p w:rsidR="00344332" w:rsidRPr="00FE4FAD" w:rsidRDefault="00344332" w:rsidP="00FE4FAD">
      <w:pPr>
        <w:pStyle w:val="ListParagraph"/>
        <w:numPr>
          <w:ilvl w:val="0"/>
          <w:numId w:val="15"/>
        </w:numPr>
        <w:jc w:val="both"/>
        <w:rPr>
          <w:lang w:val="en-NZ"/>
        </w:rPr>
      </w:pPr>
      <w:r w:rsidRPr="00FE4FAD">
        <w:rPr>
          <w:lang w:val="en-NZ"/>
        </w:rPr>
        <w:t>Condition A2d: Option 4 - no condition is necessary for transmitting earth stations in FSS as it is a national matter</w:t>
      </w:r>
    </w:p>
    <w:p w:rsidR="00344332" w:rsidRPr="00FE4FAD" w:rsidRDefault="00344332" w:rsidP="00FE4FAD">
      <w:pPr>
        <w:pStyle w:val="ListParagraph"/>
        <w:numPr>
          <w:ilvl w:val="0"/>
          <w:numId w:val="15"/>
        </w:numPr>
        <w:jc w:val="both"/>
        <w:rPr>
          <w:lang w:val="en-NZ"/>
        </w:rPr>
      </w:pPr>
      <w:r w:rsidRPr="00FE4FAD">
        <w:rPr>
          <w:lang w:val="en-NZ"/>
        </w:rPr>
        <w:t xml:space="preserve">Condition A2e: Option 9 - no condition is necessary for receiving space stations in ISS/FSS as studies show that sharing is feasible when using the baseline parameters </w:t>
      </w:r>
    </w:p>
    <w:p w:rsidR="00344332" w:rsidRPr="00FE4FAD" w:rsidRDefault="00344332" w:rsidP="00FE4FAD">
      <w:pPr>
        <w:pStyle w:val="ListParagraph"/>
        <w:numPr>
          <w:ilvl w:val="0"/>
          <w:numId w:val="15"/>
        </w:numPr>
        <w:jc w:val="both"/>
        <w:rPr>
          <w:lang w:val="en-NZ"/>
        </w:rPr>
      </w:pPr>
      <w:r w:rsidRPr="00FE4FAD">
        <w:rPr>
          <w:lang w:val="en-NZ"/>
        </w:rPr>
        <w:t>Condition A2f: Option 3 - no condition is necessary for stations in RAS as it is a national matter</w:t>
      </w:r>
    </w:p>
    <w:p w:rsidR="00344332" w:rsidRPr="00FE4FAD" w:rsidRDefault="00344332" w:rsidP="00FE4FAD">
      <w:pPr>
        <w:pStyle w:val="ListParagraph"/>
        <w:numPr>
          <w:ilvl w:val="0"/>
          <w:numId w:val="15"/>
        </w:numPr>
        <w:jc w:val="both"/>
        <w:rPr>
          <w:lang w:val="en-NZ"/>
        </w:rPr>
      </w:pPr>
      <w:r w:rsidRPr="00FE4FAD">
        <w:rPr>
          <w:lang w:val="en-NZ"/>
        </w:rPr>
        <w:t>Condition A2g: Option 4 - no other condition is required</w:t>
      </w:r>
    </w:p>
    <w:p w:rsidR="00FE4FAD" w:rsidRDefault="00FE4FAD" w:rsidP="00344332">
      <w:pPr>
        <w:jc w:val="both"/>
        <w:rPr>
          <w:lang w:val="en-NZ"/>
        </w:rPr>
      </w:pPr>
    </w:p>
    <w:p w:rsidR="00344332" w:rsidRPr="00344332" w:rsidRDefault="00344332" w:rsidP="00344332">
      <w:pPr>
        <w:jc w:val="both"/>
        <w:rPr>
          <w:lang w:val="en-NZ"/>
        </w:rPr>
      </w:pPr>
      <w:r w:rsidRPr="00344332">
        <w:rPr>
          <w:lang w:val="en-NZ"/>
        </w:rPr>
        <w:t>For frequency band 40.5-42.5 GHz, New Zealand supports Method D2, Alternative 2, with the following options for the associated conditions:</w:t>
      </w:r>
    </w:p>
    <w:p w:rsidR="00344332" w:rsidRPr="00FE4FAD" w:rsidRDefault="00344332" w:rsidP="00FE4FAD">
      <w:pPr>
        <w:pStyle w:val="ListParagraph"/>
        <w:numPr>
          <w:ilvl w:val="0"/>
          <w:numId w:val="17"/>
        </w:numPr>
        <w:jc w:val="both"/>
        <w:rPr>
          <w:lang w:val="en-NZ"/>
        </w:rPr>
      </w:pPr>
      <w:r w:rsidRPr="00FE4FAD">
        <w:rPr>
          <w:lang w:val="en-NZ"/>
        </w:rPr>
        <w:t>Condition D2a: Option 5 - no condition is necessary for receiving earth stations in FSS as studies show that sharing is feasible when the required separation distance can be maintained between a FSS earth station with a known position and a deployment area of IMT stations</w:t>
      </w:r>
    </w:p>
    <w:p w:rsidR="00344332" w:rsidRPr="00FE4FAD" w:rsidRDefault="00344332" w:rsidP="00FE4FAD">
      <w:pPr>
        <w:pStyle w:val="ListParagraph"/>
        <w:numPr>
          <w:ilvl w:val="0"/>
          <w:numId w:val="17"/>
        </w:numPr>
        <w:jc w:val="both"/>
        <w:rPr>
          <w:lang w:val="en-NZ"/>
        </w:rPr>
      </w:pPr>
      <w:r w:rsidRPr="00FE4FAD">
        <w:rPr>
          <w:lang w:val="en-NZ"/>
        </w:rPr>
        <w:t>Condition D2b: Option 3 - no condition is necessary for stations in RAS as it is a national matter</w:t>
      </w:r>
    </w:p>
    <w:p w:rsidR="00344332" w:rsidRPr="00FE4FAD" w:rsidRDefault="00344332" w:rsidP="00FE4FAD">
      <w:pPr>
        <w:pStyle w:val="ListParagraph"/>
        <w:numPr>
          <w:ilvl w:val="0"/>
          <w:numId w:val="17"/>
        </w:numPr>
        <w:jc w:val="both"/>
        <w:rPr>
          <w:lang w:val="en-NZ"/>
        </w:rPr>
      </w:pPr>
      <w:r w:rsidRPr="00FE4FAD">
        <w:rPr>
          <w:lang w:val="en-NZ"/>
        </w:rPr>
        <w:t>Condition D2c: Option 3 - no other condition is required</w:t>
      </w:r>
    </w:p>
    <w:p w:rsidR="00FE4FAD" w:rsidRDefault="00FE4FAD" w:rsidP="00FE4FAD">
      <w:pPr>
        <w:jc w:val="both"/>
        <w:rPr>
          <w:lang w:val="en-NZ"/>
        </w:rPr>
      </w:pPr>
    </w:p>
    <w:p w:rsidR="00344332" w:rsidRPr="00FE4FAD" w:rsidRDefault="00344332" w:rsidP="00FE4FAD">
      <w:pPr>
        <w:jc w:val="both"/>
        <w:rPr>
          <w:lang w:val="en-NZ"/>
        </w:rPr>
      </w:pPr>
      <w:r w:rsidRPr="00FE4FAD">
        <w:rPr>
          <w:lang w:val="en-NZ"/>
        </w:rPr>
        <w:t>For frequency band 42.5-43.5 GHz, New Zealand supports Method E2, Alternative 2, with the following options for the associated conditions:</w:t>
      </w:r>
    </w:p>
    <w:p w:rsidR="00344332" w:rsidRPr="00FE4FAD" w:rsidRDefault="00344332" w:rsidP="00FE4FAD">
      <w:pPr>
        <w:pStyle w:val="ListParagraph"/>
        <w:numPr>
          <w:ilvl w:val="0"/>
          <w:numId w:val="17"/>
        </w:numPr>
        <w:jc w:val="both"/>
        <w:rPr>
          <w:lang w:val="en-NZ"/>
        </w:rPr>
      </w:pPr>
      <w:r w:rsidRPr="00FE4FAD">
        <w:rPr>
          <w:lang w:val="en-NZ"/>
        </w:rPr>
        <w:t xml:space="preserve">Condition E2a: Option 7 - no condition is necessary for receiving space stations in FSS as studies show that sharing is feasible when using the baseline parameters </w:t>
      </w:r>
    </w:p>
    <w:p w:rsidR="00344332" w:rsidRPr="00FE4FAD" w:rsidRDefault="00344332" w:rsidP="00FE4FAD">
      <w:pPr>
        <w:pStyle w:val="ListParagraph"/>
        <w:numPr>
          <w:ilvl w:val="0"/>
          <w:numId w:val="17"/>
        </w:numPr>
        <w:jc w:val="both"/>
        <w:rPr>
          <w:lang w:val="en-NZ"/>
        </w:rPr>
      </w:pPr>
      <w:r w:rsidRPr="00FE4FAD">
        <w:rPr>
          <w:lang w:val="en-NZ"/>
        </w:rPr>
        <w:t>Condition E2b: Option 3 - no condition is necessary for stations in RAS as it is a national matter</w:t>
      </w:r>
    </w:p>
    <w:p w:rsidR="00344332" w:rsidRPr="00FE4FAD" w:rsidRDefault="00344332" w:rsidP="00FE4FAD">
      <w:pPr>
        <w:pStyle w:val="ListParagraph"/>
        <w:numPr>
          <w:ilvl w:val="0"/>
          <w:numId w:val="17"/>
        </w:numPr>
        <w:jc w:val="both"/>
        <w:rPr>
          <w:lang w:val="en-NZ"/>
        </w:rPr>
      </w:pPr>
      <w:r w:rsidRPr="00FE4FAD">
        <w:rPr>
          <w:lang w:val="en-NZ"/>
        </w:rPr>
        <w:t xml:space="preserve">Condition E2c: Option </w:t>
      </w:r>
      <w:r w:rsidR="00305B26">
        <w:rPr>
          <w:lang w:val="en-NZ"/>
        </w:rPr>
        <w:t>4</w:t>
      </w:r>
      <w:r w:rsidRPr="00FE4FAD">
        <w:rPr>
          <w:lang w:val="en-NZ"/>
        </w:rPr>
        <w:t xml:space="preserve"> - no other condition is required</w:t>
      </w:r>
    </w:p>
    <w:p w:rsidR="00FE4FAD" w:rsidRDefault="00FE4FAD" w:rsidP="00FE4FAD">
      <w:pPr>
        <w:jc w:val="both"/>
        <w:rPr>
          <w:lang w:val="en-NZ"/>
        </w:rPr>
      </w:pPr>
    </w:p>
    <w:p w:rsidR="00715F4D" w:rsidRPr="00FE4FAD" w:rsidRDefault="00344332" w:rsidP="00FE4FAD">
      <w:pPr>
        <w:jc w:val="both"/>
        <w:rPr>
          <w:b/>
          <w:bCs/>
          <w:lang w:val="en-NZ"/>
        </w:rPr>
      </w:pPr>
      <w:r w:rsidRPr="00FE4FAD">
        <w:rPr>
          <w:lang w:val="en-NZ"/>
        </w:rPr>
        <w:t>New Zealand is also open to consider other feasible candidate bands if there are other suitable frequency ranges being supported more broadly on a global, regional or sub-regional basis</w:t>
      </w:r>
      <w:r w:rsidR="00085AF7" w:rsidRPr="00FE4FAD">
        <w:rPr>
          <w:lang w:val="en-NZ"/>
        </w:rPr>
        <w:t>.</w:t>
      </w:r>
    </w:p>
    <w:p w:rsidR="00986EF3" w:rsidRDefault="00986EF3">
      <w:pPr>
        <w:rPr>
          <w:b/>
          <w:bCs/>
          <w:lang w:val="en-NZ"/>
        </w:rPr>
      </w:pPr>
      <w:r>
        <w:rPr>
          <w:lang w:val="en-NZ"/>
        </w:rPr>
        <w:br w:type="page"/>
      </w:r>
    </w:p>
    <w:p w:rsidR="000A5418" w:rsidRPr="00715F4D" w:rsidRDefault="000A5418" w:rsidP="00715F4D">
      <w:pPr>
        <w:pStyle w:val="Heading1"/>
        <w:jc w:val="left"/>
        <w:rPr>
          <w:u w:val="none"/>
          <w:lang w:val="en-NZ"/>
        </w:rPr>
      </w:pPr>
      <w:r w:rsidRPr="00715F4D">
        <w:rPr>
          <w:u w:val="none"/>
          <w:lang w:val="en-NZ"/>
        </w:rPr>
        <w:lastRenderedPageBreak/>
        <w:t xml:space="preserve">Agenda Item </w:t>
      </w:r>
      <w:r w:rsidR="00715F4D">
        <w:rPr>
          <w:u w:val="none"/>
          <w:lang w:val="en-NZ"/>
        </w:rPr>
        <w:t>1</w:t>
      </w:r>
      <w:r w:rsidRPr="00715F4D">
        <w:rPr>
          <w:u w:val="none"/>
          <w:lang w:val="en-NZ"/>
        </w:rPr>
        <w:t>.</w:t>
      </w:r>
      <w:r w:rsidR="00715F4D">
        <w:rPr>
          <w:u w:val="none"/>
          <w:lang w:val="en-NZ"/>
        </w:rPr>
        <w:t>1</w:t>
      </w:r>
      <w:r w:rsidR="0068246E">
        <w:rPr>
          <w:u w:val="none"/>
          <w:lang w:val="en-NZ"/>
        </w:rPr>
        <w:t>6</w:t>
      </w:r>
      <w:r w:rsidRPr="00715F4D">
        <w:rPr>
          <w:u w:val="none"/>
          <w:lang w:val="en-NZ"/>
        </w:rPr>
        <w:t xml:space="preserve"> </w:t>
      </w:r>
    </w:p>
    <w:p w:rsidR="00C357AD" w:rsidRDefault="00F4640A" w:rsidP="00C357AD">
      <w:pPr>
        <w:jc w:val="both"/>
        <w:rPr>
          <w:i/>
          <w:lang w:val="en-NZ"/>
        </w:rPr>
      </w:pPr>
      <w:r w:rsidRPr="00F4640A">
        <w:rPr>
          <w:i/>
          <w:lang w:val="en-NZ"/>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F4640A">
        <w:rPr>
          <w:b/>
          <w:i/>
          <w:lang w:val="en-NZ"/>
        </w:rPr>
        <w:t>239 (WRC</w:t>
      </w:r>
      <w:r>
        <w:rPr>
          <w:b/>
          <w:i/>
          <w:lang w:val="en-NZ"/>
        </w:rPr>
        <w:t>-</w:t>
      </w:r>
      <w:r w:rsidRPr="00F4640A">
        <w:rPr>
          <w:b/>
          <w:i/>
          <w:lang w:val="en-NZ"/>
        </w:rPr>
        <w:t>15)</w:t>
      </w:r>
    </w:p>
    <w:p w:rsidR="00F4640A" w:rsidRPr="000F100D" w:rsidRDefault="00F4640A" w:rsidP="00C357AD">
      <w:pPr>
        <w:jc w:val="both"/>
        <w:rPr>
          <w:lang w:val="en-NZ"/>
        </w:rPr>
      </w:pPr>
    </w:p>
    <w:p w:rsidR="000A5418" w:rsidRPr="000F100D" w:rsidRDefault="000A5418" w:rsidP="000A5418">
      <w:pPr>
        <w:spacing w:after="120"/>
        <w:jc w:val="both"/>
        <w:rPr>
          <w:b/>
          <w:lang w:val="en-NZ" w:eastAsia="ko-KR"/>
        </w:rPr>
      </w:pPr>
      <w:r w:rsidRPr="000F100D">
        <w:rPr>
          <w:b/>
          <w:lang w:val="en-NZ" w:eastAsia="ko-KR"/>
        </w:rPr>
        <w:t>1. Background</w:t>
      </w:r>
    </w:p>
    <w:p w:rsidR="00F4640A" w:rsidRDefault="00F4640A" w:rsidP="00E45AD9">
      <w:pPr>
        <w:jc w:val="both"/>
        <w:rPr>
          <w:lang w:val="en-NZ"/>
        </w:rPr>
      </w:pPr>
      <w:r w:rsidRPr="00F4640A">
        <w:rPr>
          <w:lang w:val="en-NZ"/>
        </w:rPr>
        <w:t xml:space="preserve">The demand for ubiquitous radio local area networks (RLAN, </w:t>
      </w:r>
      <w:r>
        <w:rPr>
          <w:lang w:val="en-NZ"/>
        </w:rPr>
        <w:t xml:space="preserve">or </w:t>
      </w:r>
      <w:r w:rsidRPr="00F4640A">
        <w:rPr>
          <w:lang w:val="en-NZ"/>
        </w:rPr>
        <w:t>commonly known as Wi-Fi) resulted in substantial congestion in the 2.4 GHz band. The growth of such demand would likely be addressed by implementing RLAN/Wi-Fi in parts of the 5 GHz band</w:t>
      </w:r>
      <w:r w:rsidR="008F2AAB">
        <w:rPr>
          <w:lang w:val="en-NZ"/>
        </w:rPr>
        <w:t>, or expanding other parts of 5 GHz to be made available for RLAN/Wi-Fi</w:t>
      </w:r>
      <w:r w:rsidRPr="00F4640A">
        <w:rPr>
          <w:lang w:val="en-NZ"/>
        </w:rPr>
        <w:t>.</w:t>
      </w:r>
    </w:p>
    <w:p w:rsidR="00F4640A" w:rsidRDefault="00F4640A" w:rsidP="00E45AD9">
      <w:pPr>
        <w:jc w:val="both"/>
        <w:rPr>
          <w:lang w:val="en-NZ"/>
        </w:rPr>
      </w:pPr>
    </w:p>
    <w:p w:rsidR="00E45AD9" w:rsidRDefault="00F4640A" w:rsidP="00E45AD9">
      <w:pPr>
        <w:jc w:val="both"/>
        <w:rPr>
          <w:lang w:val="en-NZ"/>
        </w:rPr>
      </w:pPr>
      <w:r w:rsidRPr="00F4640A">
        <w:rPr>
          <w:lang w:val="en-NZ"/>
        </w:rPr>
        <w:t xml:space="preserve">The use of the bands 5 150–5 350 MHz and 5 470–5 725 MHz by the mobile service for the implementation of RLAN/Wi-Fi is as prescribed in Resolution </w:t>
      </w:r>
      <w:r w:rsidRPr="00F4640A">
        <w:rPr>
          <w:b/>
          <w:lang w:val="en-NZ"/>
        </w:rPr>
        <w:t>229 (Rev. WRC-12)</w:t>
      </w:r>
      <w:r w:rsidRPr="00F4640A">
        <w:rPr>
          <w:lang w:val="en-NZ"/>
        </w:rPr>
        <w:t xml:space="preserve">. To ensure protection for other primary services in the bands 5 150–5 350 MHz and 5 470–5 725 MHz, </w:t>
      </w:r>
      <w:r>
        <w:rPr>
          <w:lang w:val="en-NZ"/>
        </w:rPr>
        <w:t>this Resolution outlined a</w:t>
      </w:r>
      <w:r w:rsidRPr="00F4640A">
        <w:rPr>
          <w:lang w:val="en-NZ"/>
        </w:rPr>
        <w:t xml:space="preserve"> number of restrictions and interference mitigation measures, including maximum transmitter power, maximum e.i.r.p. levels and power flux density limits at different elevation angle above the horizontal plane of the Earth.</w:t>
      </w:r>
    </w:p>
    <w:p w:rsidR="00E45AD9" w:rsidRDefault="00E45AD9" w:rsidP="00E45AD9">
      <w:pPr>
        <w:jc w:val="both"/>
        <w:rPr>
          <w:lang w:val="en-NZ"/>
        </w:rPr>
      </w:pPr>
    </w:p>
    <w:p w:rsidR="00F26AD8" w:rsidRDefault="00F4640A" w:rsidP="00E45AD9">
      <w:pPr>
        <w:jc w:val="both"/>
        <w:rPr>
          <w:lang w:val="en-NZ"/>
        </w:rPr>
      </w:pPr>
      <w:r w:rsidRPr="00F4640A">
        <w:rPr>
          <w:lang w:val="en-NZ"/>
        </w:rPr>
        <w:t>Agenda item 1.16 seeks to study the RLAN technical characteristics and operational requirements in the band 5 150–5 925 MHz. This would include the possibility of re</w:t>
      </w:r>
      <w:r w:rsidR="00242E68">
        <w:rPr>
          <w:lang w:val="en-NZ"/>
        </w:rPr>
        <w:t>viewi</w:t>
      </w:r>
      <w:r w:rsidRPr="00F4640A">
        <w:rPr>
          <w:lang w:val="en-NZ"/>
        </w:rPr>
        <w:t xml:space="preserve">ng the access conditions applicable to RLAN in the band 5 150–5 350 MHz as prescribed in Resolution </w:t>
      </w:r>
      <w:r w:rsidRPr="00F4640A">
        <w:rPr>
          <w:b/>
          <w:lang w:val="en-NZ"/>
        </w:rPr>
        <w:t>229 (Rev. WRC-12)</w:t>
      </w:r>
      <w:r w:rsidRPr="00F4640A">
        <w:rPr>
          <w:lang w:val="en-NZ"/>
        </w:rPr>
        <w:t xml:space="preserve">. The scope of this study could also explore the possibility of accommodating RLAN use in </w:t>
      </w:r>
      <w:r w:rsidR="00242E68">
        <w:rPr>
          <w:lang w:val="en-NZ"/>
        </w:rPr>
        <w:t xml:space="preserve">other </w:t>
      </w:r>
      <w:r w:rsidRPr="00F4640A">
        <w:rPr>
          <w:lang w:val="en-NZ"/>
        </w:rPr>
        <w:t xml:space="preserve">bands </w:t>
      </w:r>
      <w:r w:rsidR="00242E68">
        <w:rPr>
          <w:lang w:val="en-NZ"/>
        </w:rPr>
        <w:t xml:space="preserve">such as </w:t>
      </w:r>
      <w:r w:rsidRPr="00F4640A">
        <w:rPr>
          <w:lang w:val="en-NZ"/>
        </w:rPr>
        <w:t xml:space="preserve">5 350–5 470 MHz, 5 725–5 850 MHz and/or 5 850–5 925 MHz while not imposing any additional constraint on the incumbent services. </w:t>
      </w:r>
    </w:p>
    <w:p w:rsidR="008D5371" w:rsidRDefault="008D5371" w:rsidP="00E45AD9">
      <w:pPr>
        <w:jc w:val="both"/>
        <w:rPr>
          <w:lang w:val="en-NZ"/>
        </w:rPr>
      </w:pPr>
    </w:p>
    <w:p w:rsidR="008D5371" w:rsidRDefault="008D5371" w:rsidP="00E45AD9">
      <w:pPr>
        <w:jc w:val="both"/>
        <w:rPr>
          <w:lang w:val="en-NZ"/>
        </w:rPr>
      </w:pPr>
      <w:r>
        <w:rPr>
          <w:lang w:val="en-NZ"/>
        </w:rPr>
        <w:t xml:space="preserve">In New Zealand, </w:t>
      </w:r>
      <w:r w:rsidRPr="008D5371">
        <w:rPr>
          <w:lang w:val="en-NZ"/>
        </w:rPr>
        <w:t>RLAN/Wi-Fi</w:t>
      </w:r>
      <w:r>
        <w:rPr>
          <w:lang w:val="en-NZ"/>
        </w:rPr>
        <w:t xml:space="preserve"> is permitted to operate in </w:t>
      </w:r>
      <w:r w:rsidR="0005508C">
        <w:rPr>
          <w:lang w:val="en-NZ"/>
        </w:rPr>
        <w:t xml:space="preserve">the bands </w:t>
      </w:r>
      <w:r>
        <w:rPr>
          <w:lang w:val="en-NZ"/>
        </w:rPr>
        <w:t>5 150</w:t>
      </w:r>
      <w:r w:rsidR="0005508C" w:rsidRPr="00F4640A">
        <w:rPr>
          <w:lang w:val="en-NZ"/>
        </w:rPr>
        <w:t>–</w:t>
      </w:r>
      <w:r>
        <w:rPr>
          <w:lang w:val="en-NZ"/>
        </w:rPr>
        <w:t>5 350 MHz and 5 470</w:t>
      </w:r>
      <w:r w:rsidR="0005508C" w:rsidRPr="00F4640A">
        <w:rPr>
          <w:lang w:val="en-NZ"/>
        </w:rPr>
        <w:t>–</w:t>
      </w:r>
      <w:r>
        <w:rPr>
          <w:lang w:val="en-NZ"/>
        </w:rPr>
        <w:t xml:space="preserve">5 725 MHz </w:t>
      </w:r>
      <w:r w:rsidR="0005508C">
        <w:rPr>
          <w:lang w:val="en-NZ"/>
        </w:rPr>
        <w:t xml:space="preserve">based on </w:t>
      </w:r>
      <w:r>
        <w:rPr>
          <w:lang w:val="en-NZ"/>
        </w:rPr>
        <w:t xml:space="preserve">the access conditions as prescribed in </w:t>
      </w:r>
      <w:r w:rsidRPr="00F4640A">
        <w:rPr>
          <w:lang w:val="en-NZ"/>
        </w:rPr>
        <w:t xml:space="preserve">Resolution </w:t>
      </w:r>
      <w:r w:rsidRPr="00F4640A">
        <w:rPr>
          <w:b/>
          <w:lang w:val="en-NZ"/>
        </w:rPr>
        <w:t>229 (Rev. WRC-12)</w:t>
      </w:r>
      <w:r w:rsidRPr="00F4640A">
        <w:rPr>
          <w:lang w:val="en-NZ"/>
        </w:rPr>
        <w:t xml:space="preserve">. </w:t>
      </w:r>
      <w:r>
        <w:rPr>
          <w:lang w:val="en-NZ"/>
        </w:rPr>
        <w:t>RLAN/Wi-Fi is also permitted to use 5 725</w:t>
      </w:r>
      <w:r w:rsidR="0005508C" w:rsidRPr="00F4640A">
        <w:rPr>
          <w:lang w:val="en-NZ"/>
        </w:rPr>
        <w:t>–</w:t>
      </w:r>
      <w:r>
        <w:rPr>
          <w:lang w:val="en-NZ"/>
        </w:rPr>
        <w:t xml:space="preserve">5 875 MHz, which is designated for industrial, scientific and medical (ISM) applications. </w:t>
      </w:r>
      <w:r w:rsidR="0005508C">
        <w:rPr>
          <w:lang w:val="en-NZ"/>
        </w:rPr>
        <w:t>To date</w:t>
      </w:r>
      <w:r>
        <w:rPr>
          <w:lang w:val="en-NZ"/>
        </w:rPr>
        <w:t xml:space="preserve">, there are </w:t>
      </w:r>
      <w:r w:rsidR="00C04C67">
        <w:rPr>
          <w:lang w:val="en-NZ"/>
        </w:rPr>
        <w:t xml:space="preserve">recurring </w:t>
      </w:r>
      <w:r>
        <w:rPr>
          <w:lang w:val="en-NZ"/>
        </w:rPr>
        <w:t xml:space="preserve">intermittent </w:t>
      </w:r>
      <w:r w:rsidRPr="008D5371">
        <w:rPr>
          <w:lang w:val="en-NZ"/>
        </w:rPr>
        <w:t xml:space="preserve">interference </w:t>
      </w:r>
      <w:r w:rsidR="0005508C">
        <w:rPr>
          <w:lang w:val="en-NZ"/>
        </w:rPr>
        <w:t xml:space="preserve">incidents </w:t>
      </w:r>
      <w:r w:rsidR="00A670D4">
        <w:rPr>
          <w:lang w:val="en-NZ"/>
        </w:rPr>
        <w:t xml:space="preserve">to </w:t>
      </w:r>
      <w:r w:rsidR="00A670D4" w:rsidRPr="008D5371">
        <w:rPr>
          <w:lang w:val="en-NZ"/>
        </w:rPr>
        <w:t xml:space="preserve">the </w:t>
      </w:r>
      <w:r w:rsidR="00C04C67">
        <w:rPr>
          <w:lang w:val="en-NZ"/>
        </w:rPr>
        <w:t xml:space="preserve">ground-based </w:t>
      </w:r>
      <w:r w:rsidR="00A670D4" w:rsidRPr="008D5371">
        <w:rPr>
          <w:lang w:val="en-NZ"/>
        </w:rPr>
        <w:t>weather radar</w:t>
      </w:r>
      <w:r w:rsidR="00A670D4">
        <w:rPr>
          <w:lang w:val="en-NZ"/>
        </w:rPr>
        <w:t xml:space="preserve"> </w:t>
      </w:r>
      <w:r w:rsidR="00C04C67">
        <w:rPr>
          <w:lang w:val="en-NZ"/>
        </w:rPr>
        <w:t xml:space="preserve">in New Zealand </w:t>
      </w:r>
      <w:r w:rsidR="00A670D4">
        <w:rPr>
          <w:lang w:val="en-NZ"/>
        </w:rPr>
        <w:t xml:space="preserve">operating </w:t>
      </w:r>
      <w:r w:rsidR="00C04C67">
        <w:rPr>
          <w:lang w:val="en-NZ"/>
        </w:rPr>
        <w:t>with</w:t>
      </w:r>
      <w:r w:rsidR="00A670D4">
        <w:rPr>
          <w:lang w:val="en-NZ"/>
        </w:rPr>
        <w:t xml:space="preserve">in </w:t>
      </w:r>
      <w:r w:rsidR="00A670D4" w:rsidRPr="008D5371">
        <w:rPr>
          <w:lang w:val="en-NZ"/>
        </w:rPr>
        <w:t>5 600</w:t>
      </w:r>
      <w:r w:rsidR="00A670D4" w:rsidRPr="00F4640A">
        <w:rPr>
          <w:lang w:val="en-NZ"/>
        </w:rPr>
        <w:t>–</w:t>
      </w:r>
      <w:r w:rsidR="00A670D4" w:rsidRPr="008D5371">
        <w:rPr>
          <w:lang w:val="en-NZ"/>
        </w:rPr>
        <w:t>5 650 MHz</w:t>
      </w:r>
      <w:r w:rsidR="00C04C67">
        <w:rPr>
          <w:lang w:val="en-NZ"/>
        </w:rPr>
        <w:t xml:space="preserve"> (refer to RR No.</w:t>
      </w:r>
      <w:r w:rsidR="00C04C67" w:rsidRPr="00C04C67">
        <w:rPr>
          <w:b/>
          <w:lang w:val="en-NZ"/>
        </w:rPr>
        <w:t xml:space="preserve"> 5.452</w:t>
      </w:r>
      <w:r w:rsidR="00C04C67">
        <w:rPr>
          <w:lang w:val="en-NZ"/>
        </w:rPr>
        <w:t>)</w:t>
      </w:r>
      <w:r w:rsidR="00A670D4" w:rsidRPr="008D5371">
        <w:rPr>
          <w:lang w:val="en-NZ"/>
        </w:rPr>
        <w:t xml:space="preserve"> </w:t>
      </w:r>
      <w:r w:rsidRPr="008D5371">
        <w:rPr>
          <w:lang w:val="en-NZ"/>
        </w:rPr>
        <w:t>w</w:t>
      </w:r>
      <w:r w:rsidR="0005508C">
        <w:rPr>
          <w:lang w:val="en-NZ"/>
        </w:rPr>
        <w:t>here RLAN/Wi-Fi were found to</w:t>
      </w:r>
      <w:r w:rsidRPr="008D5371">
        <w:rPr>
          <w:lang w:val="en-NZ"/>
        </w:rPr>
        <w:t xml:space="preserve"> </w:t>
      </w:r>
      <w:r w:rsidR="0005508C">
        <w:rPr>
          <w:lang w:val="en-NZ"/>
        </w:rPr>
        <w:t xml:space="preserve">transmit in </w:t>
      </w:r>
      <w:r w:rsidRPr="008D5371">
        <w:rPr>
          <w:lang w:val="en-NZ"/>
        </w:rPr>
        <w:t>overlap</w:t>
      </w:r>
      <w:r w:rsidR="0005508C">
        <w:rPr>
          <w:lang w:val="en-NZ"/>
        </w:rPr>
        <w:t>ping</w:t>
      </w:r>
      <w:r w:rsidRPr="008D5371">
        <w:rPr>
          <w:lang w:val="en-NZ"/>
        </w:rPr>
        <w:t xml:space="preserve"> </w:t>
      </w:r>
      <w:r w:rsidR="00A670D4">
        <w:rPr>
          <w:lang w:val="en-NZ"/>
        </w:rPr>
        <w:t xml:space="preserve">frequencies </w:t>
      </w:r>
      <w:r w:rsidR="00C04C67">
        <w:rPr>
          <w:lang w:val="en-NZ"/>
        </w:rPr>
        <w:t>of</w:t>
      </w:r>
      <w:r w:rsidRPr="008D5371">
        <w:rPr>
          <w:lang w:val="en-NZ"/>
        </w:rPr>
        <w:t xml:space="preserve"> the weather radar</w:t>
      </w:r>
      <w:r w:rsidR="00A670D4">
        <w:rPr>
          <w:lang w:val="en-NZ"/>
        </w:rPr>
        <w:t xml:space="preserve">. </w:t>
      </w:r>
    </w:p>
    <w:p w:rsidR="009B7004" w:rsidRPr="000F100D" w:rsidRDefault="009B7004" w:rsidP="000A5418">
      <w:pPr>
        <w:jc w:val="both"/>
        <w:rPr>
          <w:lang w:val="en-NZ"/>
        </w:rPr>
      </w:pPr>
    </w:p>
    <w:p w:rsidR="00CD5010" w:rsidRPr="00632348" w:rsidRDefault="00CD5010" w:rsidP="00CD5010">
      <w:pPr>
        <w:spacing w:after="120"/>
        <w:jc w:val="both"/>
        <w:rPr>
          <w:b/>
          <w:lang w:val="en-NZ" w:eastAsia="ko-KR"/>
        </w:rPr>
      </w:pPr>
      <w:r w:rsidRPr="00632348">
        <w:rPr>
          <w:b/>
          <w:lang w:val="en-NZ" w:eastAsia="ko-KR"/>
        </w:rPr>
        <w:t>2. Method</w:t>
      </w:r>
      <w:r>
        <w:rPr>
          <w:b/>
          <w:lang w:val="en-NZ" w:eastAsia="ko-KR"/>
        </w:rPr>
        <w:t>(</w:t>
      </w:r>
      <w:r w:rsidRPr="00632348">
        <w:rPr>
          <w:b/>
          <w:lang w:val="en-NZ" w:eastAsia="ko-KR"/>
        </w:rPr>
        <w:t>s</w:t>
      </w:r>
      <w:r>
        <w:rPr>
          <w:b/>
          <w:lang w:val="en-NZ" w:eastAsia="ko-KR"/>
        </w:rPr>
        <w:t>)</w:t>
      </w:r>
      <w:r w:rsidRPr="00632348">
        <w:rPr>
          <w:b/>
          <w:lang w:val="en-NZ" w:eastAsia="ko-KR"/>
        </w:rPr>
        <w:t xml:space="preserve"> to satisfy the Agenda Item</w:t>
      </w:r>
    </w:p>
    <w:p w:rsidR="00AC17F1" w:rsidRDefault="00AC17F1" w:rsidP="00AC17F1">
      <w:pPr>
        <w:jc w:val="both"/>
        <w:rPr>
          <w:lang w:val="en-NZ"/>
        </w:rPr>
      </w:pPr>
      <w:r w:rsidRPr="00632348">
        <w:rPr>
          <w:lang w:val="en-NZ"/>
        </w:rPr>
        <w:t>The following methods</w:t>
      </w:r>
      <w:r>
        <w:rPr>
          <w:lang w:val="en-NZ"/>
        </w:rPr>
        <w:t xml:space="preserve"> </w:t>
      </w:r>
      <w:r w:rsidRPr="00632348">
        <w:rPr>
          <w:lang w:val="en-NZ"/>
        </w:rPr>
        <w:t xml:space="preserve">to satisfy </w:t>
      </w:r>
      <w:r>
        <w:rPr>
          <w:lang w:val="en-NZ"/>
        </w:rPr>
        <w:t>WRC-19 A</w:t>
      </w:r>
      <w:r w:rsidRPr="00632348">
        <w:rPr>
          <w:lang w:val="en-NZ"/>
        </w:rPr>
        <w:t>genda item</w:t>
      </w:r>
      <w:r>
        <w:rPr>
          <w:lang w:val="en-NZ"/>
        </w:rPr>
        <w:t xml:space="preserve"> 1.16 as outlined </w:t>
      </w:r>
      <w:r w:rsidRPr="00632348">
        <w:rPr>
          <w:lang w:val="en-NZ"/>
        </w:rPr>
        <w:t xml:space="preserve">in the draft CPM </w:t>
      </w:r>
      <w:r>
        <w:rPr>
          <w:lang w:val="en-NZ"/>
        </w:rPr>
        <w:t xml:space="preserve">Report </w:t>
      </w:r>
      <w:r w:rsidRPr="00632348">
        <w:rPr>
          <w:lang w:val="en-NZ"/>
        </w:rPr>
        <w:t xml:space="preserve">are </w:t>
      </w:r>
      <w:r>
        <w:rPr>
          <w:lang w:val="en-NZ"/>
        </w:rPr>
        <w:t xml:space="preserve">categorised into </w:t>
      </w:r>
      <w:r w:rsidRPr="00AC17F1">
        <w:rPr>
          <w:lang w:val="en-NZ"/>
        </w:rPr>
        <w:t>five frequency sub-bands, i.e. 5 150-5 250 MHz, 5 250-5 350 MHz, 5 350-5 470 MHz, 5 725-5 850 MHz and 5 850-5 925 MHz</w:t>
      </w:r>
      <w:r w:rsidRPr="00632348">
        <w:rPr>
          <w:lang w:val="en-NZ"/>
        </w:rPr>
        <w:t>:</w:t>
      </w:r>
    </w:p>
    <w:p w:rsidR="00AC17F1" w:rsidRDefault="00AC17F1" w:rsidP="00AC17F1">
      <w:pPr>
        <w:jc w:val="both"/>
        <w:rPr>
          <w:lang w:val="en-NZ"/>
        </w:rPr>
      </w:pPr>
    </w:p>
    <w:p w:rsidR="00AC17F1" w:rsidRDefault="00AC17F1" w:rsidP="00AC17F1">
      <w:pPr>
        <w:jc w:val="both"/>
        <w:rPr>
          <w:i/>
          <w:u w:val="single"/>
          <w:lang w:val="en-NZ"/>
        </w:rPr>
      </w:pPr>
      <w:r>
        <w:rPr>
          <w:i/>
          <w:u w:val="single"/>
          <w:lang w:val="en-NZ"/>
        </w:rPr>
        <w:t xml:space="preserve">A) </w:t>
      </w:r>
      <w:r w:rsidRPr="00AC17F1">
        <w:rPr>
          <w:i/>
          <w:u w:val="single"/>
          <w:lang w:val="en-NZ"/>
        </w:rPr>
        <w:t>Frequency sub-band 5 150-5 250 MHz:</w:t>
      </w:r>
    </w:p>
    <w:p w:rsidR="00AC17F1" w:rsidRDefault="00AC17F1" w:rsidP="00AC17F1">
      <w:pPr>
        <w:jc w:val="both"/>
        <w:rPr>
          <w:i/>
          <w:u w:val="single"/>
          <w:lang w:val="en-NZ"/>
        </w:rPr>
      </w:pPr>
    </w:p>
    <w:p w:rsidR="00AC17F1" w:rsidRDefault="00AC17F1" w:rsidP="00AC17F1">
      <w:pPr>
        <w:ind w:left="1440" w:hanging="1440"/>
        <w:jc w:val="both"/>
        <w:rPr>
          <w:b/>
          <w:lang w:val="en-NZ"/>
        </w:rPr>
      </w:pPr>
      <w:r w:rsidRPr="00AC17F1">
        <w:rPr>
          <w:b/>
          <w:lang w:val="en-NZ"/>
        </w:rPr>
        <w:t>Method A1</w:t>
      </w:r>
      <w:r w:rsidRPr="00AC17F1">
        <w:rPr>
          <w:lang w:val="en-NZ"/>
        </w:rPr>
        <w:tab/>
        <w:t xml:space="preserve">No change to the Radio Regulations, with the exception of the suppression of Resolution </w:t>
      </w:r>
      <w:r w:rsidRPr="00AC17F1">
        <w:rPr>
          <w:b/>
          <w:lang w:val="en-NZ"/>
        </w:rPr>
        <w:t>239 (WRC-15)</w:t>
      </w:r>
    </w:p>
    <w:p w:rsidR="00AC17F1" w:rsidRPr="00AC17F1" w:rsidRDefault="00AC17F1" w:rsidP="00AC17F1">
      <w:pPr>
        <w:ind w:left="1440" w:hanging="1440"/>
        <w:jc w:val="both"/>
        <w:rPr>
          <w:lang w:val="en-NZ"/>
        </w:rPr>
      </w:pPr>
    </w:p>
    <w:p w:rsidR="00AC17F1" w:rsidRDefault="00AC17F1" w:rsidP="00AC17F1">
      <w:pPr>
        <w:ind w:left="1440" w:hanging="1440"/>
        <w:jc w:val="both"/>
        <w:rPr>
          <w:lang w:val="en-NZ"/>
        </w:rPr>
      </w:pPr>
      <w:r w:rsidRPr="00AC17F1">
        <w:rPr>
          <w:b/>
          <w:lang w:val="en-NZ"/>
        </w:rPr>
        <w:t>Method A2</w:t>
      </w:r>
      <w:r w:rsidRPr="00AC17F1">
        <w:rPr>
          <w:lang w:val="en-NZ"/>
        </w:rPr>
        <w:tab/>
        <w:t xml:space="preserve">Revision to Resolution </w:t>
      </w:r>
      <w:r w:rsidRPr="00AC17F1">
        <w:rPr>
          <w:b/>
          <w:lang w:val="en-NZ"/>
        </w:rPr>
        <w:t>229 (Rev.WRC-12)</w:t>
      </w:r>
      <w:r w:rsidRPr="00AC17F1">
        <w:rPr>
          <w:lang w:val="en-NZ"/>
        </w:rPr>
        <w:t xml:space="preserve"> to enable outdoor RLAN operations including possible associated conditions for new e.i.r.p. limits while addressing the protection of incumbent services</w:t>
      </w:r>
    </w:p>
    <w:p w:rsidR="00AC17F1" w:rsidRPr="00AC17F1" w:rsidRDefault="00AC17F1" w:rsidP="00AC17F1">
      <w:pPr>
        <w:jc w:val="both"/>
        <w:rPr>
          <w:lang w:val="en-NZ"/>
        </w:rPr>
      </w:pPr>
    </w:p>
    <w:p w:rsidR="00AC17F1" w:rsidRDefault="00AC17F1" w:rsidP="00AC17F1">
      <w:pPr>
        <w:ind w:left="1440" w:hanging="1440"/>
        <w:jc w:val="both"/>
        <w:rPr>
          <w:b/>
          <w:lang w:val="en-NZ"/>
        </w:rPr>
      </w:pPr>
      <w:r w:rsidRPr="00AC17F1">
        <w:rPr>
          <w:b/>
          <w:lang w:val="en-NZ"/>
        </w:rPr>
        <w:t>Method A3</w:t>
      </w:r>
      <w:r w:rsidRPr="00AC17F1">
        <w:rPr>
          <w:lang w:val="en-NZ"/>
        </w:rPr>
        <w:tab/>
        <w:t xml:space="preserve">Revision to Resolution </w:t>
      </w:r>
      <w:r w:rsidRPr="00AC17F1">
        <w:rPr>
          <w:b/>
          <w:lang w:val="en-NZ"/>
        </w:rPr>
        <w:t>229 (Rev.WRC-12)</w:t>
      </w:r>
      <w:r w:rsidRPr="00AC17F1">
        <w:rPr>
          <w:lang w:val="en-NZ"/>
        </w:rPr>
        <w:t xml:space="preserve"> to enable outdoor RLAN operations by applying the same conditions of use as defined for 5 250-5 350 MHz band in </w:t>
      </w:r>
      <w:r w:rsidRPr="00AC17F1">
        <w:rPr>
          <w:i/>
          <w:lang w:val="en-NZ"/>
        </w:rPr>
        <w:t>resolves</w:t>
      </w:r>
      <w:r w:rsidRPr="00AC17F1">
        <w:rPr>
          <w:lang w:val="en-NZ"/>
        </w:rPr>
        <w:t xml:space="preserve"> 4 of Resolution </w:t>
      </w:r>
      <w:r w:rsidRPr="00AC17F1">
        <w:rPr>
          <w:b/>
          <w:lang w:val="en-NZ"/>
        </w:rPr>
        <w:t>229 (Rev.WRC-12)</w:t>
      </w:r>
    </w:p>
    <w:p w:rsidR="00AC17F1" w:rsidRPr="00AC17F1" w:rsidRDefault="00AC17F1" w:rsidP="00AC17F1">
      <w:pPr>
        <w:ind w:left="1440" w:hanging="1440"/>
        <w:jc w:val="both"/>
        <w:rPr>
          <w:lang w:val="en-NZ"/>
        </w:rPr>
      </w:pPr>
      <w:r w:rsidRPr="00AC17F1">
        <w:rPr>
          <w:b/>
          <w:lang w:val="en-NZ"/>
        </w:rPr>
        <w:lastRenderedPageBreak/>
        <w:t>Method A4</w:t>
      </w:r>
      <w:r w:rsidRPr="00AC17F1">
        <w:rPr>
          <w:lang w:val="en-NZ"/>
        </w:rPr>
        <w:tab/>
        <w:t xml:space="preserve">Revision to Resolution </w:t>
      </w:r>
      <w:r w:rsidRPr="00AC17F1">
        <w:rPr>
          <w:b/>
          <w:lang w:val="en-NZ"/>
        </w:rPr>
        <w:t>229 (Rev.WRC-12)</w:t>
      </w:r>
      <w:r w:rsidRPr="00AC17F1">
        <w:rPr>
          <w:lang w:val="en-NZ"/>
        </w:rPr>
        <w:t xml:space="preserve"> to enable in-vehicle use of RLAN operations with e.i.r.p. limits up to 40 mW to provide the same level of protection established by Resolution </w:t>
      </w:r>
      <w:r w:rsidRPr="00AC17F1">
        <w:rPr>
          <w:b/>
          <w:lang w:val="en-NZ"/>
        </w:rPr>
        <w:t>229 (Rev.WRC-12)</w:t>
      </w:r>
      <w:r w:rsidRPr="00AC17F1">
        <w:rPr>
          <w:lang w:val="en-NZ"/>
        </w:rPr>
        <w:t xml:space="preserve"> to incumbent services</w:t>
      </w:r>
    </w:p>
    <w:p w:rsidR="00AC17F1" w:rsidRDefault="00AC17F1" w:rsidP="00AC17F1">
      <w:pPr>
        <w:jc w:val="both"/>
        <w:rPr>
          <w:lang w:val="en-NZ"/>
        </w:rPr>
      </w:pPr>
    </w:p>
    <w:p w:rsidR="00AC17F1" w:rsidRDefault="00AC17F1" w:rsidP="00AC17F1">
      <w:pPr>
        <w:jc w:val="both"/>
        <w:rPr>
          <w:i/>
          <w:u w:val="single"/>
          <w:lang w:val="en-NZ"/>
        </w:rPr>
      </w:pPr>
      <w:r>
        <w:rPr>
          <w:i/>
          <w:u w:val="single"/>
          <w:lang w:val="en-NZ"/>
        </w:rPr>
        <w:t xml:space="preserve">B) </w:t>
      </w:r>
      <w:r w:rsidRPr="00AC17F1">
        <w:rPr>
          <w:i/>
          <w:u w:val="single"/>
          <w:lang w:val="en-NZ"/>
        </w:rPr>
        <w:t>Frequency sub-band 5 250-5 350 MHz:</w:t>
      </w:r>
    </w:p>
    <w:p w:rsidR="00AC17F1" w:rsidRDefault="00AC17F1" w:rsidP="00AC17F1">
      <w:pPr>
        <w:jc w:val="both"/>
        <w:rPr>
          <w:i/>
          <w:u w:val="single"/>
          <w:lang w:val="en-NZ"/>
        </w:rPr>
      </w:pPr>
    </w:p>
    <w:p w:rsidR="00AC17F1" w:rsidRDefault="00AC17F1" w:rsidP="00AC17F1">
      <w:pPr>
        <w:ind w:left="1440" w:hanging="1440"/>
        <w:jc w:val="both"/>
        <w:rPr>
          <w:b/>
          <w:lang w:val="en-NZ"/>
        </w:rPr>
      </w:pPr>
      <w:r w:rsidRPr="00AC17F1">
        <w:rPr>
          <w:b/>
          <w:lang w:val="en-NZ"/>
        </w:rPr>
        <w:t>Method B</w:t>
      </w:r>
      <w:r w:rsidRPr="00AC17F1">
        <w:rPr>
          <w:lang w:val="en-NZ"/>
        </w:rPr>
        <w:tab/>
        <w:t xml:space="preserve">No change to the Radio Regulations, with the exception of the suppression of Resolution </w:t>
      </w:r>
      <w:r w:rsidRPr="00AC17F1">
        <w:rPr>
          <w:b/>
          <w:lang w:val="en-NZ"/>
        </w:rPr>
        <w:t>239 (WRC-15)</w:t>
      </w:r>
    </w:p>
    <w:p w:rsidR="00AC17F1" w:rsidRPr="00AC17F1" w:rsidRDefault="00AC17F1" w:rsidP="00AC17F1">
      <w:pPr>
        <w:jc w:val="both"/>
        <w:rPr>
          <w:lang w:val="en-NZ"/>
        </w:rPr>
      </w:pPr>
    </w:p>
    <w:p w:rsidR="00AC17F1" w:rsidRDefault="00AC17F1" w:rsidP="00AC17F1">
      <w:pPr>
        <w:jc w:val="both"/>
        <w:rPr>
          <w:i/>
          <w:u w:val="single"/>
          <w:lang w:val="en-NZ"/>
        </w:rPr>
      </w:pPr>
      <w:r>
        <w:rPr>
          <w:i/>
          <w:u w:val="single"/>
          <w:lang w:val="en-NZ"/>
        </w:rPr>
        <w:t xml:space="preserve">C) </w:t>
      </w:r>
      <w:r w:rsidRPr="00AC17F1">
        <w:rPr>
          <w:i/>
          <w:u w:val="single"/>
          <w:lang w:val="en-NZ"/>
        </w:rPr>
        <w:t>Frequency sub-band 5 350-5 470 MHz:</w:t>
      </w:r>
    </w:p>
    <w:p w:rsidR="00AC17F1" w:rsidRPr="00AC17F1" w:rsidRDefault="00AC17F1" w:rsidP="00AC17F1">
      <w:pPr>
        <w:jc w:val="both"/>
        <w:rPr>
          <w:i/>
          <w:u w:val="single"/>
          <w:lang w:val="en-NZ"/>
        </w:rPr>
      </w:pPr>
    </w:p>
    <w:p w:rsidR="00AC17F1" w:rsidRPr="00AC17F1" w:rsidRDefault="00AC17F1" w:rsidP="00AC17F1">
      <w:pPr>
        <w:ind w:left="1440" w:hanging="1440"/>
        <w:jc w:val="both"/>
        <w:rPr>
          <w:lang w:val="en-NZ"/>
        </w:rPr>
      </w:pPr>
      <w:r w:rsidRPr="00AC17F1">
        <w:rPr>
          <w:b/>
          <w:lang w:val="en-NZ"/>
        </w:rPr>
        <w:t>Method C</w:t>
      </w:r>
      <w:r w:rsidRPr="00AC17F1">
        <w:rPr>
          <w:lang w:val="en-NZ"/>
        </w:rPr>
        <w:tab/>
        <w:t xml:space="preserve">No change to the Radio Regulations, with the exception of the suppression of Resolution </w:t>
      </w:r>
      <w:r w:rsidRPr="00AC17F1">
        <w:rPr>
          <w:b/>
          <w:lang w:val="en-NZ"/>
        </w:rPr>
        <w:t>239 (WRC-15)</w:t>
      </w:r>
      <w:r w:rsidRPr="00AC17F1">
        <w:rPr>
          <w:lang w:val="en-NZ"/>
        </w:rPr>
        <w:t xml:space="preserve"> </w:t>
      </w:r>
    </w:p>
    <w:p w:rsidR="00AC17F1" w:rsidRDefault="00AC17F1" w:rsidP="00AC17F1">
      <w:pPr>
        <w:jc w:val="both"/>
        <w:rPr>
          <w:lang w:val="en-NZ"/>
        </w:rPr>
      </w:pPr>
    </w:p>
    <w:p w:rsidR="00AC17F1" w:rsidRDefault="00AC17F1" w:rsidP="00AC17F1">
      <w:pPr>
        <w:jc w:val="both"/>
        <w:rPr>
          <w:i/>
          <w:u w:val="single"/>
          <w:lang w:val="en-NZ"/>
        </w:rPr>
      </w:pPr>
      <w:r>
        <w:rPr>
          <w:i/>
          <w:u w:val="single"/>
          <w:lang w:val="en-NZ"/>
        </w:rPr>
        <w:t xml:space="preserve">D) </w:t>
      </w:r>
      <w:r w:rsidRPr="00AC17F1">
        <w:rPr>
          <w:i/>
          <w:u w:val="single"/>
          <w:lang w:val="en-NZ"/>
        </w:rPr>
        <w:t>Frequency sub-band 5 725-5 850 MHz:</w:t>
      </w:r>
    </w:p>
    <w:p w:rsidR="00AC17F1" w:rsidRDefault="00AC17F1" w:rsidP="00AC17F1">
      <w:pPr>
        <w:jc w:val="both"/>
        <w:rPr>
          <w:i/>
          <w:u w:val="single"/>
          <w:lang w:val="en-NZ"/>
        </w:rPr>
      </w:pPr>
    </w:p>
    <w:p w:rsidR="00AC17F1" w:rsidRDefault="00AC17F1" w:rsidP="00AC17F1">
      <w:pPr>
        <w:ind w:left="1440" w:hanging="1440"/>
        <w:jc w:val="both"/>
        <w:rPr>
          <w:b/>
          <w:lang w:val="en-NZ"/>
        </w:rPr>
      </w:pPr>
      <w:r w:rsidRPr="00AC17F1">
        <w:rPr>
          <w:b/>
          <w:lang w:val="en-NZ"/>
        </w:rPr>
        <w:t>Method D1</w:t>
      </w:r>
      <w:r w:rsidRPr="00AC17F1">
        <w:rPr>
          <w:lang w:val="en-NZ"/>
        </w:rPr>
        <w:tab/>
        <w:t xml:space="preserve">No change to the Radio Regulations, with the exception of the suppression of Resolution </w:t>
      </w:r>
      <w:r w:rsidRPr="00AC17F1">
        <w:rPr>
          <w:b/>
          <w:lang w:val="en-NZ"/>
        </w:rPr>
        <w:t>239 (WRC-15)</w:t>
      </w:r>
    </w:p>
    <w:p w:rsidR="00AC17F1" w:rsidRPr="00AC17F1" w:rsidRDefault="00AC17F1" w:rsidP="00AC17F1">
      <w:pPr>
        <w:jc w:val="both"/>
        <w:rPr>
          <w:lang w:val="en-NZ"/>
        </w:rPr>
      </w:pPr>
    </w:p>
    <w:p w:rsidR="00AC17F1" w:rsidRDefault="00AC17F1" w:rsidP="00AC17F1">
      <w:pPr>
        <w:ind w:left="1440" w:hanging="1440"/>
        <w:jc w:val="both"/>
        <w:rPr>
          <w:b/>
          <w:lang w:val="en-NZ"/>
        </w:rPr>
      </w:pPr>
      <w:r w:rsidRPr="00AC17F1">
        <w:rPr>
          <w:b/>
          <w:lang w:val="en-NZ"/>
        </w:rPr>
        <w:t>Method D2</w:t>
      </w:r>
      <w:r w:rsidRPr="00AC17F1">
        <w:rPr>
          <w:lang w:val="en-NZ"/>
        </w:rPr>
        <w:tab/>
        <w:t xml:space="preserve">Allocate 5 725-5 850 MHz to the Mobile Service on a primary basis worldwide or in Region 1 to accommodate RLAN use restricted to indoor operations with e.i.r.p. limits up to 200 mW including associated mitigation techniques and together with the revision to Resolution </w:t>
      </w:r>
      <w:r w:rsidRPr="00AC17F1">
        <w:rPr>
          <w:b/>
          <w:lang w:val="en-NZ"/>
        </w:rPr>
        <w:t>229 (Rev.WRC-12)</w:t>
      </w:r>
    </w:p>
    <w:p w:rsidR="00AC17F1" w:rsidRPr="00AC17F1" w:rsidRDefault="00AC17F1" w:rsidP="00AC17F1">
      <w:pPr>
        <w:jc w:val="both"/>
        <w:rPr>
          <w:lang w:val="en-NZ"/>
        </w:rPr>
      </w:pPr>
    </w:p>
    <w:p w:rsidR="00AC17F1" w:rsidRPr="00AC17F1" w:rsidRDefault="00AC17F1" w:rsidP="00AC17F1">
      <w:pPr>
        <w:ind w:left="1440" w:hanging="1440"/>
        <w:jc w:val="both"/>
        <w:rPr>
          <w:lang w:val="en-NZ"/>
        </w:rPr>
      </w:pPr>
      <w:r w:rsidRPr="00AC17F1">
        <w:rPr>
          <w:b/>
          <w:lang w:val="en-NZ"/>
        </w:rPr>
        <w:t>Method D3</w:t>
      </w:r>
      <w:r w:rsidRPr="00AC17F1">
        <w:rPr>
          <w:lang w:val="en-NZ"/>
        </w:rPr>
        <w:tab/>
        <w:t>Accommodate RLAN in an existing or a new footnote having mobile primary allocation</w:t>
      </w:r>
    </w:p>
    <w:p w:rsidR="00AC17F1" w:rsidRDefault="00AC17F1" w:rsidP="00AC17F1">
      <w:pPr>
        <w:jc w:val="both"/>
        <w:rPr>
          <w:lang w:val="en-NZ"/>
        </w:rPr>
      </w:pPr>
    </w:p>
    <w:p w:rsidR="00AC17F1" w:rsidRDefault="00AC17F1" w:rsidP="00AC17F1">
      <w:pPr>
        <w:jc w:val="both"/>
        <w:rPr>
          <w:i/>
          <w:u w:val="single"/>
          <w:lang w:val="en-NZ"/>
        </w:rPr>
      </w:pPr>
      <w:r>
        <w:rPr>
          <w:i/>
          <w:u w:val="single"/>
          <w:lang w:val="en-NZ"/>
        </w:rPr>
        <w:t xml:space="preserve">E) </w:t>
      </w:r>
      <w:r w:rsidRPr="00AC17F1">
        <w:rPr>
          <w:i/>
          <w:u w:val="single"/>
          <w:lang w:val="en-NZ"/>
        </w:rPr>
        <w:t>Frequency sub-band 5 850-5 925 MHz:</w:t>
      </w:r>
    </w:p>
    <w:p w:rsidR="00AC17F1" w:rsidRDefault="00AC17F1" w:rsidP="00AC17F1">
      <w:pPr>
        <w:jc w:val="both"/>
        <w:rPr>
          <w:i/>
          <w:u w:val="single"/>
          <w:lang w:val="en-NZ"/>
        </w:rPr>
      </w:pPr>
    </w:p>
    <w:p w:rsidR="00AC17F1" w:rsidRPr="00AC17F1" w:rsidRDefault="00AC17F1" w:rsidP="00AC17F1">
      <w:pPr>
        <w:ind w:left="1440" w:hanging="1440"/>
        <w:jc w:val="both"/>
        <w:rPr>
          <w:lang w:val="en-NZ"/>
        </w:rPr>
      </w:pPr>
      <w:r w:rsidRPr="00AC17F1">
        <w:rPr>
          <w:b/>
          <w:lang w:val="en-NZ"/>
        </w:rPr>
        <w:t>Method E</w:t>
      </w:r>
      <w:r w:rsidRPr="00AC17F1">
        <w:rPr>
          <w:lang w:val="en-NZ"/>
        </w:rPr>
        <w:tab/>
        <w:t xml:space="preserve">No change to the Radio Regulations, with the exception of the suppression of Resolution </w:t>
      </w:r>
      <w:r w:rsidRPr="00AC17F1">
        <w:rPr>
          <w:b/>
          <w:lang w:val="en-NZ"/>
        </w:rPr>
        <w:t>239 (WRC-15)</w:t>
      </w:r>
    </w:p>
    <w:p w:rsidR="00EB3F67" w:rsidRDefault="00EB3F67" w:rsidP="00CD5010">
      <w:pPr>
        <w:jc w:val="both"/>
        <w:rPr>
          <w:lang w:val="en-NZ"/>
        </w:rPr>
      </w:pPr>
    </w:p>
    <w:p w:rsidR="00356DF1" w:rsidRDefault="00356DF1" w:rsidP="00CD5010">
      <w:pPr>
        <w:jc w:val="both"/>
        <w:rPr>
          <w:lang w:val="en-NZ"/>
        </w:rPr>
      </w:pPr>
    </w:p>
    <w:p w:rsidR="000A5418" w:rsidRPr="000F100D" w:rsidRDefault="00CD5010" w:rsidP="003078CC">
      <w:pPr>
        <w:spacing w:after="120"/>
        <w:jc w:val="both"/>
        <w:rPr>
          <w:b/>
          <w:lang w:val="en-NZ" w:eastAsia="ko-KR"/>
        </w:rPr>
      </w:pPr>
      <w:r>
        <w:rPr>
          <w:b/>
          <w:lang w:val="en-NZ" w:eastAsia="ko-KR"/>
        </w:rPr>
        <w:t>3</w:t>
      </w:r>
      <w:r w:rsidR="000A5418" w:rsidRPr="000F100D">
        <w:rPr>
          <w:b/>
          <w:lang w:val="en-NZ" w:eastAsia="ko-KR"/>
        </w:rPr>
        <w:t>. Preliminary Views</w:t>
      </w:r>
    </w:p>
    <w:p w:rsidR="00356DF1" w:rsidRDefault="00356DF1" w:rsidP="00356DF1">
      <w:pPr>
        <w:jc w:val="both"/>
        <w:rPr>
          <w:lang w:val="en-NZ"/>
        </w:rPr>
      </w:pPr>
      <w:r w:rsidRPr="00356DF1">
        <w:rPr>
          <w:lang w:val="en-NZ"/>
        </w:rPr>
        <w:t xml:space="preserve">New Zealand is of the view that the existing regulatory framework applicable to the band 5 150-5 250 MHz, as contained in Resolution </w:t>
      </w:r>
      <w:r w:rsidRPr="00356DF1">
        <w:rPr>
          <w:b/>
          <w:lang w:val="en-NZ"/>
        </w:rPr>
        <w:t>229 (Rev. WRC-12)</w:t>
      </w:r>
      <w:r w:rsidR="00DC4EEB">
        <w:rPr>
          <w:lang w:val="en-NZ"/>
        </w:rPr>
        <w:t>, sh</w:t>
      </w:r>
      <w:r w:rsidRPr="00356DF1">
        <w:rPr>
          <w:lang w:val="en-NZ"/>
        </w:rPr>
        <w:t xml:space="preserve">ould be reviewed by enabling outdoor WAS/RLAN operation. New Zealand supports Method A2 or A3 as outlined in the draft CPM text for WRC-19 Agenda item 1.16.  </w:t>
      </w:r>
    </w:p>
    <w:p w:rsidR="00356DF1" w:rsidRPr="00356DF1" w:rsidRDefault="00356DF1" w:rsidP="00356DF1">
      <w:pPr>
        <w:jc w:val="both"/>
        <w:rPr>
          <w:lang w:val="en-NZ"/>
        </w:rPr>
      </w:pPr>
    </w:p>
    <w:p w:rsidR="00356DF1" w:rsidRDefault="00356DF1" w:rsidP="00356DF1">
      <w:pPr>
        <w:jc w:val="both"/>
        <w:rPr>
          <w:lang w:val="en-NZ"/>
        </w:rPr>
      </w:pPr>
      <w:r w:rsidRPr="00356DF1">
        <w:rPr>
          <w:lang w:val="en-NZ"/>
        </w:rPr>
        <w:t>In the band 5 725-5 850 MHz, New Zealand already permitted WAS/RLAN operation to share with other ISM applications. Therefore, New Zealand support</w:t>
      </w:r>
      <w:r w:rsidR="00EC6071">
        <w:rPr>
          <w:lang w:val="en-NZ"/>
        </w:rPr>
        <w:t>s</w:t>
      </w:r>
      <w:r w:rsidRPr="00356DF1">
        <w:rPr>
          <w:lang w:val="en-NZ"/>
        </w:rPr>
        <w:t xml:space="preserve"> a primary Mobile Allocation in this band as proposed in Method D3 by adding New Zealand to footnote RR No. </w:t>
      </w:r>
      <w:r w:rsidRPr="00EC6071">
        <w:rPr>
          <w:b/>
          <w:lang w:val="en-NZ"/>
        </w:rPr>
        <w:t>5.453</w:t>
      </w:r>
      <w:r w:rsidRPr="00356DF1">
        <w:rPr>
          <w:lang w:val="en-NZ"/>
        </w:rPr>
        <w:t xml:space="preserve">. </w:t>
      </w:r>
    </w:p>
    <w:p w:rsidR="00EC6071" w:rsidRPr="00356DF1" w:rsidRDefault="00EC6071" w:rsidP="00356DF1">
      <w:pPr>
        <w:jc w:val="both"/>
        <w:rPr>
          <w:lang w:val="en-NZ"/>
        </w:rPr>
      </w:pPr>
    </w:p>
    <w:p w:rsidR="00D1252E" w:rsidRPr="000F100D" w:rsidRDefault="00356DF1" w:rsidP="00356DF1">
      <w:pPr>
        <w:jc w:val="both"/>
        <w:rPr>
          <w:lang w:val="en-NZ"/>
        </w:rPr>
      </w:pPr>
      <w:r w:rsidRPr="00356DF1">
        <w:rPr>
          <w:lang w:val="en-NZ"/>
        </w:rPr>
        <w:t>In the bands 5 250-5 350 MHz, 5 350-5 470 MHz and 5 875-5 925 MHz, New Zealand supports no change to the Radio Regulations (i.e. Method</w:t>
      </w:r>
      <w:r w:rsidR="00EC6071">
        <w:rPr>
          <w:lang w:val="en-NZ"/>
        </w:rPr>
        <w:t>s</w:t>
      </w:r>
      <w:r w:rsidRPr="00356DF1">
        <w:rPr>
          <w:lang w:val="en-NZ"/>
        </w:rPr>
        <w:t xml:space="preserve"> B, C and E</w:t>
      </w:r>
      <w:r w:rsidR="00EC6071">
        <w:rPr>
          <w:lang w:val="en-NZ"/>
        </w:rPr>
        <w:t>, respectively</w:t>
      </w:r>
      <w:r w:rsidRPr="00356DF1">
        <w:rPr>
          <w:lang w:val="en-NZ"/>
        </w:rPr>
        <w:t>)</w:t>
      </w:r>
      <w:r w:rsidR="009B7004" w:rsidRPr="009B7004">
        <w:rPr>
          <w:lang w:val="en-NZ"/>
        </w:rPr>
        <w:t>.</w:t>
      </w:r>
    </w:p>
    <w:p w:rsidR="00371351" w:rsidRPr="000F100D" w:rsidRDefault="00371351" w:rsidP="000A5418">
      <w:pPr>
        <w:jc w:val="both"/>
        <w:rPr>
          <w:b/>
          <w:lang w:val="en-NZ"/>
        </w:rPr>
      </w:pPr>
    </w:p>
    <w:p w:rsidR="00371351" w:rsidRPr="000F100D" w:rsidRDefault="00371351" w:rsidP="000A5418">
      <w:pPr>
        <w:jc w:val="both"/>
        <w:rPr>
          <w:b/>
          <w:lang w:val="en-NZ"/>
        </w:rPr>
      </w:pPr>
    </w:p>
    <w:p w:rsidR="00715F4D" w:rsidRDefault="00715F4D">
      <w:pPr>
        <w:rPr>
          <w:b/>
          <w:bCs/>
          <w:lang w:val="en-NZ"/>
        </w:rPr>
      </w:pPr>
      <w:r>
        <w:rPr>
          <w:lang w:val="en-NZ"/>
        </w:rPr>
        <w:br w:type="page"/>
      </w:r>
    </w:p>
    <w:p w:rsidR="00642A9D" w:rsidRDefault="000A5418" w:rsidP="00642A9D">
      <w:pPr>
        <w:pStyle w:val="Heading1"/>
        <w:jc w:val="left"/>
        <w:rPr>
          <w:i/>
          <w:lang w:val="en-NZ"/>
        </w:rPr>
      </w:pPr>
      <w:r w:rsidRPr="00715F4D">
        <w:rPr>
          <w:u w:val="none"/>
          <w:lang w:val="en-NZ"/>
        </w:rPr>
        <w:lastRenderedPageBreak/>
        <w:t xml:space="preserve">Agenda Item </w:t>
      </w:r>
      <w:r w:rsidR="0068246E">
        <w:rPr>
          <w:u w:val="none"/>
          <w:lang w:val="en-NZ"/>
        </w:rPr>
        <w:t>9</w:t>
      </w:r>
      <w:r w:rsidRPr="00715F4D">
        <w:rPr>
          <w:u w:val="none"/>
          <w:lang w:val="en-NZ"/>
        </w:rPr>
        <w:t>.</w:t>
      </w:r>
      <w:r w:rsidR="00715F4D">
        <w:rPr>
          <w:u w:val="none"/>
          <w:lang w:val="en-NZ"/>
        </w:rPr>
        <w:t>1</w:t>
      </w:r>
      <w:r w:rsidR="00642A9D">
        <w:rPr>
          <w:u w:val="none"/>
          <w:lang w:val="en-NZ"/>
        </w:rPr>
        <w:t>,</w:t>
      </w:r>
      <w:r w:rsidR="0068246E">
        <w:rPr>
          <w:u w:val="none"/>
          <w:lang w:val="en-NZ"/>
        </w:rPr>
        <w:t xml:space="preserve"> </w:t>
      </w:r>
      <w:r w:rsidR="00642A9D" w:rsidRPr="00642A9D">
        <w:rPr>
          <w:u w:val="none"/>
          <w:lang w:val="en-NZ"/>
        </w:rPr>
        <w:t xml:space="preserve">Issue 9.1.1 </w:t>
      </w:r>
    </w:p>
    <w:p w:rsidR="000A5418" w:rsidRDefault="00642A9D" w:rsidP="00642A9D">
      <w:pPr>
        <w:jc w:val="both"/>
        <w:rPr>
          <w:i/>
          <w:lang w:val="en-NZ"/>
        </w:rPr>
      </w:pPr>
      <w:r w:rsidRPr="00642A9D">
        <w:rPr>
          <w:i/>
          <w:lang w:val="en-NZ"/>
        </w:rPr>
        <w:t xml:space="preserve">Resolution </w:t>
      </w:r>
      <w:r w:rsidRPr="00642A9D">
        <w:rPr>
          <w:b/>
          <w:i/>
          <w:lang w:val="en-NZ"/>
        </w:rPr>
        <w:t>212 (Rev. WRC-15)</w:t>
      </w:r>
      <w:r>
        <w:rPr>
          <w:b/>
          <w:i/>
          <w:lang w:val="en-NZ"/>
        </w:rPr>
        <w:t xml:space="preserve"> </w:t>
      </w:r>
      <w:r w:rsidRPr="00642A9D">
        <w:rPr>
          <w:i/>
          <w:lang w:val="en-NZ"/>
        </w:rPr>
        <w:t>-</w:t>
      </w:r>
      <w:r>
        <w:rPr>
          <w:i/>
          <w:lang w:val="en-NZ"/>
        </w:rPr>
        <w:t xml:space="preserve"> </w:t>
      </w:r>
      <w:r w:rsidRPr="00642A9D">
        <w:rPr>
          <w:i/>
          <w:lang w:val="en-NZ"/>
        </w:rPr>
        <w:t>Implementation of International Mobile</w:t>
      </w:r>
      <w:r>
        <w:rPr>
          <w:i/>
          <w:lang w:val="en-NZ"/>
        </w:rPr>
        <w:t xml:space="preserve"> </w:t>
      </w:r>
      <w:r w:rsidRPr="00642A9D">
        <w:rPr>
          <w:i/>
          <w:lang w:val="en-NZ"/>
        </w:rPr>
        <w:t>Telecommunications (IMT) in the frequency bands 1 885-2 025 MHz and 2 110-2 200 MHz</w:t>
      </w:r>
    </w:p>
    <w:p w:rsidR="00642A9D" w:rsidRPr="000F100D" w:rsidRDefault="00642A9D" w:rsidP="00642A9D">
      <w:pPr>
        <w:jc w:val="both"/>
        <w:rPr>
          <w:lang w:val="en-NZ"/>
        </w:rPr>
      </w:pPr>
    </w:p>
    <w:p w:rsidR="000A5418" w:rsidRPr="000F100D" w:rsidRDefault="000A5418" w:rsidP="000A5418">
      <w:pPr>
        <w:spacing w:after="120"/>
        <w:jc w:val="both"/>
        <w:rPr>
          <w:b/>
          <w:lang w:val="en-NZ" w:eastAsia="ko-KR"/>
        </w:rPr>
      </w:pPr>
      <w:r w:rsidRPr="000F100D">
        <w:rPr>
          <w:b/>
          <w:lang w:val="en-NZ" w:eastAsia="ko-KR"/>
        </w:rPr>
        <w:t>1. Background</w:t>
      </w:r>
    </w:p>
    <w:p w:rsidR="00642A9D" w:rsidRDefault="00642A9D" w:rsidP="00446C86">
      <w:pPr>
        <w:jc w:val="both"/>
        <w:rPr>
          <w:lang w:val="en-NZ"/>
        </w:rPr>
      </w:pPr>
      <w:r w:rsidRPr="00642A9D">
        <w:rPr>
          <w:lang w:val="en-NZ"/>
        </w:rPr>
        <w:t xml:space="preserve">Since the existing footnotes RR Nos. </w:t>
      </w:r>
      <w:r w:rsidRPr="00642A9D">
        <w:rPr>
          <w:b/>
          <w:lang w:val="en-NZ"/>
        </w:rPr>
        <w:t>5.388</w:t>
      </w:r>
      <w:r w:rsidRPr="00642A9D">
        <w:rPr>
          <w:lang w:val="en-NZ"/>
        </w:rPr>
        <w:t xml:space="preserve"> and </w:t>
      </w:r>
      <w:r w:rsidRPr="00642A9D">
        <w:rPr>
          <w:b/>
          <w:lang w:val="en-NZ"/>
        </w:rPr>
        <w:t>5.389A</w:t>
      </w:r>
      <w:r w:rsidRPr="00642A9D">
        <w:rPr>
          <w:lang w:val="en-NZ"/>
        </w:rPr>
        <w:t xml:space="preserve"> do not establish priority between the satellite and terrestrial component of IMT in the bands 1 980-2 010 MHz and 2 170-2 200 MHz, the issue about the coexistence and compatibility between the terrestrial and satellite components of IMT when deployed by neighbouring countries was raised at RA-15 and WRC-15.</w:t>
      </w:r>
      <w:r w:rsidR="00446C86" w:rsidRPr="00446C86">
        <w:rPr>
          <w:lang w:val="en-NZ"/>
        </w:rPr>
        <w:t xml:space="preserve"> </w:t>
      </w:r>
      <w:r w:rsidRPr="00642A9D">
        <w:rPr>
          <w:lang w:val="en-NZ"/>
        </w:rPr>
        <w:t xml:space="preserve">Issue 9.1.1 is established to study the technical and operational measures to ensure coexistence and compatibility between the terrestrial and satellite components of IMT, in accordance with Resolution </w:t>
      </w:r>
      <w:r w:rsidRPr="00642A9D">
        <w:rPr>
          <w:b/>
          <w:lang w:val="en-NZ"/>
        </w:rPr>
        <w:t>212 (Rev. WRC-15)</w:t>
      </w:r>
      <w:r w:rsidRPr="00642A9D">
        <w:rPr>
          <w:lang w:val="en-NZ"/>
        </w:rPr>
        <w:t>.</w:t>
      </w:r>
    </w:p>
    <w:p w:rsidR="00A115CC" w:rsidRDefault="00A115CC" w:rsidP="00446C86">
      <w:pPr>
        <w:jc w:val="both"/>
        <w:rPr>
          <w:lang w:val="en-NZ"/>
        </w:rPr>
      </w:pPr>
    </w:p>
    <w:p w:rsidR="00A115CC" w:rsidRDefault="00A115CC" w:rsidP="00446C86">
      <w:pPr>
        <w:jc w:val="both"/>
        <w:rPr>
          <w:lang w:val="en-NZ"/>
        </w:rPr>
      </w:pPr>
      <w:r w:rsidRPr="00A115CC">
        <w:rPr>
          <w:lang w:val="en-NZ"/>
        </w:rPr>
        <w:t>WPs 4C and 5D, as the two responsible groups, have jointly developed the working document towards a preliminary draft new [Recommendation/Report] ITU-R M.[MSS&amp;IMT-ADVANCED SHARING] “</w:t>
      </w:r>
      <w:r w:rsidRPr="00A115CC">
        <w:rPr>
          <w:i/>
          <w:lang w:val="en-NZ"/>
        </w:rPr>
        <w:t>Coexistence and compatibility study between mobile satellite systems and terrestrial IMT-Advanced systems in the IMT-2 GHz bands in different countries</w:t>
      </w:r>
      <w:r w:rsidRPr="00A115CC">
        <w:rPr>
          <w:lang w:val="en-NZ"/>
        </w:rPr>
        <w:t>”, as contained in Documen</w:t>
      </w:r>
      <w:r w:rsidRPr="000B4CAF">
        <w:rPr>
          <w:lang w:val="en-NZ"/>
        </w:rPr>
        <w:t xml:space="preserve">t </w:t>
      </w:r>
      <w:hyperlink r:id="rId13" w:history="1">
        <w:r w:rsidRPr="000B4CAF">
          <w:rPr>
            <w:rStyle w:val="Hyperlink"/>
            <w:lang w:val="en-NZ"/>
          </w:rPr>
          <w:t>4C/</w:t>
        </w:r>
        <w:r w:rsidR="00992325">
          <w:rPr>
            <w:rStyle w:val="Hyperlink"/>
            <w:lang w:val="en-NZ"/>
          </w:rPr>
          <w:t>417</w:t>
        </w:r>
        <w:r w:rsidRPr="000B4CAF">
          <w:rPr>
            <w:rStyle w:val="Hyperlink"/>
            <w:lang w:val="en-NZ"/>
          </w:rPr>
          <w:t xml:space="preserve"> Annex </w:t>
        </w:r>
        <w:r w:rsidR="00992325">
          <w:rPr>
            <w:rStyle w:val="Hyperlink"/>
            <w:lang w:val="en-NZ"/>
          </w:rPr>
          <w:t>4</w:t>
        </w:r>
      </w:hyperlink>
      <w:r w:rsidRPr="00A115CC">
        <w:rPr>
          <w:lang w:val="en-NZ"/>
        </w:rPr>
        <w:t xml:space="preserve"> and </w:t>
      </w:r>
      <w:r w:rsidRPr="0071395F">
        <w:rPr>
          <w:lang w:val="en-NZ"/>
        </w:rPr>
        <w:t xml:space="preserve">Document </w:t>
      </w:r>
      <w:hyperlink r:id="rId14" w:history="1">
        <w:r w:rsidRPr="0071395F">
          <w:rPr>
            <w:rStyle w:val="Hyperlink"/>
            <w:lang w:val="en-NZ"/>
          </w:rPr>
          <w:t>5D/</w:t>
        </w:r>
        <w:r w:rsidR="00992325">
          <w:rPr>
            <w:rStyle w:val="Hyperlink"/>
            <w:lang w:val="en-NZ"/>
          </w:rPr>
          <w:t>1110</w:t>
        </w:r>
        <w:r w:rsidRPr="0071395F">
          <w:rPr>
            <w:rStyle w:val="Hyperlink"/>
            <w:lang w:val="en-NZ"/>
          </w:rPr>
          <w:t xml:space="preserve"> Chapter 4</w:t>
        </w:r>
      </w:hyperlink>
      <w:r w:rsidR="00891AA1">
        <w:rPr>
          <w:lang w:val="en-NZ"/>
        </w:rPr>
        <w:t xml:space="preserve"> (Attachment 4.</w:t>
      </w:r>
      <w:r w:rsidR="00992325">
        <w:rPr>
          <w:lang w:val="en-NZ"/>
        </w:rPr>
        <w:t>7</w:t>
      </w:r>
      <w:r w:rsidR="00891AA1">
        <w:rPr>
          <w:lang w:val="en-NZ"/>
        </w:rPr>
        <w:t>).</w:t>
      </w:r>
      <w:r w:rsidR="00992325">
        <w:rPr>
          <w:lang w:val="en-NZ"/>
        </w:rPr>
        <w:t xml:space="preserve"> </w:t>
      </w:r>
    </w:p>
    <w:p w:rsidR="000A5418" w:rsidRDefault="000A5418" w:rsidP="000A5418">
      <w:pPr>
        <w:jc w:val="both"/>
        <w:rPr>
          <w:lang w:val="en-NZ"/>
        </w:rPr>
      </w:pPr>
    </w:p>
    <w:p w:rsidR="004B10A3" w:rsidRPr="004B10A3" w:rsidRDefault="004B10A3" w:rsidP="004B10A3">
      <w:pPr>
        <w:jc w:val="both"/>
        <w:rPr>
          <w:lang w:val="en-NZ"/>
        </w:rPr>
      </w:pPr>
      <w:r w:rsidRPr="004B10A3">
        <w:rPr>
          <w:lang w:val="en-NZ"/>
        </w:rPr>
        <w:t>The following four scenarios have been considered in the sharing studies:</w:t>
      </w:r>
    </w:p>
    <w:p w:rsidR="004B10A3" w:rsidRPr="004B10A3" w:rsidRDefault="004B10A3" w:rsidP="004B10A3">
      <w:pPr>
        <w:pStyle w:val="ListParagraph"/>
        <w:numPr>
          <w:ilvl w:val="0"/>
          <w:numId w:val="17"/>
        </w:numPr>
        <w:jc w:val="both"/>
        <w:rPr>
          <w:lang w:val="en-NZ"/>
        </w:rPr>
      </w:pPr>
      <w:r w:rsidRPr="004B10A3">
        <w:rPr>
          <w:lang w:val="en-NZ"/>
        </w:rPr>
        <w:t>Interference from IMT base stations</w:t>
      </w:r>
      <w:r w:rsidR="00E271D4">
        <w:rPr>
          <w:lang w:val="en-NZ"/>
        </w:rPr>
        <w:t>/</w:t>
      </w:r>
      <w:r w:rsidRPr="004B10A3">
        <w:rPr>
          <w:lang w:val="en-NZ"/>
        </w:rPr>
        <w:t xml:space="preserve">user equipment to </w:t>
      </w:r>
      <w:r w:rsidR="00E271D4" w:rsidRPr="004B10A3">
        <w:rPr>
          <w:lang w:val="en-NZ"/>
        </w:rPr>
        <w:t>mobile-</w:t>
      </w:r>
      <w:r w:rsidRPr="004B10A3">
        <w:rPr>
          <w:lang w:val="en-NZ"/>
        </w:rPr>
        <w:t>satellites (Scenario A1);</w:t>
      </w:r>
    </w:p>
    <w:p w:rsidR="004B10A3" w:rsidRPr="004B10A3" w:rsidRDefault="004B10A3" w:rsidP="004B10A3">
      <w:pPr>
        <w:pStyle w:val="ListParagraph"/>
        <w:numPr>
          <w:ilvl w:val="0"/>
          <w:numId w:val="17"/>
        </w:numPr>
        <w:jc w:val="both"/>
        <w:rPr>
          <w:lang w:val="en-NZ"/>
        </w:rPr>
      </w:pPr>
      <w:r w:rsidRPr="004B10A3">
        <w:rPr>
          <w:lang w:val="en-NZ"/>
        </w:rPr>
        <w:t xml:space="preserve">Interference from IMT base stations </w:t>
      </w:r>
      <w:r w:rsidR="00E271D4">
        <w:rPr>
          <w:lang w:val="en-NZ"/>
        </w:rPr>
        <w:t>to</w:t>
      </w:r>
      <w:r w:rsidRPr="004B10A3">
        <w:rPr>
          <w:lang w:val="en-NZ"/>
        </w:rPr>
        <w:t xml:space="preserve"> mobile-satellite earth stations (Scenario A2);</w:t>
      </w:r>
    </w:p>
    <w:p w:rsidR="004B10A3" w:rsidRPr="004B10A3" w:rsidRDefault="004B10A3" w:rsidP="004B10A3">
      <w:pPr>
        <w:pStyle w:val="ListParagraph"/>
        <w:numPr>
          <w:ilvl w:val="0"/>
          <w:numId w:val="17"/>
        </w:numPr>
        <w:jc w:val="both"/>
        <w:rPr>
          <w:lang w:val="en-NZ"/>
        </w:rPr>
      </w:pPr>
      <w:r w:rsidRPr="004B10A3">
        <w:rPr>
          <w:lang w:val="en-NZ"/>
        </w:rPr>
        <w:t>Interference from mobile-satellite earth stations to IMT base stations</w:t>
      </w:r>
      <w:r w:rsidR="00E271D4">
        <w:rPr>
          <w:lang w:val="en-NZ"/>
        </w:rPr>
        <w:t>/</w:t>
      </w:r>
      <w:r w:rsidRPr="004B10A3">
        <w:rPr>
          <w:lang w:val="en-NZ"/>
        </w:rPr>
        <w:t>user equipment (Scenario B1);</w:t>
      </w:r>
    </w:p>
    <w:p w:rsidR="004B10A3" w:rsidRDefault="004B10A3" w:rsidP="004B10A3">
      <w:pPr>
        <w:pStyle w:val="ListParagraph"/>
        <w:numPr>
          <w:ilvl w:val="0"/>
          <w:numId w:val="17"/>
        </w:numPr>
        <w:jc w:val="both"/>
        <w:rPr>
          <w:lang w:val="en-NZ"/>
        </w:rPr>
      </w:pPr>
      <w:r w:rsidRPr="004B10A3">
        <w:rPr>
          <w:lang w:val="en-NZ"/>
        </w:rPr>
        <w:t>Interference from mobile-satellite to IMT user equipment (Scenario B2).</w:t>
      </w:r>
    </w:p>
    <w:p w:rsidR="004B10A3" w:rsidRDefault="004B10A3" w:rsidP="000A5418">
      <w:pPr>
        <w:jc w:val="both"/>
        <w:rPr>
          <w:lang w:val="en-NZ"/>
        </w:rPr>
      </w:pPr>
    </w:p>
    <w:p w:rsidR="004B10A3" w:rsidRDefault="004B10A3" w:rsidP="004B10A3">
      <w:pPr>
        <w:jc w:val="both"/>
        <w:rPr>
          <w:lang w:val="en-NZ"/>
        </w:rPr>
      </w:pPr>
      <w:r w:rsidRPr="00632348">
        <w:rPr>
          <w:lang w:val="en-NZ"/>
        </w:rPr>
        <w:t xml:space="preserve">The </w:t>
      </w:r>
      <w:r>
        <w:rPr>
          <w:lang w:val="en-NZ"/>
        </w:rPr>
        <w:t xml:space="preserve">conclusions in the </w:t>
      </w:r>
      <w:r w:rsidRPr="00632348">
        <w:rPr>
          <w:lang w:val="en-NZ"/>
        </w:rPr>
        <w:t xml:space="preserve">draft CPM </w:t>
      </w:r>
      <w:r>
        <w:rPr>
          <w:lang w:val="en-NZ"/>
        </w:rPr>
        <w:t>Report</w:t>
      </w:r>
      <w:r w:rsidR="00A81904" w:rsidRPr="00A81904">
        <w:t xml:space="preserve"> </w:t>
      </w:r>
      <w:r w:rsidR="00A81904">
        <w:t xml:space="preserve">for WRC-19 </w:t>
      </w:r>
      <w:r w:rsidR="00A81904" w:rsidRPr="00A81904">
        <w:rPr>
          <w:lang w:val="en-NZ"/>
        </w:rPr>
        <w:t>Agenda Item 9.1, Issue 9.1.1</w:t>
      </w:r>
      <w:r w:rsidR="00A81904">
        <w:rPr>
          <w:lang w:val="en-NZ"/>
        </w:rPr>
        <w:t>,</w:t>
      </w:r>
      <w:r w:rsidR="00A81904" w:rsidRPr="00A81904">
        <w:rPr>
          <w:lang w:val="en-NZ"/>
        </w:rPr>
        <w:t xml:space="preserve"> </w:t>
      </w:r>
      <w:r>
        <w:rPr>
          <w:lang w:val="en-NZ"/>
        </w:rPr>
        <w:t xml:space="preserve">indicate that </w:t>
      </w:r>
      <w:r w:rsidRPr="004B10A3">
        <w:rPr>
          <w:lang w:val="en-NZ"/>
        </w:rPr>
        <w:t>potential interference for all four scenarios could be managed by bilateral/multilateral negotiation where administrations can bilaterally/multilaterally determine the appropriate mitigation techniques on a case</w:t>
      </w:r>
      <w:r w:rsidR="00A81904">
        <w:rPr>
          <w:lang w:val="en-NZ"/>
        </w:rPr>
        <w:t>-</w:t>
      </w:r>
      <w:r w:rsidRPr="004B10A3">
        <w:rPr>
          <w:lang w:val="en-NZ"/>
        </w:rPr>
        <w:t>by</w:t>
      </w:r>
      <w:r w:rsidR="00A81904">
        <w:rPr>
          <w:lang w:val="en-NZ"/>
        </w:rPr>
        <w:t>-</w:t>
      </w:r>
      <w:r w:rsidRPr="004B10A3">
        <w:rPr>
          <w:lang w:val="en-NZ"/>
        </w:rPr>
        <w:t>case basis. Due to the disagreement on how to apply the  existing power flux density coordination threshold with respect to the results of the studies, a NOTE was added with two views were expressed immediately after the conclusions section. There was no consensus on whether or not the NOTE and these two Views would form part of the conclusions</w:t>
      </w:r>
      <w:r w:rsidR="00260BB5">
        <w:rPr>
          <w:lang w:val="en-NZ"/>
        </w:rPr>
        <w:t>.</w:t>
      </w:r>
    </w:p>
    <w:p w:rsidR="004B10A3" w:rsidRDefault="004B10A3" w:rsidP="000A5418">
      <w:pPr>
        <w:jc w:val="both"/>
        <w:rPr>
          <w:lang w:val="en-NZ"/>
        </w:rPr>
      </w:pPr>
    </w:p>
    <w:p w:rsidR="00D2642E" w:rsidRDefault="00D2642E" w:rsidP="000A5418">
      <w:pPr>
        <w:jc w:val="both"/>
        <w:rPr>
          <w:lang w:val="en-NZ"/>
        </w:rPr>
      </w:pPr>
    </w:p>
    <w:p w:rsidR="000A5418" w:rsidRPr="000F100D" w:rsidRDefault="004B10A3" w:rsidP="003078CC">
      <w:pPr>
        <w:spacing w:after="120"/>
        <w:jc w:val="both"/>
        <w:rPr>
          <w:b/>
          <w:lang w:val="en-NZ" w:eastAsia="ko-KR"/>
        </w:rPr>
      </w:pPr>
      <w:r>
        <w:rPr>
          <w:b/>
          <w:lang w:val="en-NZ" w:eastAsia="ko-KR"/>
        </w:rPr>
        <w:t>2</w:t>
      </w:r>
      <w:r w:rsidR="000A5418" w:rsidRPr="000F100D">
        <w:rPr>
          <w:b/>
          <w:lang w:val="en-NZ" w:eastAsia="ko-KR"/>
        </w:rPr>
        <w:t>. Preliminary Views</w:t>
      </w:r>
    </w:p>
    <w:p w:rsidR="00D1252E" w:rsidRDefault="00992325" w:rsidP="00D211D6">
      <w:pPr>
        <w:tabs>
          <w:tab w:val="left" w:pos="600"/>
        </w:tabs>
        <w:jc w:val="both"/>
        <w:rPr>
          <w:lang w:val="en-NZ"/>
        </w:rPr>
      </w:pPr>
      <w:r w:rsidRPr="00992325">
        <w:rPr>
          <w:lang w:val="en-NZ"/>
        </w:rPr>
        <w:t xml:space="preserve">New Zealand supports no change to the Radio Regulations. Since the Radio Regulations did not establish priority neither between terrestrial and satellite components of IMT, nor between </w:t>
      </w:r>
      <w:r w:rsidR="007A01EE">
        <w:rPr>
          <w:lang w:val="en-NZ"/>
        </w:rPr>
        <w:t>m</w:t>
      </w:r>
      <w:r w:rsidRPr="00992325">
        <w:rPr>
          <w:lang w:val="en-NZ"/>
        </w:rPr>
        <w:t xml:space="preserve">obile and </w:t>
      </w:r>
      <w:r w:rsidR="007A01EE">
        <w:rPr>
          <w:lang w:val="en-NZ"/>
        </w:rPr>
        <w:t>m</w:t>
      </w:r>
      <w:r w:rsidRPr="00992325">
        <w:rPr>
          <w:lang w:val="en-NZ"/>
        </w:rPr>
        <w:t>obile-</w:t>
      </w:r>
      <w:r w:rsidR="007A01EE">
        <w:rPr>
          <w:lang w:val="en-NZ"/>
        </w:rPr>
        <w:t>s</w:t>
      </w:r>
      <w:r w:rsidRPr="00992325">
        <w:rPr>
          <w:lang w:val="en-NZ"/>
        </w:rPr>
        <w:t>atellite services in the band</w:t>
      </w:r>
      <w:r>
        <w:rPr>
          <w:lang w:val="en-NZ"/>
        </w:rPr>
        <w:t>s</w:t>
      </w:r>
      <w:r w:rsidRPr="00992325">
        <w:rPr>
          <w:lang w:val="en-NZ"/>
        </w:rPr>
        <w:t xml:space="preserve"> 1 980-2 010 MHz/2 170-2 200 MHz, New Zealand is currently of the view that potential interference for all four </w:t>
      </w:r>
      <w:r>
        <w:rPr>
          <w:lang w:val="en-NZ"/>
        </w:rPr>
        <w:t xml:space="preserve">possible </w:t>
      </w:r>
      <w:r w:rsidRPr="00992325">
        <w:rPr>
          <w:lang w:val="en-NZ"/>
        </w:rPr>
        <w:t xml:space="preserve">scenarios </w:t>
      </w:r>
      <w:r>
        <w:rPr>
          <w:lang w:val="en-NZ"/>
        </w:rPr>
        <w:t xml:space="preserve">between these services </w:t>
      </w:r>
      <w:r w:rsidRPr="00992325">
        <w:rPr>
          <w:lang w:val="en-NZ"/>
        </w:rPr>
        <w:t>could be managed by bilateral/multilateral negotiation where administrations can bilaterally/multilaterally determine the appropriate mitigation techniques on a case-by-case basis.</w:t>
      </w:r>
    </w:p>
    <w:p w:rsidR="00642A9D" w:rsidRDefault="00642A9D" w:rsidP="00D211D6">
      <w:pPr>
        <w:tabs>
          <w:tab w:val="left" w:pos="600"/>
        </w:tabs>
        <w:jc w:val="both"/>
        <w:rPr>
          <w:lang w:val="en-NZ"/>
        </w:rPr>
      </w:pPr>
    </w:p>
    <w:p w:rsidR="00642A9D" w:rsidRDefault="00642A9D" w:rsidP="00D211D6">
      <w:pPr>
        <w:tabs>
          <w:tab w:val="left" w:pos="600"/>
        </w:tabs>
        <w:jc w:val="both"/>
        <w:rPr>
          <w:lang w:val="en-NZ"/>
        </w:rPr>
      </w:pPr>
    </w:p>
    <w:p w:rsidR="00F311B5" w:rsidRDefault="00F311B5">
      <w:pPr>
        <w:rPr>
          <w:b/>
          <w:bCs/>
          <w:lang w:val="en-NZ"/>
        </w:rPr>
      </w:pPr>
      <w:r>
        <w:rPr>
          <w:lang w:val="en-NZ"/>
        </w:rPr>
        <w:br w:type="page"/>
      </w:r>
    </w:p>
    <w:p w:rsidR="00642A9D" w:rsidRDefault="00642A9D" w:rsidP="00642A9D">
      <w:pPr>
        <w:pStyle w:val="Heading1"/>
        <w:jc w:val="left"/>
        <w:rPr>
          <w:i/>
          <w:lang w:val="en-NZ"/>
        </w:rPr>
      </w:pPr>
      <w:r w:rsidRPr="00715F4D">
        <w:rPr>
          <w:u w:val="none"/>
          <w:lang w:val="en-NZ"/>
        </w:rPr>
        <w:lastRenderedPageBreak/>
        <w:t xml:space="preserve">Agenda Item </w:t>
      </w:r>
      <w:r>
        <w:rPr>
          <w:u w:val="none"/>
          <w:lang w:val="en-NZ"/>
        </w:rPr>
        <w:t>9</w:t>
      </w:r>
      <w:r w:rsidRPr="00715F4D">
        <w:rPr>
          <w:u w:val="none"/>
          <w:lang w:val="en-NZ"/>
        </w:rPr>
        <w:t>.</w:t>
      </w:r>
      <w:r>
        <w:rPr>
          <w:u w:val="none"/>
          <w:lang w:val="en-NZ"/>
        </w:rPr>
        <w:t xml:space="preserve">1, </w:t>
      </w:r>
      <w:r w:rsidRPr="00642A9D">
        <w:rPr>
          <w:u w:val="none"/>
          <w:lang w:val="en-NZ"/>
        </w:rPr>
        <w:t>Issue 9.1.</w:t>
      </w:r>
      <w:r w:rsidR="008E3CD8">
        <w:rPr>
          <w:u w:val="none"/>
          <w:lang w:val="en-NZ"/>
        </w:rPr>
        <w:t>5</w:t>
      </w:r>
      <w:r w:rsidRPr="00642A9D">
        <w:rPr>
          <w:u w:val="none"/>
          <w:lang w:val="en-NZ"/>
        </w:rPr>
        <w:t xml:space="preserve"> </w:t>
      </w:r>
    </w:p>
    <w:p w:rsidR="00642A9D" w:rsidRDefault="008E3CD8" w:rsidP="008E3CD8">
      <w:pPr>
        <w:jc w:val="both"/>
        <w:rPr>
          <w:i/>
          <w:lang w:val="en-NZ"/>
        </w:rPr>
      </w:pPr>
      <w:r w:rsidRPr="008E3CD8">
        <w:rPr>
          <w:i/>
          <w:lang w:val="en-NZ"/>
        </w:rPr>
        <w:t xml:space="preserve">Resolution </w:t>
      </w:r>
      <w:r w:rsidRPr="008E3CD8">
        <w:rPr>
          <w:b/>
          <w:i/>
          <w:lang w:val="en-NZ"/>
        </w:rPr>
        <w:t>764 (WRC-15)</w:t>
      </w:r>
      <w:r>
        <w:rPr>
          <w:i/>
          <w:lang w:val="en-NZ"/>
        </w:rPr>
        <w:t xml:space="preserve"> - </w:t>
      </w:r>
      <w:r w:rsidRPr="008E3CD8">
        <w:rPr>
          <w:i/>
          <w:lang w:val="en-NZ"/>
        </w:rPr>
        <w:t xml:space="preserve">Consideration of the technical and regulatory impacts of referencing Recommendations ITU-R M.1638-1 and ITU-R M.1849-1 in Nos. </w:t>
      </w:r>
      <w:r w:rsidRPr="008E3CD8">
        <w:rPr>
          <w:b/>
          <w:i/>
          <w:lang w:val="en-NZ"/>
        </w:rPr>
        <w:t>5.447F</w:t>
      </w:r>
      <w:r w:rsidRPr="008E3CD8">
        <w:rPr>
          <w:i/>
          <w:lang w:val="en-NZ"/>
        </w:rPr>
        <w:t xml:space="preserve"> and </w:t>
      </w:r>
      <w:r w:rsidRPr="008E3CD8">
        <w:rPr>
          <w:b/>
          <w:i/>
          <w:lang w:val="en-NZ"/>
        </w:rPr>
        <w:t>5.450A</w:t>
      </w:r>
      <w:r w:rsidRPr="008E3CD8">
        <w:rPr>
          <w:i/>
          <w:lang w:val="en-NZ"/>
        </w:rPr>
        <w:t xml:space="preserve"> of the Radio Regulations</w:t>
      </w:r>
    </w:p>
    <w:p w:rsidR="00642A9D" w:rsidRPr="000F100D" w:rsidRDefault="00642A9D" w:rsidP="00642A9D">
      <w:pPr>
        <w:jc w:val="both"/>
        <w:rPr>
          <w:lang w:val="en-NZ"/>
        </w:rPr>
      </w:pPr>
    </w:p>
    <w:p w:rsidR="00642A9D" w:rsidRPr="000F100D" w:rsidRDefault="00642A9D" w:rsidP="00642A9D">
      <w:pPr>
        <w:spacing w:after="120"/>
        <w:jc w:val="both"/>
        <w:rPr>
          <w:b/>
          <w:lang w:val="en-NZ" w:eastAsia="ko-KR"/>
        </w:rPr>
      </w:pPr>
      <w:r w:rsidRPr="000F100D">
        <w:rPr>
          <w:b/>
          <w:lang w:val="en-NZ" w:eastAsia="ko-KR"/>
        </w:rPr>
        <w:t>1. Background</w:t>
      </w:r>
    </w:p>
    <w:p w:rsidR="00642A9D" w:rsidRDefault="008E3CD8" w:rsidP="00642A9D">
      <w:pPr>
        <w:jc w:val="both"/>
        <w:rPr>
          <w:lang w:val="en-NZ"/>
        </w:rPr>
      </w:pPr>
      <w:r w:rsidRPr="008E3CD8">
        <w:rPr>
          <w:lang w:val="en-NZ"/>
        </w:rPr>
        <w:t>During the WRC-15 study cycle, Recommendation ITU-R M.1638-0 that was incorporated by reference in the Radio Regulations was revised as Recommendation ITU-R M.1638-1. In this revision process, several new radars with different system characteristics were included in Recommendation ITU-R M.1638-1 and the technical characteristics and protection criteria for ground based meteorological radars were removed from Recommendation ITU-R M.1638-1 and relocated to Recommendation ITU-R M.1849-1.</w:t>
      </w:r>
    </w:p>
    <w:p w:rsidR="008E3CD8" w:rsidRDefault="008E3CD8" w:rsidP="00642A9D">
      <w:pPr>
        <w:jc w:val="both"/>
        <w:rPr>
          <w:lang w:val="en-NZ"/>
        </w:rPr>
      </w:pPr>
    </w:p>
    <w:p w:rsidR="008E3CD8" w:rsidRDefault="008E3CD8" w:rsidP="00642A9D">
      <w:pPr>
        <w:jc w:val="both"/>
        <w:rPr>
          <w:lang w:val="en-NZ"/>
        </w:rPr>
      </w:pPr>
      <w:r w:rsidRPr="008E3CD8">
        <w:rPr>
          <w:lang w:val="en-NZ"/>
        </w:rPr>
        <w:t xml:space="preserve">Given the potential impact on the widespread deployment of RLANs in the 5 250-5 350 MHz and 5 470-5 725 MHz, WRC-15 decided that the reference in the Radio Regulations shall continue to apply to the earlier version incorporated by reference </w:t>
      </w:r>
      <w:r>
        <w:rPr>
          <w:lang w:val="en-NZ"/>
        </w:rPr>
        <w:t xml:space="preserve">while allowing more </w:t>
      </w:r>
      <w:r w:rsidRPr="008E3CD8">
        <w:rPr>
          <w:lang w:val="en-NZ"/>
        </w:rPr>
        <w:t xml:space="preserve">time to </w:t>
      </w:r>
      <w:r>
        <w:rPr>
          <w:lang w:val="en-NZ"/>
        </w:rPr>
        <w:t xml:space="preserve">review the revised system characteristics before deciding whether to </w:t>
      </w:r>
      <w:r w:rsidRPr="008E3CD8">
        <w:rPr>
          <w:lang w:val="en-NZ"/>
        </w:rPr>
        <w:t>incorporat</w:t>
      </w:r>
      <w:r>
        <w:rPr>
          <w:lang w:val="en-NZ"/>
        </w:rPr>
        <w:t>e</w:t>
      </w:r>
      <w:r w:rsidRPr="008E3CD8">
        <w:rPr>
          <w:lang w:val="en-NZ"/>
        </w:rPr>
        <w:t xml:space="preserve"> the new version</w:t>
      </w:r>
      <w:r>
        <w:rPr>
          <w:lang w:val="en-NZ"/>
        </w:rPr>
        <w:t xml:space="preserve"> of these Recommendations at WRC-19</w:t>
      </w:r>
      <w:r w:rsidRPr="008E3CD8">
        <w:rPr>
          <w:lang w:val="en-NZ"/>
        </w:rPr>
        <w:t xml:space="preserve">. This approach is in line with the provisions of Resolution </w:t>
      </w:r>
      <w:r w:rsidRPr="008E3CD8">
        <w:rPr>
          <w:b/>
          <w:lang w:val="en-NZ"/>
        </w:rPr>
        <w:t>27 (WRC-07)</w:t>
      </w:r>
      <w:r w:rsidRPr="008E3CD8">
        <w:rPr>
          <w:lang w:val="en-NZ"/>
        </w:rPr>
        <w:t xml:space="preserve">. </w:t>
      </w:r>
    </w:p>
    <w:p w:rsidR="00F311B5" w:rsidRDefault="00F311B5" w:rsidP="00642A9D">
      <w:pPr>
        <w:jc w:val="both"/>
        <w:rPr>
          <w:lang w:val="en-NZ"/>
        </w:rPr>
      </w:pPr>
    </w:p>
    <w:p w:rsidR="00F311B5" w:rsidRDefault="00F311B5" w:rsidP="00F311B5">
      <w:pPr>
        <w:jc w:val="both"/>
        <w:rPr>
          <w:lang w:val="en-NZ"/>
        </w:rPr>
      </w:pPr>
      <w:r>
        <w:rPr>
          <w:lang w:val="en-NZ"/>
        </w:rPr>
        <w:t xml:space="preserve">In New Zealand, </w:t>
      </w:r>
      <w:r w:rsidRPr="008D5371">
        <w:rPr>
          <w:lang w:val="en-NZ"/>
        </w:rPr>
        <w:t>RLAN/Wi-Fi</w:t>
      </w:r>
      <w:r>
        <w:rPr>
          <w:lang w:val="en-NZ"/>
        </w:rPr>
        <w:t xml:space="preserve"> is permitted to operate in the bands 5 150</w:t>
      </w:r>
      <w:r w:rsidRPr="00F4640A">
        <w:rPr>
          <w:lang w:val="en-NZ"/>
        </w:rPr>
        <w:t>–</w:t>
      </w:r>
      <w:r>
        <w:rPr>
          <w:lang w:val="en-NZ"/>
        </w:rPr>
        <w:t>5 350 MHz and 5 470</w:t>
      </w:r>
      <w:r w:rsidRPr="00F4640A">
        <w:rPr>
          <w:lang w:val="en-NZ"/>
        </w:rPr>
        <w:t>–</w:t>
      </w:r>
      <w:r>
        <w:rPr>
          <w:lang w:val="en-NZ"/>
        </w:rPr>
        <w:t xml:space="preserve">5 725 MHz based on the access conditions as prescribed in </w:t>
      </w:r>
      <w:r w:rsidRPr="00F4640A">
        <w:rPr>
          <w:lang w:val="en-NZ"/>
        </w:rPr>
        <w:t xml:space="preserve">Resolution </w:t>
      </w:r>
      <w:r w:rsidRPr="00F4640A">
        <w:rPr>
          <w:b/>
          <w:lang w:val="en-NZ"/>
        </w:rPr>
        <w:t>229 (Rev. WRC-12)</w:t>
      </w:r>
      <w:r w:rsidRPr="00F4640A">
        <w:rPr>
          <w:lang w:val="en-NZ"/>
        </w:rPr>
        <w:t xml:space="preserve">. </w:t>
      </w:r>
      <w:r>
        <w:rPr>
          <w:lang w:val="en-NZ"/>
        </w:rPr>
        <w:t>RLAN/Wi-Fi is also permitted to use 5 725</w:t>
      </w:r>
      <w:r w:rsidRPr="00F4640A">
        <w:rPr>
          <w:lang w:val="en-NZ"/>
        </w:rPr>
        <w:t>–</w:t>
      </w:r>
      <w:r>
        <w:rPr>
          <w:lang w:val="en-NZ"/>
        </w:rPr>
        <w:t xml:space="preserve">5 875 MHz, which is designated for industrial, scientific and medical (ISM) applications. To date, there are recurring intermittent </w:t>
      </w:r>
      <w:r w:rsidRPr="008D5371">
        <w:rPr>
          <w:lang w:val="en-NZ"/>
        </w:rPr>
        <w:t xml:space="preserve">interference </w:t>
      </w:r>
      <w:r>
        <w:rPr>
          <w:lang w:val="en-NZ"/>
        </w:rPr>
        <w:t xml:space="preserve">incidents to </w:t>
      </w:r>
      <w:r w:rsidRPr="008D5371">
        <w:rPr>
          <w:lang w:val="en-NZ"/>
        </w:rPr>
        <w:t xml:space="preserve">the </w:t>
      </w:r>
      <w:r>
        <w:rPr>
          <w:lang w:val="en-NZ"/>
        </w:rPr>
        <w:t xml:space="preserve">ground-based </w:t>
      </w:r>
      <w:r w:rsidRPr="008D5371">
        <w:rPr>
          <w:lang w:val="en-NZ"/>
        </w:rPr>
        <w:t>weather radar</w:t>
      </w:r>
      <w:r>
        <w:rPr>
          <w:lang w:val="en-NZ"/>
        </w:rPr>
        <w:t xml:space="preserve"> in New Zealand operating within </w:t>
      </w:r>
      <w:r w:rsidRPr="008D5371">
        <w:rPr>
          <w:lang w:val="en-NZ"/>
        </w:rPr>
        <w:t>5 600</w:t>
      </w:r>
      <w:r w:rsidRPr="00F4640A">
        <w:rPr>
          <w:lang w:val="en-NZ"/>
        </w:rPr>
        <w:t>–</w:t>
      </w:r>
      <w:r w:rsidRPr="008D5371">
        <w:rPr>
          <w:lang w:val="en-NZ"/>
        </w:rPr>
        <w:t>5 650 MHz</w:t>
      </w:r>
      <w:r>
        <w:rPr>
          <w:lang w:val="en-NZ"/>
        </w:rPr>
        <w:t xml:space="preserve"> (refer to RR No.</w:t>
      </w:r>
      <w:r w:rsidRPr="00C04C67">
        <w:rPr>
          <w:b/>
          <w:lang w:val="en-NZ"/>
        </w:rPr>
        <w:t xml:space="preserve"> 5.452</w:t>
      </w:r>
      <w:r>
        <w:rPr>
          <w:lang w:val="en-NZ"/>
        </w:rPr>
        <w:t>)</w:t>
      </w:r>
      <w:r w:rsidRPr="008D5371">
        <w:rPr>
          <w:lang w:val="en-NZ"/>
        </w:rPr>
        <w:t xml:space="preserve"> w</w:t>
      </w:r>
      <w:r>
        <w:rPr>
          <w:lang w:val="en-NZ"/>
        </w:rPr>
        <w:t>here RLAN/Wi-Fi were found to</w:t>
      </w:r>
      <w:r w:rsidRPr="008D5371">
        <w:rPr>
          <w:lang w:val="en-NZ"/>
        </w:rPr>
        <w:t xml:space="preserve"> </w:t>
      </w:r>
      <w:r>
        <w:rPr>
          <w:lang w:val="en-NZ"/>
        </w:rPr>
        <w:t xml:space="preserve">transmit in </w:t>
      </w:r>
      <w:r w:rsidRPr="008D5371">
        <w:rPr>
          <w:lang w:val="en-NZ"/>
        </w:rPr>
        <w:t>overlap</w:t>
      </w:r>
      <w:r>
        <w:rPr>
          <w:lang w:val="en-NZ"/>
        </w:rPr>
        <w:t>ping</w:t>
      </w:r>
      <w:r w:rsidRPr="008D5371">
        <w:rPr>
          <w:lang w:val="en-NZ"/>
        </w:rPr>
        <w:t xml:space="preserve"> </w:t>
      </w:r>
      <w:r>
        <w:rPr>
          <w:lang w:val="en-NZ"/>
        </w:rPr>
        <w:t>frequencies of</w:t>
      </w:r>
      <w:r w:rsidRPr="008D5371">
        <w:rPr>
          <w:lang w:val="en-NZ"/>
        </w:rPr>
        <w:t xml:space="preserve"> the weather radar</w:t>
      </w:r>
      <w:r>
        <w:rPr>
          <w:lang w:val="en-NZ"/>
        </w:rPr>
        <w:t xml:space="preserve">. </w:t>
      </w:r>
    </w:p>
    <w:p w:rsidR="006B6F50" w:rsidRDefault="006B6F50" w:rsidP="00F311B5">
      <w:pPr>
        <w:jc w:val="both"/>
        <w:rPr>
          <w:lang w:val="en-NZ"/>
        </w:rPr>
      </w:pPr>
    </w:p>
    <w:p w:rsidR="007A01EE" w:rsidRPr="007A01EE" w:rsidRDefault="007A01EE" w:rsidP="007A01EE">
      <w:pPr>
        <w:jc w:val="both"/>
        <w:rPr>
          <w:lang w:val="en-NZ"/>
        </w:rPr>
      </w:pPr>
      <w:r w:rsidRPr="007A01EE">
        <w:rPr>
          <w:lang w:val="en-NZ"/>
        </w:rPr>
        <w:t xml:space="preserve">The following three approaches were suggested as regulatory examples </w:t>
      </w:r>
      <w:r w:rsidR="00D2642E">
        <w:rPr>
          <w:lang w:val="en-NZ"/>
        </w:rPr>
        <w:t xml:space="preserve">in the </w:t>
      </w:r>
      <w:r w:rsidR="00D2642E" w:rsidRPr="00632348">
        <w:rPr>
          <w:lang w:val="en-NZ"/>
        </w:rPr>
        <w:t xml:space="preserve">draft CPM </w:t>
      </w:r>
      <w:r w:rsidR="00D2642E">
        <w:rPr>
          <w:lang w:val="en-NZ"/>
        </w:rPr>
        <w:t>Report</w:t>
      </w:r>
      <w:r w:rsidR="00D2642E" w:rsidRPr="00A81904">
        <w:t xml:space="preserve"> </w:t>
      </w:r>
      <w:r w:rsidR="00D2642E">
        <w:t xml:space="preserve">for WRC-19 </w:t>
      </w:r>
      <w:r w:rsidR="00D2642E" w:rsidRPr="00A81904">
        <w:rPr>
          <w:lang w:val="en-NZ"/>
        </w:rPr>
        <w:t>Agenda Item 9.1, Issue 9.1.</w:t>
      </w:r>
      <w:r w:rsidR="00D2642E">
        <w:rPr>
          <w:lang w:val="en-NZ"/>
        </w:rPr>
        <w:t>5,</w:t>
      </w:r>
      <w:r w:rsidR="00D2642E" w:rsidRPr="00A81904">
        <w:rPr>
          <w:lang w:val="en-NZ"/>
        </w:rPr>
        <w:t xml:space="preserve"> </w:t>
      </w:r>
      <w:r w:rsidRPr="007A01EE">
        <w:rPr>
          <w:lang w:val="en-NZ"/>
        </w:rPr>
        <w:t xml:space="preserve">to address the issue of referencing Recommendations ITU-R M.1638-1 and ITU-R M.1849-1 in RR Nos. </w:t>
      </w:r>
      <w:r w:rsidRPr="007A01EE">
        <w:rPr>
          <w:b/>
          <w:lang w:val="en-NZ"/>
        </w:rPr>
        <w:t>5.447F</w:t>
      </w:r>
      <w:r w:rsidRPr="007A01EE">
        <w:rPr>
          <w:lang w:val="en-NZ"/>
        </w:rPr>
        <w:t xml:space="preserve"> and </w:t>
      </w:r>
      <w:r w:rsidRPr="007A01EE">
        <w:rPr>
          <w:b/>
          <w:lang w:val="en-NZ"/>
        </w:rPr>
        <w:t>5.450A</w:t>
      </w:r>
      <w:r w:rsidRPr="007A01EE">
        <w:rPr>
          <w:lang w:val="en-NZ"/>
        </w:rPr>
        <w:t xml:space="preserve">:  </w:t>
      </w:r>
    </w:p>
    <w:p w:rsidR="007A01EE" w:rsidRPr="007A01EE" w:rsidRDefault="007A01EE" w:rsidP="007A01EE">
      <w:pPr>
        <w:numPr>
          <w:ilvl w:val="0"/>
          <w:numId w:val="18"/>
        </w:numPr>
        <w:jc w:val="both"/>
        <w:rPr>
          <w:lang w:val="en-NZ"/>
        </w:rPr>
      </w:pPr>
      <w:r w:rsidRPr="007A01EE">
        <w:rPr>
          <w:lang w:val="en-NZ"/>
        </w:rPr>
        <w:t xml:space="preserve">Approach A updates the reference to Recommendation ITU-R M.1849-1 in RR No. </w:t>
      </w:r>
      <w:r w:rsidRPr="007A01EE">
        <w:rPr>
          <w:b/>
          <w:lang w:val="en-NZ"/>
        </w:rPr>
        <w:t>5.450A</w:t>
      </w:r>
      <w:r w:rsidRPr="007A01EE">
        <w:rPr>
          <w:lang w:val="en-NZ"/>
        </w:rPr>
        <w:t xml:space="preserve"> and leaves all other references unchanged;</w:t>
      </w:r>
    </w:p>
    <w:p w:rsidR="007A01EE" w:rsidRPr="007A01EE" w:rsidRDefault="007A01EE" w:rsidP="007A01EE">
      <w:pPr>
        <w:numPr>
          <w:ilvl w:val="0"/>
          <w:numId w:val="18"/>
        </w:numPr>
        <w:jc w:val="both"/>
        <w:rPr>
          <w:lang w:val="en-NZ"/>
        </w:rPr>
      </w:pPr>
      <w:r w:rsidRPr="007A01EE">
        <w:rPr>
          <w:lang w:val="en-NZ"/>
        </w:rPr>
        <w:t xml:space="preserve">Approach B updates both footnotes RR Nos. </w:t>
      </w:r>
      <w:r w:rsidRPr="007A01EE">
        <w:rPr>
          <w:b/>
          <w:lang w:val="en-NZ"/>
        </w:rPr>
        <w:t>5.447F</w:t>
      </w:r>
      <w:r w:rsidRPr="007A01EE">
        <w:rPr>
          <w:lang w:val="en-NZ"/>
        </w:rPr>
        <w:t xml:space="preserve"> and </w:t>
      </w:r>
      <w:r w:rsidRPr="007A01EE">
        <w:rPr>
          <w:b/>
          <w:lang w:val="en-NZ"/>
        </w:rPr>
        <w:t>5.450A</w:t>
      </w:r>
      <w:r w:rsidRPr="007A01EE">
        <w:rPr>
          <w:lang w:val="en-NZ"/>
        </w:rPr>
        <w:t xml:space="preserve"> by removing the references and replacing them with the sentence “No. </w:t>
      </w:r>
      <w:r w:rsidRPr="007A01EE">
        <w:rPr>
          <w:b/>
          <w:lang w:val="en-NZ"/>
        </w:rPr>
        <w:t>5.43A</w:t>
      </w:r>
      <w:r w:rsidRPr="007A01EE">
        <w:rPr>
          <w:lang w:val="en-NZ"/>
        </w:rPr>
        <w:t xml:space="preserve"> does not apply”;</w:t>
      </w:r>
    </w:p>
    <w:p w:rsidR="007A01EE" w:rsidRPr="007A01EE" w:rsidRDefault="007A01EE" w:rsidP="007A01EE">
      <w:pPr>
        <w:numPr>
          <w:ilvl w:val="0"/>
          <w:numId w:val="18"/>
        </w:numPr>
        <w:jc w:val="both"/>
        <w:rPr>
          <w:lang w:val="en-NZ"/>
        </w:rPr>
      </w:pPr>
      <w:r w:rsidRPr="007A01EE">
        <w:rPr>
          <w:lang w:val="en-NZ"/>
        </w:rPr>
        <w:t>Approach C does not change the footnote texts at all.</w:t>
      </w:r>
    </w:p>
    <w:p w:rsidR="00E271D4" w:rsidRDefault="00E271D4" w:rsidP="00642A9D">
      <w:pPr>
        <w:jc w:val="both"/>
        <w:rPr>
          <w:lang w:val="en-NZ"/>
        </w:rPr>
      </w:pPr>
    </w:p>
    <w:p w:rsidR="00D2642E" w:rsidRPr="000F100D" w:rsidRDefault="00D2642E" w:rsidP="00642A9D">
      <w:pPr>
        <w:jc w:val="both"/>
        <w:rPr>
          <w:lang w:val="en-NZ"/>
        </w:rPr>
      </w:pPr>
    </w:p>
    <w:p w:rsidR="00642A9D" w:rsidRPr="000F100D" w:rsidRDefault="00642A9D" w:rsidP="00642A9D">
      <w:pPr>
        <w:spacing w:after="120"/>
        <w:jc w:val="both"/>
        <w:rPr>
          <w:b/>
          <w:lang w:val="en-NZ" w:eastAsia="ko-KR"/>
        </w:rPr>
      </w:pPr>
      <w:r w:rsidRPr="000F100D">
        <w:rPr>
          <w:b/>
          <w:lang w:val="en-NZ" w:eastAsia="ko-KR"/>
        </w:rPr>
        <w:t>2. Preliminary Views</w:t>
      </w:r>
    </w:p>
    <w:p w:rsidR="00642A9D" w:rsidRPr="000F100D" w:rsidRDefault="00EA5D59" w:rsidP="00D211D6">
      <w:pPr>
        <w:tabs>
          <w:tab w:val="left" w:pos="600"/>
        </w:tabs>
        <w:jc w:val="both"/>
        <w:rPr>
          <w:lang w:val="en-NZ"/>
        </w:rPr>
      </w:pPr>
      <w:r w:rsidRPr="00EA5D59">
        <w:rPr>
          <w:lang w:val="en-NZ"/>
        </w:rPr>
        <w:t xml:space="preserve">New Zealand is of the view that Recommendation ITU-R M.1849-1 should be referenced in RR No. </w:t>
      </w:r>
      <w:r w:rsidRPr="00EA5D59">
        <w:rPr>
          <w:b/>
          <w:lang w:val="en-NZ"/>
        </w:rPr>
        <w:t>5.450A</w:t>
      </w:r>
      <w:r w:rsidRPr="00EA5D59">
        <w:rPr>
          <w:lang w:val="en-NZ"/>
        </w:rPr>
        <w:t xml:space="preserve"> to reflect the updated technical/operational characteristics and protection criteria for ground-based meteorological radars.</w:t>
      </w:r>
      <w:r>
        <w:rPr>
          <w:lang w:val="en-NZ"/>
        </w:rPr>
        <w:t xml:space="preserve"> </w:t>
      </w:r>
      <w:r w:rsidRPr="00EA5D59">
        <w:rPr>
          <w:lang w:val="en-NZ"/>
        </w:rPr>
        <w:t xml:space="preserve">Considering that this change would not impose unacceptable constraints on systems in the mobile service, in particular RLAN/WAS, New Zealand supports Approach A by referencing Recommendation ITU-R M.1849-1 in RR No. </w:t>
      </w:r>
      <w:r w:rsidRPr="00EA5D59">
        <w:rPr>
          <w:b/>
          <w:lang w:val="en-NZ"/>
        </w:rPr>
        <w:t>5.450A</w:t>
      </w:r>
      <w:r w:rsidRPr="00EA5D59">
        <w:rPr>
          <w:lang w:val="en-NZ"/>
        </w:rPr>
        <w:t xml:space="preserve"> (applicable to the frequency band 5 470-5 725 MHz) while leaving all other references unchanged</w:t>
      </w:r>
      <w:r w:rsidR="008E3CD8" w:rsidRPr="008E3CD8">
        <w:rPr>
          <w:lang w:val="en-NZ"/>
        </w:rPr>
        <w:t>.</w:t>
      </w:r>
    </w:p>
    <w:p w:rsidR="00642A9D" w:rsidRPr="000F100D" w:rsidRDefault="00642A9D" w:rsidP="00D211D6">
      <w:pPr>
        <w:jc w:val="both"/>
        <w:rPr>
          <w:lang w:val="en-NZ"/>
        </w:rPr>
      </w:pPr>
    </w:p>
    <w:p w:rsidR="00642A9D" w:rsidRPr="000F100D" w:rsidRDefault="00642A9D" w:rsidP="00642A9D">
      <w:pPr>
        <w:jc w:val="center"/>
        <w:rPr>
          <w:lang w:val="en-NZ"/>
        </w:rPr>
      </w:pPr>
    </w:p>
    <w:p w:rsidR="00F311B5" w:rsidRDefault="00F311B5">
      <w:pPr>
        <w:rPr>
          <w:b/>
          <w:bCs/>
          <w:lang w:val="en-NZ"/>
        </w:rPr>
      </w:pPr>
      <w:r>
        <w:rPr>
          <w:lang w:val="en-NZ"/>
        </w:rPr>
        <w:br w:type="page"/>
      </w:r>
    </w:p>
    <w:p w:rsidR="006A62AC" w:rsidRDefault="006A62AC" w:rsidP="006A62AC">
      <w:pPr>
        <w:pStyle w:val="Heading1"/>
        <w:jc w:val="left"/>
        <w:rPr>
          <w:i/>
          <w:lang w:val="en-NZ"/>
        </w:rPr>
      </w:pPr>
      <w:r w:rsidRPr="00715F4D">
        <w:rPr>
          <w:u w:val="none"/>
          <w:lang w:val="en-NZ"/>
        </w:rPr>
        <w:lastRenderedPageBreak/>
        <w:t xml:space="preserve">Agenda Item </w:t>
      </w:r>
      <w:r>
        <w:rPr>
          <w:u w:val="none"/>
          <w:lang w:val="en-NZ"/>
        </w:rPr>
        <w:t>9</w:t>
      </w:r>
      <w:r w:rsidRPr="00715F4D">
        <w:rPr>
          <w:u w:val="none"/>
          <w:lang w:val="en-NZ"/>
        </w:rPr>
        <w:t>.</w:t>
      </w:r>
      <w:r>
        <w:rPr>
          <w:u w:val="none"/>
          <w:lang w:val="en-NZ"/>
        </w:rPr>
        <w:t xml:space="preserve">1, </w:t>
      </w:r>
      <w:r w:rsidRPr="00642A9D">
        <w:rPr>
          <w:u w:val="none"/>
          <w:lang w:val="en-NZ"/>
        </w:rPr>
        <w:t>Issue 9.1.</w:t>
      </w:r>
      <w:r>
        <w:rPr>
          <w:u w:val="none"/>
          <w:lang w:val="en-NZ"/>
        </w:rPr>
        <w:t>8</w:t>
      </w:r>
      <w:r w:rsidRPr="00642A9D">
        <w:rPr>
          <w:u w:val="none"/>
          <w:lang w:val="en-NZ"/>
        </w:rPr>
        <w:t xml:space="preserve"> </w:t>
      </w:r>
    </w:p>
    <w:p w:rsidR="006A62AC" w:rsidRPr="006A62AC" w:rsidRDefault="006A62AC" w:rsidP="006A62AC">
      <w:pPr>
        <w:jc w:val="both"/>
        <w:rPr>
          <w:i/>
          <w:lang w:val="en-NZ"/>
        </w:rPr>
      </w:pPr>
      <w:r w:rsidRPr="006A62AC">
        <w:rPr>
          <w:i/>
          <w:lang w:val="en-NZ"/>
        </w:rPr>
        <w:t xml:space="preserve">Issue 3) in the Annex to Resolution </w:t>
      </w:r>
      <w:r w:rsidRPr="006A62AC">
        <w:rPr>
          <w:b/>
          <w:i/>
          <w:lang w:val="en-NZ"/>
        </w:rPr>
        <w:t>958 (WRC-15)</w:t>
      </w:r>
    </w:p>
    <w:p w:rsidR="006A62AC" w:rsidRDefault="006A62AC" w:rsidP="006A62AC">
      <w:pPr>
        <w:jc w:val="both"/>
        <w:rPr>
          <w:i/>
          <w:lang w:val="en-NZ"/>
        </w:rPr>
      </w:pPr>
      <w:r w:rsidRPr="006A62AC">
        <w:rPr>
          <w:i/>
          <w:lang w:val="en-NZ"/>
        </w:rPr>
        <w:t>Harmonised use of spectrum to support the implementation of narrowband and broadband machine-type communication infrastructures</w:t>
      </w:r>
    </w:p>
    <w:p w:rsidR="006A62AC" w:rsidRPr="000F100D" w:rsidRDefault="006A62AC" w:rsidP="006A62AC">
      <w:pPr>
        <w:jc w:val="both"/>
        <w:rPr>
          <w:lang w:val="en-NZ"/>
        </w:rPr>
      </w:pPr>
    </w:p>
    <w:p w:rsidR="006A62AC" w:rsidRPr="000F100D" w:rsidRDefault="006A62AC" w:rsidP="006A62AC">
      <w:pPr>
        <w:spacing w:after="120"/>
        <w:jc w:val="both"/>
        <w:rPr>
          <w:b/>
          <w:lang w:val="en-NZ" w:eastAsia="ko-KR"/>
        </w:rPr>
      </w:pPr>
      <w:r w:rsidRPr="000F100D">
        <w:rPr>
          <w:b/>
          <w:lang w:val="en-NZ" w:eastAsia="ko-KR"/>
        </w:rPr>
        <w:t>1. Background</w:t>
      </w:r>
    </w:p>
    <w:p w:rsidR="006A62AC" w:rsidRDefault="006A62AC" w:rsidP="006A62AC">
      <w:pPr>
        <w:jc w:val="both"/>
        <w:rPr>
          <w:lang w:val="en-NZ"/>
        </w:rPr>
      </w:pPr>
      <w:r w:rsidRPr="006A62AC">
        <w:rPr>
          <w:lang w:val="en-NZ"/>
        </w:rPr>
        <w:t xml:space="preserve">The Internet of Things (IoT) </w:t>
      </w:r>
      <w:r w:rsidR="003D50FE">
        <w:rPr>
          <w:lang w:val="en-NZ"/>
        </w:rPr>
        <w:t xml:space="preserve">is a </w:t>
      </w:r>
      <w:r w:rsidRPr="006A62AC">
        <w:rPr>
          <w:lang w:val="en-NZ"/>
        </w:rPr>
        <w:t xml:space="preserve">topic </w:t>
      </w:r>
      <w:r w:rsidR="003D50FE">
        <w:rPr>
          <w:lang w:val="en-NZ"/>
        </w:rPr>
        <w:t>that is</w:t>
      </w:r>
      <w:r w:rsidRPr="006A62AC">
        <w:rPr>
          <w:lang w:val="en-NZ"/>
        </w:rPr>
        <w:t xml:space="preserve"> already being discussed </w:t>
      </w:r>
      <w:r w:rsidR="003D50FE">
        <w:rPr>
          <w:lang w:val="en-NZ"/>
        </w:rPr>
        <w:t xml:space="preserve">across different sectors of the </w:t>
      </w:r>
      <w:r w:rsidRPr="006A62AC">
        <w:rPr>
          <w:lang w:val="en-NZ"/>
        </w:rPr>
        <w:t>ITU in the context of the development of a whole range of technologies and networks.</w:t>
      </w:r>
    </w:p>
    <w:p w:rsidR="006A62AC" w:rsidRDefault="006A62AC" w:rsidP="006A62AC">
      <w:pPr>
        <w:jc w:val="both"/>
        <w:rPr>
          <w:lang w:val="en-NZ"/>
        </w:rPr>
      </w:pPr>
    </w:p>
    <w:p w:rsidR="00A04A2A" w:rsidRDefault="00C41603" w:rsidP="006A62AC">
      <w:pPr>
        <w:jc w:val="both"/>
        <w:rPr>
          <w:lang w:val="en-NZ"/>
        </w:rPr>
      </w:pPr>
      <w:r>
        <w:rPr>
          <w:lang w:val="en-NZ"/>
        </w:rPr>
        <w:t xml:space="preserve">It was agreed at </w:t>
      </w:r>
      <w:r w:rsidRPr="00C41603">
        <w:rPr>
          <w:lang w:val="en-NZ"/>
        </w:rPr>
        <w:t>RA-15 t</w:t>
      </w:r>
      <w:r w:rsidR="00C068BF">
        <w:rPr>
          <w:lang w:val="en-NZ"/>
        </w:rPr>
        <w:t>hat the ITU-R would</w:t>
      </w:r>
      <w:r w:rsidRPr="00C41603">
        <w:rPr>
          <w:lang w:val="en-NZ"/>
        </w:rPr>
        <w:t xml:space="preserve"> formally recognise the need for s</w:t>
      </w:r>
      <w:r>
        <w:rPr>
          <w:lang w:val="en-NZ"/>
        </w:rPr>
        <w:t>tudies</w:t>
      </w:r>
      <w:r w:rsidRPr="00C41603">
        <w:rPr>
          <w:lang w:val="en-NZ"/>
        </w:rPr>
        <w:t xml:space="preserve"> on IoT</w:t>
      </w:r>
      <w:r>
        <w:rPr>
          <w:lang w:val="en-NZ"/>
        </w:rPr>
        <w:t xml:space="preserve"> by adopting </w:t>
      </w:r>
      <w:r w:rsidRPr="00C41603">
        <w:rPr>
          <w:lang w:val="en-NZ"/>
        </w:rPr>
        <w:t>Resolution ITU-R 66 “Studies related to wireless systems and applications for the development of the Internet of Things”.</w:t>
      </w:r>
      <w:r w:rsidR="00D9340E">
        <w:rPr>
          <w:lang w:val="en-NZ"/>
        </w:rPr>
        <w:t xml:space="preserve"> </w:t>
      </w:r>
      <w:r w:rsidR="00A04A2A">
        <w:rPr>
          <w:lang w:val="en-NZ"/>
        </w:rPr>
        <w:t xml:space="preserve">Particularly, </w:t>
      </w:r>
      <w:r w:rsidR="00A04A2A" w:rsidRPr="00A04A2A">
        <w:rPr>
          <w:i/>
          <w:lang w:val="en-NZ"/>
        </w:rPr>
        <w:t>recognizing d)</w:t>
      </w:r>
      <w:r w:rsidR="00A04A2A">
        <w:rPr>
          <w:lang w:val="en-NZ"/>
        </w:rPr>
        <w:t xml:space="preserve"> </w:t>
      </w:r>
      <w:r w:rsidR="00A85361">
        <w:rPr>
          <w:lang w:val="en-NZ"/>
        </w:rPr>
        <w:t>in this Resolution</w:t>
      </w:r>
      <w:r w:rsidR="00A85361" w:rsidRPr="00A85361">
        <w:rPr>
          <w:lang w:val="en-NZ"/>
        </w:rPr>
        <w:t xml:space="preserve"> </w:t>
      </w:r>
      <w:r w:rsidR="00A04A2A">
        <w:rPr>
          <w:lang w:val="en-NZ"/>
        </w:rPr>
        <w:t>states that</w:t>
      </w:r>
    </w:p>
    <w:p w:rsidR="004A40F4" w:rsidRPr="00A04A2A" w:rsidRDefault="00A04A2A" w:rsidP="00A04A2A">
      <w:pPr>
        <w:ind w:left="720"/>
        <w:jc w:val="both"/>
        <w:rPr>
          <w:i/>
          <w:lang w:val="en-NZ"/>
        </w:rPr>
      </w:pPr>
      <w:r w:rsidRPr="00A04A2A">
        <w:rPr>
          <w:i/>
          <w:lang w:val="en-NZ"/>
        </w:rPr>
        <w:t>the implementation of IoT currently does not require specific regulatory provisions in the Radio Regulations.</w:t>
      </w:r>
    </w:p>
    <w:p w:rsidR="004A40F4" w:rsidRDefault="004A40F4" w:rsidP="006A62AC">
      <w:pPr>
        <w:jc w:val="both"/>
        <w:rPr>
          <w:lang w:val="en-NZ"/>
        </w:rPr>
      </w:pPr>
    </w:p>
    <w:p w:rsidR="006A62AC" w:rsidRDefault="00D9340E" w:rsidP="006A62AC">
      <w:pPr>
        <w:jc w:val="both"/>
        <w:rPr>
          <w:lang w:val="en-NZ"/>
        </w:rPr>
      </w:pPr>
      <w:r>
        <w:rPr>
          <w:lang w:val="en-NZ"/>
        </w:rPr>
        <w:t xml:space="preserve">This discussion was </w:t>
      </w:r>
      <w:r w:rsidR="000929D7">
        <w:rPr>
          <w:lang w:val="en-NZ"/>
        </w:rPr>
        <w:t>continu</w:t>
      </w:r>
      <w:r>
        <w:rPr>
          <w:lang w:val="en-NZ"/>
        </w:rPr>
        <w:t xml:space="preserve">ed </w:t>
      </w:r>
      <w:r w:rsidR="000929D7">
        <w:rPr>
          <w:lang w:val="en-NZ"/>
        </w:rPr>
        <w:t>a</w:t>
      </w:r>
      <w:r>
        <w:rPr>
          <w:lang w:val="en-NZ"/>
        </w:rPr>
        <w:t xml:space="preserve">t WRC-15 </w:t>
      </w:r>
      <w:r w:rsidR="000929D7">
        <w:rPr>
          <w:lang w:val="en-NZ"/>
        </w:rPr>
        <w:t>and it was agr</w:t>
      </w:r>
      <w:r w:rsidR="004A40F4">
        <w:rPr>
          <w:lang w:val="en-NZ"/>
        </w:rPr>
        <w:t>e</w:t>
      </w:r>
      <w:r w:rsidR="000929D7">
        <w:rPr>
          <w:lang w:val="en-NZ"/>
        </w:rPr>
        <w:t>ed that</w:t>
      </w:r>
      <w:r w:rsidR="004A40F4">
        <w:rPr>
          <w:lang w:val="en-NZ"/>
        </w:rPr>
        <w:t xml:space="preserve"> </w:t>
      </w:r>
      <w:r>
        <w:rPr>
          <w:lang w:val="en-NZ"/>
        </w:rPr>
        <w:t xml:space="preserve">the </w:t>
      </w:r>
      <w:r w:rsidR="000929D7">
        <w:rPr>
          <w:lang w:val="en-NZ"/>
        </w:rPr>
        <w:t>following scope</w:t>
      </w:r>
      <w:r w:rsidRPr="00D9340E">
        <w:rPr>
          <w:lang w:val="en-NZ"/>
        </w:rPr>
        <w:t xml:space="preserve"> </w:t>
      </w:r>
      <w:r w:rsidR="000929D7">
        <w:rPr>
          <w:lang w:val="en-NZ"/>
        </w:rPr>
        <w:t>a</w:t>
      </w:r>
      <w:r w:rsidRPr="00D9340E">
        <w:rPr>
          <w:lang w:val="en-NZ"/>
        </w:rPr>
        <w:t xml:space="preserve">s outlined in </w:t>
      </w:r>
      <w:r>
        <w:rPr>
          <w:lang w:val="en-NZ"/>
        </w:rPr>
        <w:t>I</w:t>
      </w:r>
      <w:r w:rsidRPr="00D9340E">
        <w:rPr>
          <w:lang w:val="en-NZ"/>
        </w:rPr>
        <w:t xml:space="preserve">ssue 3) </w:t>
      </w:r>
      <w:r w:rsidR="004A40F4">
        <w:rPr>
          <w:lang w:val="en-NZ"/>
        </w:rPr>
        <w:t>in the</w:t>
      </w:r>
      <w:r w:rsidRPr="00D9340E">
        <w:rPr>
          <w:lang w:val="en-NZ"/>
        </w:rPr>
        <w:t xml:space="preserve"> Annex to Resolution </w:t>
      </w:r>
      <w:r w:rsidRPr="00D9340E">
        <w:rPr>
          <w:b/>
          <w:lang w:val="en-NZ"/>
        </w:rPr>
        <w:t>958 (WRC-15)</w:t>
      </w:r>
      <w:r>
        <w:rPr>
          <w:b/>
          <w:lang w:val="en-NZ"/>
        </w:rPr>
        <w:t xml:space="preserve"> </w:t>
      </w:r>
      <w:r w:rsidR="000929D7">
        <w:rPr>
          <w:lang w:val="en-NZ"/>
        </w:rPr>
        <w:t>would be considered</w:t>
      </w:r>
      <w:r w:rsidRPr="00D9340E">
        <w:rPr>
          <w:lang w:val="en-NZ"/>
        </w:rPr>
        <w:t>:</w:t>
      </w:r>
    </w:p>
    <w:p w:rsidR="00D9340E" w:rsidRPr="00D9340E" w:rsidRDefault="00D9340E" w:rsidP="00D9340E">
      <w:pPr>
        <w:ind w:left="720"/>
        <w:jc w:val="both"/>
        <w:rPr>
          <w:i/>
          <w:lang w:val="en-NZ"/>
        </w:rPr>
      </w:pPr>
      <w:r w:rsidRPr="00D9340E">
        <w:rPr>
          <w:i/>
          <w:lang w:val="en-NZ"/>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D9340E" w:rsidRDefault="00D9340E" w:rsidP="006A62AC">
      <w:pPr>
        <w:jc w:val="both"/>
        <w:rPr>
          <w:lang w:val="en-NZ"/>
        </w:rPr>
      </w:pPr>
    </w:p>
    <w:p w:rsidR="0083211F" w:rsidRDefault="0083211F" w:rsidP="006A62AC">
      <w:pPr>
        <w:jc w:val="both"/>
        <w:rPr>
          <w:lang w:val="en-NZ"/>
        </w:rPr>
      </w:pPr>
      <w:r w:rsidRPr="0083211F">
        <w:rPr>
          <w:lang w:val="en-NZ"/>
        </w:rPr>
        <w:t xml:space="preserve">WP 5D, as the responsible group, </w:t>
      </w:r>
      <w:r>
        <w:rPr>
          <w:lang w:val="en-NZ"/>
        </w:rPr>
        <w:t xml:space="preserve">with WPs 1B and 5A as the concerned groups, </w:t>
      </w:r>
      <w:r w:rsidRPr="0083211F">
        <w:rPr>
          <w:lang w:val="en-NZ"/>
        </w:rPr>
        <w:t>ha</w:t>
      </w:r>
      <w:r>
        <w:rPr>
          <w:lang w:val="en-NZ"/>
        </w:rPr>
        <w:t>ve</w:t>
      </w:r>
      <w:r w:rsidRPr="0083211F">
        <w:rPr>
          <w:lang w:val="en-NZ"/>
        </w:rPr>
        <w:t xml:space="preserve"> </w:t>
      </w:r>
      <w:r>
        <w:rPr>
          <w:lang w:val="en-NZ"/>
        </w:rPr>
        <w:t xml:space="preserve">developed the following documents: </w:t>
      </w:r>
    </w:p>
    <w:p w:rsidR="0083211F" w:rsidRPr="008F2AAB" w:rsidRDefault="00D2642E" w:rsidP="0083211F">
      <w:pPr>
        <w:numPr>
          <w:ilvl w:val="0"/>
          <w:numId w:val="13"/>
        </w:numPr>
        <w:jc w:val="both"/>
        <w:rPr>
          <w:lang w:val="en-NZ"/>
        </w:rPr>
      </w:pPr>
      <w:r>
        <w:rPr>
          <w:lang w:val="en-NZ"/>
        </w:rPr>
        <w:t>Draft</w:t>
      </w:r>
      <w:r w:rsidR="0083211F" w:rsidRPr="0083211F">
        <w:rPr>
          <w:lang w:val="en-NZ"/>
        </w:rPr>
        <w:t xml:space="preserve"> new Report ITU-R M.[IMT.MTC] “</w:t>
      </w:r>
      <w:r w:rsidR="0083211F" w:rsidRPr="0083211F">
        <w:rPr>
          <w:i/>
          <w:lang w:val="en-NZ"/>
        </w:rPr>
        <w:t>The use of the terrestrial component of International Mobile Telecommunication (IMT) for Narrowband and Broadband Machine-Type Communication</w:t>
      </w:r>
      <w:r w:rsidR="0083211F" w:rsidRPr="0083211F">
        <w:rPr>
          <w:lang w:val="en-NZ"/>
        </w:rPr>
        <w:t xml:space="preserve">”, as contained in Document </w:t>
      </w:r>
      <w:hyperlink r:id="rId15" w:history="1">
        <w:r w:rsidR="0083211F" w:rsidRPr="008F2AAB">
          <w:rPr>
            <w:rStyle w:val="Hyperlink"/>
            <w:lang w:val="en-NZ"/>
          </w:rPr>
          <w:t>5/</w:t>
        </w:r>
        <w:r>
          <w:rPr>
            <w:rStyle w:val="Hyperlink"/>
            <w:lang w:val="en-NZ"/>
          </w:rPr>
          <w:t>99</w:t>
        </w:r>
      </w:hyperlink>
      <w:r w:rsidR="007125FA">
        <w:rPr>
          <w:lang w:val="en-NZ"/>
        </w:rPr>
        <w:t>;</w:t>
      </w:r>
    </w:p>
    <w:p w:rsidR="0083211F" w:rsidRPr="0083211F" w:rsidRDefault="00D2642E" w:rsidP="0083211F">
      <w:pPr>
        <w:numPr>
          <w:ilvl w:val="0"/>
          <w:numId w:val="13"/>
        </w:numPr>
        <w:jc w:val="both"/>
        <w:rPr>
          <w:lang w:val="en-NZ"/>
        </w:rPr>
      </w:pPr>
      <w:r>
        <w:rPr>
          <w:lang w:val="en-NZ"/>
        </w:rPr>
        <w:t>P</w:t>
      </w:r>
      <w:r w:rsidR="0083211F" w:rsidRPr="0083211F">
        <w:rPr>
          <w:lang w:val="en-NZ"/>
        </w:rPr>
        <w:t>reliminary draft new Report ITU-R M.[NON_IMT.M2M_USAGE] “</w:t>
      </w:r>
      <w:r w:rsidR="0083211F" w:rsidRPr="0083211F">
        <w:rPr>
          <w:i/>
          <w:lang w:val="en-NZ"/>
        </w:rPr>
        <w:t>Technical and operational aspects of Internet of Things and Machine-to-Machine applications by systems in the Mobile Service (excluding IMT)”</w:t>
      </w:r>
      <w:r w:rsidR="0083211F" w:rsidRPr="0083211F">
        <w:rPr>
          <w:lang w:val="en-NZ"/>
        </w:rPr>
        <w:t xml:space="preserve">, as contained in Document </w:t>
      </w:r>
      <w:hyperlink r:id="rId16" w:history="1">
        <w:r w:rsidR="0083211F" w:rsidRPr="0083211F">
          <w:rPr>
            <w:rStyle w:val="Hyperlink"/>
            <w:lang w:val="en-NZ"/>
          </w:rPr>
          <w:t>5A/</w:t>
        </w:r>
        <w:r w:rsidR="007756FE">
          <w:rPr>
            <w:rStyle w:val="Hyperlink"/>
            <w:lang w:val="en-NZ"/>
          </w:rPr>
          <w:t>976</w:t>
        </w:r>
        <w:r w:rsidR="0083211F" w:rsidRPr="0083211F">
          <w:rPr>
            <w:rStyle w:val="Hyperlink"/>
            <w:lang w:val="en-NZ"/>
          </w:rPr>
          <w:t xml:space="preserve"> Annex</w:t>
        </w:r>
        <w:r w:rsidR="007756FE">
          <w:rPr>
            <w:rStyle w:val="Hyperlink"/>
            <w:lang w:val="en-NZ"/>
          </w:rPr>
          <w:t xml:space="preserve"> 2</w:t>
        </w:r>
        <w:r w:rsidR="0083211F" w:rsidRPr="0083211F">
          <w:rPr>
            <w:rStyle w:val="Hyperlink"/>
            <w:lang w:val="en-NZ"/>
          </w:rPr>
          <w:t>3</w:t>
        </w:r>
      </w:hyperlink>
      <w:r w:rsidR="0083211F" w:rsidRPr="0083211F">
        <w:rPr>
          <w:lang w:val="en-NZ"/>
        </w:rPr>
        <w:t>.</w:t>
      </w:r>
    </w:p>
    <w:p w:rsidR="0083211F" w:rsidRDefault="0083211F" w:rsidP="006A62AC">
      <w:pPr>
        <w:jc w:val="both"/>
        <w:rPr>
          <w:lang w:val="en-NZ"/>
        </w:rPr>
      </w:pPr>
    </w:p>
    <w:p w:rsidR="00D2642E" w:rsidRDefault="00D2642E" w:rsidP="006A62AC">
      <w:pPr>
        <w:jc w:val="both"/>
        <w:rPr>
          <w:lang w:val="en-NZ"/>
        </w:rPr>
      </w:pPr>
      <w:r w:rsidRPr="00D2642E">
        <w:rPr>
          <w:lang w:val="en-NZ"/>
        </w:rPr>
        <w:t>The conclusion</w:t>
      </w:r>
      <w:r w:rsidR="008629FA">
        <w:rPr>
          <w:lang w:val="en-NZ"/>
        </w:rPr>
        <w:t>s</w:t>
      </w:r>
      <w:r w:rsidRPr="00D2642E">
        <w:rPr>
          <w:lang w:val="en-NZ"/>
        </w:rPr>
        <w:t xml:space="preserve"> in the draft CPM </w:t>
      </w:r>
      <w:r>
        <w:rPr>
          <w:lang w:val="en-NZ"/>
        </w:rPr>
        <w:t>report</w:t>
      </w:r>
      <w:r w:rsidRPr="00D2642E">
        <w:rPr>
          <w:lang w:val="en-NZ"/>
        </w:rPr>
        <w:t xml:space="preserve"> </w:t>
      </w:r>
      <w:r>
        <w:t xml:space="preserve">for WRC-19 </w:t>
      </w:r>
      <w:r w:rsidRPr="00A81904">
        <w:rPr>
          <w:lang w:val="en-NZ"/>
        </w:rPr>
        <w:t>Agenda Item 9.1, Issue 9.1.</w:t>
      </w:r>
      <w:r w:rsidR="008629FA">
        <w:rPr>
          <w:lang w:val="en-NZ"/>
        </w:rPr>
        <w:t>8,</w:t>
      </w:r>
      <w:r>
        <w:rPr>
          <w:lang w:val="en-NZ"/>
        </w:rPr>
        <w:t xml:space="preserve"> </w:t>
      </w:r>
      <w:r w:rsidRPr="00D2642E">
        <w:rPr>
          <w:lang w:val="en-NZ"/>
        </w:rPr>
        <w:t>state that there is no need for any regulatory action in the Radio Regulations, but there may be other ways to address the harmonised use of spectrum to support the implementation of machine-type communication through the course of the work in ITU-R Study Groups including the development of ITU-R Recommendations, Reports and/or Handbooks, as appropriate</w:t>
      </w:r>
    </w:p>
    <w:p w:rsidR="00D2642E" w:rsidRDefault="00D2642E" w:rsidP="006A62AC">
      <w:pPr>
        <w:jc w:val="both"/>
        <w:rPr>
          <w:lang w:val="en-NZ"/>
        </w:rPr>
      </w:pPr>
    </w:p>
    <w:p w:rsidR="00D2642E" w:rsidRDefault="00D2642E" w:rsidP="006A62AC">
      <w:pPr>
        <w:jc w:val="both"/>
        <w:rPr>
          <w:lang w:val="en-NZ"/>
        </w:rPr>
      </w:pPr>
    </w:p>
    <w:p w:rsidR="006A62AC" w:rsidRPr="000F100D" w:rsidRDefault="006A62AC" w:rsidP="006A62AC">
      <w:pPr>
        <w:spacing w:after="120"/>
        <w:jc w:val="both"/>
        <w:rPr>
          <w:b/>
          <w:lang w:val="en-NZ" w:eastAsia="ko-KR"/>
        </w:rPr>
      </w:pPr>
      <w:r w:rsidRPr="000F100D">
        <w:rPr>
          <w:b/>
          <w:lang w:val="en-NZ" w:eastAsia="ko-KR"/>
        </w:rPr>
        <w:t>2. Preliminary Views</w:t>
      </w:r>
    </w:p>
    <w:p w:rsidR="00642A9D" w:rsidRPr="000F100D" w:rsidRDefault="00D9340E" w:rsidP="00D211D6">
      <w:pPr>
        <w:tabs>
          <w:tab w:val="left" w:pos="600"/>
        </w:tabs>
        <w:jc w:val="both"/>
        <w:rPr>
          <w:lang w:val="en-NZ"/>
        </w:rPr>
      </w:pPr>
      <w:r w:rsidRPr="00D9340E">
        <w:rPr>
          <w:lang w:val="en-NZ"/>
        </w:rPr>
        <w:t>New Zealand</w:t>
      </w:r>
      <w:r w:rsidR="00D2642E" w:rsidRPr="00D2642E">
        <w:t xml:space="preserve"> </w:t>
      </w:r>
      <w:r w:rsidR="00D2642E" w:rsidRPr="00D2642E">
        <w:rPr>
          <w:lang w:val="en-NZ"/>
        </w:rPr>
        <w:t>supports no change to the Radio Regulations</w:t>
      </w:r>
      <w:r w:rsidR="00D2642E">
        <w:rPr>
          <w:lang w:val="en-NZ"/>
        </w:rPr>
        <w:t>. New Zealand</w:t>
      </w:r>
      <w:r w:rsidRPr="00D9340E">
        <w:rPr>
          <w:lang w:val="en-NZ"/>
        </w:rPr>
        <w:t xml:space="preserve"> is of the view that there is no need to identify dedicated spectrum for Internet of Things (IoT) or Machine-type communication (MTC) in the Radio Regulations. IoT/MTC could be deployed in frequency bands already allocated to Mobile Service, or already identified for IMT use. Such applications can be clarified through development of appropriate ITU-R Recommendations, Reports and/or Handbooks.</w:t>
      </w:r>
    </w:p>
    <w:p w:rsidR="00D1252E" w:rsidRPr="000F100D" w:rsidRDefault="00D1252E" w:rsidP="009A4A6D">
      <w:pPr>
        <w:jc w:val="center"/>
        <w:rPr>
          <w:lang w:val="en-NZ"/>
        </w:rPr>
      </w:pPr>
    </w:p>
    <w:p w:rsidR="00D1252E" w:rsidRDefault="00D1252E" w:rsidP="009A4A6D">
      <w:pPr>
        <w:jc w:val="center"/>
        <w:rPr>
          <w:lang w:val="en-NZ"/>
        </w:rPr>
      </w:pPr>
    </w:p>
    <w:p w:rsidR="00DA7595" w:rsidRPr="000F100D" w:rsidRDefault="00C357AD" w:rsidP="009A4A6D">
      <w:pPr>
        <w:jc w:val="center"/>
        <w:rPr>
          <w:snapToGrid w:val="0"/>
          <w:lang w:val="en-NZ"/>
        </w:rPr>
      </w:pPr>
      <w:r w:rsidRPr="000F100D">
        <w:rPr>
          <w:lang w:val="en-NZ"/>
        </w:rPr>
        <w:t>____________</w:t>
      </w:r>
    </w:p>
    <w:sectPr w:rsidR="00DA7595" w:rsidRPr="000F100D" w:rsidSect="00DB0A68">
      <w:headerReference w:type="default" r:id="rId17"/>
      <w:footerReference w:type="even" r:id="rId18"/>
      <w:footerReference w:type="default" r:id="rId19"/>
      <w:footerReference w:type="first" r:id="rId2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CC" w:rsidRDefault="006328CC">
      <w:r>
        <w:separator/>
      </w:r>
    </w:p>
  </w:endnote>
  <w:endnote w:type="continuationSeparator" w:id="0">
    <w:p w:rsidR="006328CC" w:rsidRDefault="006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E97599" w:rsidP="002C7EA9">
    <w:pPr>
      <w:pStyle w:val="Footer"/>
      <w:ind w:right="360"/>
      <w:jc w:val="right"/>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 xml:space="preserve">INP-23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916452">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916452">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Pr="00155F6B" w:rsidRDefault="0097693B" w:rsidP="00762576">
          <w:pPr>
            <w:rPr>
              <w:b/>
              <w:bCs/>
            </w:rPr>
          </w:pPr>
          <w:r w:rsidRPr="00155F6B">
            <w:rPr>
              <w:b/>
              <w:bCs/>
            </w:rPr>
            <w:t>Contact:</w:t>
          </w:r>
        </w:p>
      </w:tc>
      <w:tc>
        <w:tcPr>
          <w:tcW w:w="4394" w:type="dxa"/>
          <w:tcBorders>
            <w:top w:val="single" w:sz="12" w:space="0" w:color="auto"/>
          </w:tcBorders>
        </w:tcPr>
        <w:p w:rsidR="0097693B" w:rsidRPr="00155F6B" w:rsidRDefault="008011A7"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Dr Tommy Chee</w:t>
          </w:r>
        </w:p>
        <w:p w:rsidR="0097693B" w:rsidRPr="00155F6B" w:rsidRDefault="008011A7" w:rsidP="00155F6B">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rPr>
            <w:t>Ministry of Business, Innovation and Employment</w:t>
          </w:r>
        </w:p>
      </w:tc>
      <w:tc>
        <w:tcPr>
          <w:tcW w:w="3912" w:type="dxa"/>
          <w:tcBorders>
            <w:top w:val="single" w:sz="12" w:space="0" w:color="auto"/>
          </w:tcBorders>
        </w:tcPr>
        <w:p w:rsidR="0097693B" w:rsidRPr="00155F6B" w:rsidRDefault="0097693B" w:rsidP="00762576">
          <w:pPr>
            <w:rPr>
              <w:lang w:eastAsia="ja-JP"/>
            </w:rPr>
          </w:pPr>
          <w:r w:rsidRPr="00155F6B">
            <w:t>Email</w:t>
          </w:r>
          <w:r w:rsidRPr="00155F6B">
            <w:rPr>
              <w:rFonts w:hint="eastAsia"/>
            </w:rPr>
            <w:t xml:space="preserve">: </w:t>
          </w:r>
          <w:r w:rsidR="008011A7">
            <w:t>tommy.chee@mbie.govt.nz</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CC" w:rsidRDefault="006328CC">
      <w:r>
        <w:separator/>
      </w:r>
    </w:p>
  </w:footnote>
  <w:footnote w:type="continuationSeparator" w:id="0">
    <w:p w:rsidR="006328CC" w:rsidRDefault="006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A90"/>
    <w:multiLevelType w:val="hybridMultilevel"/>
    <w:tmpl w:val="752A4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C93CF6"/>
    <w:multiLevelType w:val="hybridMultilevel"/>
    <w:tmpl w:val="E5522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9F17B17"/>
    <w:multiLevelType w:val="hybridMultilevel"/>
    <w:tmpl w:val="0A861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A96BAD"/>
    <w:multiLevelType w:val="hybridMultilevel"/>
    <w:tmpl w:val="332CA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A07786F"/>
    <w:multiLevelType w:val="hybridMultilevel"/>
    <w:tmpl w:val="35429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44B22997"/>
    <w:multiLevelType w:val="hybridMultilevel"/>
    <w:tmpl w:val="28FED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A27920"/>
    <w:multiLevelType w:val="hybridMultilevel"/>
    <w:tmpl w:val="F13C4FF0"/>
    <w:lvl w:ilvl="0" w:tplc="9FA4C8FC">
      <w:start w:val="1"/>
      <w:numFmt w:val="bullet"/>
      <w:lvlText w:val="-"/>
      <w:lvlJc w:val="left"/>
      <w:pPr>
        <w:ind w:left="720" w:hanging="360"/>
      </w:pPr>
      <w:rPr>
        <w:rFonts w:ascii="Times New Roman" w:eastAsia="BatangChe"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13693F"/>
    <w:multiLevelType w:val="hybridMultilevel"/>
    <w:tmpl w:val="C03C7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7"/>
  </w:num>
  <w:num w:numId="3">
    <w:abstractNumId w:val="6"/>
  </w:num>
  <w:num w:numId="4">
    <w:abstractNumId w:val="17"/>
  </w:num>
  <w:num w:numId="5">
    <w:abstractNumId w:val="9"/>
  </w:num>
  <w:num w:numId="6">
    <w:abstractNumId w:val="11"/>
  </w:num>
  <w:num w:numId="7">
    <w:abstractNumId w:val="5"/>
  </w:num>
  <w:num w:numId="8">
    <w:abstractNumId w:val="2"/>
  </w:num>
  <w:num w:numId="9">
    <w:abstractNumId w:val="15"/>
  </w:num>
  <w:num w:numId="10">
    <w:abstractNumId w:val="14"/>
  </w:num>
  <w:num w:numId="11">
    <w:abstractNumId w:val="1"/>
  </w:num>
  <w:num w:numId="12">
    <w:abstractNumId w:val="13"/>
  </w:num>
  <w:num w:numId="13">
    <w:abstractNumId w:val="4"/>
  </w:num>
  <w:num w:numId="14">
    <w:abstractNumId w:val="16"/>
  </w:num>
  <w:num w:numId="15">
    <w:abstractNumId w:val="0"/>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4BDB"/>
    <w:rsid w:val="0003595B"/>
    <w:rsid w:val="0005508C"/>
    <w:rsid w:val="000713CF"/>
    <w:rsid w:val="00071D51"/>
    <w:rsid w:val="00073052"/>
    <w:rsid w:val="00082484"/>
    <w:rsid w:val="00085AF7"/>
    <w:rsid w:val="000929D7"/>
    <w:rsid w:val="00096326"/>
    <w:rsid w:val="000A5418"/>
    <w:rsid w:val="000A5C23"/>
    <w:rsid w:val="000B4CAF"/>
    <w:rsid w:val="000F100D"/>
    <w:rsid w:val="000F517C"/>
    <w:rsid w:val="000F5540"/>
    <w:rsid w:val="00126703"/>
    <w:rsid w:val="00126B7C"/>
    <w:rsid w:val="001270B4"/>
    <w:rsid w:val="00152023"/>
    <w:rsid w:val="001539DD"/>
    <w:rsid w:val="00155F6B"/>
    <w:rsid w:val="00161052"/>
    <w:rsid w:val="00196568"/>
    <w:rsid w:val="001A2F16"/>
    <w:rsid w:val="001B18C2"/>
    <w:rsid w:val="001C551B"/>
    <w:rsid w:val="001C6B22"/>
    <w:rsid w:val="001D5D7E"/>
    <w:rsid w:val="001E3465"/>
    <w:rsid w:val="002012C4"/>
    <w:rsid w:val="002111ED"/>
    <w:rsid w:val="00242E68"/>
    <w:rsid w:val="00254A1B"/>
    <w:rsid w:val="00260BB5"/>
    <w:rsid w:val="00275249"/>
    <w:rsid w:val="0028454D"/>
    <w:rsid w:val="00284971"/>
    <w:rsid w:val="00286D5D"/>
    <w:rsid w:val="0029002C"/>
    <w:rsid w:val="00291C9E"/>
    <w:rsid w:val="002926D4"/>
    <w:rsid w:val="002C07DA"/>
    <w:rsid w:val="002C1340"/>
    <w:rsid w:val="002C2B6E"/>
    <w:rsid w:val="002C7EA9"/>
    <w:rsid w:val="002E4571"/>
    <w:rsid w:val="002E672F"/>
    <w:rsid w:val="00305B26"/>
    <w:rsid w:val="003078CC"/>
    <w:rsid w:val="00322D07"/>
    <w:rsid w:val="00342F20"/>
    <w:rsid w:val="00344332"/>
    <w:rsid w:val="00350E45"/>
    <w:rsid w:val="003553A1"/>
    <w:rsid w:val="00356DF1"/>
    <w:rsid w:val="00371351"/>
    <w:rsid w:val="003809C7"/>
    <w:rsid w:val="003B6263"/>
    <w:rsid w:val="003C64A7"/>
    <w:rsid w:val="003D3FDA"/>
    <w:rsid w:val="003D50FE"/>
    <w:rsid w:val="003D693E"/>
    <w:rsid w:val="00420822"/>
    <w:rsid w:val="00422C6C"/>
    <w:rsid w:val="00446C86"/>
    <w:rsid w:val="0045458F"/>
    <w:rsid w:val="004556B9"/>
    <w:rsid w:val="004633B4"/>
    <w:rsid w:val="00487B3A"/>
    <w:rsid w:val="004A318E"/>
    <w:rsid w:val="004A40F4"/>
    <w:rsid w:val="004A6778"/>
    <w:rsid w:val="004B10A3"/>
    <w:rsid w:val="004B3354"/>
    <w:rsid w:val="004B3553"/>
    <w:rsid w:val="004D5DD3"/>
    <w:rsid w:val="00511E64"/>
    <w:rsid w:val="00530E8C"/>
    <w:rsid w:val="00545933"/>
    <w:rsid w:val="00550A71"/>
    <w:rsid w:val="00557544"/>
    <w:rsid w:val="005618EC"/>
    <w:rsid w:val="00587875"/>
    <w:rsid w:val="005941D4"/>
    <w:rsid w:val="005B7686"/>
    <w:rsid w:val="005C1518"/>
    <w:rsid w:val="005E2D0A"/>
    <w:rsid w:val="00607E2B"/>
    <w:rsid w:val="006139D6"/>
    <w:rsid w:val="00623CE1"/>
    <w:rsid w:val="00626478"/>
    <w:rsid w:val="0063062B"/>
    <w:rsid w:val="006328CC"/>
    <w:rsid w:val="00642A9D"/>
    <w:rsid w:val="00667229"/>
    <w:rsid w:val="0068246E"/>
    <w:rsid w:val="00682BE5"/>
    <w:rsid w:val="00690FED"/>
    <w:rsid w:val="006939A5"/>
    <w:rsid w:val="006A62AC"/>
    <w:rsid w:val="006B6F50"/>
    <w:rsid w:val="006C5D9B"/>
    <w:rsid w:val="007005B1"/>
    <w:rsid w:val="00712451"/>
    <w:rsid w:val="007125FA"/>
    <w:rsid w:val="0071395F"/>
    <w:rsid w:val="00715F4D"/>
    <w:rsid w:val="0072770E"/>
    <w:rsid w:val="00731041"/>
    <w:rsid w:val="00732F08"/>
    <w:rsid w:val="007402A6"/>
    <w:rsid w:val="0074190C"/>
    <w:rsid w:val="007556F0"/>
    <w:rsid w:val="00762576"/>
    <w:rsid w:val="007756FE"/>
    <w:rsid w:val="00791060"/>
    <w:rsid w:val="007A01EE"/>
    <w:rsid w:val="007B5626"/>
    <w:rsid w:val="008011A7"/>
    <w:rsid w:val="0080570B"/>
    <w:rsid w:val="00814284"/>
    <w:rsid w:val="008148E1"/>
    <w:rsid w:val="008319BF"/>
    <w:rsid w:val="0083211F"/>
    <w:rsid w:val="008629FA"/>
    <w:rsid w:val="008771FE"/>
    <w:rsid w:val="00886E99"/>
    <w:rsid w:val="00891AA1"/>
    <w:rsid w:val="008D0E09"/>
    <w:rsid w:val="008D5371"/>
    <w:rsid w:val="008E3CD8"/>
    <w:rsid w:val="008E4DCD"/>
    <w:rsid w:val="008F1E81"/>
    <w:rsid w:val="008F2AAB"/>
    <w:rsid w:val="008F6ED1"/>
    <w:rsid w:val="00916452"/>
    <w:rsid w:val="00936639"/>
    <w:rsid w:val="00951207"/>
    <w:rsid w:val="0097693B"/>
    <w:rsid w:val="00986EF3"/>
    <w:rsid w:val="00992325"/>
    <w:rsid w:val="00993355"/>
    <w:rsid w:val="009A4A6D"/>
    <w:rsid w:val="009B7004"/>
    <w:rsid w:val="00A020E3"/>
    <w:rsid w:val="00A04A2A"/>
    <w:rsid w:val="00A115CC"/>
    <w:rsid w:val="00A13265"/>
    <w:rsid w:val="00A670D4"/>
    <w:rsid w:val="00A71136"/>
    <w:rsid w:val="00A75D7B"/>
    <w:rsid w:val="00A81904"/>
    <w:rsid w:val="00A85361"/>
    <w:rsid w:val="00AA474C"/>
    <w:rsid w:val="00AC17F1"/>
    <w:rsid w:val="00AD7E5F"/>
    <w:rsid w:val="00B01AA1"/>
    <w:rsid w:val="00B179B9"/>
    <w:rsid w:val="00B30C81"/>
    <w:rsid w:val="00B40622"/>
    <w:rsid w:val="00B4793B"/>
    <w:rsid w:val="00BB44F8"/>
    <w:rsid w:val="00BC2719"/>
    <w:rsid w:val="00BD6BBB"/>
    <w:rsid w:val="00BF2620"/>
    <w:rsid w:val="00BF6242"/>
    <w:rsid w:val="00BF69F1"/>
    <w:rsid w:val="00C04C67"/>
    <w:rsid w:val="00C068BF"/>
    <w:rsid w:val="00C15633"/>
    <w:rsid w:val="00C15799"/>
    <w:rsid w:val="00C27ADA"/>
    <w:rsid w:val="00C357AD"/>
    <w:rsid w:val="00C41603"/>
    <w:rsid w:val="00C440B4"/>
    <w:rsid w:val="00C6069C"/>
    <w:rsid w:val="00C619D5"/>
    <w:rsid w:val="00C85119"/>
    <w:rsid w:val="00CA16ED"/>
    <w:rsid w:val="00CD5010"/>
    <w:rsid w:val="00CD5431"/>
    <w:rsid w:val="00CE3F11"/>
    <w:rsid w:val="00CF2491"/>
    <w:rsid w:val="00CF5242"/>
    <w:rsid w:val="00D1252E"/>
    <w:rsid w:val="00D211D6"/>
    <w:rsid w:val="00D2642E"/>
    <w:rsid w:val="00D46E53"/>
    <w:rsid w:val="00D57772"/>
    <w:rsid w:val="00D6202F"/>
    <w:rsid w:val="00D72AE3"/>
    <w:rsid w:val="00D75A4D"/>
    <w:rsid w:val="00D80200"/>
    <w:rsid w:val="00D8478B"/>
    <w:rsid w:val="00D86151"/>
    <w:rsid w:val="00D9340E"/>
    <w:rsid w:val="00DA7595"/>
    <w:rsid w:val="00DB0A68"/>
    <w:rsid w:val="00DB5368"/>
    <w:rsid w:val="00DB6DA1"/>
    <w:rsid w:val="00DC067E"/>
    <w:rsid w:val="00DC43A3"/>
    <w:rsid w:val="00DC4EEB"/>
    <w:rsid w:val="00DD7C09"/>
    <w:rsid w:val="00E0124F"/>
    <w:rsid w:val="00E271D4"/>
    <w:rsid w:val="00E45AD9"/>
    <w:rsid w:val="00E674D3"/>
    <w:rsid w:val="00E70FD0"/>
    <w:rsid w:val="00E860C1"/>
    <w:rsid w:val="00E97599"/>
    <w:rsid w:val="00EA5D59"/>
    <w:rsid w:val="00EB3F67"/>
    <w:rsid w:val="00EC6071"/>
    <w:rsid w:val="00EE53FF"/>
    <w:rsid w:val="00F26AD8"/>
    <w:rsid w:val="00F311B5"/>
    <w:rsid w:val="00F4640A"/>
    <w:rsid w:val="00F62644"/>
    <w:rsid w:val="00F84067"/>
    <w:rsid w:val="00F91633"/>
    <w:rsid w:val="00F96C70"/>
    <w:rsid w:val="00FE3DE5"/>
    <w:rsid w:val="00FE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40C19D-F96F-4D40-8A25-3F0B8E07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uiPriority w:val="34"/>
    <w:qFormat/>
    <w:rsid w:val="00D80200"/>
    <w:pPr>
      <w:ind w:left="720"/>
      <w:contextualSpacing/>
    </w:pPr>
  </w:style>
  <w:style w:type="table" w:styleId="TableGrid">
    <w:name w:val="Table Grid"/>
    <w:basedOn w:val="TableNormal"/>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6AD8"/>
    <w:pPr>
      <w:spacing w:before="100" w:beforeAutospacing="1" w:after="100" w:afterAutospacing="1"/>
    </w:pPr>
    <w:rPr>
      <w:rFonts w:eastAsiaTheme="minorEastAsia"/>
      <w:lang w:val="en-NZ" w:eastAsia="zh-CN"/>
    </w:rPr>
  </w:style>
  <w:style w:type="character" w:styleId="Hyperlink">
    <w:name w:val="Hyperlink"/>
    <w:basedOn w:val="DefaultParagraphFont"/>
    <w:unhideWhenUsed/>
    <w:rsid w:val="00986EF3"/>
    <w:rPr>
      <w:color w:val="0000FF" w:themeColor="hyperlink"/>
      <w:u w:val="single"/>
    </w:rPr>
  </w:style>
  <w:style w:type="character" w:styleId="CommentReference">
    <w:name w:val="annotation reference"/>
    <w:basedOn w:val="DefaultParagraphFont"/>
    <w:semiHidden/>
    <w:unhideWhenUsed/>
    <w:rsid w:val="008F2AAB"/>
    <w:rPr>
      <w:sz w:val="16"/>
      <w:szCs w:val="16"/>
    </w:rPr>
  </w:style>
  <w:style w:type="paragraph" w:styleId="CommentText">
    <w:name w:val="annotation text"/>
    <w:basedOn w:val="Normal"/>
    <w:link w:val="CommentTextChar"/>
    <w:semiHidden/>
    <w:unhideWhenUsed/>
    <w:rsid w:val="008F2AAB"/>
    <w:rPr>
      <w:sz w:val="20"/>
      <w:szCs w:val="20"/>
    </w:rPr>
  </w:style>
  <w:style w:type="character" w:customStyle="1" w:styleId="CommentTextChar">
    <w:name w:val="Comment Text Char"/>
    <w:basedOn w:val="DefaultParagraphFont"/>
    <w:link w:val="CommentText"/>
    <w:semiHidden/>
    <w:rsid w:val="008F2AAB"/>
    <w:rPr>
      <w:rFonts w:eastAsia="BatangChe"/>
    </w:rPr>
  </w:style>
  <w:style w:type="paragraph" w:styleId="CommentSubject">
    <w:name w:val="annotation subject"/>
    <w:basedOn w:val="CommentText"/>
    <w:next w:val="CommentText"/>
    <w:link w:val="CommentSubjectChar"/>
    <w:semiHidden/>
    <w:unhideWhenUsed/>
    <w:rsid w:val="008F2AAB"/>
    <w:rPr>
      <w:b/>
      <w:bCs/>
    </w:rPr>
  </w:style>
  <w:style w:type="character" w:customStyle="1" w:styleId="CommentSubjectChar">
    <w:name w:val="Comment Subject Char"/>
    <w:basedOn w:val="CommentTextChar"/>
    <w:link w:val="CommentSubject"/>
    <w:semiHidden/>
    <w:rsid w:val="008F2AA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5/tg5.1/c/R15-TG5.1-C-0478!N01!MSW-E.docx" TargetMode="External"/><Relationship Id="rId13" Type="http://schemas.openxmlformats.org/officeDocument/2006/relationships/hyperlink" Target="https://www.itu.int/dms_ties/itu-r/md/15/wp4c/c/R15-WP4C-C-0417!N04!MSW-E.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package" Target="embeddings/Microsoft_Word_Document1.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dms_pub/itu-r/md/15/wp5a/c/R15-WP5A-C-0976!N23!MSW-E.docx"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itu.int/md/R15-SG05-C-0099/en" TargetMode="External"/><Relationship Id="rId10" Type="http://schemas.openxmlformats.org/officeDocument/2006/relationships/hyperlink" Target="https://www.itu.int/md/R15-CPM19.02-C-0001/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15-TG5.1-C-0478/en" TargetMode="External"/><Relationship Id="rId14" Type="http://schemas.openxmlformats.org/officeDocument/2006/relationships/hyperlink" Target="https://www.itu.int/md/dologin_md.asp?lang=en&amp;id=R15-WP5D-C-1110!H04!MSW-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7</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41</cp:revision>
  <cp:lastPrinted>2018-02-18T20:54:00Z</cp:lastPrinted>
  <dcterms:created xsi:type="dcterms:W3CDTF">2017-07-10T04:13:00Z</dcterms:created>
  <dcterms:modified xsi:type="dcterms:W3CDTF">2018-12-21T01:47:00Z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