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096326" w:rsidRPr="00891D0B" w:rsidTr="00096326">
        <w:trPr>
          <w:cantSplit/>
        </w:trPr>
        <w:tc>
          <w:tcPr>
            <w:tcW w:w="1399" w:type="dxa"/>
            <w:vMerge w:val="restart"/>
          </w:tcPr>
          <w:p w:rsidR="00096326" w:rsidRPr="00891D0B" w:rsidRDefault="00096326"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6A2D427" wp14:editId="1FB19F4E">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rsidR="00096326" w:rsidRPr="00891D0B" w:rsidRDefault="00096326" w:rsidP="0045458F">
            <w:r w:rsidRPr="00096326">
              <w:t>ASIA-PACIFIC TELECOMMUNITY</w:t>
            </w:r>
          </w:p>
        </w:tc>
        <w:tc>
          <w:tcPr>
            <w:tcW w:w="2700" w:type="dxa"/>
          </w:tcPr>
          <w:p w:rsidR="00096326" w:rsidRPr="00096326" w:rsidRDefault="00096326" w:rsidP="00096326">
            <w:pPr>
              <w:rPr>
                <w:b/>
                <w:bCs/>
                <w:lang w:val="fr-FR"/>
              </w:rPr>
            </w:pPr>
            <w:r w:rsidRPr="00C15799">
              <w:rPr>
                <w:b/>
                <w:lang w:val="fr-FR"/>
              </w:rPr>
              <w:t>Document</w:t>
            </w:r>
            <w:r w:rsidR="00FA3E2D">
              <w:rPr>
                <w:b/>
                <w:lang w:val="fr-FR"/>
              </w:rPr>
              <w:t xml:space="preserve"> No.</w:t>
            </w:r>
            <w:r>
              <w:rPr>
                <w:b/>
                <w:lang w:val="fr-FR"/>
              </w:rPr>
              <w:t xml:space="preserve">: </w:t>
            </w:r>
          </w:p>
        </w:tc>
      </w:tr>
      <w:tr w:rsidR="00DA7595" w:rsidRPr="00C15799" w:rsidTr="00096326">
        <w:trPr>
          <w:cantSplit/>
        </w:trPr>
        <w:tc>
          <w:tcPr>
            <w:tcW w:w="1399" w:type="dxa"/>
            <w:vMerge/>
          </w:tcPr>
          <w:p w:rsidR="00DA7595" w:rsidRPr="00891D0B" w:rsidRDefault="00DA7595" w:rsidP="0045458F"/>
        </w:tc>
        <w:tc>
          <w:tcPr>
            <w:tcW w:w="5720" w:type="dxa"/>
          </w:tcPr>
          <w:p w:rsidR="00DA7595" w:rsidRPr="00C44C4E" w:rsidRDefault="00DA7595" w:rsidP="00757E9E">
            <w:pPr>
              <w:spacing w:line="0" w:lineRule="atLeast"/>
            </w:pPr>
            <w:r w:rsidRPr="00C44C4E">
              <w:rPr>
                <w:b/>
              </w:rPr>
              <w:t xml:space="preserve">The </w:t>
            </w:r>
            <w:r w:rsidR="00757E9E" w:rsidRPr="00C44C4E">
              <w:rPr>
                <w:b/>
              </w:rPr>
              <w:t>4th</w:t>
            </w:r>
            <w:r w:rsidR="00096326" w:rsidRPr="00C44C4E">
              <w:rPr>
                <w:b/>
              </w:rPr>
              <w:t xml:space="preserve"> </w:t>
            </w:r>
            <w:r w:rsidR="00DB0A68" w:rsidRPr="00C44C4E">
              <w:rPr>
                <w:b/>
              </w:rPr>
              <w:t>Meeting of the APT Conference Preparatory</w:t>
            </w:r>
            <w:r w:rsidR="002926D4" w:rsidRPr="00C44C4E">
              <w:rPr>
                <w:b/>
              </w:rPr>
              <w:t xml:space="preserve"> </w:t>
            </w:r>
            <w:r w:rsidR="00DB0A68" w:rsidRPr="00C44C4E">
              <w:rPr>
                <w:b/>
              </w:rPr>
              <w:t xml:space="preserve"> Group for WRC-</w:t>
            </w:r>
            <w:r w:rsidR="00FE3DE5" w:rsidRPr="00C44C4E">
              <w:rPr>
                <w:b/>
              </w:rPr>
              <w:t>1</w:t>
            </w:r>
            <w:r w:rsidR="00096326" w:rsidRPr="00C44C4E">
              <w:rPr>
                <w:b/>
              </w:rPr>
              <w:t>9</w:t>
            </w:r>
            <w:r w:rsidR="00DB0A68" w:rsidRPr="00C44C4E">
              <w:rPr>
                <w:b/>
              </w:rPr>
              <w:t xml:space="preserve"> (APG</w:t>
            </w:r>
            <w:r w:rsidR="00096326" w:rsidRPr="00C44C4E">
              <w:rPr>
                <w:b/>
              </w:rPr>
              <w:t>19</w:t>
            </w:r>
            <w:r w:rsidR="00DB0A68" w:rsidRPr="00C44C4E">
              <w:rPr>
                <w:b/>
              </w:rPr>
              <w:t>-</w:t>
            </w:r>
            <w:r w:rsidR="00757E9E" w:rsidRPr="00C44C4E">
              <w:rPr>
                <w:b/>
              </w:rPr>
              <w:t>4</w:t>
            </w:r>
            <w:r w:rsidR="00DB0A68" w:rsidRPr="00C44C4E">
              <w:rPr>
                <w:b/>
              </w:rPr>
              <w:t>)</w:t>
            </w:r>
          </w:p>
        </w:tc>
        <w:tc>
          <w:tcPr>
            <w:tcW w:w="2700" w:type="dxa"/>
          </w:tcPr>
          <w:p w:rsidR="00DA7595" w:rsidRPr="00C44C4E" w:rsidRDefault="00645AE9" w:rsidP="00757E9E">
            <w:pPr>
              <w:rPr>
                <w:b/>
                <w:bCs/>
                <w:lang w:val="fr-FR"/>
              </w:rPr>
            </w:pPr>
            <w:r w:rsidRPr="00C44C4E">
              <w:rPr>
                <w:b/>
                <w:bCs/>
                <w:lang w:val="fr-FR"/>
              </w:rPr>
              <w:t>APG19-</w:t>
            </w:r>
            <w:r w:rsidR="00757E9E" w:rsidRPr="00C44C4E">
              <w:rPr>
                <w:b/>
                <w:bCs/>
                <w:lang w:val="fr-FR"/>
              </w:rPr>
              <w:t>4</w:t>
            </w:r>
            <w:r w:rsidRPr="00C44C4E">
              <w:rPr>
                <w:b/>
                <w:bCs/>
                <w:lang w:val="fr-FR"/>
              </w:rPr>
              <w:t>/INP-</w:t>
            </w:r>
            <w:r w:rsidR="00FA3E2D">
              <w:rPr>
                <w:b/>
                <w:bCs/>
                <w:lang w:val="fr-FR"/>
              </w:rPr>
              <w:t>38</w:t>
            </w:r>
          </w:p>
        </w:tc>
      </w:tr>
      <w:tr w:rsidR="004B3553" w:rsidRPr="00891D0B" w:rsidTr="00096326">
        <w:trPr>
          <w:cantSplit/>
          <w:trHeight w:val="219"/>
        </w:trPr>
        <w:tc>
          <w:tcPr>
            <w:tcW w:w="1399" w:type="dxa"/>
            <w:vMerge/>
          </w:tcPr>
          <w:p w:rsidR="004B3553" w:rsidRPr="00C15799" w:rsidRDefault="004B3553" w:rsidP="0045458F">
            <w:pPr>
              <w:rPr>
                <w:lang w:val="fr-FR"/>
              </w:rPr>
            </w:pPr>
          </w:p>
        </w:tc>
        <w:tc>
          <w:tcPr>
            <w:tcW w:w="5720" w:type="dxa"/>
          </w:tcPr>
          <w:p w:rsidR="004B3553" w:rsidRPr="00C44C4E" w:rsidRDefault="00757E9E" w:rsidP="00C44C4E">
            <w:r w:rsidRPr="00C44C4E">
              <w:t>7</w:t>
            </w:r>
            <w:r w:rsidR="00645AE9" w:rsidRPr="00C44C4E">
              <w:t xml:space="preserve"> – </w:t>
            </w:r>
            <w:r w:rsidR="00C44C4E">
              <w:t>12</w:t>
            </w:r>
            <w:r w:rsidR="00645AE9" w:rsidRPr="00C44C4E">
              <w:t xml:space="preserve"> </w:t>
            </w:r>
            <w:r w:rsidR="00C44C4E">
              <w:t>January</w:t>
            </w:r>
            <w:r w:rsidR="00645AE9" w:rsidRPr="00C44C4E">
              <w:t xml:space="preserve"> 201</w:t>
            </w:r>
            <w:r w:rsidR="00C44C4E">
              <w:t>9</w:t>
            </w:r>
            <w:r w:rsidR="00645AE9" w:rsidRPr="00C44C4E">
              <w:t xml:space="preserve">, </w:t>
            </w:r>
            <w:r w:rsidRPr="00C44C4E">
              <w:t>Busan, Republic of Korea</w:t>
            </w:r>
          </w:p>
        </w:tc>
        <w:tc>
          <w:tcPr>
            <w:tcW w:w="2700" w:type="dxa"/>
          </w:tcPr>
          <w:p w:rsidR="004B3553" w:rsidRPr="00C44C4E" w:rsidRDefault="00FA3E2D" w:rsidP="00757E9E">
            <w:pPr>
              <w:rPr>
                <w:b/>
              </w:rPr>
            </w:pPr>
            <w:r>
              <w:rPr>
                <w:b/>
              </w:rPr>
              <w:t>25</w:t>
            </w:r>
            <w:r w:rsidR="00645AE9" w:rsidRPr="00C44C4E">
              <w:rPr>
                <w:b/>
              </w:rPr>
              <w:t xml:space="preserve"> </w:t>
            </w:r>
            <w:r w:rsidR="00757E9E" w:rsidRPr="00C44C4E">
              <w:rPr>
                <w:b/>
              </w:rPr>
              <w:t>December</w:t>
            </w:r>
            <w:r w:rsidR="00645AE9" w:rsidRPr="00C44C4E">
              <w:rPr>
                <w:b/>
              </w:rPr>
              <w:t xml:space="preserve"> 2018</w:t>
            </w:r>
          </w:p>
        </w:tc>
      </w:tr>
    </w:tbl>
    <w:p w:rsidR="00DA7595" w:rsidRDefault="00DA7595" w:rsidP="00DA7595">
      <w:pPr>
        <w:rPr>
          <w:lang w:eastAsia="ko-KR"/>
        </w:rPr>
      </w:pPr>
    </w:p>
    <w:p w:rsidR="00096326" w:rsidRDefault="00096326" w:rsidP="00DA7595">
      <w:pPr>
        <w:jc w:val="center"/>
        <w:rPr>
          <w:sz w:val="28"/>
          <w:szCs w:val="28"/>
          <w:lang w:eastAsia="ko-KR"/>
        </w:rPr>
      </w:pPr>
    </w:p>
    <w:p w:rsidR="00FE3DE5" w:rsidRDefault="00307FE2" w:rsidP="0063062B">
      <w:pPr>
        <w:jc w:val="center"/>
        <w:rPr>
          <w:sz w:val="28"/>
          <w:szCs w:val="28"/>
          <w:lang w:eastAsia="ko-KR"/>
        </w:rPr>
      </w:pPr>
      <w:r w:rsidRPr="00307FE2">
        <w:rPr>
          <w:sz w:val="28"/>
          <w:szCs w:val="28"/>
          <w:lang w:eastAsia="ko-KR"/>
        </w:rPr>
        <w:t>Socialist Republic of Viet Nam</w:t>
      </w:r>
    </w:p>
    <w:p w:rsidR="00307FE2" w:rsidRDefault="00307FE2" w:rsidP="0063062B">
      <w:pPr>
        <w:jc w:val="center"/>
        <w:rPr>
          <w:b/>
          <w:bCs/>
          <w:caps/>
          <w:sz w:val="28"/>
          <w:szCs w:val="28"/>
        </w:rPr>
      </w:pPr>
    </w:p>
    <w:p w:rsidR="00C357AD" w:rsidRPr="00096326" w:rsidRDefault="00FE3DE5" w:rsidP="0063062B">
      <w:pPr>
        <w:jc w:val="center"/>
        <w:rPr>
          <w:b/>
          <w:bCs/>
          <w:caps/>
        </w:rPr>
      </w:pPr>
      <w:r w:rsidRPr="00096326">
        <w:rPr>
          <w:b/>
          <w:bCs/>
          <w:caps/>
        </w:rPr>
        <w:t>preliminary views on WRC-1</w:t>
      </w:r>
      <w:r w:rsidR="00307FE2">
        <w:rPr>
          <w:b/>
          <w:bCs/>
          <w:caps/>
        </w:rPr>
        <w:t>9</w:t>
      </w:r>
      <w:r w:rsidR="00D1252E" w:rsidRPr="00096326">
        <w:rPr>
          <w:b/>
          <w:bCs/>
          <w:caps/>
        </w:rPr>
        <w:t xml:space="preserve"> agenda items </w:t>
      </w:r>
      <w:r w:rsidR="00307FE2">
        <w:rPr>
          <w:b/>
          <w:bCs/>
          <w:caps/>
        </w:rPr>
        <w:t>1.1</w:t>
      </w:r>
      <w:r w:rsidR="00205AD2">
        <w:rPr>
          <w:b/>
          <w:bCs/>
          <w:caps/>
        </w:rPr>
        <w:t>3</w:t>
      </w:r>
      <w:r w:rsidR="000839D8">
        <w:rPr>
          <w:b/>
          <w:bCs/>
          <w:caps/>
        </w:rPr>
        <w:t xml:space="preserve">, </w:t>
      </w:r>
      <w:r w:rsidR="00307FE2">
        <w:rPr>
          <w:b/>
          <w:bCs/>
          <w:caps/>
        </w:rPr>
        <w:t>1.</w:t>
      </w:r>
      <w:r w:rsidR="00205AD2">
        <w:rPr>
          <w:b/>
          <w:bCs/>
          <w:caps/>
        </w:rPr>
        <w:t>16</w:t>
      </w:r>
      <w:r w:rsidR="005A11DB">
        <w:rPr>
          <w:b/>
          <w:bCs/>
          <w:caps/>
        </w:rPr>
        <w:t>, 9.1.1</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8319BF" w:rsidRDefault="000A5418" w:rsidP="003A397B">
      <w:pPr>
        <w:pStyle w:val="Heading1"/>
        <w:jc w:val="both"/>
      </w:pPr>
      <w:r>
        <w:t xml:space="preserve">Agenda Item </w:t>
      </w:r>
      <w:r w:rsidR="00307FE2">
        <w:t>1.1</w:t>
      </w:r>
      <w:r w:rsidR="00205AD2">
        <w:t>3</w:t>
      </w:r>
      <w:r>
        <w:t xml:space="preserve">: </w:t>
      </w:r>
    </w:p>
    <w:p w:rsidR="003A397B" w:rsidRPr="00981AD1" w:rsidRDefault="00AA63A8" w:rsidP="003A397B">
      <w:pPr>
        <w:pStyle w:val="Normalaftertitle"/>
        <w:jc w:val="both"/>
        <w:rPr>
          <w:i/>
          <w:iCs/>
        </w:rPr>
      </w:pPr>
      <w:r>
        <w:rPr>
          <w:i/>
          <w:iCs/>
        </w:rPr>
        <w:t xml:space="preserve">              T</w:t>
      </w:r>
      <w:r w:rsidR="003A397B" w:rsidRPr="00981AD1">
        <w:rPr>
          <w:i/>
          <w:iCs/>
        </w:rPr>
        <w:t xml:space="preserve">o consider identification of frequency bands for the future development of International Mobile Telecommunications (IMT), including possible additional allocations to the mobile service on a primary basis, in accordance with Resolution </w:t>
      </w:r>
      <w:r w:rsidR="003A397B" w:rsidRPr="00981AD1">
        <w:rPr>
          <w:b/>
          <w:bCs/>
          <w:i/>
          <w:iCs/>
        </w:rPr>
        <w:t>238 (WRC-15)</w:t>
      </w:r>
      <w:r w:rsidR="003A397B" w:rsidRPr="00981AD1">
        <w:rPr>
          <w:i/>
          <w:iCs/>
        </w:rPr>
        <w:t>;</w:t>
      </w:r>
    </w:p>
    <w:p w:rsidR="003A397B" w:rsidRPr="00981AD1" w:rsidRDefault="00AA63A8" w:rsidP="003A397B">
      <w:pPr>
        <w:jc w:val="both"/>
        <w:rPr>
          <w:i/>
          <w:iCs/>
        </w:rPr>
      </w:pPr>
      <w:r>
        <w:rPr>
          <w:lang w:val="en-GB"/>
        </w:rPr>
        <w:t xml:space="preserve">              </w:t>
      </w:r>
      <w:r w:rsidR="003A397B" w:rsidRPr="00981AD1">
        <w:t xml:space="preserve">Resolution </w:t>
      </w:r>
      <w:r w:rsidR="003A397B" w:rsidRPr="00981AD1">
        <w:rPr>
          <w:rFonts w:ascii="Times New Roman Bold" w:hAnsi="Times New Roman Bold" w:cs="Times New Roman Bold"/>
          <w:b/>
          <w:bCs/>
        </w:rPr>
        <w:t xml:space="preserve">238 </w:t>
      </w:r>
      <w:r w:rsidR="003A397B" w:rsidRPr="00981AD1">
        <w:rPr>
          <w:b/>
          <w:bCs/>
        </w:rPr>
        <w:t>(WRC</w:t>
      </w:r>
      <w:r w:rsidR="003A397B" w:rsidRPr="00981AD1">
        <w:rPr>
          <w:b/>
          <w:bCs/>
        </w:rPr>
        <w:noBreakHyphen/>
        <w:t>15)</w:t>
      </w:r>
      <w:r w:rsidR="003A397B" w:rsidRPr="00981AD1">
        <w:t xml:space="preserve"> – </w:t>
      </w:r>
      <w:r w:rsidR="003A397B" w:rsidRPr="00981AD1">
        <w:rPr>
          <w:rFonts w:eastAsia="SimSun"/>
          <w:i/>
          <w:iCs/>
        </w:rPr>
        <w:t xml:space="preserve">Studies on frequency-related matters for International Mobile Telecommunications identification including possible additional allocations to the mobile services on a primary basis in portion(s) of the frequency range between 24.25 </w:t>
      </w:r>
      <w:r w:rsidR="000839D8">
        <w:rPr>
          <w:rFonts w:eastAsia="SimSun"/>
          <w:i/>
          <w:iCs/>
        </w:rPr>
        <w:t xml:space="preserve">GHz </w:t>
      </w:r>
      <w:r w:rsidR="003A397B" w:rsidRPr="00981AD1">
        <w:rPr>
          <w:rFonts w:eastAsia="SimSun"/>
          <w:i/>
          <w:iCs/>
        </w:rPr>
        <w:t>and 86 GHz for the future development of International Mobile Telecommunications for 2020 and beyond</w:t>
      </w:r>
    </w:p>
    <w:p w:rsidR="003A397B" w:rsidRDefault="003A397B" w:rsidP="003A397B">
      <w:pPr>
        <w:spacing w:after="120"/>
        <w:jc w:val="both"/>
        <w:rPr>
          <w:b/>
          <w:lang w:eastAsia="ko-KR"/>
        </w:rPr>
      </w:pPr>
    </w:p>
    <w:p w:rsidR="000A5418" w:rsidRPr="00A30FA5" w:rsidRDefault="000A5418" w:rsidP="003A397B">
      <w:pPr>
        <w:spacing w:after="120"/>
        <w:jc w:val="both"/>
        <w:rPr>
          <w:b/>
          <w:lang w:eastAsia="ko-KR"/>
        </w:rPr>
      </w:pPr>
      <w:r w:rsidRPr="00A30FA5">
        <w:rPr>
          <w:rFonts w:hint="eastAsia"/>
          <w:b/>
          <w:lang w:eastAsia="ko-KR"/>
        </w:rPr>
        <w:t>1. Background</w:t>
      </w:r>
    </w:p>
    <w:p w:rsidR="003A397B" w:rsidRPr="00981AD1" w:rsidRDefault="003A397B" w:rsidP="003A397B">
      <w:pPr>
        <w:jc w:val="both"/>
        <w:rPr>
          <w:lang w:eastAsia="ko-KR"/>
        </w:rPr>
      </w:pPr>
      <w:r>
        <w:tab/>
      </w:r>
      <w:r w:rsidRPr="00981AD1">
        <w:t>International Mobile Telecommunications (</w:t>
      </w:r>
      <w:r w:rsidRPr="00981AD1">
        <w:rPr>
          <w:lang w:eastAsia="ko-KR"/>
        </w:rPr>
        <w:t>IMT) systems have contributed to global economic and social development of both developed and developing countries. IMT systems are now being evolved to provide diverse usage scenarios and applications such as enhanced mobile broadband (</w:t>
      </w:r>
      <w:proofErr w:type="spellStart"/>
      <w:r w:rsidRPr="00981AD1">
        <w:rPr>
          <w:lang w:eastAsia="ko-KR"/>
        </w:rPr>
        <w:t>eMBB</w:t>
      </w:r>
      <w:proofErr w:type="spellEnd"/>
      <w:r w:rsidRPr="00981AD1">
        <w:rPr>
          <w:lang w:eastAsia="ko-KR"/>
        </w:rPr>
        <w:t>), massive machine-type (</w:t>
      </w:r>
      <w:proofErr w:type="spellStart"/>
      <w:r w:rsidRPr="00981AD1">
        <w:rPr>
          <w:lang w:eastAsia="ko-KR"/>
        </w:rPr>
        <w:t>mMTC</w:t>
      </w:r>
      <w:proofErr w:type="spellEnd"/>
      <w:r w:rsidRPr="00981AD1">
        <w:rPr>
          <w:lang w:eastAsia="ko-KR"/>
        </w:rPr>
        <w:t>) and ultra-reliable and low-latency communications (URLLC) requiring larger contiguous blocks of spectrum than currently available bandwidth to realize those applications, as described in Recommendation ITU-R M.2083.</w:t>
      </w:r>
    </w:p>
    <w:p w:rsidR="003A397B" w:rsidRPr="00981AD1" w:rsidRDefault="003A397B" w:rsidP="00F114DB">
      <w:pPr>
        <w:ind w:firstLine="720"/>
        <w:jc w:val="both"/>
        <w:rPr>
          <w:iCs/>
        </w:rPr>
      </w:pPr>
      <w:r w:rsidRPr="00981AD1">
        <w:rPr>
          <w:iCs/>
        </w:rPr>
        <w:t>It is then important to note that the properties of higher frequency bands, such as shorter wavelength, would better enable the use of advanced antenna systems including multiple-input and multiple-output (MIMO) and beam-forming techniques in supporting enhanced broadband.</w:t>
      </w:r>
    </w:p>
    <w:p w:rsidR="003A397B" w:rsidRPr="00981AD1" w:rsidRDefault="003A397B" w:rsidP="003A397B">
      <w:pPr>
        <w:jc w:val="both"/>
        <w:rPr>
          <w:iCs/>
        </w:rPr>
      </w:pPr>
      <w:r w:rsidRPr="00981AD1">
        <w:rPr>
          <w:iCs/>
        </w:rPr>
        <w:t>Adequate and timely availability of spectrum with appropriate regulatory provisions, as well as improved technologies, are essential to support the future growth of IMT. Harmonized worldwide frequency bands and harmonized frequency arrangements for these systems are highly desirable in order to facilitate global roaming and the benefits of economies of scale.</w:t>
      </w:r>
    </w:p>
    <w:p w:rsidR="003A397B" w:rsidRPr="00981AD1" w:rsidRDefault="003A397B" w:rsidP="00F114DB">
      <w:pPr>
        <w:ind w:firstLine="720"/>
        <w:jc w:val="both"/>
        <w:rPr>
          <w:iCs/>
        </w:rPr>
      </w:pPr>
      <w:r w:rsidRPr="00981AD1">
        <w:rPr>
          <w:iCs/>
        </w:rPr>
        <w:t xml:space="preserve">Resolution </w:t>
      </w:r>
      <w:r w:rsidRPr="00981AD1">
        <w:rPr>
          <w:b/>
          <w:bCs/>
          <w:iCs/>
        </w:rPr>
        <w:t xml:space="preserve">238 (WRC-15) </w:t>
      </w:r>
      <w:r w:rsidRPr="00981AD1">
        <w:rPr>
          <w:iCs/>
        </w:rPr>
        <w:t xml:space="preserve">calls for studies to </w:t>
      </w:r>
      <w:bookmarkStart w:id="0" w:name="OLE_LINK1"/>
      <w:bookmarkStart w:id="1" w:name="OLE_LINK2"/>
      <w:r w:rsidRPr="00981AD1">
        <w:rPr>
          <w:iCs/>
        </w:rPr>
        <w:t>determine the spectrum needs for the terrestrial component of IMT in the frequency range between 24.25 GHz and 86 GHz, as well as sharing and compatibility studies, taking into account the protection of services to which the band is allocated on a primary basis, for the frequency bands:</w:t>
      </w:r>
    </w:p>
    <w:bookmarkEnd w:id="0"/>
    <w:bookmarkEnd w:id="1"/>
    <w:p w:rsidR="003A397B" w:rsidRPr="00981AD1" w:rsidRDefault="003A397B" w:rsidP="003A397B">
      <w:pPr>
        <w:pStyle w:val="enumlev1"/>
        <w:jc w:val="both"/>
      </w:pPr>
      <w:r w:rsidRPr="00981AD1">
        <w:t>–</w:t>
      </w:r>
      <w:r w:rsidRPr="00981AD1">
        <w:tab/>
        <w:t>24.25-27.5 GHz, 37-40.5 GHz, 42.5-43.5 GHz, 45.5-47 GHz, 47.2-50.2 GHz, 50.4</w:t>
      </w:r>
      <w:r w:rsidRPr="00981AD1">
        <w:noBreakHyphen/>
        <w:t>52.6 GHz, 66-76 GHz and 81-86 GHz, which have allocations to the mobile service on a primary basis; and</w:t>
      </w:r>
    </w:p>
    <w:p w:rsidR="003A397B" w:rsidRPr="00DB5E84" w:rsidRDefault="003A397B" w:rsidP="003A397B">
      <w:pPr>
        <w:pStyle w:val="enumlev1"/>
        <w:jc w:val="both"/>
      </w:pPr>
      <w:r w:rsidRPr="00981AD1">
        <w:t>–</w:t>
      </w:r>
      <w:r w:rsidRPr="00981AD1">
        <w:tab/>
      </w:r>
      <w:r w:rsidRPr="00DB5E84">
        <w:t>31.8-33.4 GHz, 40.5-42.5 GHz and 47-47.2 GHz, which may require additional allocations to the mobile service on a primary basis.</w:t>
      </w:r>
    </w:p>
    <w:p w:rsidR="000A5418" w:rsidRDefault="000A5418" w:rsidP="003A397B">
      <w:pPr>
        <w:tabs>
          <w:tab w:val="left" w:pos="942"/>
        </w:tabs>
        <w:jc w:val="both"/>
      </w:pPr>
    </w:p>
    <w:p w:rsidR="000A5418" w:rsidRPr="000A5418" w:rsidRDefault="000A5418" w:rsidP="003A397B">
      <w:pPr>
        <w:jc w:val="both"/>
        <w:rPr>
          <w:b/>
        </w:rPr>
      </w:pPr>
      <w:r w:rsidRPr="000A5418">
        <w:rPr>
          <w:b/>
        </w:rPr>
        <w:lastRenderedPageBreak/>
        <w:t>2. Preliminary Views</w:t>
      </w:r>
    </w:p>
    <w:p w:rsidR="00FD5BD0" w:rsidRPr="00FD5BD0" w:rsidRDefault="00FD5BD0" w:rsidP="00FD5BD0">
      <w:pPr>
        <w:pStyle w:val="enumlev1"/>
        <w:tabs>
          <w:tab w:val="clear" w:pos="1134"/>
          <w:tab w:val="clear" w:pos="1871"/>
          <w:tab w:val="clear" w:pos="2608"/>
          <w:tab w:val="clear" w:pos="3345"/>
        </w:tabs>
        <w:ind w:left="0" w:firstLine="0"/>
        <w:jc w:val="both"/>
      </w:pPr>
      <w:r>
        <w:rPr>
          <w:lang w:val="vi-VN"/>
        </w:rPr>
        <w:tab/>
      </w:r>
      <w:r w:rsidRPr="00FD5BD0">
        <w:t>The development of new mobile generation has taken up most of the below 6 GHz planned bands for IMT.</w:t>
      </w:r>
      <w:r w:rsidR="000839D8">
        <w:t xml:space="preserve"> </w:t>
      </w:r>
      <w:r w:rsidRPr="00FD5BD0">
        <w:t>It is necessary to seek new higher bands to identify for IMT, especially, for systems requiring large bandwidth.</w:t>
      </w:r>
      <w:r w:rsidRPr="00FD5BD0">
        <w:tab/>
      </w:r>
    </w:p>
    <w:p w:rsidR="00FD5BD0" w:rsidRPr="00FD5BD0" w:rsidRDefault="00FD5BD0" w:rsidP="00FD5BD0">
      <w:pPr>
        <w:pStyle w:val="enumlev1"/>
        <w:tabs>
          <w:tab w:val="clear" w:pos="1134"/>
          <w:tab w:val="clear" w:pos="1871"/>
          <w:tab w:val="clear" w:pos="2608"/>
          <w:tab w:val="clear" w:pos="3345"/>
        </w:tabs>
        <w:ind w:left="0" w:firstLine="0"/>
        <w:jc w:val="both"/>
      </w:pPr>
      <w:r>
        <w:tab/>
      </w:r>
      <w:r w:rsidRPr="00FD5BD0">
        <w:t>Viet Nam Administration supports studies being undertaken by ITU-R on this issue and support the band 24.25-27.5 GHz and 37-43.5 GHz listed in Resolution 238 (WRC-15).</w:t>
      </w:r>
    </w:p>
    <w:p w:rsidR="000839D8" w:rsidRPr="006265A5" w:rsidRDefault="000839D8" w:rsidP="00FD5BD0">
      <w:pPr>
        <w:tabs>
          <w:tab w:val="left" w:pos="600"/>
        </w:tabs>
        <w:spacing w:before="120"/>
        <w:jc w:val="both"/>
        <w:rPr>
          <w:iCs/>
        </w:rPr>
      </w:pPr>
    </w:p>
    <w:p w:rsidR="00F114DB" w:rsidRDefault="00F114DB" w:rsidP="003A397B">
      <w:pPr>
        <w:jc w:val="both"/>
        <w:rPr>
          <w:b/>
        </w:rPr>
      </w:pPr>
    </w:p>
    <w:p w:rsidR="000A5418" w:rsidRPr="003A397B" w:rsidRDefault="00F114DB" w:rsidP="00B941BA">
      <w:pPr>
        <w:pStyle w:val="Heading1"/>
      </w:pPr>
      <w:r>
        <w:t>A</w:t>
      </w:r>
      <w:r w:rsidR="000A5418" w:rsidRPr="003A397B">
        <w:t xml:space="preserve">genda Item </w:t>
      </w:r>
      <w:r w:rsidR="00307FE2" w:rsidRPr="003A397B">
        <w:t>1</w:t>
      </w:r>
      <w:r w:rsidR="000A5418" w:rsidRPr="003A397B">
        <w:t>.</w:t>
      </w:r>
      <w:r w:rsidR="00205AD2" w:rsidRPr="003A397B">
        <w:t>16</w:t>
      </w:r>
      <w:r w:rsidR="000A5418" w:rsidRPr="003A397B">
        <w:t xml:space="preserve">: </w:t>
      </w:r>
    </w:p>
    <w:p w:rsidR="004C1846" w:rsidRDefault="00AA63A8" w:rsidP="00F114DB">
      <w:pPr>
        <w:spacing w:before="240"/>
        <w:ind w:firstLine="720"/>
        <w:jc w:val="both"/>
        <w:rPr>
          <w:b/>
          <w:i/>
          <w:iCs/>
        </w:rPr>
      </w:pPr>
      <w:r>
        <w:rPr>
          <w:i/>
          <w:iCs/>
        </w:rPr>
        <w:t>T</w:t>
      </w:r>
      <w:r w:rsidR="004C1846">
        <w:rPr>
          <w:i/>
          <w:iCs/>
        </w:rPr>
        <w:t xml:space="preserve">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004C1846">
        <w:rPr>
          <w:b/>
          <w:bCs/>
          <w:i/>
          <w:iCs/>
        </w:rPr>
        <w:t>239 (WRC-15)</w:t>
      </w:r>
      <w:r w:rsidR="004C1846">
        <w:rPr>
          <w:i/>
          <w:iCs/>
        </w:rPr>
        <w:t>;</w:t>
      </w:r>
    </w:p>
    <w:p w:rsidR="004C1846" w:rsidRDefault="00F114DB" w:rsidP="003A397B">
      <w:pPr>
        <w:tabs>
          <w:tab w:val="left" w:pos="794"/>
          <w:tab w:val="left" w:pos="1191"/>
          <w:tab w:val="left" w:pos="1588"/>
          <w:tab w:val="left" w:pos="1985"/>
        </w:tabs>
        <w:jc w:val="both"/>
        <w:rPr>
          <w:i/>
          <w:iCs/>
        </w:rPr>
      </w:pPr>
      <w:r>
        <w:tab/>
      </w:r>
      <w:r w:rsidR="004C1846" w:rsidRPr="00F114DB">
        <w:rPr>
          <w:i/>
        </w:rPr>
        <w:t xml:space="preserve">Resolution </w:t>
      </w:r>
      <w:r w:rsidR="004C1846" w:rsidRPr="00F114DB">
        <w:rPr>
          <w:rFonts w:ascii="Times New Roman Bold" w:hAnsi="Times New Roman Bold" w:cs="Times New Roman Bold"/>
          <w:b/>
          <w:bCs/>
          <w:i/>
        </w:rPr>
        <w:t xml:space="preserve">239 </w:t>
      </w:r>
      <w:r w:rsidR="004C1846" w:rsidRPr="00F114DB">
        <w:rPr>
          <w:b/>
          <w:bCs/>
          <w:i/>
        </w:rPr>
        <w:t>(WRC</w:t>
      </w:r>
      <w:r w:rsidR="004C1846" w:rsidRPr="00F114DB">
        <w:rPr>
          <w:b/>
          <w:bCs/>
          <w:i/>
        </w:rPr>
        <w:noBreakHyphen/>
        <w:t>15)</w:t>
      </w:r>
      <w:r w:rsidR="004C1846" w:rsidRPr="00F114DB">
        <w:rPr>
          <w:i/>
        </w:rPr>
        <w:t xml:space="preserve"> – </w:t>
      </w:r>
      <w:r w:rsidR="004C1846" w:rsidRPr="00F114DB">
        <w:rPr>
          <w:rFonts w:eastAsia="SimSun"/>
          <w:i/>
          <w:iCs/>
        </w:rPr>
        <w:t>Studies concerning Wireless Access Systems including radio local area networks in the frequency</w:t>
      </w:r>
      <w:r w:rsidR="004C1846">
        <w:rPr>
          <w:rFonts w:eastAsia="SimSun"/>
          <w:i/>
          <w:iCs/>
        </w:rPr>
        <w:t xml:space="preserve"> bands between 5 150 MHz and 5 925 MHz</w:t>
      </w:r>
    </w:p>
    <w:p w:rsidR="00205AD2" w:rsidRDefault="00205AD2" w:rsidP="003A397B">
      <w:pPr>
        <w:jc w:val="both"/>
        <w:rPr>
          <w:i/>
        </w:rPr>
      </w:pPr>
    </w:p>
    <w:p w:rsidR="00205AD2" w:rsidRDefault="00F57BB2" w:rsidP="003A397B">
      <w:pPr>
        <w:jc w:val="both"/>
        <w:rPr>
          <w:b/>
          <w:i/>
        </w:rPr>
      </w:pPr>
      <w:r w:rsidRPr="00F57BB2">
        <w:rPr>
          <w:i/>
        </w:rPr>
        <w:t xml:space="preserve"> </w:t>
      </w:r>
    </w:p>
    <w:p w:rsidR="000A5418" w:rsidRDefault="000A5418" w:rsidP="003A397B">
      <w:pPr>
        <w:jc w:val="both"/>
        <w:rPr>
          <w:b/>
          <w:lang w:eastAsia="ko-KR"/>
        </w:rPr>
      </w:pPr>
      <w:r w:rsidRPr="00A30FA5">
        <w:rPr>
          <w:rFonts w:hint="eastAsia"/>
          <w:b/>
          <w:lang w:eastAsia="ko-KR"/>
        </w:rPr>
        <w:t>1. Background</w:t>
      </w:r>
    </w:p>
    <w:p w:rsidR="003A397B" w:rsidRPr="00A30FA5" w:rsidRDefault="003A397B" w:rsidP="003A397B">
      <w:pPr>
        <w:jc w:val="both"/>
        <w:rPr>
          <w:b/>
          <w:lang w:eastAsia="ko-KR"/>
        </w:rPr>
      </w:pPr>
    </w:p>
    <w:p w:rsidR="003A397B" w:rsidRDefault="003A397B" w:rsidP="00F114DB">
      <w:pPr>
        <w:ind w:firstLine="720"/>
        <w:jc w:val="both"/>
      </w:pPr>
      <w:r>
        <w:rPr>
          <w:rStyle w:val="Artdef"/>
        </w:rPr>
        <w:t>The RR No. 5.446A</w:t>
      </w:r>
      <w:r>
        <w:t xml:space="preserve"> specifies that the use of the bands 5 150-5 350 MHz and 5 470-5 725 MHz by the stations in the mobile, except aeronautical mobile, service shall be in accordance with Resolution </w:t>
      </w:r>
      <w:r>
        <w:rPr>
          <w:b/>
          <w:bCs/>
        </w:rPr>
        <w:t>229</w:t>
      </w:r>
      <w:r>
        <w:t xml:space="preserve"> </w:t>
      </w:r>
      <w:r>
        <w:rPr>
          <w:b/>
          <w:bCs/>
        </w:rPr>
        <w:t>(Rev.WRC</w:t>
      </w:r>
      <w:r>
        <w:rPr>
          <w:b/>
          <w:bCs/>
        </w:rPr>
        <w:noBreakHyphen/>
        <w:t>12)</w:t>
      </w:r>
      <w:r>
        <w:t>.</w:t>
      </w:r>
      <w:r>
        <w:rPr>
          <w:sz w:val="16"/>
        </w:rPr>
        <w:t> </w:t>
      </w:r>
      <w:r>
        <w:t>Resolution </w:t>
      </w:r>
      <w:r>
        <w:rPr>
          <w:b/>
          <w:bCs/>
        </w:rPr>
        <w:t>229</w:t>
      </w:r>
      <w:r>
        <w:t xml:space="preserve"> </w:t>
      </w:r>
      <w:r>
        <w:rPr>
          <w:b/>
          <w:bCs/>
        </w:rPr>
        <w:t>(Rev.WRC</w:t>
      </w:r>
      <w:r>
        <w:rPr>
          <w:b/>
          <w:bCs/>
        </w:rPr>
        <w:noBreakHyphen/>
        <w:t>12)</w:t>
      </w:r>
      <w:r>
        <w:rPr>
          <w:bCs/>
        </w:rPr>
        <w:t xml:space="preserve"> resolves that </w:t>
      </w:r>
      <w:r>
        <w:t>the use of these bands by the mobile service will be for the implementation of WAS, including RLANs.</w:t>
      </w:r>
    </w:p>
    <w:p w:rsidR="003A397B" w:rsidRDefault="003A397B" w:rsidP="00F114DB">
      <w:pPr>
        <w:ind w:firstLine="720"/>
        <w:jc w:val="both"/>
      </w:pPr>
      <w:r>
        <w:t xml:space="preserve">Since WRC-03, the demand for mobile broadband applications especially for WAS/RLANs has been growing rapidly. Resolution </w:t>
      </w:r>
      <w:r>
        <w:rPr>
          <w:b/>
        </w:rPr>
        <w:t>239 (WRC-15)</w:t>
      </w:r>
      <w:r>
        <w:t xml:space="preserve"> states “that the results of ITU-R studies indicate that the minimum spectrum need for WAS/RLAN in the 5 GHz frequency range in the year 2018 is estimated at 880 MHz; this figure includes 455-580 MHz already utilized by non-IMT mobile broadband applications operating within the 5 GHz range resulting in 300-425 MHz additional spectrum being required.”</w:t>
      </w:r>
    </w:p>
    <w:p w:rsidR="00F114DB" w:rsidRDefault="003A397B" w:rsidP="00F114DB">
      <w:pPr>
        <w:ind w:firstLine="720"/>
        <w:jc w:val="both"/>
      </w:pPr>
      <w:r>
        <w:t xml:space="preserve">WRC-15 examined the possibility of additional global allocations to the mobile service for terrestrial mobile broadband applications, including in the 5 GHz range, to facilitate contiguous spectrum for WAS/RLAN, thereby enabling the use of wider channel bandwidths to support higher data throughput. The compatibility studies performed by ITU-R in preparation for WRC-15 indicated that when assuming the use of WAS/RLAN mitigation measures limited to the regulatory provisions of Resolution </w:t>
      </w:r>
      <w:r>
        <w:rPr>
          <w:b/>
          <w:bCs/>
        </w:rPr>
        <w:t>229 (Rev.WRC-12)</w:t>
      </w:r>
      <w:r>
        <w:t>, sharing between WAS/RLAN and the EESS (active) systems in the frequency band 5 350 to 5 470 MHz may not be feasible, as well as being insufficient to ensure protection of certain radar types in this frequency band. For these cases, sharing may only be feasible if additional WAS/RLAN mitigation measures are implemented. However, no agreement was reached on the applicability of any additional WAS/RLAN mitigation techniques.</w:t>
      </w:r>
    </w:p>
    <w:p w:rsidR="003A397B" w:rsidRDefault="003A397B" w:rsidP="00F114DB">
      <w:pPr>
        <w:ind w:firstLine="720"/>
        <w:jc w:val="both"/>
      </w:pPr>
      <w:r>
        <w:t>No studies were agreed for the frequency band 5 725-5 850 </w:t>
      </w:r>
      <w:proofErr w:type="spellStart"/>
      <w:r>
        <w:t>MHz.</w:t>
      </w:r>
      <w:proofErr w:type="spellEnd"/>
      <w:r>
        <w:t xml:space="preserve"> As such, WRC-15 concluded no change (NOC) for these frequency bands and established a WRC-19 agenda item to continue the work.</w:t>
      </w:r>
    </w:p>
    <w:p w:rsidR="003A397B" w:rsidRDefault="003A397B" w:rsidP="00F114DB">
      <w:pPr>
        <w:ind w:firstLine="720"/>
        <w:jc w:val="both"/>
        <w:rPr>
          <w:bCs/>
        </w:rPr>
      </w:pPr>
      <w:r>
        <w:t xml:space="preserve">Resolution </w:t>
      </w:r>
      <w:r>
        <w:rPr>
          <w:b/>
          <w:bCs/>
        </w:rPr>
        <w:t>239 (WRC</w:t>
      </w:r>
      <w:r>
        <w:rPr>
          <w:b/>
          <w:bCs/>
        </w:rPr>
        <w:noBreakHyphen/>
        <w:t>15)</w:t>
      </w:r>
      <w:r>
        <w:t xml:space="preserve">, calls for ITU-R to study </w:t>
      </w:r>
      <w:r>
        <w:rPr>
          <w:rFonts w:eastAsia="Calibri"/>
        </w:rPr>
        <w:t>WAS/RLAN technical characteristics and operational requirements in the 5 GHz frequency range.</w:t>
      </w:r>
      <w:r>
        <w:t xml:space="preserve"> It also calls for ITU-R to </w:t>
      </w:r>
      <w:r>
        <w:rPr>
          <w:bCs/>
        </w:rPr>
        <w:t>perform</w:t>
      </w:r>
      <w:r>
        <w:rPr>
          <w:b/>
          <w:bCs/>
        </w:rPr>
        <w:t xml:space="preserve"> </w:t>
      </w:r>
      <w:r>
        <w:t>sharing and compatibility studies</w:t>
      </w:r>
      <w:r>
        <w:rPr>
          <w:bCs/>
        </w:rPr>
        <w:t xml:space="preserve"> </w:t>
      </w:r>
      <w:r>
        <w:rPr>
          <w:lang w:eastAsia="fr-FR"/>
        </w:rPr>
        <w:t xml:space="preserve">between WAS/RLAN applications and incumbent services </w:t>
      </w:r>
      <w:r>
        <w:t xml:space="preserve">in the </w:t>
      </w:r>
      <w:r>
        <w:rPr>
          <w:rFonts w:eastAsia="Calibri"/>
        </w:rPr>
        <w:t>frequency bands</w:t>
      </w:r>
      <w:r>
        <w:t xml:space="preserve"> 5 150-5 350 MHz, 5 350-5 470 MHz, 5 725</w:t>
      </w:r>
      <w:r>
        <w:noBreakHyphen/>
        <w:t xml:space="preserve">5 850 MHz and 5 850-5 925 MHz while ensuring the protection of incumbent services including their current and planned use, to consider enabling </w:t>
      </w:r>
      <w:r>
        <w:rPr>
          <w:bCs/>
        </w:rPr>
        <w:t>outdoor WAS/RLAN operations</w:t>
      </w:r>
      <w:r>
        <w:t xml:space="preserve"> in the band 5 150-5 350 M</w:t>
      </w:r>
      <w:bookmarkStart w:id="2" w:name="_GoBack"/>
      <w:bookmarkEnd w:id="2"/>
      <w:r>
        <w:t xml:space="preserve">Hz, and potential </w:t>
      </w:r>
      <w:r>
        <w:lastRenderedPageBreak/>
        <w:t>mobile service allocations to accommodate WAS/RLAN operations in the 5 350</w:t>
      </w:r>
      <w:r>
        <w:noBreakHyphen/>
        <w:t>5 470 MHz and 5 725</w:t>
      </w:r>
      <w:r>
        <w:noBreakHyphen/>
        <w:t>5 850 MHz frequency ranges, and identify potential WAS/RLAN use in 5 850</w:t>
      </w:r>
      <w:r>
        <w:noBreakHyphen/>
        <w:t>5 925 MHz frequency range.</w:t>
      </w:r>
    </w:p>
    <w:p w:rsidR="00C53AC4" w:rsidRDefault="00C53AC4" w:rsidP="003A397B">
      <w:pPr>
        <w:jc w:val="both"/>
      </w:pPr>
    </w:p>
    <w:p w:rsidR="000A5418" w:rsidRPr="000A5418" w:rsidRDefault="000A5418" w:rsidP="003A397B">
      <w:pPr>
        <w:jc w:val="both"/>
        <w:rPr>
          <w:b/>
        </w:rPr>
      </w:pPr>
      <w:r w:rsidRPr="000A5418">
        <w:rPr>
          <w:b/>
        </w:rPr>
        <w:t>2. Preliminary Views</w:t>
      </w:r>
    </w:p>
    <w:p w:rsidR="004027CE" w:rsidRPr="000839D8" w:rsidRDefault="00F114DB" w:rsidP="004027CE">
      <w:pPr>
        <w:tabs>
          <w:tab w:val="left" w:pos="600"/>
        </w:tabs>
        <w:spacing w:before="120"/>
        <w:jc w:val="both"/>
      </w:pPr>
      <w:r w:rsidRPr="00776048">
        <w:rPr>
          <w:sz w:val="22"/>
        </w:rPr>
        <w:tab/>
      </w:r>
      <w:r w:rsidR="004027CE" w:rsidRPr="000839D8">
        <w:t>Viet Nam Administration supports studies being undertaken by ITU-R on this issue and is of the view that:</w:t>
      </w:r>
    </w:p>
    <w:p w:rsidR="00FD5BD0" w:rsidRPr="00003D32" w:rsidRDefault="00FD5BD0" w:rsidP="00FD5BD0">
      <w:pPr>
        <w:pStyle w:val="ListParagraph"/>
        <w:numPr>
          <w:ilvl w:val="0"/>
          <w:numId w:val="16"/>
        </w:numPr>
        <w:rPr>
          <w:szCs w:val="24"/>
          <w:lang w:val="en-NZ"/>
        </w:rPr>
      </w:pPr>
      <w:r w:rsidRPr="00003D32">
        <w:rPr>
          <w:rFonts w:eastAsia="SimSun"/>
          <w:iCs/>
          <w:szCs w:val="24"/>
          <w:lang w:eastAsia="zh-CN"/>
        </w:rPr>
        <w:t xml:space="preserve">Viet Nam supports the worldwide use of the band 5 725-5 850 MHz for mobile service taking into account RR </w:t>
      </w:r>
      <w:r w:rsidRPr="00003D32">
        <w:rPr>
          <w:rFonts w:eastAsia="SimSun"/>
          <w:b/>
          <w:iCs/>
          <w:szCs w:val="24"/>
          <w:lang w:eastAsia="zh-CN"/>
        </w:rPr>
        <w:t>No.5.453</w:t>
      </w:r>
      <w:r w:rsidRPr="00003D32">
        <w:rPr>
          <w:rFonts w:eastAsia="SimSun"/>
          <w:iCs/>
          <w:szCs w:val="24"/>
          <w:lang w:eastAsia="zh-CN"/>
        </w:rPr>
        <w:t>.</w:t>
      </w:r>
    </w:p>
    <w:p w:rsidR="00F642E8" w:rsidRPr="005A11DB" w:rsidRDefault="00FD5BD0" w:rsidP="00734FAB">
      <w:pPr>
        <w:pStyle w:val="ListParagraph"/>
        <w:numPr>
          <w:ilvl w:val="0"/>
          <w:numId w:val="16"/>
        </w:numPr>
        <w:spacing w:beforeLines="50" w:afterLines="50" w:after="120"/>
        <w:jc w:val="both"/>
        <w:rPr>
          <w:rFonts w:eastAsia="BatangChe"/>
          <w:szCs w:val="24"/>
        </w:rPr>
      </w:pPr>
      <w:r w:rsidRPr="00003D32">
        <w:rPr>
          <w:rFonts w:eastAsiaTheme="minorEastAsia"/>
          <w:iCs/>
          <w:szCs w:val="24"/>
          <w:lang w:eastAsia="zh-CN"/>
        </w:rPr>
        <w:t>Viet Nam is of the view that the possible use of 5 875–5 925 MHz for RLAN should be thoroughly investigated for its technical compatibility and interoperability with respect to Intelligent Transport System in WRC-19 Agenda item 1.12.</w:t>
      </w:r>
    </w:p>
    <w:p w:rsidR="005A11DB" w:rsidRDefault="005A11DB">
      <w:pPr>
        <w:rPr>
          <w:rFonts w:eastAsiaTheme="minorEastAsia"/>
          <w:iCs/>
          <w:lang w:eastAsia="zh-CN"/>
        </w:rPr>
      </w:pPr>
    </w:p>
    <w:p w:rsidR="005A11DB" w:rsidRDefault="005A11DB">
      <w:pPr>
        <w:rPr>
          <w:rFonts w:eastAsiaTheme="minorEastAsia"/>
          <w:iCs/>
          <w:lang w:val="en-GB" w:eastAsia="zh-CN"/>
        </w:rPr>
      </w:pPr>
    </w:p>
    <w:p w:rsidR="005A11DB" w:rsidRDefault="005A11DB" w:rsidP="005A11DB">
      <w:pPr>
        <w:jc w:val="both"/>
        <w:rPr>
          <w:b/>
        </w:rPr>
      </w:pPr>
      <w:r w:rsidRPr="00710333">
        <w:rPr>
          <w:b/>
          <w:lang w:val="en-NZ"/>
        </w:rPr>
        <w:t xml:space="preserve">Agenda Item </w:t>
      </w:r>
      <w:r>
        <w:rPr>
          <w:b/>
        </w:rPr>
        <w:t>9</w:t>
      </w:r>
      <w:r>
        <w:rPr>
          <w:b/>
        </w:rPr>
        <w:tab/>
      </w:r>
      <w:r w:rsidRPr="00696487">
        <w:rPr>
          <w:i/>
          <w:iCs/>
          <w:color w:val="000000"/>
          <w:kern w:val="24"/>
          <w:lang w:val="en-GB"/>
        </w:rPr>
        <w:t xml:space="preserve">to consider and approve the Report of the Director of the </w:t>
      </w:r>
      <w:proofErr w:type="spellStart"/>
      <w:r w:rsidRPr="00696487">
        <w:rPr>
          <w:i/>
          <w:iCs/>
          <w:color w:val="000000"/>
          <w:kern w:val="24"/>
          <w:lang w:val="en-GB"/>
        </w:rPr>
        <w:t>Radiocommunication</w:t>
      </w:r>
      <w:proofErr w:type="spellEnd"/>
      <w:r w:rsidRPr="00696487">
        <w:rPr>
          <w:i/>
          <w:iCs/>
          <w:color w:val="000000"/>
          <w:kern w:val="24"/>
          <w:lang w:val="en-GB"/>
        </w:rPr>
        <w:t xml:space="preserve"> Bureau, in accordance with </w:t>
      </w:r>
      <w:r w:rsidRPr="00696487">
        <w:rPr>
          <w:b/>
          <w:bCs/>
          <w:i/>
          <w:iCs/>
          <w:color w:val="000000"/>
          <w:kern w:val="24"/>
          <w:lang w:val="en-GB"/>
        </w:rPr>
        <w:t>Article 7</w:t>
      </w:r>
      <w:r w:rsidRPr="00696487">
        <w:rPr>
          <w:i/>
          <w:iCs/>
          <w:color w:val="000000"/>
          <w:kern w:val="24"/>
          <w:lang w:val="en-GB"/>
        </w:rPr>
        <w:t xml:space="preserve"> of the Convention:</w:t>
      </w:r>
      <w:r>
        <w:rPr>
          <w:b/>
        </w:rPr>
        <w:t xml:space="preserve"> </w:t>
      </w:r>
    </w:p>
    <w:p w:rsidR="005A11DB" w:rsidRDefault="005A11DB" w:rsidP="005A11DB">
      <w:pPr>
        <w:spacing w:after="120"/>
        <w:jc w:val="both"/>
        <w:rPr>
          <w:i/>
          <w:iCs/>
          <w:color w:val="000000"/>
          <w:kern w:val="24"/>
          <w:lang w:val="en-GB"/>
        </w:rPr>
      </w:pPr>
      <w:r>
        <w:rPr>
          <w:b/>
        </w:rPr>
        <w:t>9.1.</w:t>
      </w:r>
      <w:r>
        <w:rPr>
          <w:b/>
        </w:rPr>
        <w:tab/>
      </w:r>
      <w:r w:rsidRPr="00696487">
        <w:rPr>
          <w:i/>
          <w:iCs/>
          <w:color w:val="000000"/>
          <w:kern w:val="24"/>
          <w:lang w:val="en-GB"/>
        </w:rPr>
        <w:t xml:space="preserve">on the activities of the </w:t>
      </w:r>
      <w:proofErr w:type="spellStart"/>
      <w:r w:rsidRPr="00696487">
        <w:rPr>
          <w:i/>
          <w:iCs/>
          <w:color w:val="000000"/>
          <w:kern w:val="24"/>
          <w:lang w:val="en-GB"/>
        </w:rPr>
        <w:t>Radiocommunication</w:t>
      </w:r>
      <w:proofErr w:type="spellEnd"/>
      <w:r w:rsidRPr="00696487">
        <w:rPr>
          <w:i/>
          <w:iCs/>
          <w:color w:val="000000"/>
          <w:kern w:val="24"/>
          <w:lang w:val="en-GB"/>
        </w:rPr>
        <w:t xml:space="preserve"> Sector since WRC-15;</w:t>
      </w:r>
    </w:p>
    <w:p w:rsidR="005A11DB" w:rsidRPr="00696487" w:rsidRDefault="005A11DB" w:rsidP="005A11DB">
      <w:pPr>
        <w:pStyle w:val="NormalWeb"/>
        <w:overflowPunct w:val="0"/>
        <w:spacing w:before="0" w:beforeAutospacing="0" w:after="0" w:afterAutospacing="0"/>
      </w:pPr>
      <w:r w:rsidRPr="00696487">
        <w:rPr>
          <w:rFonts w:eastAsia="Calibri"/>
          <w:b/>
          <w:bCs/>
          <w:color w:val="000000"/>
          <w:kern w:val="24"/>
          <w:lang w:val="en-GB"/>
        </w:rPr>
        <w:t>Issue 9.1.1:</w:t>
      </w:r>
      <w:r w:rsidRPr="00696487">
        <w:rPr>
          <w:b/>
          <w:bCs/>
          <w:color w:val="000000"/>
          <w:kern w:val="24"/>
          <w:lang w:val="en-GB"/>
        </w:rPr>
        <w:tab/>
      </w:r>
      <w:r w:rsidRPr="006666A6">
        <w:rPr>
          <w:b/>
          <w:bCs/>
          <w:kern w:val="24"/>
          <w:lang w:val="en-GB"/>
        </w:rPr>
        <w:t>Resolution 212</w:t>
      </w:r>
      <w:r w:rsidRPr="00696487">
        <w:rPr>
          <w:b/>
          <w:bCs/>
          <w:color w:val="000000"/>
          <w:kern w:val="24"/>
          <w:lang w:val="en-GB"/>
        </w:rPr>
        <w:t xml:space="preserve"> (Rev.WRC-15)</w:t>
      </w:r>
      <w:r w:rsidRPr="00696487">
        <w:rPr>
          <w:b/>
          <w:bCs/>
          <w:color w:val="000000"/>
          <w:kern w:val="24"/>
        </w:rPr>
        <w:t xml:space="preserve"> </w:t>
      </w:r>
    </w:p>
    <w:p w:rsidR="005A11DB" w:rsidRPr="00696487" w:rsidRDefault="005A11DB" w:rsidP="005A11DB">
      <w:pPr>
        <w:spacing w:after="240"/>
        <w:jc w:val="both"/>
        <w:rPr>
          <w:i/>
          <w:iCs/>
          <w:color w:val="000000"/>
          <w:kern w:val="24"/>
          <w:lang w:val="en-GB"/>
        </w:rPr>
      </w:pPr>
      <w:r w:rsidRPr="00696487">
        <w:rPr>
          <w:i/>
          <w:iCs/>
          <w:color w:val="000000"/>
          <w:kern w:val="24"/>
          <w:lang w:val="en-GB"/>
        </w:rPr>
        <w:t>Implementation of International Mobile Telecommunications in the frequency bands 1</w:t>
      </w:r>
      <w:r>
        <w:rPr>
          <w:i/>
          <w:iCs/>
          <w:color w:val="000000"/>
          <w:kern w:val="24"/>
          <w:lang w:val="en-GB"/>
        </w:rPr>
        <w:t> </w:t>
      </w:r>
      <w:r w:rsidRPr="00696487">
        <w:rPr>
          <w:i/>
          <w:iCs/>
          <w:color w:val="000000"/>
          <w:kern w:val="24"/>
          <w:lang w:val="en-GB"/>
        </w:rPr>
        <w:t>885-2</w:t>
      </w:r>
      <w:r>
        <w:rPr>
          <w:i/>
          <w:iCs/>
          <w:color w:val="000000"/>
          <w:kern w:val="24"/>
          <w:lang w:val="en-GB"/>
        </w:rPr>
        <w:t> </w:t>
      </w:r>
      <w:r w:rsidRPr="00696487">
        <w:rPr>
          <w:i/>
          <w:iCs/>
          <w:color w:val="000000"/>
          <w:kern w:val="24"/>
          <w:lang w:val="en-GB"/>
        </w:rPr>
        <w:t>025 MHz and 2</w:t>
      </w:r>
      <w:r>
        <w:rPr>
          <w:i/>
          <w:iCs/>
          <w:color w:val="000000"/>
          <w:kern w:val="24"/>
          <w:lang w:val="en-GB"/>
        </w:rPr>
        <w:t> </w:t>
      </w:r>
      <w:r w:rsidRPr="00696487">
        <w:rPr>
          <w:i/>
          <w:iCs/>
          <w:color w:val="000000"/>
          <w:kern w:val="24"/>
          <w:lang w:val="en-GB"/>
        </w:rPr>
        <w:t>110 -2</w:t>
      </w:r>
      <w:r>
        <w:rPr>
          <w:i/>
          <w:iCs/>
          <w:color w:val="000000"/>
          <w:kern w:val="24"/>
          <w:lang w:val="en-GB"/>
        </w:rPr>
        <w:t> </w:t>
      </w:r>
      <w:r w:rsidRPr="00696487">
        <w:rPr>
          <w:i/>
          <w:iCs/>
          <w:color w:val="000000"/>
          <w:kern w:val="24"/>
          <w:lang w:val="en-GB"/>
        </w:rPr>
        <w:t>200 MHz</w:t>
      </w:r>
    </w:p>
    <w:p w:rsidR="005A11DB" w:rsidRPr="00155E79" w:rsidRDefault="005A11DB" w:rsidP="005A11DB">
      <w:pPr>
        <w:spacing w:after="120"/>
        <w:jc w:val="both"/>
        <w:rPr>
          <w:b/>
          <w:color w:val="000000" w:themeColor="text1"/>
          <w:lang w:eastAsia="ko-KR"/>
        </w:rPr>
      </w:pPr>
      <w:r w:rsidRPr="00155E79">
        <w:rPr>
          <w:rFonts w:hint="eastAsia"/>
          <w:b/>
          <w:color w:val="000000" w:themeColor="text1"/>
          <w:lang w:eastAsia="ko-KR"/>
        </w:rPr>
        <w:t>1. Background</w:t>
      </w:r>
    </w:p>
    <w:p w:rsidR="005A11DB" w:rsidRDefault="005A11DB" w:rsidP="005A11DB">
      <w:pPr>
        <w:spacing w:before="120"/>
        <w:jc w:val="both"/>
        <w:rPr>
          <w:rStyle w:val="fontstyle01"/>
        </w:rPr>
      </w:pPr>
      <w:r>
        <w:rPr>
          <w:rStyle w:val="fontstyle01"/>
        </w:rPr>
        <w:t xml:space="preserve">Pursuant to Resolution </w:t>
      </w:r>
      <w:r>
        <w:rPr>
          <w:rStyle w:val="fontstyle21"/>
        </w:rPr>
        <w:t>212 (Rev.WRC-15)</w:t>
      </w:r>
      <w:r>
        <w:rPr>
          <w:rStyle w:val="fontstyle01"/>
        </w:rPr>
        <w:t>, the technical and operational studies for the</w:t>
      </w:r>
      <w:r>
        <w:rPr>
          <w:rFonts w:ascii="TimesNewRomanPSMT" w:hAnsi="TimesNewRomanPSMT"/>
          <w:color w:val="000000"/>
        </w:rPr>
        <w:br/>
      </w:r>
      <w:r>
        <w:rPr>
          <w:rStyle w:val="fontstyle01"/>
        </w:rPr>
        <w:t>implementation of International Mobile Telecommunications (IMT) in the frequency bands</w:t>
      </w:r>
      <w:r>
        <w:rPr>
          <w:rFonts w:ascii="TimesNewRomanPSMT" w:hAnsi="TimesNewRomanPSMT"/>
          <w:color w:val="000000"/>
        </w:rPr>
        <w:br/>
      </w:r>
      <w:r>
        <w:rPr>
          <w:rStyle w:val="fontstyle01"/>
        </w:rPr>
        <w:t xml:space="preserve">1 980-2 010 MHz and 2 170-2 200 MHz were conducted by the ITU-R. The studies considered the issue of coexistence and compatibility of terrestrial (composed of base station(s) (BS(s)) and user equipment (UE) and later on referred to as IMT BS(s) and IMT UE(s)) and satellite (composed of MSS space stations and mobile earth station(s) (MES(s)) and later on referred to as IMT space station(s) and IMT MES(s)) components of IMT in </w:t>
      </w:r>
      <w:proofErr w:type="spellStart"/>
      <w:r>
        <w:rPr>
          <w:rStyle w:val="fontstyle01"/>
        </w:rPr>
        <w:t>neighbouring</w:t>
      </w:r>
      <w:proofErr w:type="spellEnd"/>
      <w:r>
        <w:rPr>
          <w:rStyle w:val="fontstyle01"/>
        </w:rPr>
        <w:t xml:space="preserve"> countries/different concerned countries/adjacent geographical areas across different countries for four interference scenarios, and concluded as follows:</w:t>
      </w:r>
    </w:p>
    <w:p w:rsidR="005A11DB" w:rsidRDefault="005A11DB" w:rsidP="005A11DB">
      <w:pPr>
        <w:pStyle w:val="ListParagraph"/>
        <w:numPr>
          <w:ilvl w:val="0"/>
          <w:numId w:val="21"/>
        </w:numPr>
        <w:tabs>
          <w:tab w:val="clear" w:pos="794"/>
          <w:tab w:val="clear" w:pos="1191"/>
          <w:tab w:val="clear" w:pos="1588"/>
          <w:tab w:val="clear" w:pos="1985"/>
        </w:tabs>
        <w:overflowPunct/>
        <w:autoSpaceDE/>
        <w:autoSpaceDN/>
        <w:adjustRightInd/>
        <w:jc w:val="both"/>
        <w:textAlignment w:val="auto"/>
        <w:rPr>
          <w:rStyle w:val="fontstyle01"/>
        </w:rPr>
      </w:pPr>
      <w:r>
        <w:rPr>
          <w:rStyle w:val="fontstyle01"/>
        </w:rPr>
        <w:t>For Scenario A1, in the 1 980-2 010 MHz frequency band, it was observed that the level</w:t>
      </w:r>
      <w:r w:rsidRPr="001E5A4F">
        <w:rPr>
          <w:rFonts w:ascii="TimesNewRomanPSMT" w:hAnsi="TimesNewRomanPSMT"/>
          <w:color w:val="000000"/>
        </w:rPr>
        <w:br/>
      </w:r>
      <w:r>
        <w:rPr>
          <w:rStyle w:val="fontstyle01"/>
        </w:rPr>
        <w:t>of potential interference from IMT BS into IMT space stations is high, while the level of</w:t>
      </w:r>
      <w:r w:rsidRPr="001E5A4F">
        <w:rPr>
          <w:rFonts w:ascii="TimesNewRomanPSMT" w:hAnsi="TimesNewRomanPSMT"/>
          <w:color w:val="000000"/>
        </w:rPr>
        <w:br/>
      </w:r>
      <w:r>
        <w:rPr>
          <w:rStyle w:val="fontstyle01"/>
        </w:rPr>
        <w:t>potential interference from IMT UE into IMT space stations is low. The studies have</w:t>
      </w:r>
      <w:r w:rsidRPr="001E5A4F">
        <w:rPr>
          <w:rFonts w:ascii="TimesNewRomanPSMT" w:hAnsi="TimesNewRomanPSMT"/>
          <w:color w:val="000000"/>
        </w:rPr>
        <w:br/>
      </w:r>
      <w:r>
        <w:rPr>
          <w:rStyle w:val="fontstyle01"/>
        </w:rPr>
        <w:t>identified technical and operational measures to mitigate the potential interference from</w:t>
      </w:r>
      <w:r w:rsidRPr="001E5A4F">
        <w:rPr>
          <w:rFonts w:ascii="TimesNewRomanPSMT" w:hAnsi="TimesNewRomanPSMT"/>
          <w:color w:val="000000"/>
        </w:rPr>
        <w:br/>
      </w:r>
      <w:r>
        <w:rPr>
          <w:rStyle w:val="fontstyle01"/>
        </w:rPr>
        <w:t>IMT BS and IMT UE. For IMT UEs, the measures can wholly eliminate the potential</w:t>
      </w:r>
      <w:r w:rsidRPr="001E5A4F">
        <w:rPr>
          <w:rFonts w:ascii="TimesNewRomanPSMT" w:hAnsi="TimesNewRomanPSMT"/>
          <w:color w:val="000000"/>
        </w:rPr>
        <w:br/>
      </w:r>
      <w:r>
        <w:rPr>
          <w:rStyle w:val="fontstyle01"/>
        </w:rPr>
        <w:t>excess interference. For IMT BSs, there is no agreement on whether the measures can</w:t>
      </w:r>
      <w:r w:rsidRPr="001E5A4F">
        <w:rPr>
          <w:rFonts w:ascii="TimesNewRomanPSMT" w:hAnsi="TimesNewRomanPSMT"/>
          <w:color w:val="000000"/>
        </w:rPr>
        <w:br/>
      </w:r>
      <w:r>
        <w:rPr>
          <w:rStyle w:val="fontstyle01"/>
        </w:rPr>
        <w:t>wholly eliminate the potential excess interference.</w:t>
      </w:r>
    </w:p>
    <w:p w:rsidR="005A11DB" w:rsidRDefault="005A11DB" w:rsidP="005A11DB">
      <w:pPr>
        <w:pStyle w:val="ListParagraph"/>
        <w:numPr>
          <w:ilvl w:val="0"/>
          <w:numId w:val="21"/>
        </w:numPr>
        <w:tabs>
          <w:tab w:val="clear" w:pos="794"/>
          <w:tab w:val="clear" w:pos="1191"/>
          <w:tab w:val="clear" w:pos="1588"/>
          <w:tab w:val="clear" w:pos="1985"/>
        </w:tabs>
        <w:overflowPunct/>
        <w:autoSpaceDE/>
        <w:autoSpaceDN/>
        <w:adjustRightInd/>
        <w:jc w:val="both"/>
        <w:textAlignment w:val="auto"/>
        <w:rPr>
          <w:rStyle w:val="fontstyle01"/>
        </w:rPr>
      </w:pPr>
      <w:r>
        <w:rPr>
          <w:rStyle w:val="fontstyle01"/>
        </w:rPr>
        <w:t>For Scenario A2, in the frequency band 2 170-2 200 MHz, it was observed that potential</w:t>
      </w:r>
      <w:r w:rsidRPr="001E5A4F">
        <w:rPr>
          <w:rFonts w:ascii="TimesNewRomanPSMT" w:hAnsi="TimesNewRomanPSMT"/>
          <w:color w:val="000000"/>
        </w:rPr>
        <w:br/>
      </w:r>
      <w:r>
        <w:rPr>
          <w:rStyle w:val="fontstyle01"/>
        </w:rPr>
        <w:t>interference from IMT BS into IMT MES may occur. The potential interference may be</w:t>
      </w:r>
      <w:r w:rsidRPr="001E5A4F">
        <w:rPr>
          <w:rFonts w:ascii="TimesNewRomanPSMT" w:hAnsi="TimesNewRomanPSMT"/>
          <w:color w:val="000000"/>
        </w:rPr>
        <w:br/>
      </w:r>
      <w:r>
        <w:rPr>
          <w:rStyle w:val="fontstyle01"/>
        </w:rPr>
        <w:t>mitigated by one or more of: assessment of terrain and clutter effects and system</w:t>
      </w:r>
      <w:r w:rsidRPr="001E5A4F">
        <w:rPr>
          <w:rFonts w:ascii="TimesNewRomanPSMT" w:hAnsi="TimesNewRomanPSMT"/>
          <w:color w:val="000000"/>
        </w:rPr>
        <w:br/>
      </w:r>
      <w:r>
        <w:rPr>
          <w:rStyle w:val="fontstyle01"/>
        </w:rPr>
        <w:t>characteristics, deployment environments, and separation distance. Given the varying</w:t>
      </w:r>
      <w:r w:rsidRPr="001E5A4F">
        <w:rPr>
          <w:rFonts w:ascii="TimesNewRomanPSMT" w:hAnsi="TimesNewRomanPSMT"/>
          <w:color w:val="000000"/>
        </w:rPr>
        <w:br/>
      </w:r>
      <w:r>
        <w:rPr>
          <w:rStyle w:val="fontstyle01"/>
        </w:rPr>
        <w:t>characteristics of the border area across various countries, administrations can</w:t>
      </w:r>
      <w:r w:rsidRPr="001E5A4F">
        <w:rPr>
          <w:rFonts w:ascii="TimesNewRomanPSMT" w:hAnsi="TimesNewRomanPSMT"/>
          <w:color w:val="000000"/>
        </w:rPr>
        <w:br/>
      </w:r>
      <w:r>
        <w:rPr>
          <w:rStyle w:val="fontstyle01"/>
        </w:rPr>
        <w:t>bilaterally determine the appropriate mitigation techniques on a case-by-case basis.</w:t>
      </w:r>
    </w:p>
    <w:p w:rsidR="005A11DB" w:rsidRDefault="005A11DB" w:rsidP="005A11DB">
      <w:pPr>
        <w:pStyle w:val="ListParagraph"/>
        <w:numPr>
          <w:ilvl w:val="0"/>
          <w:numId w:val="21"/>
        </w:numPr>
        <w:tabs>
          <w:tab w:val="clear" w:pos="794"/>
          <w:tab w:val="clear" w:pos="1191"/>
          <w:tab w:val="clear" w:pos="1588"/>
          <w:tab w:val="clear" w:pos="1985"/>
        </w:tabs>
        <w:overflowPunct/>
        <w:autoSpaceDE/>
        <w:autoSpaceDN/>
        <w:adjustRightInd/>
        <w:jc w:val="both"/>
        <w:textAlignment w:val="auto"/>
        <w:rPr>
          <w:rStyle w:val="fontstyle01"/>
        </w:rPr>
      </w:pPr>
      <w:r>
        <w:rPr>
          <w:rStyle w:val="fontstyle01"/>
        </w:rPr>
        <w:t>For Scenario B1, in the frequency band 1 980-2 010 MHz, potential interference from</w:t>
      </w:r>
      <w:r w:rsidRPr="001E5A4F">
        <w:rPr>
          <w:rFonts w:ascii="TimesNewRomanPSMT" w:hAnsi="TimesNewRomanPSMT"/>
          <w:color w:val="000000"/>
        </w:rPr>
        <w:br/>
      </w:r>
      <w:r>
        <w:rPr>
          <w:rStyle w:val="fontstyle01"/>
        </w:rPr>
        <w:t>IMT MESs to IMT BSs and IMT UEs, could be managed by bilateral/multilateral</w:t>
      </w:r>
      <w:r w:rsidRPr="001E5A4F">
        <w:rPr>
          <w:rFonts w:ascii="TimesNewRomanPSMT" w:hAnsi="TimesNewRomanPSMT"/>
          <w:color w:val="000000"/>
        </w:rPr>
        <w:br/>
      </w:r>
      <w:r>
        <w:rPr>
          <w:rStyle w:val="fontstyle01"/>
        </w:rPr>
        <w:t>negotiation, in which actual technical/operational characteristics and mitigation</w:t>
      </w:r>
      <w:r w:rsidRPr="001E5A4F">
        <w:rPr>
          <w:rFonts w:ascii="TimesNewRomanPSMT" w:hAnsi="TimesNewRomanPSMT"/>
          <w:color w:val="000000"/>
        </w:rPr>
        <w:br/>
      </w:r>
      <w:r>
        <w:rPr>
          <w:rStyle w:val="fontstyle01"/>
        </w:rPr>
        <w:t>measures for satellite and terrestrial components of IMT could be taken into account.</w:t>
      </w:r>
    </w:p>
    <w:p w:rsidR="005A11DB" w:rsidRDefault="005A11DB" w:rsidP="005A11DB">
      <w:pPr>
        <w:pStyle w:val="ListParagraph"/>
        <w:numPr>
          <w:ilvl w:val="0"/>
          <w:numId w:val="21"/>
        </w:numPr>
        <w:tabs>
          <w:tab w:val="clear" w:pos="794"/>
          <w:tab w:val="clear" w:pos="1191"/>
          <w:tab w:val="clear" w:pos="1588"/>
          <w:tab w:val="clear" w:pos="1985"/>
        </w:tabs>
        <w:overflowPunct/>
        <w:autoSpaceDE/>
        <w:autoSpaceDN/>
        <w:adjustRightInd/>
        <w:jc w:val="both"/>
        <w:textAlignment w:val="auto"/>
        <w:rPr>
          <w:rStyle w:val="fontstyle01"/>
        </w:rPr>
      </w:pPr>
      <w:r>
        <w:rPr>
          <w:rStyle w:val="fontstyle01"/>
        </w:rPr>
        <w:lastRenderedPageBreak/>
        <w:t>For Scenario B2, in the frequency band 2 170-2 200 MHz, potential interference from</w:t>
      </w:r>
      <w:r w:rsidRPr="001E5A4F">
        <w:rPr>
          <w:rFonts w:ascii="TimesNewRomanPSMT" w:hAnsi="TimesNewRomanPSMT"/>
          <w:color w:val="000000"/>
        </w:rPr>
        <w:br/>
      </w:r>
      <w:r>
        <w:rPr>
          <w:rStyle w:val="fontstyle01"/>
        </w:rPr>
        <w:t>the IMT space stations to IMT UEs, could be managed by bilateral/multilateral</w:t>
      </w:r>
      <w:r w:rsidRPr="001E5A4F">
        <w:rPr>
          <w:rFonts w:ascii="TimesNewRomanPSMT" w:hAnsi="TimesNewRomanPSMT"/>
          <w:color w:val="000000"/>
        </w:rPr>
        <w:br/>
      </w:r>
      <w:r>
        <w:rPr>
          <w:rStyle w:val="fontstyle01"/>
        </w:rPr>
        <w:t>negotiation, in which actual technical/operational characteristics and mitigation</w:t>
      </w:r>
      <w:r w:rsidRPr="001E5A4F">
        <w:rPr>
          <w:rFonts w:ascii="TimesNewRomanPSMT" w:hAnsi="TimesNewRomanPSMT"/>
          <w:color w:val="000000"/>
        </w:rPr>
        <w:br/>
      </w:r>
      <w:r>
        <w:rPr>
          <w:rStyle w:val="fontstyle01"/>
        </w:rPr>
        <w:t>measures for satellite and terrestrial components of IMT could be taken into account.</w:t>
      </w:r>
      <w:r>
        <w:br/>
      </w:r>
      <w:r>
        <w:rPr>
          <w:rStyle w:val="fontstyle01"/>
        </w:rPr>
        <w:t>Details of studies are documented in the working document towards a PDN [Recommendation or Report] ITU-R M.[MSS&amp;IMT-ADVANCED SHARING].</w:t>
      </w:r>
    </w:p>
    <w:p w:rsidR="005A11DB" w:rsidRDefault="005A11DB" w:rsidP="005A11DB">
      <w:pPr>
        <w:jc w:val="both"/>
        <w:rPr>
          <w:color w:val="000000" w:themeColor="text1"/>
        </w:rPr>
      </w:pPr>
    </w:p>
    <w:p w:rsidR="005A11DB" w:rsidRPr="00155E79" w:rsidRDefault="005A11DB" w:rsidP="005A11DB">
      <w:pPr>
        <w:jc w:val="both"/>
        <w:rPr>
          <w:b/>
          <w:color w:val="000000" w:themeColor="text1"/>
        </w:rPr>
      </w:pPr>
      <w:r w:rsidRPr="00155E79">
        <w:rPr>
          <w:b/>
          <w:color w:val="000000" w:themeColor="text1"/>
        </w:rPr>
        <w:t>2. Preliminary Views</w:t>
      </w:r>
    </w:p>
    <w:p w:rsidR="005A11DB" w:rsidRPr="00155E79" w:rsidRDefault="005A11DB" w:rsidP="005A11DB">
      <w:pPr>
        <w:jc w:val="both"/>
        <w:rPr>
          <w:b/>
          <w:color w:val="000000" w:themeColor="text1"/>
        </w:rPr>
      </w:pPr>
    </w:p>
    <w:p w:rsidR="005A11DB" w:rsidRPr="00633BDD" w:rsidRDefault="005A11DB" w:rsidP="005A11DB">
      <w:pPr>
        <w:pStyle w:val="ListParagraph"/>
        <w:numPr>
          <w:ilvl w:val="0"/>
          <w:numId w:val="19"/>
        </w:numPr>
        <w:tabs>
          <w:tab w:val="clear" w:pos="794"/>
          <w:tab w:val="clear" w:pos="1191"/>
          <w:tab w:val="clear" w:pos="1588"/>
          <w:tab w:val="clear" w:pos="1985"/>
        </w:tabs>
        <w:overflowPunct/>
        <w:autoSpaceDE/>
        <w:autoSpaceDN/>
        <w:adjustRightInd/>
        <w:spacing w:before="0"/>
        <w:jc w:val="both"/>
        <w:textAlignment w:val="auto"/>
        <w:rPr>
          <w:rStyle w:val="fontstyle01"/>
          <w:color w:val="000000" w:themeColor="text1"/>
          <w:lang w:eastAsia="zh-CN"/>
        </w:rPr>
      </w:pPr>
      <w:r w:rsidRPr="00155E79">
        <w:rPr>
          <w:color w:val="000000" w:themeColor="text1"/>
        </w:rPr>
        <w:t xml:space="preserve">This Administration supports studies done by ITU-R Working Party </w:t>
      </w:r>
      <w:r>
        <w:rPr>
          <w:color w:val="000000" w:themeColor="text1"/>
        </w:rPr>
        <w:t>4C and 5D</w:t>
      </w:r>
      <w:r w:rsidRPr="00155E79">
        <w:rPr>
          <w:color w:val="000000" w:themeColor="text1"/>
          <w:lang w:eastAsia="zh-CN"/>
        </w:rPr>
        <w:t xml:space="preserve"> within </w:t>
      </w:r>
      <w:r w:rsidRPr="00155E79">
        <w:rPr>
          <w:color w:val="000000" w:themeColor="text1"/>
        </w:rPr>
        <w:t xml:space="preserve">Resolution </w:t>
      </w:r>
      <w:r>
        <w:rPr>
          <w:b/>
          <w:color w:val="000000" w:themeColor="text1"/>
        </w:rPr>
        <w:t>212</w:t>
      </w:r>
      <w:r w:rsidRPr="00155E79">
        <w:rPr>
          <w:b/>
          <w:color w:val="000000" w:themeColor="text1"/>
        </w:rPr>
        <w:t xml:space="preserve"> (</w:t>
      </w:r>
      <w:r>
        <w:rPr>
          <w:b/>
          <w:color w:val="000000" w:themeColor="text1"/>
        </w:rPr>
        <w:t xml:space="preserve">Rev. </w:t>
      </w:r>
      <w:r w:rsidRPr="00155E79">
        <w:rPr>
          <w:b/>
          <w:color w:val="000000" w:themeColor="text1"/>
        </w:rPr>
        <w:t>WRC-15)</w:t>
      </w:r>
      <w:r>
        <w:rPr>
          <w:b/>
          <w:color w:val="000000" w:themeColor="text1"/>
        </w:rPr>
        <w:t xml:space="preserve">, </w:t>
      </w:r>
      <w:r w:rsidRPr="00633BDD">
        <w:rPr>
          <w:color w:val="000000" w:themeColor="text1"/>
        </w:rPr>
        <w:t>including</w:t>
      </w:r>
      <w:r w:rsidRPr="00633BDD">
        <w:rPr>
          <w:rStyle w:val="fontstyle01"/>
        </w:rPr>
        <w:t xml:space="preserve"> </w:t>
      </w:r>
      <w:r>
        <w:rPr>
          <w:rStyle w:val="fontstyle01"/>
        </w:rPr>
        <w:t>studies to evaluate the coexistence and compatibility of terrestrial and satellite components of IMT deployed in neighbouring countries;</w:t>
      </w:r>
    </w:p>
    <w:p w:rsidR="005A11DB" w:rsidRPr="00077CE6" w:rsidRDefault="005A11DB" w:rsidP="005A11DB">
      <w:pPr>
        <w:pStyle w:val="ListParagraph"/>
        <w:numPr>
          <w:ilvl w:val="0"/>
          <w:numId w:val="19"/>
        </w:numPr>
        <w:tabs>
          <w:tab w:val="clear" w:pos="794"/>
          <w:tab w:val="clear" w:pos="1191"/>
          <w:tab w:val="clear" w:pos="1588"/>
          <w:tab w:val="clear" w:pos="1985"/>
        </w:tabs>
        <w:overflowPunct/>
        <w:autoSpaceDE/>
        <w:autoSpaceDN/>
        <w:adjustRightInd/>
        <w:spacing w:before="0"/>
        <w:jc w:val="both"/>
        <w:textAlignment w:val="auto"/>
        <w:rPr>
          <w:b/>
          <w:color w:val="000000" w:themeColor="text1"/>
        </w:rPr>
      </w:pPr>
      <w:r w:rsidRPr="00077CE6">
        <w:rPr>
          <w:color w:val="000000" w:themeColor="text1"/>
          <w:lang w:eastAsia="zh-CN"/>
        </w:rPr>
        <w:t>Terrestrial component of IMT in these bands is prefer</w:t>
      </w:r>
      <w:r>
        <w:rPr>
          <w:color w:val="000000" w:themeColor="text1"/>
          <w:lang w:eastAsia="zh-CN"/>
        </w:rPr>
        <w:t>r</w:t>
      </w:r>
      <w:r w:rsidRPr="00077CE6">
        <w:rPr>
          <w:color w:val="000000" w:themeColor="text1"/>
          <w:lang w:eastAsia="zh-CN"/>
        </w:rPr>
        <w:t>ed and need to be protected.</w:t>
      </w:r>
    </w:p>
    <w:p w:rsidR="005A11DB" w:rsidRPr="00D90EC3" w:rsidRDefault="005A11DB" w:rsidP="005A11DB">
      <w:pPr>
        <w:jc w:val="center"/>
        <w:rPr>
          <w:color w:val="00B0F0"/>
        </w:rPr>
      </w:pPr>
    </w:p>
    <w:p w:rsidR="00C44C4E" w:rsidRPr="00C44C4E" w:rsidRDefault="00C44C4E" w:rsidP="00C44C4E">
      <w:pPr>
        <w:pStyle w:val="ListParagraph"/>
        <w:spacing w:beforeLines="50" w:afterLines="50" w:after="120"/>
        <w:ind w:left="720"/>
        <w:jc w:val="center"/>
        <w:rPr>
          <w:rFonts w:eastAsia="BatangChe"/>
          <w:szCs w:val="24"/>
        </w:rPr>
      </w:pPr>
      <w:r w:rsidRPr="00C44C4E">
        <w:rPr>
          <w:rFonts w:eastAsiaTheme="minorEastAsia"/>
          <w:iCs/>
          <w:szCs w:val="24"/>
          <w:lang w:eastAsia="zh-CN"/>
        </w:rPr>
        <w:t>--------------------------------------------</w:t>
      </w:r>
    </w:p>
    <w:sectPr w:rsidR="00C44C4E" w:rsidRPr="00C44C4E" w:rsidSect="00DF7EEC">
      <w:headerReference w:type="default" r:id="rId8"/>
      <w:footerReference w:type="even" r:id="rId9"/>
      <w:footerReference w:type="default" r:id="rId10"/>
      <w:footerReference w:type="first" r:id="rId11"/>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CBE" w:rsidRDefault="00AD2CBE">
      <w:r>
        <w:separator/>
      </w:r>
    </w:p>
  </w:endnote>
  <w:endnote w:type="continuationSeparator" w:id="0">
    <w:p w:rsidR="00AD2CBE" w:rsidRDefault="00AD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Malgun Gothic Semilight"/>
    <w:panose1 w:val="02030609000101010101"/>
    <w:charset w:val="81"/>
    <w:family w:val="modern"/>
    <w:pitch w:val="fixed"/>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GulimChe">
    <w:altName w:val="굴림체"/>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B5C" w:rsidRDefault="003A3B5C"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3B5C" w:rsidRDefault="003A3B5C"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B5C" w:rsidRDefault="00FA3E2D" w:rsidP="002C7EA9">
    <w:pPr>
      <w:pStyle w:val="Footer"/>
      <w:ind w:right="360"/>
      <w:jc w:val="right"/>
    </w:pPr>
    <w:r>
      <w:rPr>
        <w:rStyle w:val="PageNumber"/>
      </w:rPr>
      <w:t xml:space="preserve">APG19-4/INP-38                                                                                                      </w:t>
    </w:r>
    <w:r w:rsidR="003A3B5C" w:rsidRPr="002C7EA9">
      <w:rPr>
        <w:rStyle w:val="PageNumber"/>
      </w:rPr>
      <w:t xml:space="preserve">Page </w:t>
    </w:r>
    <w:r w:rsidR="003A3B5C" w:rsidRPr="002C7EA9">
      <w:rPr>
        <w:rStyle w:val="PageNumber"/>
      </w:rPr>
      <w:fldChar w:fldCharType="begin"/>
    </w:r>
    <w:r w:rsidR="003A3B5C" w:rsidRPr="002C7EA9">
      <w:rPr>
        <w:rStyle w:val="PageNumber"/>
      </w:rPr>
      <w:instrText xml:space="preserve"> PAGE </w:instrText>
    </w:r>
    <w:r w:rsidR="003A3B5C" w:rsidRPr="002C7EA9">
      <w:rPr>
        <w:rStyle w:val="PageNumber"/>
      </w:rPr>
      <w:fldChar w:fldCharType="separate"/>
    </w:r>
    <w:r>
      <w:rPr>
        <w:rStyle w:val="PageNumber"/>
        <w:noProof/>
      </w:rPr>
      <w:t>4</w:t>
    </w:r>
    <w:r w:rsidR="003A3B5C" w:rsidRPr="002C7EA9">
      <w:rPr>
        <w:rStyle w:val="PageNumber"/>
      </w:rPr>
      <w:fldChar w:fldCharType="end"/>
    </w:r>
    <w:r w:rsidR="003A3B5C" w:rsidRPr="002C7EA9">
      <w:rPr>
        <w:rStyle w:val="PageNumber"/>
      </w:rPr>
      <w:t xml:space="preserve"> of </w:t>
    </w:r>
    <w:r w:rsidR="003A3B5C" w:rsidRPr="002C7EA9">
      <w:rPr>
        <w:rStyle w:val="PageNumber"/>
      </w:rPr>
      <w:fldChar w:fldCharType="begin"/>
    </w:r>
    <w:r w:rsidR="003A3B5C" w:rsidRPr="002C7EA9">
      <w:rPr>
        <w:rStyle w:val="PageNumber"/>
      </w:rPr>
      <w:instrText xml:space="preserve"> NUMPAGES </w:instrText>
    </w:r>
    <w:r w:rsidR="003A3B5C" w:rsidRPr="002C7EA9">
      <w:rPr>
        <w:rStyle w:val="PageNumber"/>
      </w:rPr>
      <w:fldChar w:fldCharType="separate"/>
    </w:r>
    <w:r>
      <w:rPr>
        <w:rStyle w:val="PageNumber"/>
        <w:noProof/>
      </w:rPr>
      <w:t>4</w:t>
    </w:r>
    <w:r w:rsidR="003A3B5C"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A3B5C">
      <w:trPr>
        <w:cantSplit/>
        <w:trHeight w:val="204"/>
        <w:jc w:val="center"/>
      </w:trPr>
      <w:tc>
        <w:tcPr>
          <w:tcW w:w="1617" w:type="dxa"/>
          <w:tcBorders>
            <w:top w:val="single" w:sz="12" w:space="0" w:color="auto"/>
          </w:tcBorders>
        </w:tcPr>
        <w:p w:rsidR="003A3B5C" w:rsidRPr="00155F6B" w:rsidRDefault="003A3B5C" w:rsidP="00762576">
          <w:pPr>
            <w:rPr>
              <w:b/>
              <w:bCs/>
            </w:rPr>
          </w:pPr>
          <w:bookmarkStart w:id="3" w:name="OLE_LINK3"/>
          <w:bookmarkStart w:id="4" w:name="OLE_LINK4"/>
          <w:r w:rsidRPr="00155F6B">
            <w:rPr>
              <w:b/>
              <w:bCs/>
            </w:rPr>
            <w:t>Contact:</w:t>
          </w:r>
        </w:p>
      </w:tc>
      <w:tc>
        <w:tcPr>
          <w:tcW w:w="4394" w:type="dxa"/>
          <w:tcBorders>
            <w:top w:val="single" w:sz="12" w:space="0" w:color="auto"/>
          </w:tcBorders>
        </w:tcPr>
        <w:p w:rsidR="003A3B5C" w:rsidRPr="00155F6B" w:rsidRDefault="00205AD2" w:rsidP="00762576">
          <w:pPr>
            <w:pStyle w:val="Equation"/>
            <w:tabs>
              <w:tab w:val="clear" w:pos="4820"/>
              <w:tab w:val="clear" w:pos="9639"/>
              <w:tab w:val="left" w:pos="1191"/>
              <w:tab w:val="left" w:pos="1588"/>
              <w:tab w:val="left" w:pos="1985"/>
            </w:tabs>
            <w:spacing w:beforeLines="0" w:before="0"/>
            <w:rPr>
              <w:rFonts w:eastAsia="Batang"/>
              <w:szCs w:val="24"/>
              <w:lang w:eastAsia="ko-KR"/>
            </w:rPr>
          </w:pPr>
          <w:r>
            <w:rPr>
              <w:rFonts w:eastAsia="Batang"/>
              <w:szCs w:val="24"/>
              <w:lang w:eastAsia="ko-KR"/>
            </w:rPr>
            <w:t>NGUYEN ANH TUAN</w:t>
          </w:r>
        </w:p>
        <w:p w:rsidR="003A3B5C" w:rsidRPr="00155F6B" w:rsidRDefault="003A3B5C" w:rsidP="002001C3">
          <w:pPr>
            <w:pStyle w:val="Equation"/>
            <w:tabs>
              <w:tab w:val="clear" w:pos="4820"/>
              <w:tab w:val="clear" w:pos="9639"/>
              <w:tab w:val="left" w:pos="1191"/>
              <w:tab w:val="left" w:pos="1588"/>
              <w:tab w:val="left" w:pos="1985"/>
            </w:tabs>
            <w:spacing w:beforeLines="0" w:before="0"/>
            <w:rPr>
              <w:rFonts w:eastAsia="Batang"/>
              <w:szCs w:val="24"/>
            </w:rPr>
          </w:pPr>
          <w:r>
            <w:rPr>
              <w:rFonts w:eastAsia="Batang"/>
              <w:szCs w:val="24"/>
              <w:lang w:eastAsia="ko-KR"/>
            </w:rPr>
            <w:t>Authority of Radio Frequency Management</w:t>
          </w:r>
          <w:r w:rsidRPr="00155F6B">
            <w:rPr>
              <w:rFonts w:eastAsia="Batang" w:hint="eastAsia"/>
              <w:szCs w:val="24"/>
              <w:lang w:eastAsia="ko-KR"/>
            </w:rPr>
            <w:t xml:space="preserve">, </w:t>
          </w:r>
          <w:r>
            <w:rPr>
              <w:rFonts w:eastAsia="Batang"/>
              <w:szCs w:val="24"/>
              <w:lang w:eastAsia="ko-KR"/>
            </w:rPr>
            <w:t>S.R. of Viet Nam</w:t>
          </w:r>
        </w:p>
      </w:tc>
      <w:tc>
        <w:tcPr>
          <w:tcW w:w="3912" w:type="dxa"/>
          <w:tcBorders>
            <w:top w:val="single" w:sz="12" w:space="0" w:color="auto"/>
          </w:tcBorders>
        </w:tcPr>
        <w:p w:rsidR="003A3B5C" w:rsidRPr="00155F6B" w:rsidRDefault="003A3B5C" w:rsidP="00762576">
          <w:pPr>
            <w:rPr>
              <w:lang w:eastAsia="ja-JP"/>
            </w:rPr>
          </w:pPr>
          <w:r w:rsidRPr="00155F6B">
            <w:t>Email</w:t>
          </w:r>
          <w:r w:rsidRPr="00155F6B">
            <w:rPr>
              <w:rFonts w:hint="eastAsia"/>
            </w:rPr>
            <w:t xml:space="preserve">: </w:t>
          </w:r>
          <w:hyperlink r:id="rId1" w:history="1">
            <w:r w:rsidR="00205AD2" w:rsidRPr="006D12F5">
              <w:rPr>
                <w:rStyle w:val="Hyperlink"/>
              </w:rPr>
              <w:t>natuan@rfd.gov.vn</w:t>
            </w:r>
          </w:hyperlink>
        </w:p>
      </w:tc>
    </w:tr>
    <w:bookmarkEnd w:id="3"/>
    <w:bookmarkEnd w:id="4"/>
  </w:tbl>
  <w:p w:rsidR="003A3B5C" w:rsidRDefault="003A3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CBE" w:rsidRDefault="00AD2CBE">
      <w:r>
        <w:separator/>
      </w:r>
    </w:p>
  </w:footnote>
  <w:footnote w:type="continuationSeparator" w:id="0">
    <w:p w:rsidR="00AD2CBE" w:rsidRDefault="00AD2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B5C" w:rsidRDefault="003A3B5C" w:rsidP="00C15633">
    <w:pPr>
      <w:pStyle w:val="Header"/>
      <w:tabs>
        <w:tab w:val="center" w:pos="4763"/>
        <w:tab w:val="left" w:pos="5820"/>
      </w:tabs>
      <w:rPr>
        <w:lang w:eastAsia="ko-KR"/>
      </w:rPr>
    </w:pPr>
  </w:p>
  <w:p w:rsidR="003A3B5C" w:rsidRDefault="003A3B5C"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0F3D39DF"/>
    <w:multiLevelType w:val="hybridMultilevel"/>
    <w:tmpl w:val="BD4E04D8"/>
    <w:lvl w:ilvl="0" w:tplc="6BC0441E">
      <w:start w:val="1"/>
      <w:numFmt w:val="bullet"/>
      <w:lvlText w:val="-"/>
      <w:lvlJc w:val="left"/>
      <w:pPr>
        <w:ind w:left="760" w:hanging="360"/>
      </w:pPr>
      <w:rPr>
        <w:rFonts w:ascii="Times New Roman" w:eastAsia="BatangChe"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C27D6A"/>
    <w:multiLevelType w:val="hybridMultilevel"/>
    <w:tmpl w:val="A5DC9544"/>
    <w:lvl w:ilvl="0" w:tplc="820CAD7E">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B3CA4"/>
    <w:multiLevelType w:val="hybridMultilevel"/>
    <w:tmpl w:val="1344973E"/>
    <w:lvl w:ilvl="0" w:tplc="A17CACD0">
      <w:numFmt w:val="bullet"/>
      <w:lvlText w:val="–"/>
      <w:lvlJc w:val="left"/>
      <w:pPr>
        <w:ind w:left="720" w:hanging="360"/>
      </w:pPr>
      <w:rPr>
        <w:rFonts w:ascii="TimesNewRomanPSMT" w:eastAsia="BatangChe"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4E524F2"/>
    <w:multiLevelType w:val="hybridMultilevel"/>
    <w:tmpl w:val="D03E9650"/>
    <w:lvl w:ilvl="0" w:tplc="B90EC40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6FE14BD"/>
    <w:multiLevelType w:val="hybridMultilevel"/>
    <w:tmpl w:val="0FE4FAB2"/>
    <w:lvl w:ilvl="0" w:tplc="39D05526">
      <w:start w:val="2"/>
      <w:numFmt w:val="bullet"/>
      <w:lvlText w:val="-"/>
      <w:lvlJc w:val="left"/>
      <w:pPr>
        <w:ind w:left="480" w:hanging="360"/>
      </w:pPr>
      <w:rPr>
        <w:rFonts w:ascii="Times New Roman" w:eastAsia="BatangChe" w:hAnsi="Times New Roman"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0BD77DB"/>
    <w:multiLevelType w:val="hybridMultilevel"/>
    <w:tmpl w:val="FF169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1D2CAF"/>
    <w:multiLevelType w:val="multilevel"/>
    <w:tmpl w:val="ACC48140"/>
    <w:lvl w:ilvl="0">
      <w:start w:val="1"/>
      <w:numFmt w:val="decimal"/>
      <w:pStyle w:val="ECCNumberedList"/>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B5440AD"/>
    <w:multiLevelType w:val="hybridMultilevel"/>
    <w:tmpl w:val="5C3E1EF8"/>
    <w:lvl w:ilvl="0" w:tplc="6DFCF1DE">
      <w:start w:val="2"/>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F1D07"/>
    <w:multiLevelType w:val="hybridMultilevel"/>
    <w:tmpl w:val="7E8AEFFA"/>
    <w:lvl w:ilvl="0" w:tplc="FB0208CE">
      <w:start w:val="1"/>
      <w:numFmt w:val="decimal"/>
      <w:lvlText w:val="%1"/>
      <w:lvlJc w:val="left"/>
      <w:pPr>
        <w:ind w:left="1133" w:hanging="1133"/>
      </w:pPr>
      <w:rPr>
        <w:rFonts w:ascii="Times New Roman" w:eastAsia="Times New Roman" w:hAnsi="Times New Roman" w:hint="default"/>
        <w:sz w:val="24"/>
        <w:szCs w:val="24"/>
      </w:rPr>
    </w:lvl>
    <w:lvl w:ilvl="1" w:tplc="2162F8BE">
      <w:start w:val="1"/>
      <w:numFmt w:val="bullet"/>
      <w:lvlText w:val="•"/>
      <w:lvlJc w:val="left"/>
      <w:pPr>
        <w:ind w:left="2104" w:hanging="1133"/>
      </w:pPr>
      <w:rPr>
        <w:rFonts w:hint="default"/>
      </w:rPr>
    </w:lvl>
    <w:lvl w:ilvl="2" w:tplc="54F6BEEC">
      <w:start w:val="1"/>
      <w:numFmt w:val="bullet"/>
      <w:lvlText w:val="•"/>
      <w:lvlJc w:val="left"/>
      <w:pPr>
        <w:ind w:left="3075" w:hanging="1133"/>
      </w:pPr>
      <w:rPr>
        <w:rFonts w:hint="default"/>
      </w:rPr>
    </w:lvl>
    <w:lvl w:ilvl="3" w:tplc="0F42AF36">
      <w:start w:val="1"/>
      <w:numFmt w:val="bullet"/>
      <w:lvlText w:val="•"/>
      <w:lvlJc w:val="left"/>
      <w:pPr>
        <w:ind w:left="4047" w:hanging="1133"/>
      </w:pPr>
      <w:rPr>
        <w:rFonts w:hint="default"/>
      </w:rPr>
    </w:lvl>
    <w:lvl w:ilvl="4" w:tplc="54966524">
      <w:start w:val="1"/>
      <w:numFmt w:val="bullet"/>
      <w:lvlText w:val="•"/>
      <w:lvlJc w:val="left"/>
      <w:pPr>
        <w:ind w:left="5018" w:hanging="1133"/>
      </w:pPr>
      <w:rPr>
        <w:rFonts w:hint="default"/>
      </w:rPr>
    </w:lvl>
    <w:lvl w:ilvl="5" w:tplc="6B92352E">
      <w:start w:val="1"/>
      <w:numFmt w:val="bullet"/>
      <w:lvlText w:val="•"/>
      <w:lvlJc w:val="left"/>
      <w:pPr>
        <w:ind w:left="5989" w:hanging="1133"/>
      </w:pPr>
      <w:rPr>
        <w:rFonts w:hint="default"/>
      </w:rPr>
    </w:lvl>
    <w:lvl w:ilvl="6" w:tplc="AA1A1A92">
      <w:start w:val="1"/>
      <w:numFmt w:val="bullet"/>
      <w:lvlText w:val="•"/>
      <w:lvlJc w:val="left"/>
      <w:pPr>
        <w:ind w:left="6961" w:hanging="1133"/>
      </w:pPr>
      <w:rPr>
        <w:rFonts w:hint="default"/>
      </w:rPr>
    </w:lvl>
    <w:lvl w:ilvl="7" w:tplc="BC3AA37E">
      <w:start w:val="1"/>
      <w:numFmt w:val="bullet"/>
      <w:lvlText w:val="•"/>
      <w:lvlJc w:val="left"/>
      <w:pPr>
        <w:ind w:left="7932" w:hanging="1133"/>
      </w:pPr>
      <w:rPr>
        <w:rFonts w:hint="default"/>
      </w:rPr>
    </w:lvl>
    <w:lvl w:ilvl="8" w:tplc="A9386E5C">
      <w:start w:val="1"/>
      <w:numFmt w:val="bullet"/>
      <w:lvlText w:val="•"/>
      <w:lvlJc w:val="left"/>
      <w:pPr>
        <w:ind w:left="8903" w:hanging="1133"/>
      </w:pPr>
      <w:rPr>
        <w:rFonts w:hint="default"/>
      </w:rPr>
    </w:lvl>
  </w:abstractNum>
  <w:abstractNum w:abstractNumId="17" w15:restartNumberingAfterBreak="0">
    <w:nsid w:val="59391634"/>
    <w:multiLevelType w:val="hybridMultilevel"/>
    <w:tmpl w:val="ED58EC8A"/>
    <w:lvl w:ilvl="0" w:tplc="A114EBFA">
      <w:start w:val="1"/>
      <w:numFmt w:val="bullet"/>
      <w:lvlText w:val="-"/>
      <w:lvlJc w:val="left"/>
      <w:pPr>
        <w:ind w:left="280" w:hanging="360"/>
      </w:pPr>
      <w:rPr>
        <w:rFonts w:ascii="Malgun Gothic" w:eastAsia="Malgun Gothic" w:hAnsi="Malgun Gothic" w:cstheme="minorBidi" w:hint="eastAsia"/>
      </w:rPr>
    </w:lvl>
    <w:lvl w:ilvl="1" w:tplc="6DFCF1DE">
      <w:start w:val="2"/>
      <w:numFmt w:val="bullet"/>
      <w:lvlText w:val="-"/>
      <w:lvlJc w:val="left"/>
      <w:pPr>
        <w:ind w:left="720" w:hanging="400"/>
      </w:pPr>
      <w:rPr>
        <w:rFonts w:ascii="Times New Roman" w:eastAsia="BatangChe" w:hAnsi="Times New Roman" w:cs="Times New Roman" w:hint="default"/>
      </w:rPr>
    </w:lvl>
    <w:lvl w:ilvl="2" w:tplc="765C0FA6">
      <w:numFmt w:val="bullet"/>
      <w:lvlText w:val="•"/>
      <w:lvlJc w:val="left"/>
      <w:pPr>
        <w:ind w:left="1120" w:hanging="400"/>
      </w:pPr>
      <w:rPr>
        <w:rFonts w:ascii="Calibri" w:eastAsiaTheme="minorHAnsi" w:hAnsi="Calibri" w:cstheme="minorBidi"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8" w15:restartNumberingAfterBreak="0">
    <w:nsid w:val="59E03304"/>
    <w:multiLevelType w:val="hybridMultilevel"/>
    <w:tmpl w:val="BC3E099A"/>
    <w:lvl w:ilvl="0" w:tplc="6DFCF1DE">
      <w:start w:val="2"/>
      <w:numFmt w:val="bullet"/>
      <w:lvlText w:val="-"/>
      <w:lvlJc w:val="left"/>
      <w:pPr>
        <w:ind w:left="720" w:hanging="360"/>
      </w:pPr>
      <w:rPr>
        <w:rFonts w:ascii="Times New Roman" w:eastAsia="BatangChe"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9271593"/>
    <w:multiLevelType w:val="multilevel"/>
    <w:tmpl w:val="B032064E"/>
    <w:lvl w:ilvl="0">
      <w:start w:val="1"/>
      <w:numFmt w:val="decimal"/>
      <w:pStyle w:val="ECCBulletsLv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8"/>
  </w:num>
  <w:num w:numId="3">
    <w:abstractNumId w:val="6"/>
  </w:num>
  <w:num w:numId="4">
    <w:abstractNumId w:val="19"/>
  </w:num>
  <w:num w:numId="5">
    <w:abstractNumId w:val="10"/>
  </w:num>
  <w:num w:numId="6">
    <w:abstractNumId w:val="14"/>
  </w:num>
  <w:num w:numId="7">
    <w:abstractNumId w:val="5"/>
  </w:num>
  <w:num w:numId="8">
    <w:abstractNumId w:val="0"/>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7"/>
  </w:num>
  <w:num w:numId="14">
    <w:abstractNumId w:val="16"/>
  </w:num>
  <w:num w:numId="15">
    <w:abstractNumId w:val="20"/>
  </w:num>
  <w:num w:numId="16">
    <w:abstractNumId w:val="18"/>
  </w:num>
  <w:num w:numId="17">
    <w:abstractNumId w:val="9"/>
  </w:num>
  <w:num w:numId="18">
    <w:abstractNumId w:val="1"/>
  </w:num>
  <w:num w:numId="19">
    <w:abstractNumId w:val="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03D32"/>
    <w:rsid w:val="00023BEC"/>
    <w:rsid w:val="00023DE9"/>
    <w:rsid w:val="0003437F"/>
    <w:rsid w:val="0003595B"/>
    <w:rsid w:val="00065325"/>
    <w:rsid w:val="000713CF"/>
    <w:rsid w:val="00077535"/>
    <w:rsid w:val="00083821"/>
    <w:rsid w:val="000839D8"/>
    <w:rsid w:val="00091ED6"/>
    <w:rsid w:val="000940C4"/>
    <w:rsid w:val="00096326"/>
    <w:rsid w:val="000A5418"/>
    <w:rsid w:val="000A5C23"/>
    <w:rsid w:val="000C1604"/>
    <w:rsid w:val="000C2467"/>
    <w:rsid w:val="000D59DA"/>
    <w:rsid w:val="000E4C9D"/>
    <w:rsid w:val="000F517C"/>
    <w:rsid w:val="000F5540"/>
    <w:rsid w:val="000F7861"/>
    <w:rsid w:val="00120C0F"/>
    <w:rsid w:val="001539DD"/>
    <w:rsid w:val="00155F6B"/>
    <w:rsid w:val="00196568"/>
    <w:rsid w:val="001A2F16"/>
    <w:rsid w:val="001B18C2"/>
    <w:rsid w:val="001C2AF7"/>
    <w:rsid w:val="001D2DDA"/>
    <w:rsid w:val="001D5D7E"/>
    <w:rsid w:val="001E454C"/>
    <w:rsid w:val="001E7D1A"/>
    <w:rsid w:val="002001C3"/>
    <w:rsid w:val="00205AD2"/>
    <w:rsid w:val="00217CEF"/>
    <w:rsid w:val="00243E4D"/>
    <w:rsid w:val="00254A1B"/>
    <w:rsid w:val="0028454D"/>
    <w:rsid w:val="00286241"/>
    <w:rsid w:val="00291C9E"/>
    <w:rsid w:val="002926D4"/>
    <w:rsid w:val="002A3689"/>
    <w:rsid w:val="002B0BB8"/>
    <w:rsid w:val="002B2E6D"/>
    <w:rsid w:val="002C07DA"/>
    <w:rsid w:val="002C2D09"/>
    <w:rsid w:val="002C610B"/>
    <w:rsid w:val="002C7EA9"/>
    <w:rsid w:val="002F0912"/>
    <w:rsid w:val="00302F4A"/>
    <w:rsid w:val="00307FE2"/>
    <w:rsid w:val="00311ECA"/>
    <w:rsid w:val="003130E1"/>
    <w:rsid w:val="003235FA"/>
    <w:rsid w:val="00327735"/>
    <w:rsid w:val="00332E88"/>
    <w:rsid w:val="00342F20"/>
    <w:rsid w:val="003652AB"/>
    <w:rsid w:val="00371351"/>
    <w:rsid w:val="003809C7"/>
    <w:rsid w:val="003A1FA4"/>
    <w:rsid w:val="003A397B"/>
    <w:rsid w:val="003A3B5C"/>
    <w:rsid w:val="003B6263"/>
    <w:rsid w:val="003C4C18"/>
    <w:rsid w:val="003C64A7"/>
    <w:rsid w:val="003D3FDA"/>
    <w:rsid w:val="004027CE"/>
    <w:rsid w:val="00415F4E"/>
    <w:rsid w:val="00420822"/>
    <w:rsid w:val="0045189B"/>
    <w:rsid w:val="0045458F"/>
    <w:rsid w:val="00457D66"/>
    <w:rsid w:val="004633B4"/>
    <w:rsid w:val="0046589D"/>
    <w:rsid w:val="0048434F"/>
    <w:rsid w:val="00491A79"/>
    <w:rsid w:val="004A75ED"/>
    <w:rsid w:val="004B3553"/>
    <w:rsid w:val="004C1846"/>
    <w:rsid w:val="004C77BE"/>
    <w:rsid w:val="004F0774"/>
    <w:rsid w:val="004F260B"/>
    <w:rsid w:val="005223F6"/>
    <w:rsid w:val="00530E8C"/>
    <w:rsid w:val="00545933"/>
    <w:rsid w:val="00557544"/>
    <w:rsid w:val="0057046C"/>
    <w:rsid w:val="00587875"/>
    <w:rsid w:val="005976C0"/>
    <w:rsid w:val="005A11DB"/>
    <w:rsid w:val="005C2850"/>
    <w:rsid w:val="00607E2B"/>
    <w:rsid w:val="006139D6"/>
    <w:rsid w:val="00623CE1"/>
    <w:rsid w:val="00624817"/>
    <w:rsid w:val="006265A5"/>
    <w:rsid w:val="0063062B"/>
    <w:rsid w:val="00645AE9"/>
    <w:rsid w:val="00667229"/>
    <w:rsid w:val="00673B0D"/>
    <w:rsid w:val="00682BE5"/>
    <w:rsid w:val="00690FED"/>
    <w:rsid w:val="006939A5"/>
    <w:rsid w:val="006B7C66"/>
    <w:rsid w:val="006C0E76"/>
    <w:rsid w:val="006C198A"/>
    <w:rsid w:val="006E6CA5"/>
    <w:rsid w:val="0070092B"/>
    <w:rsid w:val="00712451"/>
    <w:rsid w:val="00715CE8"/>
    <w:rsid w:val="00731041"/>
    <w:rsid w:val="00732F08"/>
    <w:rsid w:val="00740B5B"/>
    <w:rsid w:val="0074190C"/>
    <w:rsid w:val="007445C9"/>
    <w:rsid w:val="00754E07"/>
    <w:rsid w:val="00757E9A"/>
    <w:rsid w:val="00757E9E"/>
    <w:rsid w:val="00762576"/>
    <w:rsid w:val="00763997"/>
    <w:rsid w:val="00776048"/>
    <w:rsid w:val="007772A2"/>
    <w:rsid w:val="007773F0"/>
    <w:rsid w:val="007835B1"/>
    <w:rsid w:val="00791060"/>
    <w:rsid w:val="00791A0C"/>
    <w:rsid w:val="0079303F"/>
    <w:rsid w:val="007B5626"/>
    <w:rsid w:val="007D2BA7"/>
    <w:rsid w:val="007D7CA0"/>
    <w:rsid w:val="007E6E36"/>
    <w:rsid w:val="007E7B2E"/>
    <w:rsid w:val="007F0BA0"/>
    <w:rsid w:val="0080570B"/>
    <w:rsid w:val="00814155"/>
    <w:rsid w:val="008148E1"/>
    <w:rsid w:val="00817593"/>
    <w:rsid w:val="0082202A"/>
    <w:rsid w:val="00830F3A"/>
    <w:rsid w:val="0083170C"/>
    <w:rsid w:val="008319BF"/>
    <w:rsid w:val="008D0E09"/>
    <w:rsid w:val="008F1E81"/>
    <w:rsid w:val="008F4058"/>
    <w:rsid w:val="00903FE6"/>
    <w:rsid w:val="0091683F"/>
    <w:rsid w:val="009172B5"/>
    <w:rsid w:val="0092274F"/>
    <w:rsid w:val="00942191"/>
    <w:rsid w:val="00951207"/>
    <w:rsid w:val="009671E8"/>
    <w:rsid w:val="0097693B"/>
    <w:rsid w:val="00991C79"/>
    <w:rsid w:val="00993355"/>
    <w:rsid w:val="009943ED"/>
    <w:rsid w:val="00994781"/>
    <w:rsid w:val="009A34DA"/>
    <w:rsid w:val="009A48F9"/>
    <w:rsid w:val="009A4A6D"/>
    <w:rsid w:val="009B123C"/>
    <w:rsid w:val="009C1CE5"/>
    <w:rsid w:val="009C4C00"/>
    <w:rsid w:val="009F6878"/>
    <w:rsid w:val="00A00575"/>
    <w:rsid w:val="00A020E3"/>
    <w:rsid w:val="00A13265"/>
    <w:rsid w:val="00A71136"/>
    <w:rsid w:val="00A80B04"/>
    <w:rsid w:val="00AA474C"/>
    <w:rsid w:val="00AA63A8"/>
    <w:rsid w:val="00AC56C8"/>
    <w:rsid w:val="00AD262B"/>
    <w:rsid w:val="00AD2CBE"/>
    <w:rsid w:val="00AD7E5F"/>
    <w:rsid w:val="00B01AA1"/>
    <w:rsid w:val="00B30C81"/>
    <w:rsid w:val="00B4793B"/>
    <w:rsid w:val="00B70183"/>
    <w:rsid w:val="00B73B45"/>
    <w:rsid w:val="00B941BA"/>
    <w:rsid w:val="00BA1D9F"/>
    <w:rsid w:val="00BB44F8"/>
    <w:rsid w:val="00BD4FEE"/>
    <w:rsid w:val="00C04DC2"/>
    <w:rsid w:val="00C15633"/>
    <w:rsid w:val="00C15799"/>
    <w:rsid w:val="00C200A1"/>
    <w:rsid w:val="00C2161D"/>
    <w:rsid w:val="00C357AD"/>
    <w:rsid w:val="00C44C4E"/>
    <w:rsid w:val="00C53AC4"/>
    <w:rsid w:val="00C55348"/>
    <w:rsid w:val="00C6069C"/>
    <w:rsid w:val="00C67825"/>
    <w:rsid w:val="00C74048"/>
    <w:rsid w:val="00C85119"/>
    <w:rsid w:val="00CA53D5"/>
    <w:rsid w:val="00CB3EDA"/>
    <w:rsid w:val="00CD5431"/>
    <w:rsid w:val="00CE273C"/>
    <w:rsid w:val="00CF2491"/>
    <w:rsid w:val="00CF4B16"/>
    <w:rsid w:val="00D10452"/>
    <w:rsid w:val="00D1252E"/>
    <w:rsid w:val="00D23660"/>
    <w:rsid w:val="00D2529C"/>
    <w:rsid w:val="00D54C54"/>
    <w:rsid w:val="00D57772"/>
    <w:rsid w:val="00D72AE3"/>
    <w:rsid w:val="00D75A4D"/>
    <w:rsid w:val="00D77077"/>
    <w:rsid w:val="00D8478B"/>
    <w:rsid w:val="00D86151"/>
    <w:rsid w:val="00DA7595"/>
    <w:rsid w:val="00DB0A68"/>
    <w:rsid w:val="00DB558C"/>
    <w:rsid w:val="00DC43A3"/>
    <w:rsid w:val="00DC4DED"/>
    <w:rsid w:val="00DD7C09"/>
    <w:rsid w:val="00DD7C68"/>
    <w:rsid w:val="00DF7EEC"/>
    <w:rsid w:val="00E0124F"/>
    <w:rsid w:val="00E35989"/>
    <w:rsid w:val="00E60949"/>
    <w:rsid w:val="00E63A22"/>
    <w:rsid w:val="00E674D3"/>
    <w:rsid w:val="00E70FD0"/>
    <w:rsid w:val="00E81553"/>
    <w:rsid w:val="00EA1111"/>
    <w:rsid w:val="00EC32EF"/>
    <w:rsid w:val="00F040CA"/>
    <w:rsid w:val="00F114DB"/>
    <w:rsid w:val="00F14836"/>
    <w:rsid w:val="00F16098"/>
    <w:rsid w:val="00F31CD6"/>
    <w:rsid w:val="00F54076"/>
    <w:rsid w:val="00F57BB2"/>
    <w:rsid w:val="00F642E8"/>
    <w:rsid w:val="00F84067"/>
    <w:rsid w:val="00FA3E2D"/>
    <w:rsid w:val="00FC0AC7"/>
    <w:rsid w:val="00FC4F27"/>
    <w:rsid w:val="00FC5796"/>
    <w:rsid w:val="00FD5BD0"/>
    <w:rsid w:val="00FE3DE5"/>
    <w:rsid w:val="00FE6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1A95EF-6810-4CB2-B858-8E49C26C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autoRedefine/>
    <w:qFormat/>
    <w:rsid w:val="001D2DDA"/>
    <w:pPr>
      <w:keepNext/>
      <w:outlineLvl w:val="0"/>
    </w:pPr>
    <w:rPr>
      <w:b/>
      <w:bCs/>
    </w:rPr>
  </w:style>
  <w:style w:type="paragraph" w:styleId="Heading2">
    <w:name w:val="heading 2"/>
    <w:basedOn w:val="Normal"/>
    <w:next w:val="Normal"/>
    <w:link w:val="Heading2Char"/>
    <w:semiHidden/>
    <w:unhideWhenUsed/>
    <w:qFormat/>
    <w:rsid w:val="009421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basedOn w:val="DefaultParagraphFont"/>
    <w:unhideWhenUsed/>
    <w:rsid w:val="002001C3"/>
    <w:rPr>
      <w:color w:val="0000FF" w:themeColor="hyperlink"/>
      <w:u w:val="single"/>
    </w:rPr>
  </w:style>
  <w:style w:type="paragraph" w:styleId="ListParagraph">
    <w:name w:val="List Paragraph"/>
    <w:basedOn w:val="Normal"/>
    <w:link w:val="ListParagraphChar"/>
    <w:uiPriority w:val="34"/>
    <w:qFormat/>
    <w:rsid w:val="00817593"/>
    <w:pPr>
      <w:tabs>
        <w:tab w:val="left" w:pos="794"/>
        <w:tab w:val="left" w:pos="1191"/>
        <w:tab w:val="left" w:pos="1588"/>
        <w:tab w:val="left" w:pos="1985"/>
      </w:tabs>
      <w:overflowPunct w:val="0"/>
      <w:autoSpaceDE w:val="0"/>
      <w:autoSpaceDN w:val="0"/>
      <w:adjustRightInd w:val="0"/>
      <w:spacing w:before="120"/>
      <w:ind w:left="708"/>
      <w:textAlignment w:val="baseline"/>
    </w:pPr>
    <w:rPr>
      <w:rFonts w:eastAsia="Times New Roman"/>
      <w:szCs w:val="20"/>
      <w:lang w:val="en-GB"/>
    </w:rPr>
  </w:style>
  <w:style w:type="paragraph" w:customStyle="1" w:styleId="Headingb">
    <w:name w:val="Heading_b"/>
    <w:basedOn w:val="Normal"/>
    <w:next w:val="Normal"/>
    <w:link w:val="HeadingbChar"/>
    <w:qFormat/>
    <w:rsid w:val="00C04DC2"/>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szCs w:val="20"/>
      <w:lang w:val="fr-CH"/>
    </w:rPr>
  </w:style>
  <w:style w:type="character" w:customStyle="1" w:styleId="HeadingbChar">
    <w:name w:val="Heading_b Char"/>
    <w:link w:val="Headingb"/>
    <w:locked/>
    <w:rsid w:val="00C04DC2"/>
    <w:rPr>
      <w:rFonts w:ascii="Times New Roman Bold" w:eastAsia="Times New Roman" w:hAnsi="Times New Roman Bold" w:cs="Times New Roman Bold"/>
      <w:b/>
      <w:sz w:val="24"/>
      <w:lang w:val="fr-CH"/>
    </w:rPr>
  </w:style>
  <w:style w:type="character" w:styleId="Strong">
    <w:name w:val="Strong"/>
    <w:basedOn w:val="DefaultParagraphFont"/>
    <w:uiPriority w:val="22"/>
    <w:qFormat/>
    <w:rsid w:val="00C04DC2"/>
    <w:rPr>
      <w:b/>
      <w:bCs/>
    </w:rPr>
  </w:style>
  <w:style w:type="character" w:customStyle="1" w:styleId="ECCHLbold">
    <w:name w:val="ECC HL bold"/>
    <w:basedOn w:val="DefaultParagraphFont"/>
    <w:uiPriority w:val="1"/>
    <w:qFormat/>
    <w:rsid w:val="003A3B5C"/>
    <w:rPr>
      <w:b/>
      <w:bCs/>
    </w:rPr>
  </w:style>
  <w:style w:type="paragraph" w:customStyle="1" w:styleId="ECCBreak">
    <w:name w:val="ECC Break"/>
    <w:next w:val="Normal"/>
    <w:link w:val="ECCBreakZchn"/>
    <w:rsid w:val="003A3B5C"/>
    <w:pPr>
      <w:spacing w:before="360" w:after="60"/>
    </w:pPr>
    <w:rPr>
      <w:rFonts w:ascii="Arial" w:eastAsia="Times New Roman" w:hAnsi="Arial"/>
      <w:b/>
      <w:bCs/>
      <w:iCs/>
      <w:szCs w:val="28"/>
      <w:lang w:val="da-DK"/>
    </w:rPr>
  </w:style>
  <w:style w:type="character" w:customStyle="1" w:styleId="ECCBreakZchn">
    <w:name w:val="ECC Break Zchn"/>
    <w:basedOn w:val="DefaultParagraphFont"/>
    <w:link w:val="ECCBreak"/>
    <w:rsid w:val="003A3B5C"/>
    <w:rPr>
      <w:rFonts w:ascii="Arial" w:eastAsia="Times New Roman" w:hAnsi="Arial"/>
      <w:b/>
      <w:bCs/>
      <w:iCs/>
      <w:szCs w:val="28"/>
      <w:lang w:val="da-DK"/>
    </w:rPr>
  </w:style>
  <w:style w:type="character" w:customStyle="1" w:styleId="BRNormal">
    <w:name w:val="BR_Normal"/>
    <w:basedOn w:val="DefaultParagraphFont"/>
    <w:uiPriority w:val="1"/>
    <w:qFormat/>
    <w:rsid w:val="00942191"/>
  </w:style>
  <w:style w:type="character" w:customStyle="1" w:styleId="Heading2Char">
    <w:name w:val="Heading 2 Char"/>
    <w:basedOn w:val="DefaultParagraphFont"/>
    <w:link w:val="Heading2"/>
    <w:semiHidden/>
    <w:rsid w:val="0094219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qFormat/>
    <w:rsid w:val="00942191"/>
    <w:pPr>
      <w:spacing w:before="100" w:beforeAutospacing="1" w:after="100" w:afterAutospacing="1"/>
    </w:pPr>
    <w:rPr>
      <w:rFonts w:eastAsia="SimSun"/>
      <w:lang w:eastAsia="zh-CN"/>
    </w:rPr>
  </w:style>
  <w:style w:type="paragraph" w:customStyle="1" w:styleId="ECCBulletsLv1">
    <w:name w:val="ECC Bullets Lv1"/>
    <w:basedOn w:val="Normal"/>
    <w:qFormat/>
    <w:rsid w:val="00942191"/>
    <w:pPr>
      <w:numPr>
        <w:numId w:val="11"/>
      </w:numPr>
      <w:tabs>
        <w:tab w:val="left" w:pos="340"/>
      </w:tabs>
      <w:spacing w:before="60"/>
      <w:jc w:val="both"/>
    </w:pPr>
    <w:rPr>
      <w:rFonts w:ascii="Arial" w:eastAsia="Calibri" w:hAnsi="Arial"/>
      <w:sz w:val="20"/>
      <w:szCs w:val="22"/>
      <w:lang w:val="en-GB"/>
    </w:rPr>
  </w:style>
  <w:style w:type="character" w:customStyle="1" w:styleId="ECCHLgreen">
    <w:name w:val="ECC HL green"/>
    <w:basedOn w:val="DefaultParagraphFont"/>
    <w:uiPriority w:val="1"/>
    <w:qFormat/>
    <w:rsid w:val="00942191"/>
    <w:rPr>
      <w:bdr w:val="none" w:sz="0" w:space="0" w:color="auto"/>
      <w:shd w:val="solid" w:color="92D050" w:fill="auto"/>
      <w:lang w:val="en-GB"/>
    </w:rPr>
  </w:style>
  <w:style w:type="character" w:customStyle="1" w:styleId="ECCParagraph">
    <w:name w:val="ECC Paragraph"/>
    <w:basedOn w:val="DefaultParagraphFont"/>
    <w:uiPriority w:val="1"/>
    <w:qFormat/>
    <w:rsid w:val="00942191"/>
    <w:rPr>
      <w:rFonts w:ascii="Arial" w:hAnsi="Arial"/>
      <w:noProof w:val="0"/>
      <w:sz w:val="20"/>
      <w:bdr w:val="none" w:sz="0" w:space="0" w:color="auto"/>
      <w:lang w:val="en-GB"/>
    </w:rPr>
  </w:style>
  <w:style w:type="paragraph" w:customStyle="1" w:styleId="ECCNumberedList">
    <w:name w:val="ECC Numbered List"/>
    <w:basedOn w:val="Normal"/>
    <w:rsid w:val="00023BEC"/>
    <w:pPr>
      <w:numPr>
        <w:numId w:val="12"/>
      </w:numPr>
      <w:spacing w:before="240"/>
      <w:jc w:val="both"/>
    </w:pPr>
    <w:rPr>
      <w:rFonts w:ascii="Arial" w:eastAsia="Calibri" w:hAnsi="Arial"/>
      <w:sz w:val="20"/>
      <w:szCs w:val="20"/>
      <w:lang w:val="en-GB"/>
    </w:rPr>
  </w:style>
  <w:style w:type="paragraph" w:customStyle="1" w:styleId="Default">
    <w:name w:val="Default"/>
    <w:rsid w:val="00BD4FEE"/>
    <w:pPr>
      <w:autoSpaceDE w:val="0"/>
      <w:autoSpaceDN w:val="0"/>
      <w:adjustRightInd w:val="0"/>
    </w:pPr>
    <w:rPr>
      <w:rFonts w:eastAsia="Times New Roman"/>
      <w:color w:val="000000"/>
      <w:sz w:val="24"/>
      <w:szCs w:val="24"/>
      <w:lang w:eastAsia="zh-CN"/>
    </w:rPr>
  </w:style>
  <w:style w:type="paragraph" w:customStyle="1" w:styleId="ECCBulletsLv2">
    <w:name w:val="ECC Bullets Lv2"/>
    <w:basedOn w:val="ECCBulletsLv1"/>
    <w:rsid w:val="00C2161D"/>
    <w:pPr>
      <w:numPr>
        <w:numId w:val="15"/>
      </w:numPr>
      <w:ind w:left="680" w:hanging="340"/>
    </w:pPr>
  </w:style>
  <w:style w:type="paragraph" w:customStyle="1" w:styleId="enumlev1">
    <w:name w:val="enumlev1"/>
    <w:basedOn w:val="Normal"/>
    <w:link w:val="enumlev1Char"/>
    <w:qFormat/>
    <w:rsid w:val="00C2161D"/>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enumlev1Char">
    <w:name w:val="enumlev1 Char"/>
    <w:basedOn w:val="DefaultParagraphFont"/>
    <w:link w:val="enumlev1"/>
    <w:locked/>
    <w:rsid w:val="00C2161D"/>
    <w:rPr>
      <w:rFonts w:eastAsia="Times New Roman"/>
      <w:sz w:val="24"/>
      <w:lang w:val="en-GB"/>
    </w:rPr>
  </w:style>
  <w:style w:type="character" w:customStyle="1" w:styleId="Artdef">
    <w:name w:val="Art_def"/>
    <w:basedOn w:val="DefaultParagraphFont"/>
    <w:rsid w:val="003A397B"/>
    <w:rPr>
      <w:rFonts w:ascii="Times New Roman" w:hAnsi="Times New Roman"/>
      <w:b/>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3A397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Char,DNV-FT,Char1"/>
    <w:basedOn w:val="Normal"/>
    <w:link w:val="FootnoteTextChar"/>
    <w:qFormat/>
    <w:rsid w:val="003A397B"/>
    <w:pPr>
      <w:keepLines/>
      <w:tabs>
        <w:tab w:val="left" w:pos="255"/>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Char,DNV-FT Char1"/>
    <w:basedOn w:val="DefaultParagraphFont"/>
    <w:link w:val="FootnoteText"/>
    <w:rsid w:val="003A397B"/>
    <w:rPr>
      <w:rFonts w:eastAsia="Times New Roman"/>
      <w:sz w:val="24"/>
      <w:lang w:val="en-GB"/>
    </w:rPr>
  </w:style>
  <w:style w:type="paragraph" w:customStyle="1" w:styleId="Normalaftertitle">
    <w:name w:val="Normal_after_title"/>
    <w:basedOn w:val="Normal"/>
    <w:next w:val="Normal"/>
    <w:link w:val="NormalaftertitleChar"/>
    <w:uiPriority w:val="99"/>
    <w:rsid w:val="003A397B"/>
    <w:pPr>
      <w:tabs>
        <w:tab w:val="left" w:pos="1134"/>
        <w:tab w:val="left" w:pos="1871"/>
        <w:tab w:val="left" w:pos="2268"/>
      </w:tabs>
      <w:overflowPunct w:val="0"/>
      <w:autoSpaceDE w:val="0"/>
      <w:autoSpaceDN w:val="0"/>
      <w:adjustRightInd w:val="0"/>
      <w:spacing w:before="360"/>
      <w:textAlignment w:val="baseline"/>
    </w:pPr>
    <w:rPr>
      <w:rFonts w:eastAsia="Times New Roman"/>
      <w:szCs w:val="20"/>
      <w:lang w:val="en-GB"/>
    </w:rPr>
  </w:style>
  <w:style w:type="character" w:customStyle="1" w:styleId="NormalaftertitleChar">
    <w:name w:val="Normal_after_title Char"/>
    <w:basedOn w:val="DefaultParagraphFont"/>
    <w:link w:val="Normalaftertitle"/>
    <w:uiPriority w:val="99"/>
    <w:locked/>
    <w:rsid w:val="003A397B"/>
    <w:rPr>
      <w:rFonts w:eastAsia="Times New Roman"/>
      <w:sz w:val="24"/>
      <w:lang w:val="en-GB"/>
    </w:rPr>
  </w:style>
  <w:style w:type="paragraph" w:styleId="BalloonText">
    <w:name w:val="Balloon Text"/>
    <w:basedOn w:val="Normal"/>
    <w:link w:val="BalloonTextChar"/>
    <w:semiHidden/>
    <w:unhideWhenUsed/>
    <w:rsid w:val="00CE273C"/>
    <w:rPr>
      <w:rFonts w:ascii="Segoe UI" w:hAnsi="Segoe UI" w:cs="Segoe UI"/>
      <w:sz w:val="18"/>
      <w:szCs w:val="18"/>
    </w:rPr>
  </w:style>
  <w:style w:type="character" w:customStyle="1" w:styleId="BalloonTextChar">
    <w:name w:val="Balloon Text Char"/>
    <w:basedOn w:val="DefaultParagraphFont"/>
    <w:link w:val="BalloonText"/>
    <w:semiHidden/>
    <w:rsid w:val="00CE273C"/>
    <w:rPr>
      <w:rFonts w:ascii="Segoe UI" w:eastAsia="BatangChe" w:hAnsi="Segoe UI" w:cs="Segoe UI"/>
      <w:sz w:val="18"/>
      <w:szCs w:val="18"/>
    </w:rPr>
  </w:style>
  <w:style w:type="paragraph" w:customStyle="1" w:styleId="MS">
    <w:name w:val="MS바탕글"/>
    <w:basedOn w:val="Normal"/>
    <w:rsid w:val="000839D8"/>
    <w:pPr>
      <w:tabs>
        <w:tab w:val="left" w:pos="1134"/>
        <w:tab w:val="left" w:pos="1872"/>
        <w:tab w:val="left" w:pos="2268"/>
      </w:tabs>
      <w:autoSpaceDE w:val="0"/>
      <w:autoSpaceDN w:val="0"/>
      <w:spacing w:before="120"/>
      <w:textAlignment w:val="baseline"/>
    </w:pPr>
    <w:rPr>
      <w:rFonts w:ascii="Gulim" w:eastAsia="Gulim" w:hAnsi="Gulim" w:cs="Gulim"/>
      <w:color w:val="000000"/>
      <w:lang w:eastAsia="ko-KR"/>
    </w:rPr>
  </w:style>
  <w:style w:type="character" w:customStyle="1" w:styleId="ListParagraphChar">
    <w:name w:val="List Paragraph Char"/>
    <w:link w:val="ListParagraph"/>
    <w:uiPriority w:val="34"/>
    <w:locked/>
    <w:rsid w:val="005A11DB"/>
    <w:rPr>
      <w:rFonts w:eastAsia="Times New Roman"/>
      <w:sz w:val="24"/>
      <w:lang w:val="en-GB"/>
    </w:rPr>
  </w:style>
  <w:style w:type="character" w:customStyle="1" w:styleId="fontstyle01">
    <w:name w:val="fontstyle01"/>
    <w:basedOn w:val="DefaultParagraphFont"/>
    <w:rsid w:val="005A11DB"/>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A11DB"/>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857461">
      <w:bodyDiv w:val="1"/>
      <w:marLeft w:val="0"/>
      <w:marRight w:val="0"/>
      <w:marTop w:val="0"/>
      <w:marBottom w:val="0"/>
      <w:divBdr>
        <w:top w:val="none" w:sz="0" w:space="0" w:color="auto"/>
        <w:left w:val="none" w:sz="0" w:space="0" w:color="auto"/>
        <w:bottom w:val="none" w:sz="0" w:space="0" w:color="auto"/>
        <w:right w:val="none" w:sz="0" w:space="0" w:color="auto"/>
      </w:divBdr>
    </w:div>
    <w:div w:id="1095906973">
      <w:bodyDiv w:val="1"/>
      <w:marLeft w:val="0"/>
      <w:marRight w:val="0"/>
      <w:marTop w:val="0"/>
      <w:marBottom w:val="0"/>
      <w:divBdr>
        <w:top w:val="none" w:sz="0" w:space="0" w:color="auto"/>
        <w:left w:val="none" w:sz="0" w:space="0" w:color="auto"/>
        <w:bottom w:val="none" w:sz="0" w:space="0" w:color="auto"/>
        <w:right w:val="none" w:sz="0" w:space="0" w:color="auto"/>
      </w:divBdr>
    </w:div>
    <w:div w:id="1373336263">
      <w:bodyDiv w:val="1"/>
      <w:marLeft w:val="0"/>
      <w:marRight w:val="0"/>
      <w:marTop w:val="0"/>
      <w:marBottom w:val="0"/>
      <w:divBdr>
        <w:top w:val="none" w:sz="0" w:space="0" w:color="auto"/>
        <w:left w:val="none" w:sz="0" w:space="0" w:color="auto"/>
        <w:bottom w:val="none" w:sz="0" w:space="0" w:color="auto"/>
        <w:right w:val="none" w:sz="0" w:space="0" w:color="auto"/>
      </w:divBdr>
    </w:div>
    <w:div w:id="182388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natuan@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APT Secretariat</cp:lastModifiedBy>
  <cp:revision>6</cp:revision>
  <cp:lastPrinted>2017-06-29T10:47:00Z</cp:lastPrinted>
  <dcterms:created xsi:type="dcterms:W3CDTF">2018-12-24T02:30:00Z</dcterms:created>
  <dcterms:modified xsi:type="dcterms:W3CDTF">2018-12-25T10:14:00Z</dcterms:modified>
</cp:coreProperties>
</file>