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14:paraId="17A27796" w14:textId="77777777" w:rsidTr="00BF12AF">
        <w:trPr>
          <w:cantSplit/>
        </w:trPr>
        <w:tc>
          <w:tcPr>
            <w:tcW w:w="1399" w:type="dxa"/>
            <w:vMerge w:val="restart"/>
          </w:tcPr>
          <w:p w14:paraId="2710FB4A" w14:textId="77777777" w:rsidR="001A25A5" w:rsidRPr="00441526" w:rsidRDefault="001A25A5"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lang w:eastAsia="en-US"/>
              </w:rPr>
              <w:drawing>
                <wp:inline distT="0" distB="0" distL="0" distR="0" wp14:anchorId="5A8C3514" wp14:editId="4FDD2FFC">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14:paraId="518508CB" w14:textId="77777777" w:rsidR="001A25A5" w:rsidRPr="00441526" w:rsidRDefault="001A25A5" w:rsidP="00BF12AF">
            <w:r w:rsidRPr="00441526">
              <w:t>ASIA-PACIFIC TELECOMMUNITY</w:t>
            </w:r>
          </w:p>
        </w:tc>
        <w:tc>
          <w:tcPr>
            <w:tcW w:w="2700" w:type="dxa"/>
          </w:tcPr>
          <w:p w14:paraId="77AF3573" w14:textId="77777777" w:rsidR="001A25A5" w:rsidRPr="00441526" w:rsidRDefault="001A25A5" w:rsidP="00BF12AF">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14:paraId="17351254" w14:textId="77777777" w:rsidTr="00BF12AF">
        <w:trPr>
          <w:cantSplit/>
        </w:trPr>
        <w:tc>
          <w:tcPr>
            <w:tcW w:w="1399" w:type="dxa"/>
            <w:vMerge/>
          </w:tcPr>
          <w:p w14:paraId="4ED2843E" w14:textId="77777777" w:rsidR="001A25A5" w:rsidRPr="00441526" w:rsidRDefault="001A25A5" w:rsidP="00BF12AF"/>
        </w:tc>
        <w:tc>
          <w:tcPr>
            <w:tcW w:w="5720" w:type="dxa"/>
          </w:tcPr>
          <w:p w14:paraId="7D2814B0" w14:textId="77777777" w:rsidR="001A25A5" w:rsidRPr="00441526" w:rsidRDefault="001A25A5" w:rsidP="00BF12AF">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14:paraId="05AE9FCC" w14:textId="0C83FFD8" w:rsidR="001A25A5" w:rsidRPr="00441526" w:rsidRDefault="001A25A5" w:rsidP="00BF12AF">
            <w:pPr>
              <w:rPr>
                <w:b/>
                <w:bCs/>
                <w:lang w:val="fr-FR"/>
              </w:rPr>
            </w:pPr>
            <w:r w:rsidRPr="00441526">
              <w:rPr>
                <w:b/>
                <w:bCs/>
                <w:lang w:val="fr-FR"/>
              </w:rPr>
              <w:t>APG19-</w:t>
            </w:r>
            <w:r>
              <w:rPr>
                <w:b/>
                <w:bCs/>
                <w:lang w:val="fr-FR"/>
              </w:rPr>
              <w:t>4</w:t>
            </w:r>
            <w:r w:rsidRPr="00441526">
              <w:rPr>
                <w:b/>
                <w:bCs/>
                <w:lang w:val="fr-FR"/>
              </w:rPr>
              <w:t>/</w:t>
            </w:r>
            <w:r>
              <w:rPr>
                <w:b/>
                <w:bCs/>
                <w:lang w:val="fr-FR"/>
              </w:rPr>
              <w:t>INP</w:t>
            </w:r>
            <w:r w:rsidRPr="00441526">
              <w:rPr>
                <w:b/>
                <w:bCs/>
                <w:lang w:val="fr-FR"/>
              </w:rPr>
              <w:t>-</w:t>
            </w:r>
            <w:r w:rsidR="007B30F3">
              <w:rPr>
                <w:b/>
                <w:bCs/>
                <w:lang w:val="fr-FR"/>
              </w:rPr>
              <w:t>54</w:t>
            </w:r>
          </w:p>
        </w:tc>
      </w:tr>
      <w:tr w:rsidR="001A25A5" w:rsidRPr="00441526" w14:paraId="34820921" w14:textId="77777777" w:rsidTr="00BF12AF">
        <w:trPr>
          <w:cantSplit/>
          <w:trHeight w:val="219"/>
        </w:trPr>
        <w:tc>
          <w:tcPr>
            <w:tcW w:w="1399" w:type="dxa"/>
            <w:vMerge/>
          </w:tcPr>
          <w:p w14:paraId="6A0CE359" w14:textId="77777777" w:rsidR="001A25A5" w:rsidRPr="00441526" w:rsidRDefault="001A25A5" w:rsidP="00BF12AF">
            <w:pPr>
              <w:rPr>
                <w:lang w:val="fr-FR"/>
              </w:rPr>
            </w:pPr>
          </w:p>
        </w:tc>
        <w:tc>
          <w:tcPr>
            <w:tcW w:w="5720" w:type="dxa"/>
          </w:tcPr>
          <w:p w14:paraId="0B7ACE70" w14:textId="341078AC" w:rsidR="001A25A5" w:rsidRPr="00441526" w:rsidRDefault="001A25A5" w:rsidP="007B30F3">
            <w:r>
              <w:t>7</w:t>
            </w:r>
            <w:r w:rsidRPr="00441526">
              <w:t xml:space="preserve"> – 1</w:t>
            </w:r>
            <w:r>
              <w:t>2</w:t>
            </w:r>
            <w:r w:rsidRPr="00441526">
              <w:t xml:space="preserve"> </w:t>
            </w:r>
            <w:r>
              <w:t xml:space="preserve">January </w:t>
            </w:r>
            <w:r w:rsidRPr="00441526">
              <w:t>201</w:t>
            </w:r>
            <w:r w:rsidR="007B30F3">
              <w:t>9</w:t>
            </w:r>
            <w:r w:rsidRPr="00441526">
              <w:t xml:space="preserve">, </w:t>
            </w:r>
            <w:r>
              <w:t>Busan</w:t>
            </w:r>
            <w:r w:rsidRPr="00441526">
              <w:t xml:space="preserve">, </w:t>
            </w:r>
            <w:r>
              <w:t>Republic of Korea</w:t>
            </w:r>
          </w:p>
        </w:tc>
        <w:tc>
          <w:tcPr>
            <w:tcW w:w="2700" w:type="dxa"/>
          </w:tcPr>
          <w:p w14:paraId="014E50E5" w14:textId="45BAF613" w:rsidR="001A25A5" w:rsidRPr="00441526" w:rsidRDefault="007B30F3" w:rsidP="00BF12AF">
            <w:pPr>
              <w:rPr>
                <w:b/>
              </w:rPr>
            </w:pPr>
            <w:r>
              <w:rPr>
                <w:b/>
              </w:rPr>
              <w:t>28</w:t>
            </w:r>
            <w:r w:rsidR="001A25A5" w:rsidRPr="00441526">
              <w:rPr>
                <w:b/>
              </w:rPr>
              <w:t xml:space="preserve"> </w:t>
            </w:r>
            <w:r w:rsidR="001A25A5">
              <w:rPr>
                <w:b/>
              </w:rPr>
              <w:t xml:space="preserve">December </w:t>
            </w:r>
            <w:r w:rsidR="001A25A5" w:rsidRPr="00441526">
              <w:rPr>
                <w:b/>
              </w:rPr>
              <w:t>2018</w:t>
            </w:r>
          </w:p>
        </w:tc>
      </w:tr>
    </w:tbl>
    <w:p w14:paraId="7BA509B5" w14:textId="77777777" w:rsidR="00DA7595" w:rsidRPr="001A25A5" w:rsidRDefault="00DA7595" w:rsidP="00DA7595">
      <w:pPr>
        <w:rPr>
          <w:sz w:val="26"/>
          <w:szCs w:val="26"/>
          <w:lang w:eastAsia="ko-KR"/>
        </w:rPr>
      </w:pPr>
    </w:p>
    <w:p w14:paraId="05725E7B" w14:textId="325A36A6" w:rsidR="00DA7595" w:rsidRPr="001A25A5" w:rsidRDefault="00BC5610" w:rsidP="00DA7595">
      <w:pPr>
        <w:jc w:val="center"/>
        <w:rPr>
          <w:sz w:val="26"/>
          <w:szCs w:val="26"/>
          <w:lang w:eastAsia="ko-KR"/>
        </w:rPr>
      </w:pPr>
      <w:r>
        <w:rPr>
          <w:sz w:val="26"/>
          <w:szCs w:val="26"/>
          <w:lang w:eastAsia="ko-KR"/>
        </w:rPr>
        <w:t>Malaysia</w:t>
      </w:r>
    </w:p>
    <w:p w14:paraId="0F9F37FA" w14:textId="77777777" w:rsidR="00FE3DE5" w:rsidRPr="001A25A5" w:rsidRDefault="00FE3DE5" w:rsidP="0063062B">
      <w:pPr>
        <w:jc w:val="center"/>
        <w:rPr>
          <w:bCs/>
          <w:caps/>
          <w:sz w:val="26"/>
          <w:szCs w:val="26"/>
        </w:rPr>
      </w:pPr>
    </w:p>
    <w:p w14:paraId="6A333A80" w14:textId="072C288C" w:rsidR="00C357AD" w:rsidRPr="001A25A5" w:rsidRDefault="00FE3DE5" w:rsidP="0063062B">
      <w:pPr>
        <w:jc w:val="center"/>
        <w:rPr>
          <w:b/>
          <w:bCs/>
          <w:caps/>
        </w:rPr>
      </w:pPr>
      <w:r w:rsidRPr="001A25A5">
        <w:rPr>
          <w:b/>
          <w:bCs/>
          <w:caps/>
        </w:rPr>
        <w:t>preliminary views on WRC-1</w:t>
      </w:r>
      <w:r w:rsidR="000476FF">
        <w:rPr>
          <w:b/>
          <w:bCs/>
          <w:caps/>
        </w:rPr>
        <w:t>9</w:t>
      </w:r>
      <w:r w:rsidR="009E1B46">
        <w:rPr>
          <w:b/>
          <w:bCs/>
          <w:caps/>
        </w:rPr>
        <w:t xml:space="preserve"> agenda items 1.13 and 1.16</w:t>
      </w:r>
    </w:p>
    <w:p w14:paraId="4A5821AF" w14:textId="77777777" w:rsidR="00DB0A68" w:rsidRDefault="00DB0A68" w:rsidP="00C357AD">
      <w:pPr>
        <w:jc w:val="center"/>
      </w:pPr>
    </w:p>
    <w:p w14:paraId="3211009B" w14:textId="77777777" w:rsidR="00C357AD" w:rsidRDefault="00C357AD" w:rsidP="00C357AD">
      <w:pPr>
        <w:jc w:val="center"/>
        <w:rPr>
          <w:b/>
        </w:rPr>
      </w:pPr>
    </w:p>
    <w:p w14:paraId="5150FF77" w14:textId="77777777" w:rsidR="00C357AD" w:rsidRDefault="00C357AD" w:rsidP="00C357AD">
      <w:pPr>
        <w:jc w:val="both"/>
        <w:rPr>
          <w:b/>
        </w:rPr>
      </w:pPr>
    </w:p>
    <w:p w14:paraId="2B656B2C" w14:textId="77777777" w:rsidR="008319BF" w:rsidRDefault="00F0414C" w:rsidP="00C357AD">
      <w:pPr>
        <w:jc w:val="both"/>
      </w:pPr>
      <w:r>
        <w:rPr>
          <w:b/>
        </w:rPr>
        <w:t>Agenda Item 1.13</w:t>
      </w:r>
      <w:r w:rsidR="000A5418">
        <w:rPr>
          <w:b/>
        </w:rPr>
        <w:t xml:space="preserve">: </w:t>
      </w:r>
    </w:p>
    <w:p w14:paraId="6CCD42E2" w14:textId="77777777" w:rsidR="000A5418" w:rsidRDefault="002D467D" w:rsidP="00C357AD">
      <w:pPr>
        <w:jc w:val="both"/>
      </w:pPr>
      <w:r>
        <w:rPr>
          <w:i/>
          <w:iCs/>
        </w:rPr>
        <w:t>T</w:t>
      </w:r>
      <w:r w:rsidR="00F0414C" w:rsidRPr="00265951">
        <w:rPr>
          <w:i/>
          <w:iCs/>
        </w:rPr>
        <w:t xml:space="preserve">o consider identification of frequency bands for the future development of International Mobile Telecommunications (IMT), including possible additional allocations to the mobile service on a primary basis, in accordance with Resolution </w:t>
      </w:r>
      <w:r w:rsidR="00F0414C" w:rsidRPr="00265951">
        <w:rPr>
          <w:b/>
          <w:bCs/>
          <w:i/>
          <w:iCs/>
        </w:rPr>
        <w:t>238 (WRC-15</w:t>
      </w:r>
      <w:r w:rsidR="00F0414C">
        <w:rPr>
          <w:b/>
          <w:bCs/>
          <w:i/>
          <w:iCs/>
        </w:rPr>
        <w:t>)</w:t>
      </w:r>
      <w:r w:rsidRPr="002D467D">
        <w:rPr>
          <w:bCs/>
          <w:i/>
          <w:iCs/>
        </w:rPr>
        <w:t>.</w:t>
      </w:r>
    </w:p>
    <w:p w14:paraId="198BD862" w14:textId="77777777" w:rsidR="000A5418" w:rsidRDefault="000A5418" w:rsidP="00C357AD">
      <w:pPr>
        <w:jc w:val="both"/>
      </w:pPr>
    </w:p>
    <w:p w14:paraId="24F8D9E1" w14:textId="77777777" w:rsidR="002D467D" w:rsidRDefault="002D467D" w:rsidP="00C357AD">
      <w:pPr>
        <w:jc w:val="both"/>
      </w:pPr>
    </w:p>
    <w:p w14:paraId="79CB6201" w14:textId="77777777" w:rsidR="002D467D" w:rsidRPr="00A30FA5" w:rsidRDefault="002D467D" w:rsidP="002D467D">
      <w:pPr>
        <w:spacing w:after="120"/>
        <w:jc w:val="both"/>
        <w:rPr>
          <w:b/>
          <w:lang w:eastAsia="ko-KR"/>
        </w:rPr>
      </w:pPr>
      <w:r w:rsidRPr="00A30FA5">
        <w:rPr>
          <w:rFonts w:hint="eastAsia"/>
          <w:b/>
          <w:lang w:eastAsia="ko-KR"/>
        </w:rPr>
        <w:t>1. Background</w:t>
      </w:r>
    </w:p>
    <w:p w14:paraId="0A7BB554" w14:textId="77777777" w:rsidR="001D47B7" w:rsidRPr="00265951" w:rsidRDefault="001D47B7" w:rsidP="001D47B7">
      <w:pPr>
        <w:rPr>
          <w:lang w:eastAsia="ko-KR"/>
        </w:rPr>
      </w:pPr>
      <w:r w:rsidRPr="00265951">
        <w:rPr>
          <w:lang w:eastAsia="ko-KR"/>
        </w:rPr>
        <w:t>IMT systems are now being evolved to provide diverse usage scenarios and applications such as enhanced mobile broadband (</w:t>
      </w:r>
      <w:proofErr w:type="spellStart"/>
      <w:r w:rsidRPr="00265951">
        <w:rPr>
          <w:lang w:eastAsia="ko-KR"/>
        </w:rPr>
        <w:t>eMBB</w:t>
      </w:r>
      <w:proofErr w:type="spellEnd"/>
      <w:r w:rsidRPr="00265951">
        <w:rPr>
          <w:lang w:eastAsia="ko-KR"/>
        </w:rPr>
        <w:t>), massive machine-type communications (</w:t>
      </w:r>
      <w:proofErr w:type="spellStart"/>
      <w:r w:rsidRPr="00265951">
        <w:rPr>
          <w:lang w:eastAsia="ko-KR"/>
        </w:rPr>
        <w:t>mMTC</w:t>
      </w:r>
      <w:proofErr w:type="spellEnd"/>
      <w:r w:rsidRPr="00265951">
        <w:rPr>
          <w:lang w:eastAsia="ko-KR"/>
        </w:rPr>
        <w:t>) and ultra-reliable and low-latency communications (URLLC) requiring larger contiguous blocks of spectrum than currently available as described in Recommendation ITU-R M.2083.</w:t>
      </w:r>
    </w:p>
    <w:p w14:paraId="46E81FD2" w14:textId="77777777" w:rsidR="00342931" w:rsidRDefault="00342931" w:rsidP="001D47B7">
      <w:pPr>
        <w:rPr>
          <w:iCs/>
        </w:rPr>
      </w:pPr>
    </w:p>
    <w:p w14:paraId="52199FFE" w14:textId="77777777" w:rsidR="001D47B7" w:rsidRDefault="001D47B7" w:rsidP="001D47B7">
      <w:pPr>
        <w:rPr>
          <w:iCs/>
        </w:rPr>
      </w:pPr>
      <w:r w:rsidRPr="00342931">
        <w:rPr>
          <w:iCs/>
        </w:rPr>
        <w:t xml:space="preserve">It is important to note that the properties of higher frequency bands, such as shorter wavelength, would better enable the use of advanced antenna systems, including multiple-input and multiple-output (MIMO) and beam-forming techniques in supporting </w:t>
      </w:r>
      <w:proofErr w:type="spellStart"/>
      <w:r w:rsidRPr="00342931">
        <w:rPr>
          <w:iCs/>
        </w:rPr>
        <w:t>eMBB</w:t>
      </w:r>
      <w:proofErr w:type="spellEnd"/>
      <w:r w:rsidRPr="00342931">
        <w:rPr>
          <w:iCs/>
        </w:rPr>
        <w:t>.</w:t>
      </w:r>
    </w:p>
    <w:p w14:paraId="3C1BB1E9" w14:textId="77777777" w:rsidR="001D47B7" w:rsidRPr="00265951" w:rsidRDefault="001D47B7" w:rsidP="001D47B7">
      <w:pPr>
        <w:rPr>
          <w:iCs/>
        </w:rPr>
      </w:pPr>
    </w:p>
    <w:p w14:paraId="0D84FAEF" w14:textId="77777777" w:rsidR="001D47B7" w:rsidRPr="00265951" w:rsidRDefault="001D47B7" w:rsidP="001D47B7">
      <w:pPr>
        <w:rPr>
          <w:iCs/>
        </w:rPr>
      </w:pPr>
      <w:r w:rsidRPr="00265951">
        <w:rPr>
          <w:iCs/>
        </w:rPr>
        <w:t xml:space="preserve">Resolution </w:t>
      </w:r>
      <w:r w:rsidRPr="00265951">
        <w:rPr>
          <w:b/>
          <w:bCs/>
          <w:iCs/>
        </w:rPr>
        <w:t xml:space="preserve">238 (WRC-15) </w:t>
      </w:r>
      <w:r w:rsidRPr="00265951">
        <w:rPr>
          <w:iCs/>
        </w:rPr>
        <w:t xml:space="preserve">calls for studies to determine the spectrum needs for the terrestrial component of IMT in the frequency range between 24.25 GHz and 86 GHz, as well as sharing and compatibility studies, taking into account the protection of services to which the </w:t>
      </w:r>
      <w:r w:rsidRPr="00265951">
        <w:rPr>
          <w:rFonts w:asciiTheme="majorBidi" w:hAnsiTheme="majorBidi" w:cstheme="majorBidi"/>
          <w:szCs w:val="22"/>
        </w:rPr>
        <w:t xml:space="preserve">frequency </w:t>
      </w:r>
      <w:r w:rsidRPr="00265951">
        <w:rPr>
          <w:iCs/>
        </w:rPr>
        <w:t>band is allocated on a primary basis, for the frequency bands:</w:t>
      </w:r>
    </w:p>
    <w:p w14:paraId="419B5AA5" w14:textId="77777777" w:rsidR="001D47B7" w:rsidRPr="00265951" w:rsidRDefault="001D47B7" w:rsidP="001D47B7">
      <w:pPr>
        <w:pStyle w:val="enumlev1"/>
        <w:tabs>
          <w:tab w:val="clear" w:pos="1134"/>
          <w:tab w:val="left" w:pos="360"/>
        </w:tabs>
        <w:ind w:left="360" w:hanging="360"/>
        <w:rPr>
          <w:lang w:val="en-US"/>
        </w:rPr>
      </w:pPr>
      <w:r w:rsidRPr="00265951">
        <w:rPr>
          <w:lang w:val="en-US"/>
        </w:rPr>
        <w:t>–</w:t>
      </w:r>
      <w:r w:rsidRPr="00265951">
        <w:rPr>
          <w:lang w:val="en-US"/>
        </w:rPr>
        <w:tab/>
        <w:t>24.25-27.5 GHz, 37-40.5 GHz, 42.5-43.5 GHz, 45.5-47 GHz, 47.2-50.2 GHz, 50.4</w:t>
      </w:r>
      <w:r w:rsidRPr="00265951">
        <w:rPr>
          <w:lang w:val="en-US"/>
        </w:rPr>
        <w:noBreakHyphen/>
        <w:t>52.6 GHz, 66-76 GHz and 81-86 GHz, which have allocations to the mobile service on a primary basis; and</w:t>
      </w:r>
    </w:p>
    <w:p w14:paraId="7FF15224" w14:textId="20710306" w:rsidR="001D47B7" w:rsidRDefault="001D47B7" w:rsidP="001D47B7">
      <w:pPr>
        <w:pStyle w:val="enumlev1"/>
        <w:tabs>
          <w:tab w:val="clear" w:pos="1134"/>
          <w:tab w:val="left" w:pos="360"/>
        </w:tabs>
        <w:ind w:left="360" w:hanging="360"/>
        <w:rPr>
          <w:lang w:val="en-US"/>
        </w:rPr>
      </w:pPr>
      <w:r w:rsidRPr="00265951">
        <w:rPr>
          <w:lang w:val="en-US"/>
        </w:rPr>
        <w:t>–</w:t>
      </w:r>
      <w:r w:rsidRPr="00265951">
        <w:rPr>
          <w:lang w:val="en-US"/>
        </w:rPr>
        <w:tab/>
        <w:t>31.8-33.4 GHz, 40.5-42.5 GHz and 47-47.2 GHz, which may require additional allocations to the mobile service on a primary basis.</w:t>
      </w:r>
    </w:p>
    <w:p w14:paraId="2A8DBAB3" w14:textId="3E1E3C31" w:rsidR="006D7F94" w:rsidRDefault="006D7F94" w:rsidP="001D47B7">
      <w:pPr>
        <w:pStyle w:val="enumlev1"/>
        <w:tabs>
          <w:tab w:val="clear" w:pos="1134"/>
          <w:tab w:val="left" w:pos="360"/>
        </w:tabs>
        <w:ind w:left="360" w:hanging="360"/>
        <w:rPr>
          <w:lang w:val="en-US"/>
        </w:rPr>
      </w:pPr>
    </w:p>
    <w:p w14:paraId="71A95286" w14:textId="77777777" w:rsidR="006D7F94" w:rsidRDefault="006D7F94" w:rsidP="006D7F94">
      <w:pPr>
        <w:jc w:val="both"/>
      </w:pPr>
      <w:r>
        <w:t>In Malaysia, frequency 27.0-27.5 GHz is currently being used for FSS.</w:t>
      </w:r>
    </w:p>
    <w:p w14:paraId="67E925FD" w14:textId="77777777" w:rsidR="002D467D" w:rsidRDefault="002D467D" w:rsidP="002D467D">
      <w:pPr>
        <w:jc w:val="both"/>
      </w:pPr>
    </w:p>
    <w:p w14:paraId="76633EF0" w14:textId="6E9EF32E" w:rsidR="002D467D" w:rsidRDefault="001D47B7" w:rsidP="001D47B7">
      <w:pPr>
        <w:jc w:val="both"/>
      </w:pPr>
      <w:r w:rsidRPr="00327875">
        <w:t>The frequency bands considered as potential candidate frequency bands under this agenda item together with the applicable methods identified to satisfy the agenda item</w:t>
      </w:r>
      <w:r w:rsidR="00342931">
        <w:t xml:space="preserve"> </w:t>
      </w:r>
      <w:r w:rsidR="00DE5CB1">
        <w:t xml:space="preserve">as proposed in </w:t>
      </w:r>
      <w:r w:rsidR="00342931">
        <w:t>the draft CPM report</w:t>
      </w:r>
      <w:r w:rsidRPr="00327875">
        <w:t xml:space="preserve"> are summarized in the table below:</w:t>
      </w:r>
    </w:p>
    <w:p w14:paraId="587269D5" w14:textId="77777777" w:rsidR="002D467D" w:rsidRDefault="002D467D" w:rsidP="002D467D">
      <w:pPr>
        <w:jc w:val="both"/>
      </w:pPr>
    </w:p>
    <w:p w14:paraId="3852F8E8" w14:textId="77777777" w:rsidR="009F4E10" w:rsidRDefault="009F4E10" w:rsidP="002D467D">
      <w:pPr>
        <w:jc w:val="both"/>
      </w:pPr>
    </w:p>
    <w:p w14:paraId="62239EAA" w14:textId="77777777" w:rsidR="009F4E10" w:rsidRDefault="009F4E10" w:rsidP="002D467D">
      <w:pPr>
        <w:jc w:val="both"/>
      </w:pPr>
    </w:p>
    <w:p w14:paraId="0B8ADD6B" w14:textId="77777777" w:rsidR="009F4E10" w:rsidRDefault="009F4E10" w:rsidP="002D467D">
      <w:pPr>
        <w:jc w:val="both"/>
      </w:pPr>
    </w:p>
    <w:p w14:paraId="695CF66F" w14:textId="77777777" w:rsidR="009F4E10" w:rsidRDefault="009F4E10" w:rsidP="002D467D">
      <w:pPr>
        <w:jc w:val="both"/>
      </w:pPr>
    </w:p>
    <w:p w14:paraId="2E66F2BE" w14:textId="77777777" w:rsidR="009F4E10" w:rsidRDefault="009F4E10" w:rsidP="002D467D">
      <w:pPr>
        <w:jc w:val="both"/>
      </w:pPr>
    </w:p>
    <w:p w14:paraId="3E7B2483" w14:textId="77777777" w:rsidR="009F4E10" w:rsidRDefault="009F4E10" w:rsidP="002D467D">
      <w:pPr>
        <w:jc w:val="both"/>
      </w:pPr>
    </w:p>
    <w:p w14:paraId="153485FE" w14:textId="77777777" w:rsidR="009F4E10" w:rsidRDefault="009F4E10" w:rsidP="002D467D">
      <w:pPr>
        <w:jc w:val="both"/>
      </w:pPr>
    </w:p>
    <w:p w14:paraId="1B0510EE" w14:textId="77777777" w:rsidR="009F4E10" w:rsidRDefault="009F4E10" w:rsidP="002D467D">
      <w:pPr>
        <w:jc w:val="both"/>
      </w:pPr>
    </w:p>
    <w:p w14:paraId="2C674205" w14:textId="77777777" w:rsidR="009F4E10" w:rsidRDefault="009F4E10" w:rsidP="002D467D">
      <w:pPr>
        <w:jc w:val="both"/>
      </w:pPr>
    </w:p>
    <w:tbl>
      <w:tblPr>
        <w:tblStyle w:val="TableGrid"/>
        <w:tblW w:w="0" w:type="auto"/>
        <w:tblLook w:val="04A0" w:firstRow="1" w:lastRow="0" w:firstColumn="1" w:lastColumn="0" w:noHBand="0" w:noVBand="1"/>
      </w:tblPr>
      <w:tblGrid>
        <w:gridCol w:w="2326"/>
        <w:gridCol w:w="2327"/>
        <w:gridCol w:w="2327"/>
        <w:gridCol w:w="2327"/>
      </w:tblGrid>
      <w:tr w:rsidR="009F4E10" w14:paraId="60C897A1" w14:textId="77777777" w:rsidTr="009F4E10">
        <w:tc>
          <w:tcPr>
            <w:tcW w:w="2326" w:type="dxa"/>
            <w:vMerge w:val="restart"/>
            <w:shd w:val="clear" w:color="auto" w:fill="F2F2F2" w:themeFill="background1" w:themeFillShade="F2"/>
            <w:vAlign w:val="center"/>
          </w:tcPr>
          <w:p w14:paraId="105C7F34" w14:textId="77777777" w:rsidR="009F4E10" w:rsidRPr="009F4E10" w:rsidRDefault="009F4E10" w:rsidP="009F4E10">
            <w:pPr>
              <w:jc w:val="center"/>
              <w:rPr>
                <w:b/>
              </w:rPr>
            </w:pPr>
            <w:r>
              <w:rPr>
                <w:b/>
              </w:rPr>
              <w:t>Frequency b</w:t>
            </w:r>
            <w:r w:rsidRPr="009F4E10">
              <w:rPr>
                <w:b/>
              </w:rPr>
              <w:t>ands</w:t>
            </w:r>
          </w:p>
        </w:tc>
        <w:tc>
          <w:tcPr>
            <w:tcW w:w="6981" w:type="dxa"/>
            <w:gridSpan w:val="3"/>
            <w:shd w:val="clear" w:color="auto" w:fill="F2F2F2" w:themeFill="background1" w:themeFillShade="F2"/>
            <w:vAlign w:val="center"/>
          </w:tcPr>
          <w:p w14:paraId="4788A902" w14:textId="77777777" w:rsidR="009F4E10" w:rsidRPr="009F4E10" w:rsidRDefault="009F4E10" w:rsidP="009F4E10">
            <w:pPr>
              <w:jc w:val="center"/>
              <w:rPr>
                <w:b/>
              </w:rPr>
            </w:pPr>
            <w:r w:rsidRPr="009F4E10">
              <w:rPr>
                <w:b/>
              </w:rPr>
              <w:t>Methods to satisfy the agenda item</w:t>
            </w:r>
          </w:p>
        </w:tc>
      </w:tr>
      <w:tr w:rsidR="009F4E10" w14:paraId="68C827CE" w14:textId="77777777" w:rsidTr="009F4E10">
        <w:tc>
          <w:tcPr>
            <w:tcW w:w="2326" w:type="dxa"/>
            <w:vMerge/>
            <w:shd w:val="clear" w:color="auto" w:fill="F2F2F2" w:themeFill="background1" w:themeFillShade="F2"/>
            <w:vAlign w:val="center"/>
          </w:tcPr>
          <w:p w14:paraId="0A6DD688" w14:textId="77777777" w:rsidR="009F4E10" w:rsidRPr="009F4E10" w:rsidRDefault="009F4E10" w:rsidP="009F4E10">
            <w:pPr>
              <w:jc w:val="center"/>
              <w:rPr>
                <w:b/>
              </w:rPr>
            </w:pPr>
          </w:p>
        </w:tc>
        <w:tc>
          <w:tcPr>
            <w:tcW w:w="2327" w:type="dxa"/>
            <w:shd w:val="clear" w:color="auto" w:fill="F2F2F2" w:themeFill="background1" w:themeFillShade="F2"/>
            <w:vAlign w:val="center"/>
          </w:tcPr>
          <w:p w14:paraId="32CBC71F" w14:textId="77777777" w:rsidR="009F4E10" w:rsidRDefault="009F4E10" w:rsidP="009F4E10">
            <w:pPr>
              <w:jc w:val="center"/>
              <w:rPr>
                <w:b/>
              </w:rPr>
            </w:pPr>
            <w:r>
              <w:rPr>
                <w:b/>
              </w:rPr>
              <w:t xml:space="preserve">“X1” – </w:t>
            </w:r>
          </w:p>
          <w:p w14:paraId="4EA2AE14" w14:textId="77777777" w:rsidR="009F4E10" w:rsidRPr="009F4E10" w:rsidRDefault="009F4E10" w:rsidP="009F4E10">
            <w:pPr>
              <w:jc w:val="center"/>
              <w:rPr>
                <w:b/>
              </w:rPr>
            </w:pPr>
            <w:r w:rsidRPr="00265951">
              <w:t>No change to the Radio Regulations</w:t>
            </w:r>
          </w:p>
        </w:tc>
        <w:tc>
          <w:tcPr>
            <w:tcW w:w="2327" w:type="dxa"/>
            <w:shd w:val="clear" w:color="auto" w:fill="F2F2F2" w:themeFill="background1" w:themeFillShade="F2"/>
            <w:vAlign w:val="center"/>
          </w:tcPr>
          <w:p w14:paraId="51FD097C" w14:textId="77777777" w:rsidR="009F4E10" w:rsidRDefault="009F4E10" w:rsidP="009F4E10">
            <w:pPr>
              <w:jc w:val="center"/>
            </w:pPr>
            <w:r>
              <w:t>“</w:t>
            </w:r>
            <w:r w:rsidRPr="009F4E10">
              <w:rPr>
                <w:b/>
              </w:rPr>
              <w:t>X2</w:t>
            </w:r>
            <w:r>
              <w:t xml:space="preserve">” – </w:t>
            </w:r>
          </w:p>
          <w:p w14:paraId="7361BA2D" w14:textId="66A93F6D" w:rsidR="009F4E10" w:rsidRPr="009F4E10" w:rsidRDefault="009F4E10" w:rsidP="006D7F94">
            <w:pPr>
              <w:jc w:val="center"/>
              <w:rPr>
                <w:b/>
              </w:rPr>
            </w:pPr>
            <w:r w:rsidRPr="00265951">
              <w:t>Identification of the frequency band for IMT in accordance with</w:t>
            </w:r>
            <w:r w:rsidR="00DE5CB1">
              <w:t xml:space="preserve"> </w:t>
            </w:r>
            <w:r w:rsidRPr="00265951">
              <w:t>two alternatives</w:t>
            </w:r>
          </w:p>
        </w:tc>
        <w:tc>
          <w:tcPr>
            <w:tcW w:w="2327" w:type="dxa"/>
            <w:shd w:val="clear" w:color="auto" w:fill="F2F2F2" w:themeFill="background1" w:themeFillShade="F2"/>
            <w:vAlign w:val="center"/>
          </w:tcPr>
          <w:p w14:paraId="07305247" w14:textId="77777777" w:rsidR="009F4E10" w:rsidRDefault="009F4E10" w:rsidP="009F4E10">
            <w:pPr>
              <w:jc w:val="center"/>
              <w:rPr>
                <w:b/>
              </w:rPr>
            </w:pPr>
            <w:r>
              <w:rPr>
                <w:b/>
              </w:rPr>
              <w:t xml:space="preserve">“X3” – </w:t>
            </w:r>
          </w:p>
          <w:p w14:paraId="63D12011" w14:textId="5A72F4B6" w:rsidR="009F4E10" w:rsidRPr="009F4E10" w:rsidRDefault="009F4E10" w:rsidP="006D7F94">
            <w:pPr>
              <w:jc w:val="center"/>
              <w:rPr>
                <w:b/>
              </w:rPr>
            </w:pPr>
            <w:r w:rsidRPr="00265951">
              <w:rPr>
                <w:lang w:eastAsia="ko-KR"/>
              </w:rPr>
              <w:t xml:space="preserve">To continue studies on the possibility of identification </w:t>
            </w:r>
            <w:r w:rsidR="006D7F94">
              <w:rPr>
                <w:lang w:eastAsia="ko-KR"/>
              </w:rPr>
              <w:t>of</w:t>
            </w:r>
            <w:r w:rsidRPr="00265951">
              <w:rPr>
                <w:lang w:eastAsia="ko-KR"/>
              </w:rPr>
              <w:t xml:space="preserve"> the frequency band for IMT with a WRC Resolution</w:t>
            </w:r>
          </w:p>
        </w:tc>
      </w:tr>
      <w:tr w:rsidR="009F4E10" w14:paraId="69D45583" w14:textId="77777777" w:rsidTr="009F4E10">
        <w:tc>
          <w:tcPr>
            <w:tcW w:w="2326" w:type="dxa"/>
          </w:tcPr>
          <w:p w14:paraId="61ABFECC"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24.25-27.5 GHz</w:t>
            </w:r>
          </w:p>
        </w:tc>
        <w:tc>
          <w:tcPr>
            <w:tcW w:w="2327" w:type="dxa"/>
          </w:tcPr>
          <w:p w14:paraId="1E5AC6B5" w14:textId="77777777" w:rsidR="009F4E10" w:rsidRDefault="009F4E10" w:rsidP="009F4E10">
            <w:pPr>
              <w:jc w:val="center"/>
            </w:pPr>
            <w:r>
              <w:t>A1</w:t>
            </w:r>
          </w:p>
        </w:tc>
        <w:tc>
          <w:tcPr>
            <w:tcW w:w="2327" w:type="dxa"/>
          </w:tcPr>
          <w:p w14:paraId="1B85C521" w14:textId="77777777" w:rsidR="009F4E10" w:rsidRDefault="009F4E10" w:rsidP="009F4E10">
            <w:pPr>
              <w:jc w:val="center"/>
            </w:pPr>
            <w:r>
              <w:t>A2</w:t>
            </w:r>
          </w:p>
        </w:tc>
        <w:tc>
          <w:tcPr>
            <w:tcW w:w="2327" w:type="dxa"/>
          </w:tcPr>
          <w:p w14:paraId="75E83F61" w14:textId="77777777" w:rsidR="009F4E10" w:rsidRDefault="009F4E10" w:rsidP="009F4E10">
            <w:pPr>
              <w:jc w:val="center"/>
            </w:pPr>
            <w:r>
              <w:t>-</w:t>
            </w:r>
          </w:p>
        </w:tc>
      </w:tr>
      <w:tr w:rsidR="009F4E10" w14:paraId="38DA339E" w14:textId="77777777" w:rsidTr="009F4E10">
        <w:tc>
          <w:tcPr>
            <w:tcW w:w="2326" w:type="dxa"/>
          </w:tcPr>
          <w:p w14:paraId="11E16460"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Pr>
                <w:szCs w:val="24"/>
              </w:rPr>
              <w:t>31.8-33.4 GHz</w:t>
            </w:r>
          </w:p>
        </w:tc>
        <w:tc>
          <w:tcPr>
            <w:tcW w:w="2327" w:type="dxa"/>
          </w:tcPr>
          <w:p w14:paraId="0ED46BED" w14:textId="77777777" w:rsidR="009F4E10" w:rsidRDefault="009F4E10" w:rsidP="009F4E10">
            <w:pPr>
              <w:jc w:val="center"/>
            </w:pPr>
            <w:r>
              <w:t>B1</w:t>
            </w:r>
          </w:p>
        </w:tc>
        <w:tc>
          <w:tcPr>
            <w:tcW w:w="2327" w:type="dxa"/>
          </w:tcPr>
          <w:p w14:paraId="063D2DA8" w14:textId="77777777" w:rsidR="009F4E10" w:rsidRDefault="009F4E10" w:rsidP="009F4E10">
            <w:pPr>
              <w:jc w:val="center"/>
            </w:pPr>
            <w:r>
              <w:t>-</w:t>
            </w:r>
          </w:p>
        </w:tc>
        <w:tc>
          <w:tcPr>
            <w:tcW w:w="2327" w:type="dxa"/>
          </w:tcPr>
          <w:p w14:paraId="740D2F3D" w14:textId="77777777" w:rsidR="009F4E10" w:rsidRDefault="009F4E10" w:rsidP="009F4E10">
            <w:pPr>
              <w:jc w:val="center"/>
            </w:pPr>
            <w:r>
              <w:t>-</w:t>
            </w:r>
          </w:p>
        </w:tc>
      </w:tr>
      <w:tr w:rsidR="009F4E10" w14:paraId="60E74826" w14:textId="77777777" w:rsidTr="009F4E10">
        <w:tc>
          <w:tcPr>
            <w:tcW w:w="2326" w:type="dxa"/>
          </w:tcPr>
          <w:p w14:paraId="25FB0300"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37-40.5 GHz</w:t>
            </w:r>
          </w:p>
        </w:tc>
        <w:tc>
          <w:tcPr>
            <w:tcW w:w="2327" w:type="dxa"/>
          </w:tcPr>
          <w:p w14:paraId="29AEDF3C" w14:textId="77777777" w:rsidR="009F4E10" w:rsidRDefault="009F4E10" w:rsidP="009F4E10">
            <w:pPr>
              <w:jc w:val="center"/>
            </w:pPr>
            <w:r>
              <w:t>C1</w:t>
            </w:r>
          </w:p>
        </w:tc>
        <w:tc>
          <w:tcPr>
            <w:tcW w:w="2327" w:type="dxa"/>
          </w:tcPr>
          <w:p w14:paraId="34B6B82B" w14:textId="77777777" w:rsidR="009F4E10" w:rsidRDefault="009F4E10" w:rsidP="009F4E10">
            <w:pPr>
              <w:jc w:val="center"/>
            </w:pPr>
            <w:r>
              <w:t>C2</w:t>
            </w:r>
          </w:p>
        </w:tc>
        <w:tc>
          <w:tcPr>
            <w:tcW w:w="2327" w:type="dxa"/>
          </w:tcPr>
          <w:p w14:paraId="60C42C60" w14:textId="77777777" w:rsidR="009F4E10" w:rsidRDefault="009F4E10" w:rsidP="009F4E10">
            <w:pPr>
              <w:jc w:val="center"/>
            </w:pPr>
            <w:r>
              <w:t>-</w:t>
            </w:r>
          </w:p>
        </w:tc>
      </w:tr>
      <w:tr w:rsidR="009F4E10" w14:paraId="26BDB127" w14:textId="77777777" w:rsidTr="009F4E10">
        <w:tc>
          <w:tcPr>
            <w:tcW w:w="2326" w:type="dxa"/>
          </w:tcPr>
          <w:p w14:paraId="23C7BB83"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Pr>
                <w:szCs w:val="24"/>
              </w:rPr>
              <w:t>40.5-42.5 GHz</w:t>
            </w:r>
          </w:p>
        </w:tc>
        <w:tc>
          <w:tcPr>
            <w:tcW w:w="2327" w:type="dxa"/>
          </w:tcPr>
          <w:p w14:paraId="40716509" w14:textId="77777777" w:rsidR="009F4E10" w:rsidRDefault="009F4E10" w:rsidP="009F4E10">
            <w:pPr>
              <w:jc w:val="center"/>
            </w:pPr>
            <w:r>
              <w:t>D1</w:t>
            </w:r>
          </w:p>
        </w:tc>
        <w:tc>
          <w:tcPr>
            <w:tcW w:w="2327" w:type="dxa"/>
          </w:tcPr>
          <w:p w14:paraId="593DD8F1" w14:textId="77777777" w:rsidR="009F4E10" w:rsidRDefault="009F4E10" w:rsidP="009F4E10">
            <w:pPr>
              <w:jc w:val="center"/>
            </w:pPr>
            <w:r>
              <w:t>D2</w:t>
            </w:r>
          </w:p>
        </w:tc>
        <w:tc>
          <w:tcPr>
            <w:tcW w:w="2327" w:type="dxa"/>
          </w:tcPr>
          <w:p w14:paraId="34B88B1D" w14:textId="77777777" w:rsidR="009F4E10" w:rsidRDefault="009F4E10" w:rsidP="009F4E10">
            <w:pPr>
              <w:jc w:val="center"/>
            </w:pPr>
            <w:r>
              <w:t>-</w:t>
            </w:r>
          </w:p>
        </w:tc>
      </w:tr>
      <w:tr w:rsidR="009F4E10" w14:paraId="1F48E22A" w14:textId="77777777" w:rsidTr="009F4E10">
        <w:tc>
          <w:tcPr>
            <w:tcW w:w="2326" w:type="dxa"/>
          </w:tcPr>
          <w:p w14:paraId="5641E1EF"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42.5-43.5 GHz</w:t>
            </w:r>
          </w:p>
        </w:tc>
        <w:tc>
          <w:tcPr>
            <w:tcW w:w="2327" w:type="dxa"/>
          </w:tcPr>
          <w:p w14:paraId="38857394" w14:textId="77777777" w:rsidR="009F4E10" w:rsidRDefault="009F4E10" w:rsidP="009F4E10">
            <w:pPr>
              <w:jc w:val="center"/>
            </w:pPr>
            <w:r>
              <w:t>E1</w:t>
            </w:r>
          </w:p>
        </w:tc>
        <w:tc>
          <w:tcPr>
            <w:tcW w:w="2327" w:type="dxa"/>
          </w:tcPr>
          <w:p w14:paraId="72AFC1DD" w14:textId="77777777" w:rsidR="009F4E10" w:rsidRDefault="009F4E10" w:rsidP="009F4E10">
            <w:pPr>
              <w:jc w:val="center"/>
            </w:pPr>
            <w:r>
              <w:t>E2</w:t>
            </w:r>
          </w:p>
        </w:tc>
        <w:tc>
          <w:tcPr>
            <w:tcW w:w="2327" w:type="dxa"/>
          </w:tcPr>
          <w:p w14:paraId="5BAD37F7" w14:textId="77777777" w:rsidR="009F4E10" w:rsidRDefault="009F4E10" w:rsidP="009F4E10">
            <w:pPr>
              <w:jc w:val="center"/>
            </w:pPr>
            <w:r>
              <w:t>-</w:t>
            </w:r>
          </w:p>
        </w:tc>
      </w:tr>
      <w:tr w:rsidR="009F4E10" w14:paraId="4B352031" w14:textId="77777777" w:rsidTr="009F4E10">
        <w:tc>
          <w:tcPr>
            <w:tcW w:w="2326" w:type="dxa"/>
          </w:tcPr>
          <w:p w14:paraId="4A191A28"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45.5-47 GHz</w:t>
            </w:r>
          </w:p>
        </w:tc>
        <w:tc>
          <w:tcPr>
            <w:tcW w:w="2327" w:type="dxa"/>
          </w:tcPr>
          <w:p w14:paraId="400D5383" w14:textId="77777777" w:rsidR="009F4E10" w:rsidRDefault="009F4E10" w:rsidP="009F4E10">
            <w:pPr>
              <w:jc w:val="center"/>
            </w:pPr>
            <w:r>
              <w:t>F1</w:t>
            </w:r>
          </w:p>
        </w:tc>
        <w:tc>
          <w:tcPr>
            <w:tcW w:w="2327" w:type="dxa"/>
          </w:tcPr>
          <w:p w14:paraId="5A49A068" w14:textId="77777777" w:rsidR="009F4E10" w:rsidRDefault="009F4E10" w:rsidP="009F4E10">
            <w:pPr>
              <w:jc w:val="center"/>
            </w:pPr>
            <w:r>
              <w:t>F2</w:t>
            </w:r>
          </w:p>
        </w:tc>
        <w:tc>
          <w:tcPr>
            <w:tcW w:w="2327" w:type="dxa"/>
          </w:tcPr>
          <w:p w14:paraId="559B8B20" w14:textId="77777777" w:rsidR="009F4E10" w:rsidRDefault="009F4E10" w:rsidP="009F4E10">
            <w:pPr>
              <w:jc w:val="center"/>
            </w:pPr>
            <w:r>
              <w:t>-</w:t>
            </w:r>
          </w:p>
        </w:tc>
      </w:tr>
      <w:tr w:rsidR="009F4E10" w14:paraId="65733581" w14:textId="77777777" w:rsidTr="009F4E10">
        <w:tc>
          <w:tcPr>
            <w:tcW w:w="2326" w:type="dxa"/>
          </w:tcPr>
          <w:p w14:paraId="5020E246"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Pr>
                <w:szCs w:val="24"/>
              </w:rPr>
              <w:t>47-47.2 GHz</w:t>
            </w:r>
          </w:p>
        </w:tc>
        <w:tc>
          <w:tcPr>
            <w:tcW w:w="2327" w:type="dxa"/>
          </w:tcPr>
          <w:p w14:paraId="1895758B" w14:textId="77777777" w:rsidR="009F4E10" w:rsidRDefault="009F4E10" w:rsidP="009F4E10">
            <w:pPr>
              <w:jc w:val="center"/>
            </w:pPr>
            <w:r>
              <w:t>G1</w:t>
            </w:r>
          </w:p>
        </w:tc>
        <w:tc>
          <w:tcPr>
            <w:tcW w:w="2327" w:type="dxa"/>
          </w:tcPr>
          <w:p w14:paraId="38CB0E5E" w14:textId="77777777" w:rsidR="009F4E10" w:rsidRDefault="009F4E10" w:rsidP="009F4E10">
            <w:pPr>
              <w:jc w:val="center"/>
            </w:pPr>
            <w:r>
              <w:t>G2</w:t>
            </w:r>
          </w:p>
        </w:tc>
        <w:tc>
          <w:tcPr>
            <w:tcW w:w="2327" w:type="dxa"/>
          </w:tcPr>
          <w:p w14:paraId="60F300D1" w14:textId="77777777" w:rsidR="009F4E10" w:rsidRDefault="009F4E10" w:rsidP="009F4E10">
            <w:pPr>
              <w:jc w:val="center"/>
            </w:pPr>
            <w:r>
              <w:t>-</w:t>
            </w:r>
          </w:p>
        </w:tc>
      </w:tr>
      <w:tr w:rsidR="009F4E10" w14:paraId="244B230A" w14:textId="77777777" w:rsidTr="009F4E10">
        <w:tc>
          <w:tcPr>
            <w:tcW w:w="2326" w:type="dxa"/>
          </w:tcPr>
          <w:p w14:paraId="0FD87F11"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47.2-50.2 GHz</w:t>
            </w:r>
          </w:p>
        </w:tc>
        <w:tc>
          <w:tcPr>
            <w:tcW w:w="2327" w:type="dxa"/>
          </w:tcPr>
          <w:p w14:paraId="7F8F638C" w14:textId="77777777" w:rsidR="009F4E10" w:rsidRDefault="009F4E10" w:rsidP="009F4E10">
            <w:pPr>
              <w:jc w:val="center"/>
            </w:pPr>
            <w:r>
              <w:t>H1</w:t>
            </w:r>
          </w:p>
        </w:tc>
        <w:tc>
          <w:tcPr>
            <w:tcW w:w="2327" w:type="dxa"/>
          </w:tcPr>
          <w:p w14:paraId="3AEAF0CA" w14:textId="77777777" w:rsidR="009F4E10" w:rsidRDefault="009F4E10" w:rsidP="009F4E10">
            <w:pPr>
              <w:jc w:val="center"/>
            </w:pPr>
            <w:r>
              <w:t>H2</w:t>
            </w:r>
          </w:p>
        </w:tc>
        <w:tc>
          <w:tcPr>
            <w:tcW w:w="2327" w:type="dxa"/>
          </w:tcPr>
          <w:p w14:paraId="622443D5" w14:textId="77777777" w:rsidR="009F4E10" w:rsidRDefault="009F4E10" w:rsidP="009F4E10">
            <w:pPr>
              <w:jc w:val="center"/>
            </w:pPr>
            <w:r>
              <w:t>-</w:t>
            </w:r>
          </w:p>
        </w:tc>
      </w:tr>
      <w:tr w:rsidR="009F4E10" w14:paraId="4207FD56" w14:textId="77777777" w:rsidTr="009F4E10">
        <w:tc>
          <w:tcPr>
            <w:tcW w:w="2326" w:type="dxa"/>
          </w:tcPr>
          <w:p w14:paraId="718BF63F"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50.4</w:t>
            </w:r>
            <w:r w:rsidRPr="002112CB">
              <w:rPr>
                <w:szCs w:val="24"/>
              </w:rPr>
              <w:noBreakHyphen/>
              <w:t>52.6 GHz</w:t>
            </w:r>
          </w:p>
        </w:tc>
        <w:tc>
          <w:tcPr>
            <w:tcW w:w="2327" w:type="dxa"/>
          </w:tcPr>
          <w:p w14:paraId="2172B0E5" w14:textId="77777777" w:rsidR="009F4E10" w:rsidRDefault="009F4E10" w:rsidP="009F4E10">
            <w:pPr>
              <w:jc w:val="center"/>
            </w:pPr>
            <w:r>
              <w:t>I1</w:t>
            </w:r>
          </w:p>
        </w:tc>
        <w:tc>
          <w:tcPr>
            <w:tcW w:w="2327" w:type="dxa"/>
          </w:tcPr>
          <w:p w14:paraId="47F90B25" w14:textId="77777777" w:rsidR="009F4E10" w:rsidRDefault="009F4E10" w:rsidP="009F4E10">
            <w:pPr>
              <w:jc w:val="center"/>
            </w:pPr>
            <w:r>
              <w:t>I2</w:t>
            </w:r>
          </w:p>
        </w:tc>
        <w:tc>
          <w:tcPr>
            <w:tcW w:w="2327" w:type="dxa"/>
          </w:tcPr>
          <w:p w14:paraId="382D6EFF" w14:textId="77777777" w:rsidR="009F4E10" w:rsidRDefault="009F4E10" w:rsidP="009F4E10">
            <w:pPr>
              <w:jc w:val="center"/>
            </w:pPr>
            <w:r>
              <w:t>-</w:t>
            </w:r>
          </w:p>
        </w:tc>
      </w:tr>
      <w:tr w:rsidR="009F4E10" w14:paraId="43BBA95D" w14:textId="77777777" w:rsidTr="009F4E10">
        <w:tc>
          <w:tcPr>
            <w:tcW w:w="2326" w:type="dxa"/>
          </w:tcPr>
          <w:p w14:paraId="478E97C5"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66-71 GHz</w:t>
            </w:r>
          </w:p>
        </w:tc>
        <w:tc>
          <w:tcPr>
            <w:tcW w:w="2327" w:type="dxa"/>
          </w:tcPr>
          <w:p w14:paraId="44613E01" w14:textId="77777777" w:rsidR="009F4E10" w:rsidRDefault="009F4E10" w:rsidP="009F4E10">
            <w:pPr>
              <w:jc w:val="center"/>
            </w:pPr>
            <w:r>
              <w:t>J1</w:t>
            </w:r>
          </w:p>
        </w:tc>
        <w:tc>
          <w:tcPr>
            <w:tcW w:w="2327" w:type="dxa"/>
          </w:tcPr>
          <w:p w14:paraId="6194733E" w14:textId="77777777" w:rsidR="009F4E10" w:rsidRDefault="009F4E10" w:rsidP="009F4E10">
            <w:pPr>
              <w:jc w:val="center"/>
            </w:pPr>
            <w:r>
              <w:t>J2</w:t>
            </w:r>
          </w:p>
        </w:tc>
        <w:tc>
          <w:tcPr>
            <w:tcW w:w="2327" w:type="dxa"/>
          </w:tcPr>
          <w:p w14:paraId="17160B49" w14:textId="77777777" w:rsidR="009F4E10" w:rsidRDefault="009F4E10" w:rsidP="009F4E10">
            <w:pPr>
              <w:jc w:val="center"/>
            </w:pPr>
            <w:r>
              <w:t>J3</w:t>
            </w:r>
          </w:p>
        </w:tc>
      </w:tr>
      <w:tr w:rsidR="009F4E10" w14:paraId="700B5620" w14:textId="77777777" w:rsidTr="009F4E10">
        <w:tc>
          <w:tcPr>
            <w:tcW w:w="2326" w:type="dxa"/>
          </w:tcPr>
          <w:p w14:paraId="115D3752"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71-76 GHz</w:t>
            </w:r>
          </w:p>
        </w:tc>
        <w:tc>
          <w:tcPr>
            <w:tcW w:w="2327" w:type="dxa"/>
          </w:tcPr>
          <w:p w14:paraId="401FF2CC" w14:textId="77777777" w:rsidR="009F4E10" w:rsidRDefault="009F4E10" w:rsidP="009F4E10">
            <w:pPr>
              <w:jc w:val="center"/>
            </w:pPr>
            <w:r>
              <w:t>K1</w:t>
            </w:r>
          </w:p>
        </w:tc>
        <w:tc>
          <w:tcPr>
            <w:tcW w:w="2327" w:type="dxa"/>
          </w:tcPr>
          <w:p w14:paraId="24B243D1" w14:textId="77777777" w:rsidR="009F4E10" w:rsidRDefault="009F4E10" w:rsidP="009F4E10">
            <w:pPr>
              <w:jc w:val="center"/>
            </w:pPr>
            <w:r>
              <w:t>K2</w:t>
            </w:r>
          </w:p>
        </w:tc>
        <w:tc>
          <w:tcPr>
            <w:tcW w:w="2327" w:type="dxa"/>
          </w:tcPr>
          <w:p w14:paraId="65E07C3E" w14:textId="77777777" w:rsidR="009F4E10" w:rsidRDefault="009F4E10" w:rsidP="009F4E10">
            <w:pPr>
              <w:jc w:val="center"/>
            </w:pPr>
            <w:r>
              <w:t>-</w:t>
            </w:r>
          </w:p>
        </w:tc>
      </w:tr>
      <w:tr w:rsidR="009F4E10" w14:paraId="49A4CA65" w14:textId="77777777" w:rsidTr="009F4E10">
        <w:tc>
          <w:tcPr>
            <w:tcW w:w="2326" w:type="dxa"/>
          </w:tcPr>
          <w:p w14:paraId="7DF3F046" w14:textId="77777777" w:rsidR="009F4E10" w:rsidRPr="002112CB" w:rsidRDefault="009F4E10" w:rsidP="009F4E10">
            <w:pPr>
              <w:pStyle w:val="Methodheading3"/>
              <w:tabs>
                <w:tab w:val="left" w:pos="720"/>
              </w:tabs>
              <w:spacing w:before="0"/>
              <w:ind w:left="0" w:firstLine="0"/>
              <w:jc w:val="center"/>
              <w:rPr>
                <w:rFonts w:eastAsia="BatangChe"/>
                <w:b w:val="0"/>
                <w:szCs w:val="24"/>
                <w:lang w:val="en-US"/>
              </w:rPr>
            </w:pPr>
            <w:r w:rsidRPr="002112CB">
              <w:rPr>
                <w:szCs w:val="24"/>
              </w:rPr>
              <w:t>81-86 GHz</w:t>
            </w:r>
          </w:p>
        </w:tc>
        <w:tc>
          <w:tcPr>
            <w:tcW w:w="2327" w:type="dxa"/>
          </w:tcPr>
          <w:p w14:paraId="1255A7F1" w14:textId="77777777" w:rsidR="009F4E10" w:rsidRDefault="009F4E10" w:rsidP="009F4E10">
            <w:pPr>
              <w:jc w:val="center"/>
            </w:pPr>
            <w:r>
              <w:t>L1</w:t>
            </w:r>
          </w:p>
        </w:tc>
        <w:tc>
          <w:tcPr>
            <w:tcW w:w="2327" w:type="dxa"/>
          </w:tcPr>
          <w:p w14:paraId="7B187B6C" w14:textId="77777777" w:rsidR="009F4E10" w:rsidRDefault="009F4E10" w:rsidP="009F4E10">
            <w:pPr>
              <w:jc w:val="center"/>
            </w:pPr>
            <w:r>
              <w:t>L2</w:t>
            </w:r>
          </w:p>
        </w:tc>
        <w:tc>
          <w:tcPr>
            <w:tcW w:w="2327" w:type="dxa"/>
          </w:tcPr>
          <w:p w14:paraId="7543EB3F" w14:textId="77777777" w:rsidR="009F4E10" w:rsidRDefault="009F4E10" w:rsidP="009F4E10">
            <w:pPr>
              <w:jc w:val="center"/>
            </w:pPr>
            <w:r>
              <w:t>-</w:t>
            </w:r>
          </w:p>
        </w:tc>
      </w:tr>
    </w:tbl>
    <w:p w14:paraId="51F55DEE" w14:textId="77777777" w:rsidR="002D467D" w:rsidRDefault="002D467D" w:rsidP="002D467D">
      <w:pPr>
        <w:jc w:val="both"/>
      </w:pPr>
    </w:p>
    <w:p w14:paraId="5187D2A2" w14:textId="77777777" w:rsidR="006A02EB" w:rsidRDefault="006A02EB" w:rsidP="002D467D">
      <w:pPr>
        <w:jc w:val="both"/>
      </w:pPr>
    </w:p>
    <w:p w14:paraId="62A878C6" w14:textId="77777777" w:rsidR="002D467D" w:rsidRPr="000A5418" w:rsidRDefault="002D467D" w:rsidP="002D467D">
      <w:pPr>
        <w:jc w:val="both"/>
        <w:rPr>
          <w:b/>
        </w:rPr>
      </w:pPr>
      <w:r w:rsidRPr="000A5418">
        <w:rPr>
          <w:b/>
        </w:rPr>
        <w:t>2. Preliminary Views</w:t>
      </w:r>
    </w:p>
    <w:p w14:paraId="742E41A8" w14:textId="77777777" w:rsidR="002D467D" w:rsidRDefault="002D467D" w:rsidP="00C357AD">
      <w:pPr>
        <w:jc w:val="both"/>
      </w:pPr>
    </w:p>
    <w:p w14:paraId="2D99C24B" w14:textId="77777777" w:rsidR="00183A37" w:rsidRDefault="00183A37" w:rsidP="00183A37">
      <w:pPr>
        <w:spacing w:line="276" w:lineRule="auto"/>
        <w:contextualSpacing/>
        <w:jc w:val="both"/>
        <w:rPr>
          <w:sz w:val="22"/>
          <w:szCs w:val="22"/>
        </w:rPr>
      </w:pPr>
      <w:r w:rsidRPr="001615F6">
        <w:rPr>
          <w:sz w:val="22"/>
          <w:szCs w:val="22"/>
        </w:rPr>
        <w:t>Malaysia supports the</w:t>
      </w:r>
      <w:r>
        <w:rPr>
          <w:sz w:val="22"/>
          <w:szCs w:val="22"/>
        </w:rPr>
        <w:t xml:space="preserve"> following</w:t>
      </w:r>
      <w:r w:rsidRPr="001615F6">
        <w:rPr>
          <w:sz w:val="22"/>
          <w:szCs w:val="22"/>
        </w:rPr>
        <w:t xml:space="preserve"> </w:t>
      </w:r>
      <w:r>
        <w:rPr>
          <w:sz w:val="22"/>
          <w:szCs w:val="22"/>
        </w:rPr>
        <w:t xml:space="preserve">methods </w:t>
      </w:r>
      <w:r w:rsidR="00F65B47">
        <w:rPr>
          <w:sz w:val="22"/>
          <w:szCs w:val="22"/>
        </w:rPr>
        <w:t xml:space="preserve">as proposed </w:t>
      </w:r>
      <w:r>
        <w:rPr>
          <w:sz w:val="22"/>
          <w:szCs w:val="22"/>
        </w:rPr>
        <w:t>in the draft CPM Report:</w:t>
      </w:r>
    </w:p>
    <w:p w14:paraId="7EBF7F40" w14:textId="77777777" w:rsidR="00F0414C" w:rsidRDefault="00F0414C" w:rsidP="00325729">
      <w:pPr>
        <w:jc w:val="both"/>
      </w:pPr>
    </w:p>
    <w:tbl>
      <w:tblPr>
        <w:tblStyle w:val="TableGrid"/>
        <w:tblW w:w="0" w:type="auto"/>
        <w:tblLook w:val="04A0" w:firstRow="1" w:lastRow="0" w:firstColumn="1" w:lastColumn="0" w:noHBand="0" w:noVBand="1"/>
      </w:tblPr>
      <w:tblGrid>
        <w:gridCol w:w="4315"/>
        <w:gridCol w:w="4950"/>
      </w:tblGrid>
      <w:tr w:rsidR="00183A37" w14:paraId="0573B0C6" w14:textId="77777777" w:rsidTr="00183A37">
        <w:tc>
          <w:tcPr>
            <w:tcW w:w="4315" w:type="dxa"/>
            <w:shd w:val="clear" w:color="auto" w:fill="F2F2F2" w:themeFill="background1" w:themeFillShade="F2"/>
            <w:vAlign w:val="center"/>
          </w:tcPr>
          <w:p w14:paraId="1381A972" w14:textId="77777777" w:rsidR="00183A37" w:rsidRPr="009F4E10" w:rsidRDefault="00183A37" w:rsidP="00C350B1">
            <w:pPr>
              <w:jc w:val="center"/>
              <w:rPr>
                <w:b/>
              </w:rPr>
            </w:pPr>
            <w:r>
              <w:rPr>
                <w:b/>
              </w:rPr>
              <w:t>Frequency Bands</w:t>
            </w:r>
          </w:p>
        </w:tc>
        <w:tc>
          <w:tcPr>
            <w:tcW w:w="4950" w:type="dxa"/>
            <w:shd w:val="clear" w:color="auto" w:fill="F2F2F2" w:themeFill="background1" w:themeFillShade="F2"/>
            <w:vAlign w:val="center"/>
          </w:tcPr>
          <w:p w14:paraId="704E432B" w14:textId="77777777" w:rsidR="00183A37" w:rsidRPr="009F4E10" w:rsidRDefault="00183A37" w:rsidP="00C350B1">
            <w:pPr>
              <w:jc w:val="center"/>
              <w:rPr>
                <w:b/>
              </w:rPr>
            </w:pPr>
            <w:r>
              <w:rPr>
                <w:b/>
              </w:rPr>
              <w:t>Malaysia’s Preliminary Views</w:t>
            </w:r>
          </w:p>
        </w:tc>
      </w:tr>
      <w:tr w:rsidR="00183A37" w14:paraId="0A1A426B" w14:textId="77777777" w:rsidTr="00183A37">
        <w:tc>
          <w:tcPr>
            <w:tcW w:w="4315" w:type="dxa"/>
          </w:tcPr>
          <w:p w14:paraId="425161FD" w14:textId="77777777" w:rsidR="00183A37" w:rsidRPr="001A7D06" w:rsidRDefault="00183A37" w:rsidP="00C350B1">
            <w:pPr>
              <w:pStyle w:val="Methodheading3"/>
              <w:tabs>
                <w:tab w:val="left" w:pos="720"/>
              </w:tabs>
              <w:spacing w:before="0"/>
              <w:ind w:left="0" w:firstLine="0"/>
              <w:jc w:val="center"/>
              <w:rPr>
                <w:rFonts w:eastAsia="BatangChe"/>
                <w:b w:val="0"/>
                <w:szCs w:val="24"/>
                <w:lang w:val="en-US"/>
              </w:rPr>
            </w:pPr>
            <w:r w:rsidRPr="001A7D06">
              <w:rPr>
                <w:b w:val="0"/>
                <w:szCs w:val="24"/>
              </w:rPr>
              <w:t>24.25-27.5 GHz</w:t>
            </w:r>
          </w:p>
        </w:tc>
        <w:tc>
          <w:tcPr>
            <w:tcW w:w="4950" w:type="dxa"/>
          </w:tcPr>
          <w:p w14:paraId="4728FA61" w14:textId="77777777" w:rsidR="00183A37" w:rsidRDefault="00EC5176" w:rsidP="00C350B1">
            <w:pPr>
              <w:jc w:val="center"/>
            </w:pPr>
            <w:r>
              <w:t xml:space="preserve">Method </w:t>
            </w:r>
            <w:r w:rsidR="00183A37">
              <w:t>A2</w:t>
            </w:r>
          </w:p>
        </w:tc>
      </w:tr>
      <w:tr w:rsidR="00183A37" w14:paraId="7CB3A914" w14:textId="77777777" w:rsidTr="00183A37">
        <w:tc>
          <w:tcPr>
            <w:tcW w:w="4315" w:type="dxa"/>
          </w:tcPr>
          <w:p w14:paraId="2C72BAEB" w14:textId="77777777" w:rsidR="00183A37" w:rsidRPr="001A7D06" w:rsidRDefault="00183A37" w:rsidP="00C350B1">
            <w:pPr>
              <w:pStyle w:val="Methodheading3"/>
              <w:tabs>
                <w:tab w:val="left" w:pos="720"/>
              </w:tabs>
              <w:spacing w:before="0"/>
              <w:ind w:left="0" w:firstLine="0"/>
              <w:jc w:val="center"/>
              <w:rPr>
                <w:rFonts w:eastAsia="BatangChe"/>
                <w:b w:val="0"/>
                <w:szCs w:val="24"/>
                <w:lang w:val="en-US"/>
              </w:rPr>
            </w:pPr>
            <w:r w:rsidRPr="001A7D06">
              <w:rPr>
                <w:b w:val="0"/>
                <w:szCs w:val="24"/>
              </w:rPr>
              <w:t>31.8-33.4 GHz</w:t>
            </w:r>
          </w:p>
        </w:tc>
        <w:tc>
          <w:tcPr>
            <w:tcW w:w="4950" w:type="dxa"/>
          </w:tcPr>
          <w:p w14:paraId="48799E1D" w14:textId="77777777" w:rsidR="00183A37" w:rsidRDefault="00EC5176" w:rsidP="00C350B1">
            <w:pPr>
              <w:jc w:val="center"/>
            </w:pPr>
            <w:r>
              <w:t xml:space="preserve">Method </w:t>
            </w:r>
            <w:r w:rsidR="00183A37">
              <w:t>B1</w:t>
            </w:r>
          </w:p>
        </w:tc>
      </w:tr>
    </w:tbl>
    <w:p w14:paraId="53075861" w14:textId="77777777" w:rsidR="00325729" w:rsidRDefault="00325729" w:rsidP="00325729">
      <w:pPr>
        <w:jc w:val="both"/>
      </w:pPr>
    </w:p>
    <w:p w14:paraId="5BD65B87" w14:textId="1BAF259D" w:rsidR="004141C6" w:rsidRDefault="004141C6" w:rsidP="004141C6">
      <w:pPr>
        <w:jc w:val="both"/>
        <w:rPr>
          <w:rFonts w:eastAsia="MS Mincho"/>
          <w:lang w:val="en-AU" w:eastAsia="ja-JP"/>
        </w:rPr>
      </w:pPr>
      <w:r>
        <w:rPr>
          <w:rFonts w:eastAsia="MS Mincho"/>
          <w:lang w:val="en-AU" w:eastAsia="ja-JP"/>
        </w:rPr>
        <w:t xml:space="preserve">Malaysia is currently </w:t>
      </w:r>
      <w:r w:rsidR="003C2EFD">
        <w:rPr>
          <w:rFonts w:eastAsia="MS Mincho"/>
          <w:lang w:val="en-AU" w:eastAsia="ja-JP"/>
        </w:rPr>
        <w:t>evaluating</w:t>
      </w:r>
      <w:r>
        <w:rPr>
          <w:rFonts w:eastAsia="MS Mincho"/>
          <w:lang w:val="en-AU" w:eastAsia="ja-JP"/>
        </w:rPr>
        <w:t xml:space="preserve"> other </w:t>
      </w:r>
      <w:r w:rsidRPr="00327875">
        <w:t xml:space="preserve">potential candidate frequency bands </w:t>
      </w:r>
      <w:r>
        <w:rPr>
          <w:rFonts w:eastAsia="MS Mincho"/>
          <w:lang w:val="en-AU" w:eastAsia="ja-JP"/>
        </w:rPr>
        <w:t>for</w:t>
      </w:r>
      <w:r w:rsidRPr="004141C6">
        <w:rPr>
          <w:rFonts w:eastAsia="MS Mincho"/>
          <w:lang w:val="en-AU" w:eastAsia="ja-JP"/>
        </w:rPr>
        <w:t xml:space="preserve"> IMT identification in </w:t>
      </w:r>
      <w:r>
        <w:rPr>
          <w:rFonts w:eastAsia="MS Mincho"/>
          <w:lang w:val="en-AU" w:eastAsia="ja-JP"/>
        </w:rPr>
        <w:t xml:space="preserve">the </w:t>
      </w:r>
      <w:r w:rsidRPr="004141C6">
        <w:rPr>
          <w:rFonts w:eastAsia="MS Mincho"/>
          <w:lang w:val="en-AU" w:eastAsia="ja-JP"/>
        </w:rPr>
        <w:t xml:space="preserve">frequency bands above </w:t>
      </w:r>
      <w:r w:rsidR="00696E46">
        <w:rPr>
          <w:rFonts w:eastAsia="MS Mincho"/>
          <w:lang w:val="en-AU" w:eastAsia="ja-JP"/>
        </w:rPr>
        <w:t>37</w:t>
      </w:r>
      <w:r w:rsidRPr="004141C6">
        <w:rPr>
          <w:rFonts w:eastAsia="MS Mincho"/>
          <w:lang w:val="en-AU" w:eastAsia="ja-JP"/>
        </w:rPr>
        <w:t xml:space="preserve"> GHz</w:t>
      </w:r>
      <w:r>
        <w:rPr>
          <w:rFonts w:eastAsia="MS Mincho"/>
          <w:lang w:val="en-AU" w:eastAsia="ja-JP"/>
        </w:rPr>
        <w:t>.</w:t>
      </w:r>
    </w:p>
    <w:p w14:paraId="49821F29" w14:textId="77777777" w:rsidR="004141C6" w:rsidRDefault="004141C6">
      <w:pPr>
        <w:rPr>
          <w:lang w:val="en-NZ"/>
        </w:rPr>
      </w:pPr>
      <w:r>
        <w:rPr>
          <w:lang w:val="en-NZ"/>
        </w:rPr>
        <w:br w:type="page"/>
      </w:r>
      <w:bookmarkStart w:id="0" w:name="_GoBack"/>
      <w:bookmarkEnd w:id="0"/>
    </w:p>
    <w:p w14:paraId="1FF24EEC" w14:textId="77777777" w:rsidR="000A5418" w:rsidRDefault="00F0414C" w:rsidP="000A5418">
      <w:pPr>
        <w:jc w:val="both"/>
      </w:pPr>
      <w:r>
        <w:rPr>
          <w:b/>
        </w:rPr>
        <w:lastRenderedPageBreak/>
        <w:t>Agenda Item 1.16</w:t>
      </w:r>
      <w:r w:rsidR="000A5418">
        <w:rPr>
          <w:b/>
        </w:rPr>
        <w:t xml:space="preserve">: </w:t>
      </w:r>
    </w:p>
    <w:p w14:paraId="2DCA8435" w14:textId="77777777" w:rsidR="000A5418" w:rsidRDefault="00F62B14" w:rsidP="00C357AD">
      <w:pPr>
        <w:jc w:val="both"/>
        <w:rPr>
          <w:i/>
        </w:rPr>
      </w:pPr>
      <w:r>
        <w:rPr>
          <w:i/>
        </w:rPr>
        <w:t>T</w:t>
      </w:r>
      <w:r w:rsidR="00F0414C" w:rsidRPr="00F0414C">
        <w:rPr>
          <w:i/>
        </w:rPr>
        <w:t xml:space="preserve">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00F0414C" w:rsidRPr="00F62B14">
        <w:rPr>
          <w:b/>
          <w:i/>
        </w:rPr>
        <w:t>239 (WRC-15)</w:t>
      </w:r>
      <w:r w:rsidRPr="00F62B14">
        <w:rPr>
          <w:i/>
        </w:rPr>
        <w:t>.</w:t>
      </w:r>
    </w:p>
    <w:p w14:paraId="4D3EC23D" w14:textId="77777777" w:rsidR="00F62B14" w:rsidRDefault="00F62B14" w:rsidP="00C357AD">
      <w:pPr>
        <w:jc w:val="both"/>
        <w:rPr>
          <w:i/>
        </w:rPr>
      </w:pPr>
    </w:p>
    <w:p w14:paraId="7BAE87F5" w14:textId="77777777" w:rsidR="00F62B14" w:rsidRDefault="00F62B14" w:rsidP="00C357AD">
      <w:pPr>
        <w:jc w:val="both"/>
        <w:rPr>
          <w:i/>
        </w:rPr>
      </w:pPr>
    </w:p>
    <w:p w14:paraId="71A2AE1F" w14:textId="77777777" w:rsidR="00F62B14" w:rsidRPr="00A30FA5" w:rsidRDefault="00F62B14" w:rsidP="00F62B14">
      <w:pPr>
        <w:spacing w:after="120"/>
        <w:jc w:val="both"/>
        <w:rPr>
          <w:b/>
          <w:lang w:eastAsia="ko-KR"/>
        </w:rPr>
      </w:pPr>
      <w:r w:rsidRPr="00A30FA5">
        <w:rPr>
          <w:rFonts w:hint="eastAsia"/>
          <w:b/>
          <w:lang w:eastAsia="ko-KR"/>
        </w:rPr>
        <w:t>1. Background</w:t>
      </w:r>
    </w:p>
    <w:p w14:paraId="08FEDFAA" w14:textId="77777777" w:rsidR="00F62B14" w:rsidRDefault="00F62B14" w:rsidP="00F62B14"/>
    <w:p w14:paraId="34D72EBC" w14:textId="77777777" w:rsidR="00F62B14" w:rsidRDefault="00F62B14" w:rsidP="00F62B14">
      <w:pPr>
        <w:jc w:val="both"/>
      </w:pPr>
      <w:r w:rsidRPr="00265951">
        <w:t>RLANs have proven to be a success in conjunction with other fixed and mobile networks at providing affordable and ubiquitous broadband wireless access to the Internet. Introduced by some administrations in the 2.4 GHz band and subsequently expanded into some of the 5 GHz frequency bands. RLANs, specifically Wi-Fi devices, now carry approximately half of all global Internet Protocol (IP) traffic. In fact, mobile carriers have increased their reliance on Wi-Fi offload, voice</w:t>
      </w:r>
      <w:r w:rsidRPr="00265951">
        <w:noBreakHyphen/>
        <w:t>over-Wi-Fi, and similar technologies</w:t>
      </w:r>
      <w:r>
        <w:t xml:space="preserve">. </w:t>
      </w:r>
      <w:r w:rsidRPr="00265951">
        <w:t>As technology evolves to meet increasing performance demands and traffic on broadband WAS increases, the use of wider bandwidth channels in order to support high data rates creates a need for additional spectrum.</w:t>
      </w:r>
    </w:p>
    <w:p w14:paraId="3E28C20E" w14:textId="77777777" w:rsidR="00F62B14" w:rsidRPr="00265951" w:rsidRDefault="00F62B14" w:rsidP="00F62B14">
      <w:pPr>
        <w:jc w:val="both"/>
      </w:pPr>
    </w:p>
    <w:p w14:paraId="3CA9722C" w14:textId="77777777" w:rsidR="00F62B14" w:rsidRDefault="00F62B14" w:rsidP="00F62B14">
      <w:pPr>
        <w:jc w:val="both"/>
      </w:pPr>
      <w:r w:rsidRPr="00265951">
        <w:t xml:space="preserve">RR No. </w:t>
      </w:r>
      <w:r w:rsidRPr="00265951">
        <w:rPr>
          <w:rStyle w:val="Artref"/>
          <w:b/>
          <w:bCs/>
        </w:rPr>
        <w:t>5.446A</w:t>
      </w:r>
      <w:r w:rsidRPr="00265951">
        <w:t xml:space="preserve"> specifies that the use of the bands 5 150-5 350 MHz and 5 470-5 725 MHz by the stations in the mobile, except aeronautical mobile, service shall be in accordance with Resolution </w:t>
      </w:r>
      <w:r w:rsidRPr="00265951">
        <w:rPr>
          <w:b/>
        </w:rPr>
        <w:t>229 (Rev.WRC-12)</w:t>
      </w:r>
      <w:r w:rsidRPr="00265951">
        <w:t>.</w:t>
      </w:r>
    </w:p>
    <w:p w14:paraId="4B8DC8B7" w14:textId="77777777" w:rsidR="00F62B14" w:rsidRPr="00265951" w:rsidRDefault="00F62B14" w:rsidP="00F62B14">
      <w:pPr>
        <w:jc w:val="both"/>
      </w:pPr>
    </w:p>
    <w:p w14:paraId="195A004E" w14:textId="77777777" w:rsidR="00F62B14" w:rsidRDefault="00F62B14" w:rsidP="00F62B14">
      <w:pPr>
        <w:jc w:val="both"/>
      </w:pPr>
      <w:r w:rsidRPr="00265951">
        <w:t xml:space="preserve">Since WRC-03, the demand for mobile broadband applications especially for WAS/RLANs has been growing rapidly. Resolution </w:t>
      </w:r>
      <w:r w:rsidRPr="00265951">
        <w:rPr>
          <w:b/>
        </w:rPr>
        <w:t>239 (WRC-15)</w:t>
      </w:r>
      <w:r w:rsidRPr="00265951">
        <w:t xml:space="preserve"> states “that the results of ITU-R studies indicate that the minimum spectrum need for WAS/RLAN in the 5 GHz frequency range in the year 2018 is estimated at 880 MHz; this figure includes 455-580 MHz already utilized by non-IMT mobile broadband applications operating within the 5 GHz range resulting in 300-425 MHz additional spectrum being required”.</w:t>
      </w:r>
    </w:p>
    <w:p w14:paraId="2CCA726D" w14:textId="77777777" w:rsidR="00F62B14" w:rsidRPr="00265951" w:rsidRDefault="00F62B14" w:rsidP="00F62B14">
      <w:pPr>
        <w:jc w:val="both"/>
      </w:pPr>
    </w:p>
    <w:p w14:paraId="6D947B03" w14:textId="77777777" w:rsidR="00F62B14" w:rsidRDefault="00F62B14" w:rsidP="00F62B14">
      <w:pPr>
        <w:jc w:val="both"/>
      </w:pPr>
      <w:r w:rsidRPr="00265951">
        <w:t xml:space="preserve">One issue WRC-15 examined was the possibility of additional global allocations to the mobile service (MS) for terrestrial mobile broadband applications, including in the 5 GHz range, to facilitate contiguous spectrum for WAS/RLAN. This is to enable the use of wider channel bandwidths to support higher data throughput. The studies performed by ITU-R in preparation for WRC-15 indicated that if the WAS/RLAN mitigation measures were limited to the regulatory provisions of Resolution </w:t>
      </w:r>
      <w:r w:rsidRPr="00265951">
        <w:rPr>
          <w:b/>
          <w:bCs/>
        </w:rPr>
        <w:t>229 (Rev.WRC-12)</w:t>
      </w:r>
      <w:r w:rsidRPr="00265951">
        <w:t>, sharing between WAS/RLAN and the Earth exploration-satellite service (EESS) (active) systems in the frequency band 5 350 to 5 470 MHz may not be feasible, as well as being insufficient to ensure protection of certain radar types in this frequency band. For these cases, sharing may only be feasible if additional WAS/RLAN mitigation measures are implemented. However, no agreement was reached on the applicability of any additional WAS/RLAN mitigation techniques</w:t>
      </w:r>
      <w:r>
        <w:t>.</w:t>
      </w:r>
      <w:r w:rsidR="00AF390E">
        <w:t xml:space="preserve"> </w:t>
      </w:r>
      <w:r w:rsidRPr="00265951">
        <w:t>No agreement was reached on the conclusions of the studies for the frequency band 5 725</w:t>
      </w:r>
      <w:r w:rsidRPr="00265951">
        <w:noBreakHyphen/>
        <w:t>5 850 </w:t>
      </w:r>
      <w:proofErr w:type="spellStart"/>
      <w:r w:rsidRPr="00265951">
        <w:t>MHz</w:t>
      </w:r>
      <w:r>
        <w:t>.</w:t>
      </w:r>
      <w:proofErr w:type="spellEnd"/>
      <w:r>
        <w:t xml:space="preserve"> </w:t>
      </w:r>
      <w:r w:rsidRPr="00265951">
        <w:t>As such, WRC</w:t>
      </w:r>
      <w:r w:rsidRPr="00265951">
        <w:noBreakHyphen/>
        <w:t>15 concluded no change (NOC) for these frequency bands and established a WRC-19 agenda item to continue the work.</w:t>
      </w:r>
    </w:p>
    <w:p w14:paraId="744023DD" w14:textId="77777777" w:rsidR="00F62B14" w:rsidRDefault="00F62B14" w:rsidP="00F62B14">
      <w:pPr>
        <w:jc w:val="both"/>
      </w:pPr>
    </w:p>
    <w:p w14:paraId="5BACC633" w14:textId="77777777" w:rsidR="009A6339" w:rsidRDefault="00E73698" w:rsidP="009A6339">
      <w:pPr>
        <w:spacing w:line="276" w:lineRule="auto"/>
        <w:jc w:val="both"/>
      </w:pPr>
      <w:r w:rsidRPr="00327875">
        <w:rPr>
          <w:lang w:eastAsia="ko-KR"/>
        </w:rPr>
        <w:t>The following m</w:t>
      </w:r>
      <w:r w:rsidRPr="00327875">
        <w:rPr>
          <w:rFonts w:eastAsia="Batang"/>
        </w:rPr>
        <w:t>ethods</w:t>
      </w:r>
      <w:r w:rsidRPr="00327875">
        <w:t xml:space="preserve"> are </w:t>
      </w:r>
      <w:r w:rsidRPr="00C7453A">
        <w:t>proposed in the draft CPM text</w:t>
      </w:r>
      <w:r w:rsidR="009A6339">
        <w:t xml:space="preserve"> </w:t>
      </w:r>
      <w:r w:rsidR="009A6339" w:rsidRPr="00327875">
        <w:t>to satisfy this agenda</w:t>
      </w:r>
      <w:r w:rsidR="009A6339">
        <w:t xml:space="preserve"> item:</w:t>
      </w:r>
    </w:p>
    <w:p w14:paraId="0E3C888B" w14:textId="77777777" w:rsidR="00E73698" w:rsidRDefault="00E73698" w:rsidP="009A6339">
      <w:pPr>
        <w:pStyle w:val="ListParagraph"/>
        <w:numPr>
          <w:ilvl w:val="0"/>
          <w:numId w:val="9"/>
        </w:numPr>
        <w:tabs>
          <w:tab w:val="left" w:pos="540"/>
        </w:tabs>
        <w:ind w:left="540" w:hanging="540"/>
        <w:jc w:val="both"/>
      </w:pPr>
      <w:r w:rsidRPr="00E73698">
        <w:t>For the 5 150-5 250 MHz frequency</w:t>
      </w:r>
      <w:r>
        <w:t xml:space="preserve"> band, four methods </w:t>
      </w:r>
      <w:r w:rsidRPr="00E73698">
        <w:t>are proposed</w:t>
      </w:r>
      <w:r w:rsidR="009A6339">
        <w:t xml:space="preserve"> as follows</w:t>
      </w:r>
      <w:r>
        <w:t>:</w:t>
      </w:r>
    </w:p>
    <w:p w14:paraId="434EF332" w14:textId="77777777" w:rsidR="009A6339" w:rsidRDefault="009A6339" w:rsidP="009A6339">
      <w:pPr>
        <w:pStyle w:val="ListParagraph"/>
        <w:numPr>
          <w:ilvl w:val="1"/>
          <w:numId w:val="9"/>
        </w:numPr>
        <w:tabs>
          <w:tab w:val="left" w:pos="540"/>
        </w:tabs>
        <w:ind w:left="900"/>
        <w:jc w:val="both"/>
      </w:pPr>
      <w:r>
        <w:t xml:space="preserve">Method </w:t>
      </w:r>
      <w:r w:rsidR="00E73698" w:rsidRPr="00E73698">
        <w:t>A1</w:t>
      </w:r>
      <w:r>
        <w:t xml:space="preserve"> – </w:t>
      </w:r>
      <w:bookmarkStart w:id="1" w:name="_Hlk514929032"/>
      <w:r w:rsidRPr="00265951">
        <w:t>No change to the R</w:t>
      </w:r>
      <w:bookmarkEnd w:id="1"/>
      <w:r>
        <w:t>adio Regulations;</w:t>
      </w:r>
    </w:p>
    <w:p w14:paraId="46D48F91" w14:textId="77777777" w:rsidR="009A6339" w:rsidRDefault="009A6339" w:rsidP="009A6339">
      <w:pPr>
        <w:pStyle w:val="ListParagraph"/>
        <w:numPr>
          <w:ilvl w:val="1"/>
          <w:numId w:val="9"/>
        </w:numPr>
        <w:tabs>
          <w:tab w:val="left" w:pos="540"/>
        </w:tabs>
        <w:ind w:left="900"/>
        <w:jc w:val="both"/>
      </w:pPr>
      <w:r>
        <w:t xml:space="preserve">Method </w:t>
      </w:r>
      <w:r w:rsidR="00E73698" w:rsidRPr="00E73698">
        <w:t>A2</w:t>
      </w:r>
      <w:r>
        <w:t xml:space="preserve"> – </w:t>
      </w:r>
      <w:r w:rsidRPr="00265951">
        <w:t xml:space="preserve">Revision to Resolution 229 (Rev.WRC-12) to enable outdoor RLAN operations including possible associated conditions for new </w:t>
      </w:r>
      <w:proofErr w:type="spellStart"/>
      <w:r w:rsidRPr="00265951">
        <w:t>e.i.r.p</w:t>
      </w:r>
      <w:proofErr w:type="spellEnd"/>
      <w:r w:rsidRPr="00265951">
        <w:t>. limits</w:t>
      </w:r>
      <w:r>
        <w:t>;</w:t>
      </w:r>
    </w:p>
    <w:p w14:paraId="639495AD" w14:textId="77777777" w:rsidR="009A6339" w:rsidRDefault="009A6339" w:rsidP="009A6339">
      <w:pPr>
        <w:pStyle w:val="ListParagraph"/>
        <w:numPr>
          <w:ilvl w:val="1"/>
          <w:numId w:val="9"/>
        </w:numPr>
        <w:tabs>
          <w:tab w:val="left" w:pos="540"/>
        </w:tabs>
        <w:ind w:left="900"/>
        <w:jc w:val="both"/>
      </w:pPr>
      <w:r>
        <w:lastRenderedPageBreak/>
        <w:t xml:space="preserve">Method </w:t>
      </w:r>
      <w:r w:rsidR="00E73698" w:rsidRPr="00E73698">
        <w:t xml:space="preserve">A3 </w:t>
      </w:r>
      <w:r>
        <w:t xml:space="preserve">– </w:t>
      </w:r>
      <w:r w:rsidRPr="00265951">
        <w:t xml:space="preserve">Revision to Resolution 229 (Rev.WRC-12) to enable outdoor RLAN operations by </w:t>
      </w:r>
      <w:r w:rsidRPr="00265951">
        <w:rPr>
          <w:lang w:eastAsia="zh-CN"/>
        </w:rPr>
        <w:t>applying the same conditions of use as defined for the 5 250</w:t>
      </w:r>
      <w:r w:rsidRPr="00265951">
        <w:rPr>
          <w:lang w:eastAsia="zh-CN"/>
        </w:rPr>
        <w:noBreakHyphen/>
        <w:t xml:space="preserve">5 350 MHz frequency band in </w:t>
      </w:r>
      <w:r w:rsidRPr="00265951">
        <w:rPr>
          <w:i/>
          <w:iCs/>
          <w:lang w:eastAsia="zh-CN"/>
        </w:rPr>
        <w:t>resolves</w:t>
      </w:r>
      <w:r w:rsidRPr="00265951">
        <w:rPr>
          <w:lang w:eastAsia="zh-CN"/>
        </w:rPr>
        <w:t xml:space="preserve"> 4 of Resolution 229 (Rev.WRC-12)</w:t>
      </w:r>
      <w:r>
        <w:rPr>
          <w:lang w:eastAsia="zh-CN"/>
        </w:rPr>
        <w:t>; and</w:t>
      </w:r>
    </w:p>
    <w:p w14:paraId="563EEC2E" w14:textId="77777777" w:rsidR="009A6339" w:rsidRDefault="009A6339" w:rsidP="00AF390E">
      <w:pPr>
        <w:pStyle w:val="ListParagraph"/>
        <w:numPr>
          <w:ilvl w:val="1"/>
          <w:numId w:val="9"/>
        </w:numPr>
        <w:tabs>
          <w:tab w:val="left" w:pos="540"/>
        </w:tabs>
        <w:ind w:left="900"/>
        <w:jc w:val="both"/>
      </w:pPr>
      <w:r>
        <w:t xml:space="preserve">Method </w:t>
      </w:r>
      <w:r w:rsidR="00E73698" w:rsidRPr="00E73698">
        <w:t>A4</w:t>
      </w:r>
      <w:r>
        <w:t xml:space="preserve"> – </w:t>
      </w:r>
      <w:r w:rsidRPr="00265951">
        <w:t xml:space="preserve">Revisions to Resolution 229 (Rev.WRC-12) to enable in-vehicle use of RLAN operation with </w:t>
      </w:r>
      <w:proofErr w:type="spellStart"/>
      <w:r w:rsidRPr="00265951">
        <w:t>e.i.r.p</w:t>
      </w:r>
      <w:proofErr w:type="spellEnd"/>
      <w:r w:rsidRPr="00265951">
        <w:t xml:space="preserve">. up to 40 </w:t>
      </w:r>
      <w:proofErr w:type="spellStart"/>
      <w:r w:rsidRPr="00265951">
        <w:t>mW</w:t>
      </w:r>
      <w:proofErr w:type="spellEnd"/>
      <w:r>
        <w:t>;</w:t>
      </w:r>
    </w:p>
    <w:p w14:paraId="46F794DA" w14:textId="77777777" w:rsidR="009A6339" w:rsidRDefault="009A6339" w:rsidP="00AF390E">
      <w:pPr>
        <w:pStyle w:val="ListParagraph"/>
        <w:numPr>
          <w:ilvl w:val="0"/>
          <w:numId w:val="9"/>
        </w:numPr>
        <w:tabs>
          <w:tab w:val="left" w:pos="540"/>
        </w:tabs>
        <w:ind w:left="540" w:hanging="540"/>
        <w:jc w:val="both"/>
      </w:pPr>
      <w:r>
        <w:t>F</w:t>
      </w:r>
      <w:r w:rsidR="00E73698" w:rsidRPr="00E73698">
        <w:t>or the 5 250-5 350 MHz and 5 350-5 470 MHz fr</w:t>
      </w:r>
      <w:r>
        <w:t>equency bands, only one method, n</w:t>
      </w:r>
      <w:r w:rsidRPr="00265951">
        <w:t>o change to the R</w:t>
      </w:r>
      <w:r>
        <w:t xml:space="preserve">adio Regulations </w:t>
      </w:r>
      <w:r w:rsidR="00E73698" w:rsidRPr="00E73698">
        <w:t>is proposed (</w:t>
      </w:r>
      <w:r>
        <w:t xml:space="preserve">Methods </w:t>
      </w:r>
      <w:r w:rsidR="00E73698" w:rsidRPr="00E73698">
        <w:t xml:space="preserve">B and C respectively); </w:t>
      </w:r>
    </w:p>
    <w:p w14:paraId="23163781" w14:textId="77777777" w:rsidR="009A6339" w:rsidRDefault="009A6339" w:rsidP="009A6339">
      <w:pPr>
        <w:pStyle w:val="ListParagraph"/>
        <w:numPr>
          <w:ilvl w:val="0"/>
          <w:numId w:val="9"/>
        </w:numPr>
        <w:tabs>
          <w:tab w:val="left" w:pos="540"/>
        </w:tabs>
        <w:ind w:left="540" w:hanging="540"/>
        <w:jc w:val="both"/>
      </w:pPr>
      <w:r>
        <w:t>F</w:t>
      </w:r>
      <w:r w:rsidR="00E73698" w:rsidRPr="00E73698">
        <w:t xml:space="preserve">or the 5 725-5 850 MHz frequency </w:t>
      </w:r>
      <w:r w:rsidR="00AF390E">
        <w:t xml:space="preserve">band, three methods </w:t>
      </w:r>
      <w:r w:rsidR="00E73698" w:rsidRPr="00E73698">
        <w:t>are proposed</w:t>
      </w:r>
      <w:r w:rsidR="00AF390E">
        <w:t xml:space="preserve"> as follows</w:t>
      </w:r>
      <w:r>
        <w:t>:</w:t>
      </w:r>
    </w:p>
    <w:p w14:paraId="265C0E35" w14:textId="77777777" w:rsidR="009A6339" w:rsidRDefault="009A6339" w:rsidP="009A6339">
      <w:pPr>
        <w:pStyle w:val="ListParagraph"/>
        <w:numPr>
          <w:ilvl w:val="1"/>
          <w:numId w:val="9"/>
        </w:numPr>
        <w:tabs>
          <w:tab w:val="left" w:pos="540"/>
        </w:tabs>
        <w:ind w:left="900"/>
        <w:jc w:val="both"/>
      </w:pPr>
      <w:r>
        <w:t xml:space="preserve">Method </w:t>
      </w:r>
      <w:r w:rsidR="00E73698" w:rsidRPr="00E73698">
        <w:t>D1</w:t>
      </w:r>
      <w:r>
        <w:t xml:space="preserve"> – </w:t>
      </w:r>
      <w:r w:rsidR="00AF390E">
        <w:t>No change to the Radio Regulations;</w:t>
      </w:r>
    </w:p>
    <w:p w14:paraId="3499BF87" w14:textId="77777777" w:rsidR="009A6339" w:rsidRDefault="009A6339" w:rsidP="009A6339">
      <w:pPr>
        <w:pStyle w:val="ListParagraph"/>
        <w:numPr>
          <w:ilvl w:val="1"/>
          <w:numId w:val="9"/>
        </w:numPr>
        <w:tabs>
          <w:tab w:val="left" w:pos="540"/>
        </w:tabs>
        <w:ind w:left="900"/>
        <w:jc w:val="both"/>
      </w:pPr>
      <w:r>
        <w:t xml:space="preserve">Method </w:t>
      </w:r>
      <w:r w:rsidR="00E73698" w:rsidRPr="00E73698">
        <w:t xml:space="preserve">D2 </w:t>
      </w:r>
      <w:r>
        <w:t xml:space="preserve">– </w:t>
      </w:r>
      <w:r w:rsidR="00AF390E" w:rsidRPr="00265951">
        <w:t>A new worldwide or Regional primary MS allocation</w:t>
      </w:r>
      <w:r w:rsidR="00AF390E">
        <w:t>; and</w:t>
      </w:r>
    </w:p>
    <w:p w14:paraId="09556155" w14:textId="77777777" w:rsidR="009A6339" w:rsidRDefault="009A6339" w:rsidP="00AF390E">
      <w:pPr>
        <w:pStyle w:val="ListParagraph"/>
        <w:numPr>
          <w:ilvl w:val="1"/>
          <w:numId w:val="9"/>
        </w:numPr>
        <w:tabs>
          <w:tab w:val="left" w:pos="540"/>
        </w:tabs>
        <w:ind w:left="900"/>
        <w:jc w:val="both"/>
      </w:pPr>
      <w:r>
        <w:t xml:space="preserve">Method </w:t>
      </w:r>
      <w:r w:rsidR="00E73698" w:rsidRPr="00E73698">
        <w:t>D3</w:t>
      </w:r>
      <w:r>
        <w:t xml:space="preserve"> –</w:t>
      </w:r>
      <w:r w:rsidR="00AF390E">
        <w:t xml:space="preserve"> </w:t>
      </w:r>
      <w:r w:rsidR="00AF390E" w:rsidRPr="00265951">
        <w:t>Accommodate WAS/RLAN in an existing or new footnote</w:t>
      </w:r>
      <w:r w:rsidR="00AF390E">
        <w:t>;</w:t>
      </w:r>
      <w:r w:rsidR="0000007F">
        <w:t xml:space="preserve"> </w:t>
      </w:r>
      <w:r w:rsidR="00AF390E">
        <w:t>and</w:t>
      </w:r>
    </w:p>
    <w:p w14:paraId="2B83B1B4" w14:textId="77777777" w:rsidR="00E73698" w:rsidRPr="00E73698" w:rsidRDefault="009A6339" w:rsidP="009A6339">
      <w:pPr>
        <w:pStyle w:val="ListParagraph"/>
        <w:numPr>
          <w:ilvl w:val="0"/>
          <w:numId w:val="9"/>
        </w:numPr>
        <w:tabs>
          <w:tab w:val="left" w:pos="540"/>
        </w:tabs>
        <w:ind w:left="540" w:hanging="540"/>
        <w:jc w:val="both"/>
      </w:pPr>
      <w:r>
        <w:t>F</w:t>
      </w:r>
      <w:r w:rsidR="00E73698" w:rsidRPr="00E73698">
        <w:t>or the 5 850-5 925 MHz frequency band</w:t>
      </w:r>
      <w:r>
        <w:t>,</w:t>
      </w:r>
      <w:r w:rsidR="00AF390E">
        <w:t xml:space="preserve"> only one method, n</w:t>
      </w:r>
      <w:r w:rsidR="00AF390E" w:rsidRPr="00265951">
        <w:t>o change to the R</w:t>
      </w:r>
      <w:r w:rsidR="00AF390E">
        <w:t xml:space="preserve">adio Regulations </w:t>
      </w:r>
      <w:r w:rsidR="00E73698" w:rsidRPr="00E73698">
        <w:t>is proposed (</w:t>
      </w:r>
      <w:r w:rsidR="00AF390E">
        <w:t xml:space="preserve">Method </w:t>
      </w:r>
      <w:r w:rsidR="00E73698" w:rsidRPr="00E73698">
        <w:t>E).</w:t>
      </w:r>
    </w:p>
    <w:p w14:paraId="7645063A" w14:textId="77777777" w:rsidR="002E68D3" w:rsidRDefault="002E68D3" w:rsidP="00F62B14">
      <w:pPr>
        <w:jc w:val="both"/>
      </w:pPr>
    </w:p>
    <w:p w14:paraId="510CD5FB" w14:textId="77777777" w:rsidR="00F62B14" w:rsidRDefault="00F62B14" w:rsidP="00F62B14">
      <w:pPr>
        <w:jc w:val="both"/>
      </w:pPr>
    </w:p>
    <w:p w14:paraId="7479E236" w14:textId="77777777" w:rsidR="00F62B14" w:rsidRPr="000A5418" w:rsidRDefault="00F62B14" w:rsidP="00F62B14">
      <w:pPr>
        <w:jc w:val="both"/>
        <w:rPr>
          <w:b/>
        </w:rPr>
      </w:pPr>
      <w:r w:rsidRPr="000A5418">
        <w:rPr>
          <w:b/>
        </w:rPr>
        <w:t>2. Preliminary Views</w:t>
      </w:r>
    </w:p>
    <w:p w14:paraId="02E81E44" w14:textId="77777777" w:rsidR="00F0414C" w:rsidRDefault="00F0414C" w:rsidP="000A5418">
      <w:pPr>
        <w:jc w:val="both"/>
        <w:rPr>
          <w:b/>
        </w:rPr>
      </w:pPr>
    </w:p>
    <w:p w14:paraId="14CE7D25" w14:textId="77777777" w:rsidR="007644B5" w:rsidRDefault="00AF390E" w:rsidP="00AF390E">
      <w:pPr>
        <w:jc w:val="both"/>
      </w:pPr>
      <w:r>
        <w:rPr>
          <w:lang w:val="en-NZ"/>
        </w:rPr>
        <w:t>Malaysia is of the view that WAS/RLAN for outdoor operations may be implemented in the frequency band</w:t>
      </w:r>
      <w:r w:rsidR="000A0A8F">
        <w:rPr>
          <w:lang w:val="en-NZ"/>
        </w:rPr>
        <w:t xml:space="preserve"> </w:t>
      </w:r>
      <w:r>
        <w:rPr>
          <w:lang w:val="en-NZ"/>
        </w:rPr>
        <w:t>5 150-5 250 MHz</w:t>
      </w:r>
      <w:r w:rsidR="000A0A8F">
        <w:rPr>
          <w:lang w:val="en-NZ"/>
        </w:rPr>
        <w:t xml:space="preserve"> </w:t>
      </w:r>
      <w:r w:rsidR="000A0A8F" w:rsidRPr="00265951">
        <w:rPr>
          <w:lang w:eastAsia="ja-JP"/>
        </w:rPr>
        <w:t>while addressing the p</w:t>
      </w:r>
      <w:r w:rsidR="000A0A8F">
        <w:rPr>
          <w:lang w:eastAsia="ja-JP"/>
        </w:rPr>
        <w:t>rotection of incumbent services</w:t>
      </w:r>
      <w:r>
        <w:t>.</w:t>
      </w:r>
      <w:r w:rsidR="0000007F">
        <w:t xml:space="preserve"> </w:t>
      </w:r>
    </w:p>
    <w:p w14:paraId="6A957FA8" w14:textId="77777777" w:rsidR="007644B5" w:rsidRDefault="007644B5" w:rsidP="00AF390E">
      <w:pPr>
        <w:jc w:val="both"/>
      </w:pPr>
    </w:p>
    <w:p w14:paraId="44CE9F2E" w14:textId="527D00C9" w:rsidR="007644B5" w:rsidRPr="00F0414C" w:rsidRDefault="007644B5" w:rsidP="007644B5">
      <w:pPr>
        <w:jc w:val="both"/>
        <w:rPr>
          <w:lang w:val="en-GB"/>
        </w:rPr>
      </w:pPr>
      <w:r>
        <w:t>Malaysia supports the single method,</w:t>
      </w:r>
      <w:r w:rsidRPr="002112CB">
        <w:t xml:space="preserve"> </w:t>
      </w:r>
      <w:r>
        <w:t>n</w:t>
      </w:r>
      <w:r w:rsidRPr="00265951">
        <w:t>o change to the R</w:t>
      </w:r>
      <w:r>
        <w:t>adio Regulations in</w:t>
      </w:r>
      <w:r w:rsidRPr="00E73698">
        <w:t xml:space="preserve"> the </w:t>
      </w:r>
      <w:r>
        <w:t xml:space="preserve">frequency bands of </w:t>
      </w:r>
      <w:r w:rsidRPr="0000007F">
        <w:rPr>
          <w:b/>
        </w:rPr>
        <w:t>5 250-5 350 MHz</w:t>
      </w:r>
      <w:r>
        <w:t xml:space="preserve">, </w:t>
      </w:r>
      <w:r w:rsidRPr="0000007F">
        <w:rPr>
          <w:b/>
        </w:rPr>
        <w:t>5 350-5 470 MHz</w:t>
      </w:r>
      <w:r>
        <w:t xml:space="preserve"> and </w:t>
      </w:r>
      <w:r w:rsidRPr="000A0A8F">
        <w:rPr>
          <w:b/>
        </w:rPr>
        <w:t>5 850-5 925 MHz</w:t>
      </w:r>
      <w:r w:rsidRPr="00E73698">
        <w:t xml:space="preserve"> </w:t>
      </w:r>
      <w:r>
        <w:t xml:space="preserve">(Methods </w:t>
      </w:r>
      <w:r w:rsidRPr="005926F1">
        <w:rPr>
          <w:b/>
        </w:rPr>
        <w:t>B</w:t>
      </w:r>
      <w:r>
        <w:t xml:space="preserve">, </w:t>
      </w:r>
      <w:r w:rsidRPr="005926F1">
        <w:rPr>
          <w:b/>
        </w:rPr>
        <w:t>C</w:t>
      </w:r>
      <w:r>
        <w:t xml:space="preserve"> and </w:t>
      </w:r>
      <w:r w:rsidRPr="00B6339E">
        <w:rPr>
          <w:b/>
        </w:rPr>
        <w:t>E</w:t>
      </w:r>
      <w:r>
        <w:rPr>
          <w:b/>
        </w:rPr>
        <w:t xml:space="preserve"> </w:t>
      </w:r>
      <w:r w:rsidRPr="005926F1">
        <w:t>respectively</w:t>
      </w:r>
      <w:r>
        <w:t>).</w:t>
      </w:r>
    </w:p>
    <w:p w14:paraId="0586D733" w14:textId="77777777" w:rsidR="00D1252E" w:rsidRDefault="00D1252E" w:rsidP="000A5418">
      <w:pPr>
        <w:tabs>
          <w:tab w:val="left" w:pos="600"/>
        </w:tabs>
      </w:pPr>
    </w:p>
    <w:p w14:paraId="20FA7208" w14:textId="77777777" w:rsidR="00D1252E" w:rsidRDefault="00D1252E" w:rsidP="00F0414C"/>
    <w:p w14:paraId="42F560B7" w14:textId="5177B44E" w:rsidR="009E1B46" w:rsidRDefault="00C357AD" w:rsidP="009A4A6D">
      <w:pPr>
        <w:jc w:val="center"/>
        <w:rPr>
          <w:snapToGrid w:val="0"/>
        </w:rPr>
      </w:pPr>
      <w:r>
        <w:t>____________</w:t>
      </w:r>
    </w:p>
    <w:p w14:paraId="1B306C7C" w14:textId="77777777" w:rsidR="009E1B46" w:rsidRPr="009E1B46" w:rsidRDefault="009E1B46" w:rsidP="009E1B46"/>
    <w:p w14:paraId="47D1F022" w14:textId="77777777" w:rsidR="009E1B46" w:rsidRPr="009E1B46" w:rsidRDefault="009E1B46" w:rsidP="009E1B46"/>
    <w:p w14:paraId="0F6D423D" w14:textId="77777777" w:rsidR="009E1B46" w:rsidRPr="009E1B46" w:rsidRDefault="009E1B46" w:rsidP="009E1B46"/>
    <w:p w14:paraId="36B1B2AB" w14:textId="77777777" w:rsidR="009E1B46" w:rsidRPr="009E1B46" w:rsidRDefault="009E1B46" w:rsidP="009E1B46"/>
    <w:p w14:paraId="1E4FA332" w14:textId="77777777" w:rsidR="009E1B46" w:rsidRPr="009E1B46" w:rsidRDefault="009E1B46" w:rsidP="009E1B46"/>
    <w:p w14:paraId="784CE255" w14:textId="5E97B32D" w:rsidR="009E1B46" w:rsidRDefault="009E1B46" w:rsidP="009E1B46"/>
    <w:p w14:paraId="7CC1BEBA" w14:textId="4465578E" w:rsidR="009E1B46" w:rsidRDefault="009E1B46" w:rsidP="009E1B46"/>
    <w:p w14:paraId="7EDCADE3" w14:textId="31062A07" w:rsidR="00DA7595" w:rsidRPr="009E1B46" w:rsidRDefault="009E1B46" w:rsidP="009E1B46">
      <w:pPr>
        <w:tabs>
          <w:tab w:val="left" w:pos="3225"/>
        </w:tabs>
      </w:pPr>
      <w:r>
        <w:tab/>
      </w:r>
    </w:p>
    <w:sectPr w:rsidR="00DA7595" w:rsidRPr="009E1B46"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4044" w14:textId="77777777" w:rsidR="00DD7B5D" w:rsidRDefault="00DD7B5D">
      <w:r>
        <w:separator/>
      </w:r>
    </w:p>
  </w:endnote>
  <w:endnote w:type="continuationSeparator" w:id="0">
    <w:p w14:paraId="492940DB" w14:textId="77777777" w:rsidR="00DD7B5D" w:rsidRDefault="00DD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panose1 w:val="02030609000101010101"/>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9470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6CA42"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8085" w14:textId="307F0BF2" w:rsidR="0097693B" w:rsidRDefault="001A25A5"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INP-</w:t>
    </w:r>
    <w:r w:rsidR="007B30F3">
      <w:rPr>
        <w:lang w:eastAsia="ko-KR"/>
      </w:rPr>
      <w:t>54</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7B30F3">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7B30F3">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E1B46" w:rsidRPr="001A25A5" w14:paraId="251C5FF2" w14:textId="77777777">
      <w:trPr>
        <w:cantSplit/>
        <w:trHeight w:val="204"/>
        <w:jc w:val="center"/>
      </w:trPr>
      <w:tc>
        <w:tcPr>
          <w:tcW w:w="1617" w:type="dxa"/>
          <w:tcBorders>
            <w:top w:val="single" w:sz="12" w:space="0" w:color="auto"/>
          </w:tcBorders>
        </w:tcPr>
        <w:p w14:paraId="1AFD2E19" w14:textId="77777777" w:rsidR="009E1B46" w:rsidRPr="001A25A5" w:rsidRDefault="009E1B46" w:rsidP="009E1B46">
          <w:pPr>
            <w:rPr>
              <w:b/>
              <w:bCs/>
            </w:rPr>
          </w:pPr>
          <w:r w:rsidRPr="001A25A5">
            <w:rPr>
              <w:b/>
              <w:bCs/>
            </w:rPr>
            <w:t>Contact:</w:t>
          </w:r>
        </w:p>
      </w:tc>
      <w:tc>
        <w:tcPr>
          <w:tcW w:w="4394" w:type="dxa"/>
          <w:tcBorders>
            <w:top w:val="single" w:sz="12" w:space="0" w:color="auto"/>
          </w:tcBorders>
        </w:tcPr>
        <w:p w14:paraId="5A2AE7FF" w14:textId="77777777" w:rsidR="009E1B46" w:rsidRPr="001A25A5" w:rsidRDefault="009E1B46" w:rsidP="009E1B46">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MR. SYED KHAIRULAZRIN SYED KHAIRULDIN</w:t>
          </w:r>
        </w:p>
        <w:p w14:paraId="518707EF" w14:textId="3B12F64E" w:rsidR="009E1B46" w:rsidRPr="001A25A5" w:rsidRDefault="009E1B46" w:rsidP="009E1B46">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lang w:eastAsia="ko-KR"/>
            </w:rPr>
            <w:t>Malaysian Communications and Multimedia Commission (MCMC)</w:t>
          </w:r>
        </w:p>
      </w:tc>
      <w:tc>
        <w:tcPr>
          <w:tcW w:w="3912" w:type="dxa"/>
          <w:tcBorders>
            <w:top w:val="single" w:sz="12" w:space="0" w:color="auto"/>
          </w:tcBorders>
        </w:tcPr>
        <w:p w14:paraId="04708736" w14:textId="77777777" w:rsidR="009E1B46" w:rsidRDefault="009E1B46" w:rsidP="009E1B46">
          <w:r w:rsidRPr="001A25A5">
            <w:t>Email</w:t>
          </w:r>
          <w:r>
            <w:rPr>
              <w:rFonts w:hint="eastAsia"/>
            </w:rPr>
            <w:t>:</w:t>
          </w:r>
        </w:p>
        <w:p w14:paraId="44484F70" w14:textId="6BFFD6FD" w:rsidR="009E1B46" w:rsidRPr="001A25A5" w:rsidRDefault="00DD7B5D" w:rsidP="009E1B46">
          <w:pPr>
            <w:rPr>
              <w:lang w:eastAsia="ja-JP"/>
            </w:rPr>
          </w:pPr>
          <w:hyperlink r:id="rId1" w:history="1">
            <w:r w:rsidR="009E1B46" w:rsidRPr="004F634A">
              <w:rPr>
                <w:rStyle w:val="Hyperlink"/>
              </w:rPr>
              <w:t>syed.khairulazrin@mcmc.gov.my</w:t>
            </w:r>
          </w:hyperlink>
        </w:p>
      </w:tc>
    </w:tr>
  </w:tbl>
  <w:p w14:paraId="4C997BBD" w14:textId="77777777"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53DAE" w14:textId="77777777" w:rsidR="00DD7B5D" w:rsidRDefault="00DD7B5D">
      <w:r>
        <w:separator/>
      </w:r>
    </w:p>
  </w:footnote>
  <w:footnote w:type="continuationSeparator" w:id="0">
    <w:p w14:paraId="75C41A56" w14:textId="77777777" w:rsidR="00DD7B5D" w:rsidRDefault="00DD7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A7539" w14:textId="4739855D" w:rsidR="0097693B" w:rsidRDefault="0097693B" w:rsidP="00C15633">
    <w:pPr>
      <w:pStyle w:val="Header"/>
      <w:tabs>
        <w:tab w:val="center" w:pos="4763"/>
        <w:tab w:val="left" w:pos="5820"/>
      </w:tabs>
      <w:rPr>
        <w:lang w:eastAsia="ko-KR"/>
      </w:rPr>
    </w:pPr>
    <w:r>
      <w:rPr>
        <w:lang w:eastAsia="ko-KR"/>
      </w:rPr>
      <w:tab/>
    </w:r>
  </w:p>
  <w:p w14:paraId="09800C5D"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70A6579"/>
    <w:multiLevelType w:val="hybridMultilevel"/>
    <w:tmpl w:val="59463F38"/>
    <w:lvl w:ilvl="0" w:tplc="001A680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BBE1A4D"/>
    <w:multiLevelType w:val="hybridMultilevel"/>
    <w:tmpl w:val="8DB00EA8"/>
    <w:lvl w:ilvl="0" w:tplc="A114EBFA">
      <w:start w:val="1"/>
      <w:numFmt w:val="bullet"/>
      <w:lvlText w:val="-"/>
      <w:lvlJc w:val="left"/>
      <w:pPr>
        <w:ind w:left="3337"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6"/>
  </w:num>
  <w:num w:numId="2">
    <w:abstractNumId w:val="3"/>
  </w:num>
  <w:num w:numId="3">
    <w:abstractNumId w:val="2"/>
  </w:num>
  <w:num w:numId="4">
    <w:abstractNumId w:val="9"/>
  </w:num>
  <w:num w:numId="5">
    <w:abstractNumId w:val="5"/>
  </w:num>
  <w:num w:numId="6">
    <w:abstractNumId w:val="7"/>
  </w:num>
  <w:num w:numId="7">
    <w:abstractNumId w:val="1"/>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07F"/>
    <w:rsid w:val="0003595B"/>
    <w:rsid w:val="000476FF"/>
    <w:rsid w:val="000713CF"/>
    <w:rsid w:val="000A0A8F"/>
    <w:rsid w:val="000A388E"/>
    <w:rsid w:val="000A5418"/>
    <w:rsid w:val="000E0F6A"/>
    <w:rsid w:val="000F2F30"/>
    <w:rsid w:val="000F517C"/>
    <w:rsid w:val="000F5540"/>
    <w:rsid w:val="001539DD"/>
    <w:rsid w:val="00183A37"/>
    <w:rsid w:val="00186148"/>
    <w:rsid w:val="00196568"/>
    <w:rsid w:val="001A25A5"/>
    <w:rsid w:val="001A2F16"/>
    <w:rsid w:val="001A7D06"/>
    <w:rsid w:val="001B18C2"/>
    <w:rsid w:val="001D47B7"/>
    <w:rsid w:val="001D5D7E"/>
    <w:rsid w:val="002237E1"/>
    <w:rsid w:val="00241C9D"/>
    <w:rsid w:val="00254A1B"/>
    <w:rsid w:val="0028454D"/>
    <w:rsid w:val="00291C9E"/>
    <w:rsid w:val="002926D4"/>
    <w:rsid w:val="002C07DA"/>
    <w:rsid w:val="002C7EA9"/>
    <w:rsid w:val="002D467D"/>
    <w:rsid w:val="002E68D3"/>
    <w:rsid w:val="002F7ED7"/>
    <w:rsid w:val="00325729"/>
    <w:rsid w:val="00330418"/>
    <w:rsid w:val="00342931"/>
    <w:rsid w:val="00342F20"/>
    <w:rsid w:val="00353677"/>
    <w:rsid w:val="00375A3D"/>
    <w:rsid w:val="003809C7"/>
    <w:rsid w:val="00394F48"/>
    <w:rsid w:val="003B6263"/>
    <w:rsid w:val="003B73D8"/>
    <w:rsid w:val="003C2EFD"/>
    <w:rsid w:val="003C64A7"/>
    <w:rsid w:val="003C7E9F"/>
    <w:rsid w:val="003D3FDA"/>
    <w:rsid w:val="004141C6"/>
    <w:rsid w:val="00420822"/>
    <w:rsid w:val="0045458F"/>
    <w:rsid w:val="004633B4"/>
    <w:rsid w:val="004B3553"/>
    <w:rsid w:val="004B679F"/>
    <w:rsid w:val="004C28C9"/>
    <w:rsid w:val="00505721"/>
    <w:rsid w:val="00530E8C"/>
    <w:rsid w:val="00545933"/>
    <w:rsid w:val="00557544"/>
    <w:rsid w:val="00566914"/>
    <w:rsid w:val="00587875"/>
    <w:rsid w:val="005926F1"/>
    <w:rsid w:val="005D3A0C"/>
    <w:rsid w:val="00607E2B"/>
    <w:rsid w:val="006139D6"/>
    <w:rsid w:val="00623CE1"/>
    <w:rsid w:val="0063062B"/>
    <w:rsid w:val="006430A0"/>
    <w:rsid w:val="00667229"/>
    <w:rsid w:val="00682BE5"/>
    <w:rsid w:val="00690FED"/>
    <w:rsid w:val="006939A5"/>
    <w:rsid w:val="00696E46"/>
    <w:rsid w:val="006A02EB"/>
    <w:rsid w:val="006A72AD"/>
    <w:rsid w:val="006B0353"/>
    <w:rsid w:val="006D7F94"/>
    <w:rsid w:val="00712451"/>
    <w:rsid w:val="00731041"/>
    <w:rsid w:val="00732F08"/>
    <w:rsid w:val="0074190C"/>
    <w:rsid w:val="00762576"/>
    <w:rsid w:val="007644B5"/>
    <w:rsid w:val="00780560"/>
    <w:rsid w:val="00786C90"/>
    <w:rsid w:val="00791060"/>
    <w:rsid w:val="007B30F3"/>
    <w:rsid w:val="007B5626"/>
    <w:rsid w:val="0080570B"/>
    <w:rsid w:val="008148E1"/>
    <w:rsid w:val="008319BF"/>
    <w:rsid w:val="00843A32"/>
    <w:rsid w:val="00856BA7"/>
    <w:rsid w:val="008D0E09"/>
    <w:rsid w:val="0093179D"/>
    <w:rsid w:val="0097693B"/>
    <w:rsid w:val="00993355"/>
    <w:rsid w:val="009A4A6D"/>
    <w:rsid w:val="009A6339"/>
    <w:rsid w:val="009E1B46"/>
    <w:rsid w:val="009F4E10"/>
    <w:rsid w:val="00A13265"/>
    <w:rsid w:val="00A71136"/>
    <w:rsid w:val="00AA474C"/>
    <w:rsid w:val="00AC6B02"/>
    <w:rsid w:val="00AD7E5F"/>
    <w:rsid w:val="00AF390E"/>
    <w:rsid w:val="00B01AA1"/>
    <w:rsid w:val="00B30C81"/>
    <w:rsid w:val="00B4793B"/>
    <w:rsid w:val="00BC5610"/>
    <w:rsid w:val="00C15633"/>
    <w:rsid w:val="00C15799"/>
    <w:rsid w:val="00C357AD"/>
    <w:rsid w:val="00C6069C"/>
    <w:rsid w:val="00C85119"/>
    <w:rsid w:val="00CD5431"/>
    <w:rsid w:val="00CE2B5F"/>
    <w:rsid w:val="00CF2491"/>
    <w:rsid w:val="00D1252E"/>
    <w:rsid w:val="00D57772"/>
    <w:rsid w:val="00D72AE3"/>
    <w:rsid w:val="00D75A4D"/>
    <w:rsid w:val="00D8478B"/>
    <w:rsid w:val="00D86151"/>
    <w:rsid w:val="00DA7595"/>
    <w:rsid w:val="00DB0A68"/>
    <w:rsid w:val="00DC43A3"/>
    <w:rsid w:val="00DD7B5D"/>
    <w:rsid w:val="00DD7C09"/>
    <w:rsid w:val="00DE2C4C"/>
    <w:rsid w:val="00DE5CB1"/>
    <w:rsid w:val="00DE7CB9"/>
    <w:rsid w:val="00E0124F"/>
    <w:rsid w:val="00E674D3"/>
    <w:rsid w:val="00E70FD0"/>
    <w:rsid w:val="00E73698"/>
    <w:rsid w:val="00E752BC"/>
    <w:rsid w:val="00EC2A6D"/>
    <w:rsid w:val="00EC38A0"/>
    <w:rsid w:val="00EC4633"/>
    <w:rsid w:val="00EC5176"/>
    <w:rsid w:val="00F0414C"/>
    <w:rsid w:val="00F40E1D"/>
    <w:rsid w:val="00F62B14"/>
    <w:rsid w:val="00F65B47"/>
    <w:rsid w:val="00F84067"/>
    <w:rsid w:val="00FB07D4"/>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3C39"/>
  <w15:docId w15:val="{A2B0FF53-92AF-4F7D-B82D-EBD9EFDC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9F4E10"/>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F0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qFormat/>
    <w:rsid w:val="00F62B14"/>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F62B1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F62B14"/>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F62B14"/>
    <w:rPr>
      <w:rFonts w:eastAsia="Times New Roman"/>
      <w:sz w:val="24"/>
      <w:lang w:val="en-GB"/>
    </w:rPr>
  </w:style>
  <w:style w:type="character" w:customStyle="1" w:styleId="Artref">
    <w:name w:val="Art_ref"/>
    <w:basedOn w:val="DefaultParagraphFont"/>
    <w:qFormat/>
    <w:rsid w:val="00F62B14"/>
  </w:style>
  <w:style w:type="character" w:styleId="Hyperlink">
    <w:name w:val="Hyperlink"/>
    <w:aliases w:val="超级链接,CEO_Hyperlink"/>
    <w:basedOn w:val="DefaultParagraphFont"/>
    <w:unhideWhenUsed/>
    <w:rsid w:val="00F62B14"/>
    <w:rPr>
      <w:color w:val="0000FF" w:themeColor="hyperlink"/>
      <w:u w:val="single"/>
    </w:rPr>
  </w:style>
  <w:style w:type="character" w:customStyle="1" w:styleId="enumlev1Char">
    <w:name w:val="enumlev1 Char"/>
    <w:basedOn w:val="DefaultParagraphFont"/>
    <w:link w:val="enumlev1"/>
    <w:qFormat/>
    <w:rsid w:val="00F62B14"/>
    <w:rPr>
      <w:rFonts w:eastAsia="Times New Roman"/>
      <w:sz w:val="24"/>
      <w:lang w:val="en-GB"/>
    </w:rPr>
  </w:style>
  <w:style w:type="paragraph" w:styleId="ListParagraph">
    <w:name w:val="List Paragraph"/>
    <w:basedOn w:val="Normal"/>
    <w:uiPriority w:val="34"/>
    <w:qFormat/>
    <w:rsid w:val="00E73698"/>
    <w:pPr>
      <w:ind w:left="720"/>
      <w:contextualSpacing/>
    </w:pPr>
  </w:style>
  <w:style w:type="paragraph" w:customStyle="1" w:styleId="Methodheading3">
    <w:name w:val="Method_heading3"/>
    <w:basedOn w:val="Heading3"/>
    <w:next w:val="Normal"/>
    <w:qFormat/>
    <w:rsid w:val="009F4E10"/>
    <w:pPr>
      <w:tabs>
        <w:tab w:val="left" w:pos="1871"/>
        <w:tab w:val="left" w:pos="2268"/>
      </w:tabs>
      <w:overflowPunct w:val="0"/>
      <w:autoSpaceDE w:val="0"/>
      <w:autoSpaceDN w:val="0"/>
      <w:adjustRightInd w:val="0"/>
      <w:spacing w:before="200"/>
      <w:ind w:left="1134" w:hanging="1134"/>
    </w:pPr>
    <w:rPr>
      <w:rFonts w:ascii="Times New Roman" w:eastAsia="Times New Roman" w:hAnsi="Times New Roman" w:cs="Times New Roman"/>
      <w:b/>
      <w:color w:val="auto"/>
      <w:szCs w:val="20"/>
      <w:lang w:val="en-GB"/>
    </w:rPr>
  </w:style>
  <w:style w:type="character" w:customStyle="1" w:styleId="Heading3Char">
    <w:name w:val="Heading 3 Char"/>
    <w:basedOn w:val="DefaultParagraphFont"/>
    <w:link w:val="Heading3"/>
    <w:semiHidden/>
    <w:rsid w:val="009F4E1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6B0353"/>
    <w:rPr>
      <w:rFonts w:ascii="Segoe UI" w:hAnsi="Segoe UI" w:cs="Segoe UI"/>
      <w:sz w:val="18"/>
      <w:szCs w:val="18"/>
    </w:rPr>
  </w:style>
  <w:style w:type="character" w:customStyle="1" w:styleId="BalloonTextChar">
    <w:name w:val="Balloon Text Char"/>
    <w:basedOn w:val="DefaultParagraphFont"/>
    <w:link w:val="BalloonText"/>
    <w:semiHidden/>
    <w:rsid w:val="006B0353"/>
    <w:rPr>
      <w:rFonts w:ascii="Segoe UI" w:eastAsia="BatangChe" w:hAnsi="Segoe UI" w:cs="Segoe UI"/>
      <w:sz w:val="18"/>
      <w:szCs w:val="18"/>
    </w:rPr>
  </w:style>
  <w:style w:type="character" w:styleId="CommentReference">
    <w:name w:val="annotation reference"/>
    <w:basedOn w:val="DefaultParagraphFont"/>
    <w:semiHidden/>
    <w:unhideWhenUsed/>
    <w:rsid w:val="00186148"/>
    <w:rPr>
      <w:sz w:val="16"/>
      <w:szCs w:val="16"/>
    </w:rPr>
  </w:style>
  <w:style w:type="paragraph" w:styleId="CommentText">
    <w:name w:val="annotation text"/>
    <w:basedOn w:val="Normal"/>
    <w:link w:val="CommentTextChar"/>
    <w:semiHidden/>
    <w:unhideWhenUsed/>
    <w:rsid w:val="00186148"/>
    <w:rPr>
      <w:sz w:val="20"/>
      <w:szCs w:val="20"/>
    </w:rPr>
  </w:style>
  <w:style w:type="character" w:customStyle="1" w:styleId="CommentTextChar">
    <w:name w:val="Comment Text Char"/>
    <w:basedOn w:val="DefaultParagraphFont"/>
    <w:link w:val="CommentText"/>
    <w:semiHidden/>
    <w:rsid w:val="00186148"/>
    <w:rPr>
      <w:rFonts w:eastAsia="BatangChe"/>
    </w:rPr>
  </w:style>
  <w:style w:type="paragraph" w:styleId="CommentSubject">
    <w:name w:val="annotation subject"/>
    <w:basedOn w:val="CommentText"/>
    <w:next w:val="CommentText"/>
    <w:link w:val="CommentSubjectChar"/>
    <w:semiHidden/>
    <w:unhideWhenUsed/>
    <w:rsid w:val="00186148"/>
    <w:rPr>
      <w:b/>
      <w:bCs/>
    </w:rPr>
  </w:style>
  <w:style w:type="character" w:customStyle="1" w:styleId="CommentSubjectChar">
    <w:name w:val="Comment Subject Char"/>
    <w:basedOn w:val="CommentTextChar"/>
    <w:link w:val="CommentSubject"/>
    <w:semiHidden/>
    <w:rsid w:val="00186148"/>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672256">
      <w:bodyDiv w:val="1"/>
      <w:marLeft w:val="0"/>
      <w:marRight w:val="0"/>
      <w:marTop w:val="0"/>
      <w:marBottom w:val="0"/>
      <w:divBdr>
        <w:top w:val="none" w:sz="0" w:space="0" w:color="auto"/>
        <w:left w:val="none" w:sz="0" w:space="0" w:color="auto"/>
        <w:bottom w:val="none" w:sz="0" w:space="0" w:color="auto"/>
        <w:right w:val="none" w:sz="0" w:space="0" w:color="auto"/>
      </w:divBdr>
    </w:div>
    <w:div w:id="882794859">
      <w:bodyDiv w:val="1"/>
      <w:marLeft w:val="0"/>
      <w:marRight w:val="0"/>
      <w:marTop w:val="0"/>
      <w:marBottom w:val="0"/>
      <w:divBdr>
        <w:top w:val="none" w:sz="0" w:space="0" w:color="auto"/>
        <w:left w:val="none" w:sz="0" w:space="0" w:color="auto"/>
        <w:bottom w:val="none" w:sz="0" w:space="0" w:color="auto"/>
        <w:right w:val="none" w:sz="0" w:space="0" w:color="auto"/>
      </w:divBdr>
    </w:div>
    <w:div w:id="14566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yed.khairulazrin@mcmc.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B850-2807-4982-918B-0B581C1F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APT Secretariat</cp:lastModifiedBy>
  <cp:revision>4</cp:revision>
  <cp:lastPrinted>2004-07-28T02:14:00Z</cp:lastPrinted>
  <dcterms:created xsi:type="dcterms:W3CDTF">2018-12-27T10:26:00Z</dcterms:created>
  <dcterms:modified xsi:type="dcterms:W3CDTF">2018-12-28T02:14:00Z</dcterms:modified>
</cp:coreProperties>
</file>