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9" w:type="dxa"/>
        <w:tblBorders>
          <w:bottom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5720"/>
        <w:gridCol w:w="2700"/>
      </w:tblGrid>
      <w:tr w:rsidR="00096326" w:rsidRPr="00891D0B" w14:paraId="1D82A118" w14:textId="77777777" w:rsidTr="00096326">
        <w:trPr>
          <w:cantSplit/>
        </w:trPr>
        <w:tc>
          <w:tcPr>
            <w:tcW w:w="1399" w:type="dxa"/>
            <w:vMerge w:val="restart"/>
          </w:tcPr>
          <w:p w14:paraId="1FF3DB80" w14:textId="77777777" w:rsidR="00096326" w:rsidRPr="00891D0B" w:rsidRDefault="00096326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7B991363" wp14:editId="3A89B6CD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0" w:type="dxa"/>
          </w:tcPr>
          <w:p w14:paraId="69387BFD" w14:textId="77777777" w:rsidR="00096326" w:rsidRPr="00891D0B" w:rsidRDefault="00096326" w:rsidP="0045458F">
            <w:r w:rsidRPr="00096326">
              <w:t>ASIA-PACIFIC TELECOMMUNITY</w:t>
            </w:r>
          </w:p>
        </w:tc>
        <w:tc>
          <w:tcPr>
            <w:tcW w:w="2700" w:type="dxa"/>
          </w:tcPr>
          <w:p w14:paraId="36F9857B" w14:textId="72585DCE" w:rsidR="00096326" w:rsidRPr="00096326" w:rsidRDefault="00096326" w:rsidP="00096326">
            <w:pPr>
              <w:rPr>
                <w:b/>
                <w:bCs/>
                <w:lang w:val="fr-FR"/>
              </w:rPr>
            </w:pPr>
            <w:r w:rsidRPr="00C15799">
              <w:rPr>
                <w:b/>
                <w:lang w:val="fr-FR"/>
              </w:rPr>
              <w:t>Document</w:t>
            </w:r>
            <w:r w:rsidR="007F03F9">
              <w:rPr>
                <w:b/>
                <w:lang w:val="fr-FR"/>
              </w:rPr>
              <w:t xml:space="preserve"> No.</w:t>
            </w:r>
            <w:r>
              <w:rPr>
                <w:b/>
                <w:lang w:val="fr-FR"/>
              </w:rPr>
              <w:t xml:space="preserve">: </w:t>
            </w:r>
          </w:p>
        </w:tc>
      </w:tr>
      <w:tr w:rsidR="00DA7595" w:rsidRPr="00C15799" w14:paraId="64ED875D" w14:textId="77777777" w:rsidTr="00096326">
        <w:trPr>
          <w:cantSplit/>
        </w:trPr>
        <w:tc>
          <w:tcPr>
            <w:tcW w:w="1399" w:type="dxa"/>
            <w:vMerge/>
          </w:tcPr>
          <w:p w14:paraId="376ACE4A" w14:textId="77777777" w:rsidR="00DA7595" w:rsidRPr="00891D0B" w:rsidRDefault="00DA7595" w:rsidP="0045458F"/>
        </w:tc>
        <w:tc>
          <w:tcPr>
            <w:tcW w:w="5720" w:type="dxa"/>
          </w:tcPr>
          <w:p w14:paraId="1778CC0B" w14:textId="77777777" w:rsidR="00DA7595" w:rsidRPr="00891D0B" w:rsidRDefault="00DA7595" w:rsidP="006A64A9">
            <w:pPr>
              <w:spacing w:line="0" w:lineRule="atLeast"/>
            </w:pPr>
            <w:r>
              <w:rPr>
                <w:b/>
              </w:rPr>
              <w:t xml:space="preserve">The </w:t>
            </w:r>
            <w:r w:rsidR="006A64A9">
              <w:rPr>
                <w:b/>
              </w:rPr>
              <w:t xml:space="preserve">4th </w:t>
            </w:r>
            <w:r w:rsidR="00DB0A68">
              <w:rPr>
                <w:b/>
              </w:rPr>
              <w:t>Meeting of the APT Conference Preparatory</w:t>
            </w:r>
            <w:r w:rsidR="002926D4">
              <w:rPr>
                <w:b/>
              </w:rPr>
              <w:t xml:space="preserve"> </w:t>
            </w:r>
            <w:r w:rsidR="00DB0A68">
              <w:rPr>
                <w:b/>
              </w:rPr>
              <w:t xml:space="preserve"> Group for WRC-</w:t>
            </w:r>
            <w:r w:rsidR="00FE3DE5">
              <w:rPr>
                <w:b/>
              </w:rPr>
              <w:t>1</w:t>
            </w:r>
            <w:r w:rsidR="00096326">
              <w:rPr>
                <w:b/>
              </w:rPr>
              <w:t>9</w:t>
            </w:r>
            <w:r w:rsidR="00DB0A68">
              <w:rPr>
                <w:b/>
              </w:rPr>
              <w:t xml:space="preserve"> (APG</w:t>
            </w:r>
            <w:r w:rsidR="00096326">
              <w:rPr>
                <w:b/>
              </w:rPr>
              <w:t>19</w:t>
            </w:r>
            <w:r w:rsidR="00DB0A68">
              <w:rPr>
                <w:b/>
              </w:rPr>
              <w:t>-</w:t>
            </w:r>
            <w:r w:rsidR="006A64A9">
              <w:rPr>
                <w:b/>
              </w:rPr>
              <w:t>4</w:t>
            </w:r>
            <w:r w:rsidR="00DB0A68">
              <w:rPr>
                <w:b/>
              </w:rPr>
              <w:t>)</w:t>
            </w:r>
          </w:p>
        </w:tc>
        <w:tc>
          <w:tcPr>
            <w:tcW w:w="2700" w:type="dxa"/>
          </w:tcPr>
          <w:p w14:paraId="10388FB3" w14:textId="32A67BDC" w:rsidR="00DA7595" w:rsidRPr="00C15799" w:rsidRDefault="008319BF" w:rsidP="00096326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APG</w:t>
            </w:r>
            <w:r w:rsidR="006A64A9">
              <w:rPr>
                <w:b/>
                <w:bCs/>
                <w:lang w:val="fr-FR"/>
              </w:rPr>
              <w:t>19-4</w:t>
            </w:r>
            <w:r>
              <w:rPr>
                <w:b/>
                <w:bCs/>
                <w:lang w:val="fr-FR"/>
              </w:rPr>
              <w:t>/</w:t>
            </w:r>
            <w:r w:rsidR="00096326">
              <w:rPr>
                <w:b/>
                <w:bCs/>
                <w:lang w:val="fr-FR"/>
              </w:rPr>
              <w:t>INP</w:t>
            </w:r>
            <w:r w:rsidR="00D1252E">
              <w:rPr>
                <w:b/>
                <w:bCs/>
                <w:lang w:val="fr-FR"/>
              </w:rPr>
              <w:t>-</w:t>
            </w:r>
            <w:r w:rsidR="007F03F9">
              <w:rPr>
                <w:b/>
                <w:bCs/>
                <w:lang w:val="fr-FR"/>
              </w:rPr>
              <w:t>67</w:t>
            </w:r>
          </w:p>
        </w:tc>
      </w:tr>
      <w:tr w:rsidR="004B3553" w:rsidRPr="00891D0B" w14:paraId="64F30B47" w14:textId="77777777" w:rsidTr="00096326">
        <w:trPr>
          <w:cantSplit/>
          <w:trHeight w:val="219"/>
        </w:trPr>
        <w:tc>
          <w:tcPr>
            <w:tcW w:w="1399" w:type="dxa"/>
            <w:vMerge/>
          </w:tcPr>
          <w:p w14:paraId="076EE39D" w14:textId="77777777"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20" w:type="dxa"/>
          </w:tcPr>
          <w:p w14:paraId="441EB5EF" w14:textId="77777777" w:rsidR="004B3553" w:rsidRPr="00891D0B" w:rsidRDefault="006A64A9" w:rsidP="006A64A9">
            <w:r>
              <w:t>7</w:t>
            </w:r>
            <w:r w:rsidR="00291C9E">
              <w:t xml:space="preserve"> – </w:t>
            </w:r>
            <w:r>
              <w:t xml:space="preserve">12 January </w:t>
            </w:r>
            <w:r w:rsidR="00F17B0A">
              <w:t>2</w:t>
            </w:r>
            <w:r w:rsidR="00291C9E">
              <w:t>0</w:t>
            </w:r>
            <w:r>
              <w:t>19</w:t>
            </w:r>
            <w:r w:rsidR="004B3553" w:rsidRPr="00891D0B">
              <w:t xml:space="preserve">, </w:t>
            </w:r>
            <w:r>
              <w:t>Busan</w:t>
            </w:r>
            <w:r w:rsidR="004B3553">
              <w:t xml:space="preserve">, </w:t>
            </w:r>
            <w:r>
              <w:t>Republic of Korea</w:t>
            </w:r>
          </w:p>
        </w:tc>
        <w:tc>
          <w:tcPr>
            <w:tcW w:w="2700" w:type="dxa"/>
          </w:tcPr>
          <w:p w14:paraId="693658A1" w14:textId="3A494B4A" w:rsidR="004B3553" w:rsidRPr="00712451" w:rsidRDefault="007F03F9" w:rsidP="006A64A9">
            <w:pPr>
              <w:rPr>
                <w:b/>
              </w:rPr>
            </w:pPr>
            <w:r>
              <w:rPr>
                <w:b/>
              </w:rPr>
              <w:t>28</w:t>
            </w:r>
            <w:r w:rsidR="00FE3DE5">
              <w:rPr>
                <w:b/>
              </w:rPr>
              <w:t xml:space="preserve"> </w:t>
            </w:r>
            <w:r w:rsidR="006A64A9">
              <w:rPr>
                <w:b/>
              </w:rPr>
              <w:t xml:space="preserve">December </w:t>
            </w:r>
            <w:r w:rsidR="00291C9E">
              <w:rPr>
                <w:b/>
              </w:rPr>
              <w:t>20</w:t>
            </w:r>
            <w:r w:rsidR="008319BF">
              <w:rPr>
                <w:b/>
              </w:rPr>
              <w:t>1</w:t>
            </w:r>
            <w:r w:rsidR="00F17B0A">
              <w:rPr>
                <w:b/>
              </w:rPr>
              <w:t>8</w:t>
            </w:r>
          </w:p>
        </w:tc>
      </w:tr>
    </w:tbl>
    <w:p w14:paraId="5B04871F" w14:textId="77777777" w:rsidR="00096326" w:rsidRDefault="00096326" w:rsidP="00DA7595">
      <w:pPr>
        <w:jc w:val="center"/>
        <w:rPr>
          <w:sz w:val="28"/>
          <w:szCs w:val="28"/>
          <w:lang w:eastAsia="ko-KR"/>
        </w:rPr>
      </w:pPr>
    </w:p>
    <w:p w14:paraId="57C0926B" w14:textId="77777777" w:rsidR="00DA7595" w:rsidRPr="00EB7E2E" w:rsidRDefault="00170A13" w:rsidP="00DA7595">
      <w:pPr>
        <w:jc w:val="center"/>
        <w:rPr>
          <w:sz w:val="26"/>
          <w:szCs w:val="26"/>
          <w:lang w:eastAsia="ko-KR"/>
        </w:rPr>
      </w:pPr>
      <w:r>
        <w:rPr>
          <w:sz w:val="26"/>
          <w:szCs w:val="26"/>
          <w:lang w:eastAsia="ko-KR"/>
        </w:rPr>
        <w:t>Japan</w:t>
      </w:r>
    </w:p>
    <w:p w14:paraId="11BDEAC4" w14:textId="77777777" w:rsidR="00FE3DE5" w:rsidRDefault="00FE3DE5" w:rsidP="0063062B">
      <w:pPr>
        <w:jc w:val="center"/>
        <w:rPr>
          <w:b/>
          <w:bCs/>
          <w:caps/>
          <w:sz w:val="28"/>
          <w:szCs w:val="28"/>
        </w:rPr>
      </w:pPr>
    </w:p>
    <w:p w14:paraId="3DE41727" w14:textId="77777777" w:rsidR="00C357AD" w:rsidRDefault="00192F7C" w:rsidP="0063062B">
      <w:pPr>
        <w:jc w:val="center"/>
        <w:rPr>
          <w:b/>
          <w:bCs/>
          <w:caps/>
        </w:rPr>
      </w:pPr>
      <w:r w:rsidRPr="00192F7C">
        <w:rPr>
          <w:rFonts w:hint="eastAsia"/>
          <w:b/>
          <w:bCs/>
          <w:caps/>
        </w:rPr>
        <w:t>Further consideration</w:t>
      </w:r>
      <w:r w:rsidRPr="00192F7C">
        <w:rPr>
          <w:b/>
          <w:bCs/>
          <w:caps/>
        </w:rPr>
        <w:t xml:space="preserve"> and </w:t>
      </w:r>
      <w:r w:rsidR="00277FDE">
        <w:rPr>
          <w:b/>
          <w:bCs/>
          <w:caps/>
        </w:rPr>
        <w:t>UPDATE</w:t>
      </w:r>
      <w:r w:rsidRPr="00192F7C">
        <w:rPr>
          <w:b/>
          <w:bCs/>
          <w:caps/>
        </w:rPr>
        <w:t xml:space="preserve"> to [For condition A2e, Option 7] of Draft Resolution [A113-IMT 26 GHZ] contained in Section </w:t>
      </w:r>
      <w:r w:rsidRPr="00192F7C">
        <w:rPr>
          <w:rFonts w:hint="eastAsia"/>
          <w:b/>
          <w:bCs/>
          <w:caps/>
        </w:rPr>
        <w:t>2/1.13/</w:t>
      </w:r>
      <w:r w:rsidRPr="00192F7C">
        <w:rPr>
          <w:b/>
          <w:bCs/>
          <w:caps/>
        </w:rPr>
        <w:t>5.13.2 of Draft CPM text on Agenda item 1.13 of WRC-19</w:t>
      </w:r>
    </w:p>
    <w:p w14:paraId="7259049D" w14:textId="77777777" w:rsidR="004B5D22" w:rsidRPr="00096326" w:rsidRDefault="004B5D22" w:rsidP="0063062B">
      <w:pPr>
        <w:jc w:val="center"/>
        <w:rPr>
          <w:b/>
          <w:bCs/>
          <w:caps/>
        </w:rPr>
      </w:pPr>
    </w:p>
    <w:p w14:paraId="5C12E5E2" w14:textId="77777777" w:rsidR="00192F7C" w:rsidRPr="00192F7C" w:rsidRDefault="00192F7C" w:rsidP="006B76C3">
      <w:pPr>
        <w:pStyle w:val="Heading1"/>
        <w:spacing w:beforeLines="100" w:before="240"/>
        <w:ind w:left="425" w:hangingChars="177" w:hanging="425"/>
        <w:jc w:val="left"/>
        <w:rPr>
          <w:u w:val="none"/>
        </w:rPr>
      </w:pPr>
      <w:r w:rsidRPr="00192F7C">
        <w:rPr>
          <w:rFonts w:hint="eastAsia"/>
          <w:u w:val="none"/>
        </w:rPr>
        <w:t>1</w:t>
      </w:r>
      <w:r w:rsidRPr="00192F7C">
        <w:rPr>
          <w:rFonts w:hint="eastAsia"/>
          <w:u w:val="none"/>
        </w:rPr>
        <w:tab/>
        <w:t>Introduction</w:t>
      </w:r>
    </w:p>
    <w:p w14:paraId="5C09E9D7" w14:textId="2887B3CE" w:rsidR="00192F7C" w:rsidRDefault="00192F7C" w:rsidP="00192F7C">
      <w:pPr>
        <w:spacing w:beforeLines="50" w:before="120"/>
        <w:rPr>
          <w:lang w:eastAsia="ja-JP"/>
        </w:rPr>
      </w:pPr>
      <w:r>
        <w:rPr>
          <w:rFonts w:hint="eastAsia"/>
          <w:lang w:eastAsia="ja-JP"/>
        </w:rPr>
        <w:t>ITU-R Task Group 5/1 (</w:t>
      </w:r>
      <w:r w:rsidRPr="00551C3F">
        <w:t>TG 5/1</w:t>
      </w:r>
      <w:r>
        <w:rPr>
          <w:rFonts w:hint="eastAsia"/>
          <w:lang w:eastAsia="ja-JP"/>
        </w:rPr>
        <w:t>)</w:t>
      </w:r>
      <w:r w:rsidRPr="00551C3F">
        <w:t xml:space="preserve"> is responsible for conducting sharing and compatibility studies, and development of draft CPM </w:t>
      </w:r>
      <w:r>
        <w:t xml:space="preserve">text </w:t>
      </w:r>
      <w:r>
        <w:rPr>
          <w:rFonts w:hint="eastAsia"/>
          <w:lang w:eastAsia="ja-JP"/>
        </w:rPr>
        <w:t xml:space="preserve">for </w:t>
      </w:r>
      <w:r w:rsidRPr="00551C3F">
        <w:t>WRC</w:t>
      </w:r>
      <w:r>
        <w:rPr>
          <w:rFonts w:hint="eastAsia"/>
          <w:lang w:eastAsia="ja-JP"/>
        </w:rPr>
        <w:t>-</w:t>
      </w:r>
      <w:r w:rsidRPr="00551C3F">
        <w:t xml:space="preserve">19 agenda item 1.13, in accordance with Resolution </w:t>
      </w:r>
      <w:r w:rsidRPr="00551C3F">
        <w:rPr>
          <w:b/>
          <w:bCs/>
        </w:rPr>
        <w:t>238 (WRC</w:t>
      </w:r>
      <w:r>
        <w:rPr>
          <w:rFonts w:hint="eastAsia"/>
          <w:b/>
          <w:bCs/>
          <w:lang w:eastAsia="ja-JP"/>
        </w:rPr>
        <w:t>-</w:t>
      </w:r>
      <w:r w:rsidRPr="00551C3F">
        <w:rPr>
          <w:b/>
          <w:bCs/>
        </w:rPr>
        <w:t>15)</w:t>
      </w:r>
      <w:r>
        <w:rPr>
          <w:rFonts w:hint="eastAsia"/>
          <w:bCs/>
          <w:lang w:eastAsia="ja-JP"/>
        </w:rPr>
        <w:t xml:space="preserve">. At the </w:t>
      </w:r>
      <w:r>
        <w:rPr>
          <w:bCs/>
          <w:lang w:eastAsia="ja-JP"/>
        </w:rPr>
        <w:t xml:space="preserve">final </w:t>
      </w:r>
      <w:r>
        <w:rPr>
          <w:rFonts w:hint="eastAsia"/>
          <w:bCs/>
          <w:lang w:eastAsia="ja-JP"/>
        </w:rPr>
        <w:t>meeting of TG 5/1</w:t>
      </w:r>
      <w:r>
        <w:rPr>
          <w:bCs/>
          <w:lang w:eastAsia="ja-JP"/>
        </w:rPr>
        <w:t xml:space="preserve"> (August 2018)</w:t>
      </w:r>
      <w:r>
        <w:rPr>
          <w:rFonts w:hint="eastAsia"/>
          <w:bCs/>
          <w:lang w:eastAsia="ja-JP"/>
        </w:rPr>
        <w:t xml:space="preserve">, the </w:t>
      </w:r>
      <w:r w:rsidRPr="00B314B2">
        <w:rPr>
          <w:bCs/>
        </w:rPr>
        <w:t xml:space="preserve">draft CPM text </w:t>
      </w:r>
      <w:r>
        <w:rPr>
          <w:rFonts w:hint="eastAsia"/>
          <w:bCs/>
          <w:lang w:eastAsia="ja-JP"/>
        </w:rPr>
        <w:t xml:space="preserve">was </w:t>
      </w:r>
      <w:r>
        <w:rPr>
          <w:bCs/>
          <w:lang w:eastAsia="ja-JP"/>
        </w:rPr>
        <w:t>finalized</w:t>
      </w:r>
      <w:r>
        <w:rPr>
          <w:rFonts w:hint="eastAsia"/>
          <w:lang w:eastAsia="ja-JP"/>
        </w:rPr>
        <w:t xml:space="preserve"> (Annex 2 to Document </w:t>
      </w:r>
      <w:hyperlink r:id="rId9" w:history="1">
        <w:r w:rsidRPr="00580B2E">
          <w:rPr>
            <w:rStyle w:val="Hyperlink"/>
            <w:rFonts w:hint="eastAsia"/>
            <w:lang w:eastAsia="ja-JP"/>
          </w:rPr>
          <w:t>5-1/4</w:t>
        </w:r>
        <w:r>
          <w:rPr>
            <w:rStyle w:val="Hyperlink"/>
            <w:lang w:eastAsia="ja-JP"/>
          </w:rPr>
          <w:t>78</w:t>
        </w:r>
      </w:hyperlink>
      <w:r>
        <w:rPr>
          <w:rFonts w:hint="eastAsia"/>
          <w:lang w:eastAsia="ja-JP"/>
        </w:rPr>
        <w:t>)</w:t>
      </w:r>
      <w:r w:rsidR="007B021B">
        <w:rPr>
          <w:lang w:eastAsia="ja-JP"/>
        </w:rPr>
        <w:t>, and</w:t>
      </w:r>
      <w:r w:rsidR="00C4190E">
        <w:rPr>
          <w:rFonts w:asciiTheme="minorEastAsia" w:eastAsiaTheme="minorEastAsia" w:hAnsiTheme="minorEastAsia"/>
          <w:lang w:eastAsia="ja-JP"/>
        </w:rPr>
        <w:t xml:space="preserve"> </w:t>
      </w:r>
      <w:r w:rsidR="007B021B">
        <w:rPr>
          <w:lang w:eastAsia="ja-JP"/>
        </w:rPr>
        <w:t xml:space="preserve">it </w:t>
      </w:r>
      <w:r w:rsidR="00C4190E">
        <w:rPr>
          <w:lang w:eastAsia="ja-JP"/>
        </w:rPr>
        <w:t>has been</w:t>
      </w:r>
      <w:r w:rsidR="007B021B">
        <w:rPr>
          <w:lang w:eastAsia="ja-JP"/>
        </w:rPr>
        <w:t xml:space="preserve"> captured in </w:t>
      </w:r>
      <w:hyperlink r:id="rId10" w:history="1">
        <w:r w:rsidR="00C4190E">
          <w:rPr>
            <w:rStyle w:val="Hyperlink"/>
            <w:lang w:eastAsia="ja-JP"/>
          </w:rPr>
          <w:t>the Draft CPM Report</w:t>
        </w:r>
      </w:hyperlink>
      <w:r w:rsidR="00BC52D9">
        <w:rPr>
          <w:lang w:eastAsia="ja-JP"/>
        </w:rPr>
        <w:t xml:space="preserve"> based on the review of the </w:t>
      </w:r>
      <w:r w:rsidR="00BC52D9" w:rsidRPr="00C4190E">
        <w:rPr>
          <w:lang w:eastAsia="ja-JP"/>
        </w:rPr>
        <w:t>CPM 19 Management Team</w:t>
      </w:r>
      <w:r w:rsidRPr="00737B0B">
        <w:rPr>
          <w:rFonts w:hint="eastAsia"/>
          <w:lang w:eastAsia="ja-JP"/>
        </w:rPr>
        <w:t>.</w:t>
      </w:r>
    </w:p>
    <w:p w14:paraId="035CB5AD" w14:textId="77777777" w:rsidR="00C357AD" w:rsidRDefault="00C357AD" w:rsidP="00C357AD">
      <w:pPr>
        <w:jc w:val="both"/>
        <w:rPr>
          <w:b/>
        </w:rPr>
      </w:pPr>
    </w:p>
    <w:p w14:paraId="16B255CA" w14:textId="77777777" w:rsidR="00192F7C" w:rsidRPr="00192F7C" w:rsidRDefault="00192F7C" w:rsidP="006B76C3">
      <w:pPr>
        <w:pStyle w:val="Heading1"/>
        <w:spacing w:beforeLines="50" w:before="120"/>
        <w:ind w:left="425" w:hangingChars="177" w:hanging="425"/>
        <w:jc w:val="left"/>
        <w:rPr>
          <w:u w:val="none"/>
          <w:lang w:eastAsia="ja-JP"/>
        </w:rPr>
      </w:pPr>
      <w:r w:rsidRPr="00192F7C">
        <w:rPr>
          <w:rFonts w:hint="eastAsia"/>
          <w:u w:val="none"/>
          <w:lang w:eastAsia="ja-JP"/>
        </w:rPr>
        <w:t>2</w:t>
      </w:r>
      <w:r w:rsidRPr="00192F7C">
        <w:rPr>
          <w:rFonts w:hint="eastAsia"/>
          <w:u w:val="none"/>
        </w:rPr>
        <w:tab/>
      </w:r>
      <w:r>
        <w:rPr>
          <w:u w:val="none"/>
          <w:lang w:eastAsia="ja-JP"/>
        </w:rPr>
        <w:t>Background</w:t>
      </w:r>
    </w:p>
    <w:p w14:paraId="5291D2BD" w14:textId="77777777" w:rsidR="00192F7C" w:rsidRPr="00192F7C" w:rsidRDefault="00192F7C" w:rsidP="00192F7C">
      <w:pPr>
        <w:pStyle w:val="Heading2"/>
        <w:spacing w:beforeLines="50" w:before="120"/>
        <w:rPr>
          <w:rFonts w:ascii="Times New Roman" w:hAnsi="Times New Roman" w:cs="Times New Roman"/>
          <w:b/>
          <w:lang w:eastAsia="ja-JP"/>
        </w:rPr>
      </w:pPr>
      <w:r w:rsidRPr="00192F7C">
        <w:rPr>
          <w:rFonts w:ascii="Times New Roman" w:hAnsi="Times New Roman" w:cs="Times New Roman"/>
          <w:b/>
          <w:lang w:eastAsia="ja-JP"/>
        </w:rPr>
        <w:t xml:space="preserve">Consideration on FSS (E-s) protection measures in the </w:t>
      </w:r>
      <w:r w:rsidR="00D2523A">
        <w:rPr>
          <w:rFonts w:ascii="Times New Roman" w:hAnsi="Times New Roman" w:cs="Times New Roman"/>
          <w:b/>
          <w:lang w:eastAsia="ja-JP"/>
        </w:rPr>
        <w:t>24.25-27.5</w:t>
      </w:r>
      <w:r w:rsidRPr="00192F7C">
        <w:rPr>
          <w:rFonts w:ascii="Times New Roman" w:hAnsi="Times New Roman" w:cs="Times New Roman"/>
          <w:b/>
          <w:lang w:eastAsia="ja-JP"/>
        </w:rPr>
        <w:t xml:space="preserve"> GHz band</w:t>
      </w:r>
    </w:p>
    <w:p w14:paraId="3F4E8AE1" w14:textId="53C7BB4D" w:rsidR="00CD2560" w:rsidRDefault="00AB0295" w:rsidP="00192F7C">
      <w:pPr>
        <w:spacing w:beforeLines="50" w:before="120"/>
        <w:rPr>
          <w:rFonts w:eastAsiaTheme="minorEastAsia"/>
          <w:bCs/>
          <w:lang w:eastAsia="ja-JP"/>
        </w:rPr>
      </w:pPr>
      <w:r>
        <w:rPr>
          <w:bCs/>
          <w:lang w:eastAsia="ja-JP"/>
        </w:rPr>
        <w:t>In the draft CPM text, “</w:t>
      </w:r>
      <w:r w:rsidRPr="008B46D4">
        <w:rPr>
          <w:u w:val="single"/>
        </w:rPr>
        <w:t>Summary and analysis of the results of ITU-R studies</w:t>
      </w:r>
      <w:r w:rsidRPr="008B46D4">
        <w:rPr>
          <w:bCs/>
          <w:u w:val="single"/>
          <w:lang w:eastAsia="ja-JP"/>
        </w:rPr>
        <w:t xml:space="preserve"> in the </w:t>
      </w:r>
      <w:r>
        <w:rPr>
          <w:bCs/>
          <w:u w:val="single"/>
          <w:lang w:eastAsia="ja-JP"/>
        </w:rPr>
        <w:t>f</w:t>
      </w:r>
      <w:r w:rsidRPr="008B46D4">
        <w:rPr>
          <w:u w:val="single"/>
          <w:lang w:eastAsia="ja-JP"/>
        </w:rPr>
        <w:t>requency range 24.25-27.5 GHz</w:t>
      </w:r>
      <w:r w:rsidRPr="008B46D4">
        <w:rPr>
          <w:bCs/>
          <w:u w:val="single"/>
          <w:lang w:eastAsia="ja-JP"/>
        </w:rPr>
        <w:t xml:space="preserve"> between </w:t>
      </w:r>
      <w:r w:rsidRPr="008B46D4">
        <w:rPr>
          <w:u w:val="single"/>
          <w:lang w:eastAsia="ja-JP"/>
        </w:rPr>
        <w:t>FSS and IMT</w:t>
      </w:r>
      <w:r>
        <w:rPr>
          <w:lang w:eastAsia="ja-JP"/>
        </w:rPr>
        <w:t xml:space="preserve">” (see </w:t>
      </w:r>
      <w:r w:rsidRPr="00D2523A">
        <w:rPr>
          <w:b/>
          <w:lang w:eastAsia="ja-JP"/>
        </w:rPr>
        <w:t>2/1.13/3.2.1.3</w:t>
      </w:r>
      <w:r>
        <w:rPr>
          <w:lang w:eastAsia="ja-JP"/>
        </w:rPr>
        <w:t xml:space="preserve"> of</w:t>
      </w:r>
      <w:r w:rsidR="006E7578">
        <w:rPr>
          <w:lang w:eastAsia="ja-JP"/>
        </w:rPr>
        <w:t xml:space="preserve"> </w:t>
      </w:r>
      <w:hyperlink r:id="rId11" w:history="1">
        <w:r w:rsidR="00C4190E">
          <w:rPr>
            <w:rStyle w:val="Hyperlink"/>
            <w:lang w:eastAsia="ja-JP"/>
          </w:rPr>
          <w:t>the Draft CPM Report</w:t>
        </w:r>
      </w:hyperlink>
      <w:r>
        <w:rPr>
          <w:lang w:eastAsia="ja-JP"/>
        </w:rPr>
        <w:t xml:space="preserve">) concluded </w:t>
      </w:r>
      <w:r w:rsidR="00014030" w:rsidRPr="00E13033">
        <w:rPr>
          <w:lang w:val="en-GB" w:eastAsia="ja-JP"/>
        </w:rPr>
        <w:t xml:space="preserve">on </w:t>
      </w:r>
      <w:r w:rsidR="00014030" w:rsidRPr="00E13033">
        <w:rPr>
          <w:lang w:val="en-GB"/>
        </w:rPr>
        <w:t>aggregate interference from IMT stations into FSS space stations</w:t>
      </w:r>
      <w:r w:rsidR="00014030">
        <w:rPr>
          <w:lang w:eastAsia="ja-JP"/>
        </w:rPr>
        <w:t xml:space="preserve"> </w:t>
      </w:r>
      <w:r>
        <w:rPr>
          <w:lang w:eastAsia="ja-JP"/>
        </w:rPr>
        <w:t xml:space="preserve">that </w:t>
      </w:r>
      <w:r>
        <w:rPr>
          <w:rFonts w:eastAsiaTheme="minorEastAsia"/>
          <w:lang w:eastAsia="ja-JP"/>
        </w:rPr>
        <w:t>“</w:t>
      </w:r>
      <w:r w:rsidRPr="00AB0295">
        <w:rPr>
          <w:rFonts w:eastAsiaTheme="minorEastAsia"/>
          <w:i/>
          <w:lang w:eastAsia="ja-JP"/>
        </w:rPr>
        <w:t>All studies show that sharing is feasible</w:t>
      </w:r>
      <w:r w:rsidRPr="00AB0295">
        <w:rPr>
          <w:rFonts w:eastAsiaTheme="minorEastAsia"/>
          <w:lang w:eastAsia="ja-JP"/>
        </w:rPr>
        <w:t xml:space="preserve"> </w:t>
      </w:r>
      <w:r w:rsidRPr="00AB0295">
        <w:rPr>
          <w:rFonts w:eastAsiaTheme="minorEastAsia"/>
          <w:i/>
          <w:lang w:eastAsia="ja-JP"/>
        </w:rPr>
        <w:t>when using the baseline parameters.</w:t>
      </w:r>
      <w:r>
        <w:rPr>
          <w:rFonts w:eastAsiaTheme="minorEastAsia"/>
          <w:lang w:eastAsia="ja-JP"/>
        </w:rPr>
        <w:t>”</w:t>
      </w:r>
      <w:r>
        <w:rPr>
          <w:lang w:eastAsia="ja-JP"/>
        </w:rPr>
        <w:t xml:space="preserve"> and Japan support</w:t>
      </w:r>
      <w:r w:rsidR="00014030">
        <w:rPr>
          <w:lang w:eastAsia="ja-JP"/>
        </w:rPr>
        <w:t>s</w:t>
      </w:r>
      <w:r>
        <w:rPr>
          <w:lang w:eastAsia="ja-JP"/>
        </w:rPr>
        <w:t xml:space="preserve"> this conclusion</w:t>
      </w:r>
      <w:r w:rsidR="00113FB5">
        <w:rPr>
          <w:lang w:eastAsia="ja-JP"/>
        </w:rPr>
        <w:t>. T</w:t>
      </w:r>
      <w:r w:rsidR="00763B19">
        <w:rPr>
          <w:lang w:eastAsia="ja-JP"/>
        </w:rPr>
        <w:t>hese “</w:t>
      </w:r>
      <w:r w:rsidR="009C1115" w:rsidRPr="008C157F">
        <w:rPr>
          <w:rFonts w:eastAsiaTheme="minorEastAsia" w:hint="cs"/>
          <w:b/>
          <w:bCs/>
          <w:u w:val="double"/>
          <w:lang w:eastAsia="ja-JP"/>
        </w:rPr>
        <w:t>baseline parameters</w:t>
      </w:r>
      <w:r w:rsidR="00763B19">
        <w:rPr>
          <w:rFonts w:eastAsiaTheme="minorEastAsia"/>
          <w:bCs/>
          <w:lang w:eastAsia="ja-JP"/>
        </w:rPr>
        <w:t xml:space="preserve">“ </w:t>
      </w:r>
      <w:r w:rsidR="00113FB5">
        <w:rPr>
          <w:rFonts w:eastAsiaTheme="minorEastAsia"/>
          <w:bCs/>
          <w:lang w:eastAsia="ja-JP"/>
        </w:rPr>
        <w:t>are</w:t>
      </w:r>
      <w:r w:rsidR="00763B19">
        <w:rPr>
          <w:rFonts w:eastAsiaTheme="minorEastAsia"/>
          <w:bCs/>
          <w:lang w:eastAsia="ja-JP"/>
        </w:rPr>
        <w:t xml:space="preserve"> shown in TABLE-1</w:t>
      </w:r>
      <w:r w:rsidR="00763B19" w:rsidRPr="00CD2560">
        <w:rPr>
          <w:rFonts w:eastAsiaTheme="minorEastAsia"/>
          <w:bCs/>
          <w:lang w:eastAsia="ja-JP"/>
        </w:rPr>
        <w:t xml:space="preserve"> </w:t>
      </w:r>
      <w:r w:rsidR="00763B19">
        <w:rPr>
          <w:rFonts w:eastAsiaTheme="minorEastAsia"/>
          <w:bCs/>
          <w:lang w:eastAsia="ja-JP"/>
        </w:rPr>
        <w:t xml:space="preserve">below, </w:t>
      </w:r>
      <w:r w:rsidR="00113FB5">
        <w:rPr>
          <w:rFonts w:eastAsiaTheme="minorEastAsia"/>
          <w:bCs/>
          <w:lang w:eastAsia="ja-JP"/>
        </w:rPr>
        <w:t xml:space="preserve">which are </w:t>
      </w:r>
      <w:r w:rsidR="009C1115">
        <w:rPr>
          <w:rFonts w:eastAsiaTheme="minorEastAsia"/>
          <w:bCs/>
          <w:lang w:eastAsia="ja-JP"/>
        </w:rPr>
        <w:t xml:space="preserve">extracted from </w:t>
      </w:r>
      <w:r w:rsidR="00CD2560">
        <w:rPr>
          <w:rFonts w:eastAsiaTheme="minorEastAsia"/>
          <w:bCs/>
          <w:lang w:eastAsia="ja-JP"/>
        </w:rPr>
        <w:t>Study C</w:t>
      </w:r>
      <w:r w:rsidR="00763B19">
        <w:rPr>
          <w:rFonts w:eastAsiaTheme="minorEastAsia"/>
          <w:bCs/>
          <w:lang w:eastAsia="ja-JP"/>
        </w:rPr>
        <w:t xml:space="preserve"> (made by Japan)</w:t>
      </w:r>
      <w:r w:rsidR="00CD2560">
        <w:rPr>
          <w:rFonts w:eastAsiaTheme="minorEastAsia"/>
          <w:bCs/>
          <w:lang w:eastAsia="ja-JP"/>
        </w:rPr>
        <w:t xml:space="preserve"> </w:t>
      </w:r>
      <w:r w:rsidR="003D43F8">
        <w:rPr>
          <w:rFonts w:eastAsiaTheme="minorEastAsia"/>
          <w:bCs/>
          <w:lang w:eastAsia="ja-JP"/>
        </w:rPr>
        <w:t>in</w:t>
      </w:r>
      <w:r w:rsidR="00CD2560">
        <w:rPr>
          <w:rFonts w:eastAsiaTheme="minorEastAsia"/>
          <w:bCs/>
          <w:lang w:eastAsia="ja-JP"/>
        </w:rPr>
        <w:t xml:space="preserve"> </w:t>
      </w:r>
      <w:r w:rsidR="00F74C35">
        <w:rPr>
          <w:rFonts w:eastAsiaTheme="minorEastAsia"/>
          <w:bCs/>
          <w:lang w:eastAsia="ja-JP"/>
        </w:rPr>
        <w:t xml:space="preserve">Attachment </w:t>
      </w:r>
      <w:r w:rsidR="003D43F8">
        <w:rPr>
          <w:rFonts w:eastAsiaTheme="minorEastAsia"/>
          <w:bCs/>
          <w:lang w:eastAsia="ja-JP"/>
        </w:rPr>
        <w:t xml:space="preserve">3 </w:t>
      </w:r>
      <w:r w:rsidR="00F74C35">
        <w:rPr>
          <w:rFonts w:eastAsiaTheme="minorEastAsia"/>
          <w:bCs/>
          <w:lang w:eastAsia="ja-JP"/>
        </w:rPr>
        <w:t xml:space="preserve">to </w:t>
      </w:r>
      <w:r w:rsidR="003D43F8">
        <w:rPr>
          <w:rFonts w:eastAsiaTheme="minorEastAsia"/>
          <w:bCs/>
          <w:lang w:eastAsia="ja-JP"/>
        </w:rPr>
        <w:t xml:space="preserve">Annex 3 to </w:t>
      </w:r>
      <w:r w:rsidR="009C1115">
        <w:rPr>
          <w:rFonts w:hint="eastAsia"/>
          <w:lang w:eastAsia="ja-JP"/>
        </w:rPr>
        <w:t xml:space="preserve">Document </w:t>
      </w:r>
      <w:hyperlink r:id="rId12" w:history="1">
        <w:r w:rsidR="009C1115" w:rsidRPr="00580B2E">
          <w:rPr>
            <w:rStyle w:val="Hyperlink"/>
            <w:rFonts w:hint="eastAsia"/>
            <w:lang w:eastAsia="ja-JP"/>
          </w:rPr>
          <w:t>5-1/</w:t>
        </w:r>
        <w:r w:rsidR="00CD2560">
          <w:rPr>
            <w:rStyle w:val="Hyperlink"/>
            <w:lang w:eastAsia="ja-JP"/>
          </w:rPr>
          <w:t>478</w:t>
        </w:r>
      </w:hyperlink>
      <w:r w:rsidR="00763B19">
        <w:rPr>
          <w:rFonts w:eastAsiaTheme="minorEastAsia"/>
          <w:bCs/>
          <w:lang w:eastAsia="ja-JP"/>
        </w:rPr>
        <w:t>).</w:t>
      </w:r>
      <w:r w:rsidR="009C1115">
        <w:rPr>
          <w:rFonts w:eastAsiaTheme="minorEastAsia"/>
          <w:bCs/>
          <w:lang w:eastAsia="ja-JP"/>
        </w:rPr>
        <w:t xml:space="preserve"> </w:t>
      </w:r>
    </w:p>
    <w:p w14:paraId="4332BAFF" w14:textId="77777777" w:rsidR="003D43F8" w:rsidRPr="00277FDE" w:rsidRDefault="003D43F8" w:rsidP="00277FDE">
      <w:pPr>
        <w:pStyle w:val="TableNo"/>
        <w:spacing w:before="360"/>
        <w:rPr>
          <w:sz w:val="24"/>
          <w:szCs w:val="24"/>
          <w:lang w:eastAsia="ja-JP"/>
        </w:rPr>
      </w:pPr>
      <w:r w:rsidRPr="00277FDE">
        <w:rPr>
          <w:sz w:val="24"/>
          <w:szCs w:val="24"/>
        </w:rPr>
        <w:t>TABLE</w:t>
      </w:r>
      <w:r w:rsidRPr="00277FDE">
        <w:rPr>
          <w:sz w:val="24"/>
          <w:szCs w:val="24"/>
          <w:lang w:eastAsia="ja-JP"/>
        </w:rPr>
        <w:t>-1</w:t>
      </w:r>
    </w:p>
    <w:p w14:paraId="0C3C99A3" w14:textId="30694BD8" w:rsidR="003D43F8" w:rsidRPr="00EC6626" w:rsidRDefault="003D43F8" w:rsidP="001362BF">
      <w:pPr>
        <w:pStyle w:val="Tabletitle"/>
        <w:spacing w:after="0"/>
        <w:rPr>
          <w:lang w:eastAsia="ja-JP"/>
        </w:rPr>
      </w:pPr>
      <w:r>
        <w:rPr>
          <w:lang w:eastAsia="ja-JP"/>
        </w:rPr>
        <w:t xml:space="preserve">Baseline </w:t>
      </w:r>
      <w:r w:rsidRPr="00EC6626">
        <w:rPr>
          <w:lang w:eastAsia="ja-JP"/>
        </w:rPr>
        <w:t xml:space="preserve">parameters of IMT </w:t>
      </w:r>
      <w:r w:rsidR="007B021B">
        <w:rPr>
          <w:lang w:eastAsia="ja-JP"/>
        </w:rPr>
        <w:t xml:space="preserve">base </w:t>
      </w:r>
      <w:r w:rsidRPr="00EC6626">
        <w:rPr>
          <w:lang w:eastAsia="ja-JP"/>
        </w:rPr>
        <w:t>stations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1061"/>
        <w:gridCol w:w="5768"/>
      </w:tblGrid>
      <w:tr w:rsidR="003D43F8" w:rsidRPr="00EC6626" w14:paraId="7150C4E8" w14:textId="77777777" w:rsidTr="00D06006">
        <w:trPr>
          <w:tblHeader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C342" w14:textId="77777777" w:rsidR="003D43F8" w:rsidRPr="00EC6626" w:rsidRDefault="003D43F8" w:rsidP="00D06006">
            <w:pPr>
              <w:pStyle w:val="Tablehead"/>
            </w:pPr>
            <w:r w:rsidRPr="00EC6626">
              <w:t>Parameter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6190" w14:textId="77777777" w:rsidR="003D43F8" w:rsidRPr="00EC6626" w:rsidRDefault="003D43F8" w:rsidP="00D06006">
            <w:pPr>
              <w:pStyle w:val="Tablehead"/>
              <w:rPr>
                <w:lang w:eastAsia="ja-JP"/>
              </w:rPr>
            </w:pPr>
            <w:r w:rsidRPr="00EC6626">
              <w:rPr>
                <w:lang w:eastAsia="ja-JP"/>
              </w:rPr>
              <w:t>BS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C00F" w14:textId="77777777" w:rsidR="003D43F8" w:rsidRPr="00EC6626" w:rsidRDefault="003D43F8" w:rsidP="00D06006">
            <w:pPr>
              <w:pStyle w:val="Tablehead"/>
            </w:pPr>
            <w:r w:rsidRPr="00EC6626">
              <w:t>Note</w:t>
            </w:r>
          </w:p>
        </w:tc>
      </w:tr>
      <w:tr w:rsidR="00D06006" w:rsidRPr="00EC6626" w14:paraId="0FEBE533" w14:textId="77777777" w:rsidTr="00D06006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E0BB" w14:textId="77777777" w:rsidR="00D06006" w:rsidRPr="00EC6626" w:rsidRDefault="00D06006" w:rsidP="00D06006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Maximum antenna input power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47DD" w14:textId="77777777" w:rsidR="00D06006" w:rsidRPr="00EC6626" w:rsidRDefault="006B726C" w:rsidP="00CB77B8">
            <w:pPr>
              <w:pStyle w:val="Tabletext"/>
              <w:jc w:val="center"/>
              <w:rPr>
                <w:lang w:eastAsia="ja-JP"/>
              </w:rPr>
            </w:pPr>
            <w:r>
              <w:rPr>
                <w:lang w:eastAsia="ja-JP"/>
              </w:rPr>
              <w:t>−</w:t>
            </w:r>
            <w:r w:rsidR="00D06006">
              <w:rPr>
                <w:lang w:eastAsia="ja-JP"/>
              </w:rPr>
              <w:t>8</w:t>
            </w:r>
            <w:r w:rsidR="00CB77B8">
              <w:rPr>
                <w:lang w:eastAsia="ja-JP"/>
              </w:rPr>
              <w:t>5</w:t>
            </w:r>
            <w:r w:rsidR="00D06006">
              <w:rPr>
                <w:lang w:eastAsia="ja-JP"/>
              </w:rPr>
              <w:t>.0 dB(W/Hz)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D2A2" w14:textId="77777777" w:rsidR="00CB77B8" w:rsidRPr="00EC6626" w:rsidRDefault="00CB77B8" w:rsidP="00CB77B8">
            <w:pPr>
              <w:pStyle w:val="Tabletext"/>
              <w:rPr>
                <w:lang w:eastAsia="ja-JP"/>
              </w:rPr>
            </w:pPr>
            <w:r w:rsidRPr="00EC6626">
              <w:rPr>
                <w:lang w:eastAsia="ja-JP"/>
              </w:rPr>
              <w:t>Calculated from Table 10 in Attachment 2 to Doc. 5-1/36 (WP 5D)</w:t>
            </w:r>
          </w:p>
          <w:p w14:paraId="3AAA7987" w14:textId="77777777" w:rsidR="00CB77B8" w:rsidRDefault="00CB77B8" w:rsidP="00CB77B8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 xml:space="preserve">5 dB(m/MHz) = </w:t>
            </w:r>
            <w:r w:rsidR="006B726C">
              <w:rPr>
                <w:lang w:eastAsia="ja-JP"/>
              </w:rPr>
              <w:t>−</w:t>
            </w:r>
            <w:r>
              <w:rPr>
                <w:lang w:eastAsia="ja-JP"/>
              </w:rPr>
              <w:t xml:space="preserve">25 dB(W/MHz), </w:t>
            </w:r>
          </w:p>
          <w:p w14:paraId="3905005E" w14:textId="77777777" w:rsidR="00D06006" w:rsidRPr="00EC6626" w:rsidRDefault="00CB77B8" w:rsidP="006B726C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28</w:t>
            </w:r>
            <w:r w:rsidRPr="00EC6626">
              <w:rPr>
                <w:lang w:eastAsia="ja-JP"/>
              </w:rPr>
              <w:t xml:space="preserve"> dB(m/200 MHz)</w:t>
            </w:r>
            <w:r>
              <w:rPr>
                <w:lang w:eastAsia="ja-JP"/>
              </w:rPr>
              <w:t xml:space="preserve"> = </w:t>
            </w:r>
            <w:r w:rsidRPr="00EC6626">
              <w:rPr>
                <w:lang w:eastAsia="ja-JP"/>
              </w:rPr>
              <w:t xml:space="preserve"> </w:t>
            </w:r>
            <w:r w:rsidR="006B726C">
              <w:rPr>
                <w:lang w:eastAsia="ja-JP"/>
              </w:rPr>
              <w:t>−</w:t>
            </w:r>
            <w:r>
              <w:rPr>
                <w:lang w:eastAsia="ja-JP"/>
              </w:rPr>
              <w:t>2 dB(W/200MHz)</w:t>
            </w:r>
            <w:r>
              <w:rPr>
                <w:rFonts w:hint="eastAsia"/>
                <w:lang w:eastAsia="ja-JP"/>
              </w:rPr>
              <w:t xml:space="preserve"> &lt;</w:t>
            </w:r>
            <w:r w:rsidR="004B5D22" w:rsidRPr="00D470B7">
              <w:rPr>
                <w:rFonts w:asciiTheme="majorBidi" w:hAnsiTheme="majorBidi" w:cstheme="majorBidi"/>
                <w:lang w:eastAsia="ko-KR"/>
              </w:rPr>
              <w:t xml:space="preserve"> before Ohmic loss</w:t>
            </w:r>
            <w:r w:rsidR="004B5D22">
              <w:rPr>
                <w:rFonts w:asciiTheme="majorBidi" w:hAnsiTheme="majorBidi" w:cstheme="majorBidi"/>
                <w:lang w:eastAsia="ko-KR"/>
              </w:rPr>
              <w:t>&gt;</w:t>
            </w:r>
          </w:p>
        </w:tc>
      </w:tr>
      <w:tr w:rsidR="00CB77B8" w:rsidRPr="00EC6626" w14:paraId="0928E21E" w14:textId="77777777" w:rsidTr="00CB77B8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A134" w14:textId="77777777" w:rsidR="00CB77B8" w:rsidRPr="00EC6626" w:rsidRDefault="00CB77B8" w:rsidP="00060AD1">
            <w:pPr>
              <w:pStyle w:val="Tabletext"/>
              <w:rPr>
                <w:lang w:eastAsia="ja-JP"/>
              </w:rPr>
            </w:pPr>
            <w:r w:rsidRPr="00EC6626">
              <w:rPr>
                <w:lang w:eastAsia="ja-JP"/>
              </w:rPr>
              <w:t>Array ohmic loss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3342" w14:textId="77777777" w:rsidR="00CB77B8" w:rsidRPr="00EC6626" w:rsidRDefault="00CB77B8" w:rsidP="00060AD1">
            <w:pPr>
              <w:pStyle w:val="Tabletext"/>
              <w:jc w:val="center"/>
              <w:rPr>
                <w:lang w:eastAsia="ja-JP"/>
              </w:rPr>
            </w:pPr>
            <w:r w:rsidRPr="00EC6626">
              <w:rPr>
                <w:lang w:eastAsia="ja-JP"/>
              </w:rPr>
              <w:t>3 dB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7658" w14:textId="77777777" w:rsidR="00CB77B8" w:rsidRPr="00EC6626" w:rsidRDefault="00CB77B8" w:rsidP="00060AD1">
            <w:pPr>
              <w:pStyle w:val="Tabletext"/>
              <w:rPr>
                <w:lang w:eastAsia="ja-JP"/>
              </w:rPr>
            </w:pPr>
          </w:p>
        </w:tc>
      </w:tr>
      <w:tr w:rsidR="00CB77B8" w:rsidRPr="00EC6626" w14:paraId="038762D7" w14:textId="77777777" w:rsidTr="00CB77B8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4BB4" w14:textId="77777777" w:rsidR="00CB77B8" w:rsidRPr="00EC6626" w:rsidRDefault="00CB77B8" w:rsidP="00060AD1">
            <w:pPr>
              <w:pStyle w:val="Tabletext"/>
              <w:rPr>
                <w:lang w:eastAsia="ja-JP"/>
              </w:rPr>
            </w:pPr>
            <w:r w:rsidRPr="00EC6626">
              <w:rPr>
                <w:lang w:eastAsia="ja-JP"/>
              </w:rPr>
              <w:t>Maximum antenna gain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F1B5" w14:textId="77777777" w:rsidR="00CB77B8" w:rsidRPr="00EC6626" w:rsidRDefault="00CB77B8" w:rsidP="00060AD1">
            <w:pPr>
              <w:pStyle w:val="Tabletext"/>
              <w:jc w:val="center"/>
              <w:rPr>
                <w:lang w:eastAsia="ja-JP"/>
              </w:rPr>
            </w:pPr>
            <w:r w:rsidRPr="00EC6626">
              <w:rPr>
                <w:lang w:eastAsia="ja-JP"/>
              </w:rPr>
              <w:t>23 dBi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AB3C" w14:textId="77777777" w:rsidR="00CB77B8" w:rsidRPr="00EC6626" w:rsidRDefault="00CB77B8" w:rsidP="00060AD1">
            <w:pPr>
              <w:pStyle w:val="Tabletext"/>
              <w:rPr>
                <w:lang w:eastAsia="ja-JP"/>
              </w:rPr>
            </w:pPr>
            <w:r w:rsidRPr="00EC6626">
              <w:rPr>
                <w:lang w:eastAsia="ja-JP"/>
              </w:rPr>
              <w:t>Calculated from Table 10 in Attachment 2 to Doc. 5-1/36 (WP 5D)</w:t>
            </w:r>
          </w:p>
          <w:p w14:paraId="619DF330" w14:textId="77777777" w:rsidR="00CB77B8" w:rsidRPr="00EC6626" w:rsidRDefault="00CB77B8" w:rsidP="00060AD1">
            <w:pPr>
              <w:pStyle w:val="Tabletext"/>
              <w:rPr>
                <w:lang w:eastAsia="ja-JP"/>
              </w:rPr>
            </w:pPr>
            <w:r w:rsidRPr="00EC6626">
              <w:rPr>
                <w:lang w:eastAsia="ja-JP"/>
              </w:rPr>
              <w:t>8×8 antenna array</w:t>
            </w:r>
          </w:p>
        </w:tc>
      </w:tr>
      <w:tr w:rsidR="00D06006" w:rsidRPr="00EC6626" w14:paraId="7F8FAD9B" w14:textId="77777777" w:rsidTr="00D06006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82E1" w14:textId="77777777" w:rsidR="00D06006" w:rsidRPr="00EC6626" w:rsidRDefault="00D06006" w:rsidP="00D06006">
            <w:pPr>
              <w:pStyle w:val="Tabletext"/>
              <w:rPr>
                <w:lang w:eastAsia="ja-JP"/>
              </w:rPr>
            </w:pPr>
            <w:r w:rsidRPr="00EC6626">
              <w:rPr>
                <w:lang w:eastAsia="ja-JP"/>
              </w:rPr>
              <w:t>Maximum e.i.r.p. density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FB74" w14:textId="77777777" w:rsidR="00D06006" w:rsidRPr="00EC6626" w:rsidRDefault="006B726C" w:rsidP="00D06006">
            <w:pPr>
              <w:pStyle w:val="Tabletext"/>
              <w:jc w:val="center"/>
              <w:rPr>
                <w:lang w:eastAsia="ja-JP"/>
              </w:rPr>
            </w:pPr>
            <w:r>
              <w:rPr>
                <w:lang w:eastAsia="ja-JP"/>
              </w:rPr>
              <w:t>−</w:t>
            </w:r>
            <w:r w:rsidR="00D06006" w:rsidRPr="00EC6626">
              <w:rPr>
                <w:lang w:eastAsia="ja-JP"/>
              </w:rPr>
              <w:t>65.0 dB(W/Hz)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8BF3" w14:textId="77777777" w:rsidR="00D06006" w:rsidRPr="00EC6626" w:rsidRDefault="00D06006" w:rsidP="00D06006">
            <w:pPr>
              <w:pStyle w:val="Tabletext"/>
              <w:rPr>
                <w:lang w:eastAsia="ja-JP"/>
              </w:rPr>
            </w:pPr>
            <w:r w:rsidRPr="00EC6626">
              <w:rPr>
                <w:lang w:eastAsia="ja-JP"/>
              </w:rPr>
              <w:t>Calculated from Table 10 in Attachment 2 to Doc. 5-1/36 (WP 5D)</w:t>
            </w:r>
          </w:p>
          <w:p w14:paraId="4128B807" w14:textId="77777777" w:rsidR="00D06006" w:rsidRDefault="00D06006" w:rsidP="00D06006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 xml:space="preserve">25 dB(m/MHz) = </w:t>
            </w:r>
            <w:r w:rsidR="006B726C">
              <w:rPr>
                <w:lang w:eastAsia="ja-JP"/>
              </w:rPr>
              <w:t>−</w:t>
            </w:r>
            <w:r>
              <w:rPr>
                <w:lang w:eastAsia="ja-JP"/>
              </w:rPr>
              <w:t xml:space="preserve">5 dB(W/MHz), </w:t>
            </w:r>
          </w:p>
          <w:p w14:paraId="5228BAB6" w14:textId="77777777" w:rsidR="00D06006" w:rsidRPr="00EC6626" w:rsidRDefault="00D06006" w:rsidP="006B726C">
            <w:pPr>
              <w:pStyle w:val="Tabletext"/>
              <w:rPr>
                <w:lang w:eastAsia="ja-JP"/>
              </w:rPr>
            </w:pPr>
            <w:r w:rsidRPr="00EC6626">
              <w:rPr>
                <w:lang w:eastAsia="ja-JP"/>
              </w:rPr>
              <w:t>48 dB(m/200 MHz)</w:t>
            </w:r>
            <w:r>
              <w:rPr>
                <w:lang w:eastAsia="ja-JP"/>
              </w:rPr>
              <w:t xml:space="preserve"> = 18 dB(W/200MHz) </w:t>
            </w:r>
          </w:p>
        </w:tc>
      </w:tr>
      <w:tr w:rsidR="00FF6EBC" w:rsidRPr="0071643D" w14:paraId="00A7F1A1" w14:textId="77777777" w:rsidTr="00D06006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1D2D" w14:textId="77777777" w:rsidR="00FF6EBC" w:rsidRPr="00EC6626" w:rsidRDefault="00FF6EBC" w:rsidP="00D06006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Antenna Patter</w:t>
            </w:r>
            <w:r w:rsidR="002D7428">
              <w:rPr>
                <w:rFonts w:hint="eastAsia"/>
                <w:lang w:eastAsia="ja-JP"/>
              </w:rPr>
              <w:t>n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2995" w14:textId="66F1F12D" w:rsidR="00FF6EBC" w:rsidRPr="00EC6626" w:rsidRDefault="00FF6EBC" w:rsidP="00FF6EBC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R</w:t>
            </w:r>
            <w:r>
              <w:rPr>
                <w:lang w:eastAsia="ja-JP"/>
              </w:rPr>
              <w:t>e</w:t>
            </w:r>
            <w:r>
              <w:rPr>
                <w:rFonts w:hint="eastAsia"/>
                <w:lang w:eastAsia="ja-JP"/>
              </w:rPr>
              <w:t>c.</w:t>
            </w:r>
            <w:r>
              <w:rPr>
                <w:lang w:eastAsia="ja-JP"/>
              </w:rPr>
              <w:t xml:space="preserve"> </w:t>
            </w:r>
            <w:r w:rsidR="003952C0">
              <w:rPr>
                <w:lang w:eastAsia="ja-JP"/>
              </w:rPr>
              <w:t xml:space="preserve">ITU-R </w:t>
            </w:r>
            <w:r>
              <w:rPr>
                <w:lang w:eastAsia="ja-JP"/>
              </w:rPr>
              <w:t>M. 2101</w:t>
            </w:r>
          </w:p>
        </w:tc>
      </w:tr>
      <w:tr w:rsidR="003D43F8" w:rsidRPr="0071643D" w14:paraId="7575646C" w14:textId="77777777" w:rsidTr="00D06006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5F51" w14:textId="77777777" w:rsidR="003D43F8" w:rsidRPr="00EC6626" w:rsidRDefault="003D43F8" w:rsidP="00D06006">
            <w:pPr>
              <w:pStyle w:val="Tabletext"/>
            </w:pPr>
            <w:r w:rsidRPr="00EC6626">
              <w:rPr>
                <w:lang w:eastAsia="ja-JP"/>
              </w:rPr>
              <w:t>D</w:t>
            </w:r>
            <w:r w:rsidRPr="00EC6626">
              <w:t xml:space="preserve">eployment ratio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7840" w14:textId="77777777" w:rsidR="003D43F8" w:rsidRPr="00EC6626" w:rsidRDefault="003D43F8" w:rsidP="00D06006">
            <w:pPr>
              <w:pStyle w:val="Tabletext"/>
              <w:jc w:val="center"/>
              <w:rPr>
                <w:lang w:eastAsia="ja-JP"/>
              </w:rPr>
            </w:pPr>
            <w:r w:rsidRPr="00EC6626">
              <w:t>0.12</w:t>
            </w:r>
            <w:r w:rsidRPr="00EC6626">
              <w:rPr>
                <w:lang w:eastAsia="ja-JP"/>
              </w:rPr>
              <w:t xml:space="preserve"> (BSs/km</w:t>
            </w:r>
            <w:r w:rsidRPr="00EC6626">
              <w:rPr>
                <w:vertAlign w:val="superscript"/>
                <w:lang w:eastAsia="ja-JP"/>
              </w:rPr>
              <w:t>2</w:t>
            </w:r>
            <w:r w:rsidRPr="00EC6626">
              <w:rPr>
                <w:lang w:eastAsia="ja-JP"/>
              </w:rPr>
              <w:t>)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FBAE" w14:textId="77777777" w:rsidR="003D43F8" w:rsidRPr="00EC6626" w:rsidRDefault="003D43F8" w:rsidP="00D06006">
            <w:pPr>
              <w:pStyle w:val="Tabletext"/>
              <w:rPr>
                <w:lang w:eastAsia="ja-JP"/>
              </w:rPr>
            </w:pPr>
            <w:r w:rsidRPr="00EC6626">
              <w:rPr>
                <w:lang w:eastAsia="ja-JP"/>
              </w:rPr>
              <w:t>Calculated from Table 14 in Attachment 2 to Doc. 5-1/36 (WP 5D)</w:t>
            </w:r>
          </w:p>
          <w:p w14:paraId="604F002D" w14:textId="77777777" w:rsidR="003D43F8" w:rsidRPr="00EC6626" w:rsidRDefault="003D43F8" w:rsidP="00D06006">
            <w:pPr>
              <w:pStyle w:val="Tabletext"/>
            </w:pPr>
            <w:r w:rsidRPr="00EC6626">
              <w:t>BS density: 10 BSs/km</w:t>
            </w:r>
            <w:r w:rsidRPr="00EC6626">
              <w:rPr>
                <w:vertAlign w:val="superscript"/>
              </w:rPr>
              <w:t>2</w:t>
            </w:r>
            <w:r w:rsidRPr="00EC6626">
              <w:rPr>
                <w:lang w:eastAsia="ja-JP"/>
              </w:rPr>
              <w:t xml:space="preserve"> </w:t>
            </w:r>
            <w:r w:rsidRPr="00EC6626">
              <w:t>(suburban), 30 BSs/km</w:t>
            </w:r>
            <w:r w:rsidRPr="00EC6626">
              <w:rPr>
                <w:vertAlign w:val="superscript"/>
              </w:rPr>
              <w:t>2</w:t>
            </w:r>
            <w:r w:rsidRPr="00EC6626">
              <w:rPr>
                <w:lang w:eastAsia="ja-JP"/>
              </w:rPr>
              <w:t xml:space="preserve"> </w:t>
            </w:r>
            <w:r w:rsidRPr="00EC6626">
              <w:t>(urban)</w:t>
            </w:r>
          </w:p>
          <w:p w14:paraId="51C6A081" w14:textId="77777777" w:rsidR="003D43F8" w:rsidRPr="00EC6626" w:rsidRDefault="003D43F8" w:rsidP="00D06006">
            <w:pPr>
              <w:pStyle w:val="Tabletext"/>
              <w:rPr>
                <w:lang w:eastAsia="ja-JP"/>
              </w:rPr>
            </w:pPr>
            <w:r w:rsidRPr="00EC6626">
              <w:t>Ra: 3% (suburban), 7% (urban)</w:t>
            </w:r>
            <w:r>
              <w:t xml:space="preserve">, </w:t>
            </w:r>
            <w:r w:rsidRPr="00EC6626">
              <w:t>Rb: 5%</w:t>
            </w:r>
          </w:p>
          <w:p w14:paraId="4C084CC1" w14:textId="77777777" w:rsidR="003D43F8" w:rsidRPr="003D43F8" w:rsidRDefault="003D43F8" w:rsidP="00D06006">
            <w:pPr>
              <w:pStyle w:val="Tabletext"/>
              <w:rPr>
                <w:lang w:eastAsia="ja-JP"/>
              </w:rPr>
            </w:pPr>
            <w:r w:rsidRPr="00EC6626">
              <w:rPr>
                <w:lang w:eastAsia="ja-JP"/>
              </w:rPr>
              <w:t>(Ds</w:t>
            </w:r>
            <w:r w:rsidRPr="00EC6626">
              <w:rPr>
                <w:vertAlign w:val="subscript"/>
                <w:lang w:eastAsia="ja-JP"/>
              </w:rPr>
              <w:t>_BS_suburban</w:t>
            </w:r>
            <w:r w:rsidRPr="00EC6626">
              <w:rPr>
                <w:lang w:eastAsia="ja-JP"/>
              </w:rPr>
              <w:t xml:space="preserve"> × Ra</w:t>
            </w:r>
            <w:r w:rsidRPr="00EC6626">
              <w:rPr>
                <w:vertAlign w:val="subscript"/>
                <w:lang w:eastAsia="ja-JP"/>
              </w:rPr>
              <w:t>_suburban</w:t>
            </w:r>
            <w:r w:rsidRPr="00EC6626">
              <w:rPr>
                <w:lang w:eastAsia="ja-JP"/>
              </w:rPr>
              <w:t xml:space="preserve"> + Ds</w:t>
            </w:r>
            <w:r w:rsidRPr="00EC6626">
              <w:rPr>
                <w:vertAlign w:val="subscript"/>
                <w:lang w:eastAsia="ja-JP"/>
              </w:rPr>
              <w:t>_BS_urban</w:t>
            </w:r>
            <w:r w:rsidRPr="00EC6626">
              <w:rPr>
                <w:lang w:eastAsia="ja-JP"/>
              </w:rPr>
              <w:t xml:space="preserve"> × Ra</w:t>
            </w:r>
            <w:r w:rsidRPr="00EC6626">
              <w:rPr>
                <w:vertAlign w:val="subscript"/>
                <w:lang w:eastAsia="ja-JP"/>
              </w:rPr>
              <w:t>_urban</w:t>
            </w:r>
            <w:r w:rsidRPr="00EC6626">
              <w:rPr>
                <w:lang w:eastAsia="ja-JP"/>
              </w:rPr>
              <w:t>) × Rb</w:t>
            </w:r>
          </w:p>
        </w:tc>
      </w:tr>
      <w:tr w:rsidR="003D43F8" w:rsidRPr="00EC6626" w14:paraId="21149FF8" w14:textId="77777777" w:rsidTr="00D06006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7B0C" w14:textId="77777777" w:rsidR="003D43F8" w:rsidRPr="00EC6626" w:rsidRDefault="003D43F8" w:rsidP="00D06006">
            <w:pPr>
              <w:pStyle w:val="Tabletext"/>
            </w:pPr>
            <w:r w:rsidRPr="00EC6626">
              <w:t>Network loading factor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3FEB" w14:textId="77777777" w:rsidR="003D43F8" w:rsidRPr="00EC6626" w:rsidRDefault="003D43F8" w:rsidP="00D06006">
            <w:pPr>
              <w:pStyle w:val="Tabletext"/>
              <w:jc w:val="center"/>
            </w:pPr>
            <w:r w:rsidRPr="00EC6626">
              <w:t>20%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FBED" w14:textId="77777777" w:rsidR="003D43F8" w:rsidRPr="00EC6626" w:rsidRDefault="003D43F8" w:rsidP="00D06006">
            <w:pPr>
              <w:pStyle w:val="Tabletext"/>
            </w:pPr>
            <w:r w:rsidRPr="00EC6626">
              <w:rPr>
                <w:lang w:eastAsia="ja-JP"/>
              </w:rPr>
              <w:t>20% for wide area analysis</w:t>
            </w:r>
          </w:p>
        </w:tc>
      </w:tr>
      <w:tr w:rsidR="003D43F8" w:rsidRPr="00EC6626" w14:paraId="13B1EE91" w14:textId="77777777" w:rsidTr="00D06006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C416" w14:textId="77777777" w:rsidR="003D43F8" w:rsidRPr="00EC6626" w:rsidRDefault="003D43F8" w:rsidP="00D06006">
            <w:pPr>
              <w:pStyle w:val="Tabletext"/>
            </w:pPr>
            <w:r w:rsidRPr="00EC6626">
              <w:t>TDD activity factor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5569" w14:textId="77777777" w:rsidR="003D43F8" w:rsidRPr="00EC6626" w:rsidRDefault="003D43F8" w:rsidP="00D06006">
            <w:pPr>
              <w:pStyle w:val="Tabletext"/>
              <w:jc w:val="center"/>
            </w:pPr>
            <w:r w:rsidRPr="00EC6626">
              <w:t>80%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79AF" w14:textId="77777777" w:rsidR="003D43F8" w:rsidRPr="00EC6626" w:rsidRDefault="003D43F8" w:rsidP="00D06006">
            <w:pPr>
              <w:pStyle w:val="Tabletext"/>
            </w:pPr>
          </w:p>
        </w:tc>
      </w:tr>
    </w:tbl>
    <w:p w14:paraId="2C19E8CC" w14:textId="77777777" w:rsidR="00277FDE" w:rsidRDefault="00277FDE">
      <w:pPr>
        <w:rPr>
          <w:bCs/>
          <w:lang w:eastAsia="ja-JP"/>
        </w:rPr>
      </w:pPr>
    </w:p>
    <w:p w14:paraId="7904B5D2" w14:textId="4EAEFA46" w:rsidR="008B46D4" w:rsidRDefault="00C1511A" w:rsidP="00277FDE">
      <w:pPr>
        <w:spacing w:beforeLines="100" w:before="240" w:afterLines="50" w:after="120"/>
        <w:rPr>
          <w:bCs/>
          <w:lang w:eastAsia="ja-JP"/>
        </w:rPr>
      </w:pPr>
      <w:r>
        <w:rPr>
          <w:bCs/>
          <w:lang w:eastAsia="ja-JP"/>
        </w:rPr>
        <w:lastRenderedPageBreak/>
        <w:t xml:space="preserve">Taking into account </w:t>
      </w:r>
      <w:r w:rsidR="008C157F">
        <w:rPr>
          <w:bCs/>
          <w:lang w:eastAsia="ja-JP"/>
        </w:rPr>
        <w:t>th</w:t>
      </w:r>
      <w:r>
        <w:rPr>
          <w:bCs/>
          <w:lang w:eastAsia="ja-JP"/>
        </w:rPr>
        <w:t xml:space="preserve">e </w:t>
      </w:r>
      <w:r w:rsidR="007B021B">
        <w:rPr>
          <w:bCs/>
          <w:lang w:eastAsia="ja-JP"/>
        </w:rPr>
        <w:t xml:space="preserve">summary and analysis of the </w:t>
      </w:r>
      <w:r w:rsidR="008C157F">
        <w:rPr>
          <w:bCs/>
          <w:lang w:eastAsia="ja-JP"/>
        </w:rPr>
        <w:t xml:space="preserve">results of </w:t>
      </w:r>
      <w:r w:rsidR="007B021B">
        <w:rPr>
          <w:bCs/>
          <w:lang w:eastAsia="ja-JP"/>
        </w:rPr>
        <w:t xml:space="preserve">ITU-R studies </w:t>
      </w:r>
      <w:r>
        <w:rPr>
          <w:bCs/>
          <w:lang w:eastAsia="ja-JP"/>
        </w:rPr>
        <w:t>above</w:t>
      </w:r>
      <w:r w:rsidR="008C157F">
        <w:rPr>
          <w:bCs/>
          <w:lang w:eastAsia="ja-JP"/>
        </w:rPr>
        <w:t xml:space="preserve">, </w:t>
      </w:r>
      <w:r w:rsidR="00D2523A">
        <w:rPr>
          <w:bCs/>
          <w:lang w:eastAsia="ja-JP"/>
        </w:rPr>
        <w:t>the following draft CPM texts</w:t>
      </w:r>
      <w:r w:rsidR="008C157F">
        <w:rPr>
          <w:bCs/>
          <w:lang w:eastAsia="ja-JP"/>
        </w:rPr>
        <w:t xml:space="preserve"> for </w:t>
      </w:r>
      <w:r w:rsidR="005B5261">
        <w:rPr>
          <w:bCs/>
          <w:lang w:eastAsia="ja-JP"/>
        </w:rPr>
        <w:t xml:space="preserve">Section </w:t>
      </w:r>
      <w:r w:rsidR="005B5261" w:rsidRPr="002D7428">
        <w:rPr>
          <w:b/>
          <w:bCs/>
          <w:lang w:eastAsia="ja-JP"/>
        </w:rPr>
        <w:t>4</w:t>
      </w:r>
      <w:r w:rsidR="005B5261">
        <w:rPr>
          <w:bCs/>
          <w:lang w:eastAsia="ja-JP"/>
        </w:rPr>
        <w:t xml:space="preserve"> (</w:t>
      </w:r>
      <w:r w:rsidR="005B5261" w:rsidRPr="002D7428">
        <w:rPr>
          <w:b/>
        </w:rPr>
        <w:t>Methods to satisfy the agenda item</w:t>
      </w:r>
      <w:r w:rsidR="005B5261">
        <w:t xml:space="preserve">) and Section </w:t>
      </w:r>
      <w:r w:rsidR="005B5261" w:rsidRPr="002D7428">
        <w:rPr>
          <w:b/>
        </w:rPr>
        <w:t>5</w:t>
      </w:r>
      <w:r w:rsidR="005B5261">
        <w:t xml:space="preserve"> (</w:t>
      </w:r>
      <w:r w:rsidR="005B5261" w:rsidRPr="002D7428">
        <w:rPr>
          <w:b/>
        </w:rPr>
        <w:t>Regulatory and procedural considerations</w:t>
      </w:r>
      <w:r w:rsidR="005B5261">
        <w:t>) were developed</w:t>
      </w:r>
      <w:r>
        <w:t xml:space="preserve"> </w:t>
      </w:r>
      <w:r w:rsidR="002D7428">
        <w:t>by</w:t>
      </w:r>
      <w:r>
        <w:t xml:space="preserve"> TG 5/1</w:t>
      </w:r>
      <w:r w:rsidR="00D2523A">
        <w:rPr>
          <w:bCs/>
          <w:lang w:eastAsia="ja-JP"/>
        </w:rPr>
        <w:t>:</w:t>
      </w:r>
    </w:p>
    <w:p w14:paraId="44C01FB7" w14:textId="6D2CE642" w:rsidR="008B46D4" w:rsidRDefault="00C1511A" w:rsidP="008B46D4">
      <w:pPr>
        <w:pStyle w:val="ListParagraph"/>
        <w:numPr>
          <w:ilvl w:val="0"/>
          <w:numId w:val="9"/>
        </w:numPr>
        <w:ind w:leftChars="0"/>
        <w:rPr>
          <w:lang w:eastAsia="ja-JP"/>
        </w:rPr>
      </w:pPr>
      <w:r>
        <w:rPr>
          <w:bCs/>
          <w:lang w:eastAsia="ja-JP"/>
        </w:rPr>
        <w:t xml:space="preserve">In Section </w:t>
      </w:r>
      <w:r w:rsidRPr="002D7428">
        <w:rPr>
          <w:b/>
          <w:bCs/>
          <w:lang w:eastAsia="ja-JP"/>
        </w:rPr>
        <w:t>4</w:t>
      </w:r>
      <w:r>
        <w:rPr>
          <w:bCs/>
          <w:lang w:eastAsia="ja-JP"/>
        </w:rPr>
        <w:t xml:space="preserve">, </w:t>
      </w:r>
      <w:r w:rsidR="00192F7C" w:rsidRPr="008B46D4">
        <w:rPr>
          <w:bCs/>
          <w:lang w:eastAsia="ja-JP"/>
        </w:rPr>
        <w:t>“</w:t>
      </w:r>
      <w:r w:rsidR="00192F7C" w:rsidRPr="008B46D4">
        <w:rPr>
          <w:u w:val="single"/>
        </w:rPr>
        <w:t>Condition A2e: Protection measures for the ISS and FSS (Earth-to-space) receiving space stations</w:t>
      </w:r>
      <w:r w:rsidR="0082462B">
        <w:rPr>
          <w:u w:val="single"/>
        </w:rPr>
        <w:t xml:space="preserve"> (contained</w:t>
      </w:r>
      <w:r w:rsidR="0082462B">
        <w:rPr>
          <w:rFonts w:eastAsiaTheme="minorEastAsia" w:hint="cs"/>
          <w:u w:val="single"/>
          <w:lang w:eastAsia="ja-JP"/>
        </w:rPr>
        <w:t xml:space="preserve"> </w:t>
      </w:r>
      <w:r w:rsidR="0082462B" w:rsidRPr="0082462B">
        <w:rPr>
          <w:rFonts w:eastAsiaTheme="minorEastAsia" w:hint="cs"/>
          <w:b/>
          <w:u w:val="single"/>
          <w:lang w:eastAsia="ja-JP"/>
        </w:rPr>
        <w:t>Option</w:t>
      </w:r>
      <w:r w:rsidR="0082462B" w:rsidRPr="0082462B">
        <w:rPr>
          <w:rFonts w:eastAsiaTheme="minorEastAsia"/>
          <w:b/>
          <w:u w:val="single"/>
          <w:lang w:eastAsia="ja-JP"/>
        </w:rPr>
        <w:t>s 1</w:t>
      </w:r>
      <w:r w:rsidR="0082462B">
        <w:rPr>
          <w:rFonts w:eastAsiaTheme="minorEastAsia"/>
          <w:u w:val="single"/>
          <w:lang w:eastAsia="ja-JP"/>
        </w:rPr>
        <w:t xml:space="preserve"> to </w:t>
      </w:r>
      <w:r w:rsidR="0082462B" w:rsidRPr="0082462B">
        <w:rPr>
          <w:rFonts w:eastAsiaTheme="minorEastAsia"/>
          <w:b/>
          <w:u w:val="single"/>
          <w:lang w:eastAsia="ja-JP"/>
        </w:rPr>
        <w:t>9</w:t>
      </w:r>
      <w:r w:rsidR="0082462B">
        <w:rPr>
          <w:rFonts w:eastAsiaTheme="minorEastAsia"/>
          <w:u w:val="single"/>
          <w:lang w:eastAsia="ja-JP"/>
        </w:rPr>
        <w:t>)</w:t>
      </w:r>
      <w:r w:rsidR="0082462B" w:rsidRPr="0082462B">
        <w:rPr>
          <w:rFonts w:eastAsiaTheme="minorEastAsia"/>
          <w:lang w:eastAsia="ja-JP"/>
        </w:rPr>
        <w:t>”</w:t>
      </w:r>
      <w:r w:rsidR="00192F7C" w:rsidRPr="00192F7C">
        <w:t xml:space="preserve"> </w:t>
      </w:r>
      <w:r w:rsidR="00192F7C">
        <w:t>(</w:t>
      </w:r>
      <w:r w:rsidR="008B46D4">
        <w:t xml:space="preserve">see </w:t>
      </w:r>
      <w:r w:rsidR="00192F7C" w:rsidRPr="00D2523A">
        <w:rPr>
          <w:b/>
        </w:rPr>
        <w:t>2/1.13/4.1.2.5</w:t>
      </w:r>
      <w:r w:rsidR="00D2523A">
        <w:t xml:space="preserve"> of </w:t>
      </w:r>
      <w:r w:rsidR="00D2523A">
        <w:rPr>
          <w:rFonts w:hint="eastAsia"/>
          <w:lang w:eastAsia="ja-JP"/>
        </w:rPr>
        <w:t>Annex 2 to</w:t>
      </w:r>
      <w:r w:rsidR="006E7578">
        <w:rPr>
          <w:lang w:eastAsia="ja-JP"/>
        </w:rPr>
        <w:t xml:space="preserve"> </w:t>
      </w:r>
      <w:hyperlink r:id="rId13" w:history="1">
        <w:r w:rsidR="006E7578">
          <w:rPr>
            <w:rStyle w:val="Hyperlink"/>
            <w:lang w:eastAsia="ja-JP"/>
          </w:rPr>
          <w:t>the Draft CPM Report</w:t>
        </w:r>
      </w:hyperlink>
      <w:r w:rsidR="008B46D4">
        <w:t>) and,</w:t>
      </w:r>
    </w:p>
    <w:p w14:paraId="198D9503" w14:textId="31D39EC4" w:rsidR="008B46D4" w:rsidRPr="008B46D4" w:rsidRDefault="00C1511A" w:rsidP="008B46D4">
      <w:pPr>
        <w:pStyle w:val="ListParagraph"/>
        <w:numPr>
          <w:ilvl w:val="0"/>
          <w:numId w:val="9"/>
        </w:numPr>
        <w:ind w:leftChars="0"/>
        <w:rPr>
          <w:lang w:eastAsia="ja-JP"/>
        </w:rPr>
      </w:pPr>
      <w:r>
        <w:t xml:space="preserve">In Section </w:t>
      </w:r>
      <w:r w:rsidRPr="002D7428">
        <w:rPr>
          <w:b/>
        </w:rPr>
        <w:t>5</w:t>
      </w:r>
      <w:r>
        <w:t xml:space="preserve">, </w:t>
      </w:r>
      <w:r w:rsidR="00192F7C">
        <w:t>“</w:t>
      </w:r>
      <w:r w:rsidR="00192F7C" w:rsidRPr="008B46D4">
        <w:rPr>
          <w:u w:val="single"/>
        </w:rPr>
        <w:t xml:space="preserve">For the relevant condition(s) and option(s) of Method A2 </w:t>
      </w:r>
      <w:r w:rsidR="008B46D4" w:rsidRPr="008B46D4">
        <w:rPr>
          <w:u w:val="single"/>
        </w:rPr>
        <w:t>[DRAFT NEW RESOLUTION [A113-IMT 26 GHZ] (WRC-19)</w:t>
      </w:r>
      <w:r w:rsidR="00234AC6">
        <w:rPr>
          <w:u w:val="single"/>
        </w:rPr>
        <w:t xml:space="preserve"> </w:t>
      </w:r>
      <w:r w:rsidR="0082462B">
        <w:rPr>
          <w:u w:val="single"/>
        </w:rPr>
        <w:t xml:space="preserve">(including </w:t>
      </w:r>
      <w:r w:rsidR="0082462B" w:rsidRPr="0082462B">
        <w:rPr>
          <w:i/>
          <w:u w:val="single"/>
        </w:rPr>
        <w:t>A2e Options 1 to 8</w:t>
      </w:r>
      <w:r w:rsidR="0082462B">
        <w:rPr>
          <w:u w:val="single"/>
        </w:rPr>
        <w:t xml:space="preserve">) </w:t>
      </w:r>
      <w:r w:rsidR="008B46D4" w:rsidRPr="008B46D4">
        <w:rPr>
          <w:u w:val="single"/>
        </w:rPr>
        <w:t>]</w:t>
      </w:r>
      <w:r w:rsidR="00192F7C">
        <w:t>”</w:t>
      </w:r>
      <w:r w:rsidR="008B46D4">
        <w:t xml:space="preserve"> (see </w:t>
      </w:r>
      <w:r w:rsidR="008B46D4" w:rsidRPr="00D2523A">
        <w:rPr>
          <w:b/>
        </w:rPr>
        <w:t>2/1.13/5.13.2</w:t>
      </w:r>
      <w:r w:rsidR="00D2523A" w:rsidRPr="00D2523A">
        <w:rPr>
          <w:rFonts w:hint="eastAsia"/>
          <w:lang w:eastAsia="ja-JP"/>
        </w:rPr>
        <w:t xml:space="preserve"> </w:t>
      </w:r>
      <w:r w:rsidR="00D2523A">
        <w:rPr>
          <w:lang w:eastAsia="ja-JP"/>
        </w:rPr>
        <w:t>of</w:t>
      </w:r>
      <w:r w:rsidR="006E7578">
        <w:rPr>
          <w:lang w:eastAsia="ja-JP"/>
        </w:rPr>
        <w:t xml:space="preserve"> </w:t>
      </w:r>
      <w:hyperlink r:id="rId14" w:history="1">
        <w:r w:rsidR="006E7578">
          <w:rPr>
            <w:rStyle w:val="Hyperlink"/>
            <w:lang w:eastAsia="ja-JP"/>
          </w:rPr>
          <w:t>the Draft CPM Report</w:t>
        </w:r>
      </w:hyperlink>
      <w:r w:rsidR="008B46D4">
        <w:t>)</w:t>
      </w:r>
      <w:r w:rsidR="007B021B">
        <w:t>.</w:t>
      </w:r>
      <w:r w:rsidR="00192F7C" w:rsidRPr="008B46D4">
        <w:rPr>
          <w:bCs/>
          <w:lang w:eastAsia="ja-JP"/>
        </w:rPr>
        <w:t xml:space="preserve"> </w:t>
      </w:r>
    </w:p>
    <w:p w14:paraId="679A4C49" w14:textId="77777777" w:rsidR="00261AA6" w:rsidRDefault="00261AA6" w:rsidP="0082462B">
      <w:pPr>
        <w:rPr>
          <w:lang w:eastAsia="ja-JP"/>
        </w:rPr>
      </w:pPr>
    </w:p>
    <w:p w14:paraId="256D6F34" w14:textId="4E1A74FB" w:rsidR="00202057" w:rsidRDefault="003F5A5C" w:rsidP="00192F7C">
      <w:pPr>
        <w:spacing w:beforeLines="50" w:before="120"/>
      </w:pPr>
      <w:r>
        <w:rPr>
          <w:lang w:eastAsia="ja-JP"/>
        </w:rPr>
        <w:t xml:space="preserve">In the above Section </w:t>
      </w:r>
      <w:r w:rsidRPr="002D7428">
        <w:rPr>
          <w:b/>
          <w:lang w:eastAsia="ja-JP"/>
        </w:rPr>
        <w:t>5</w:t>
      </w:r>
      <w:r>
        <w:rPr>
          <w:lang w:eastAsia="ja-JP"/>
        </w:rPr>
        <w:t>, t</w:t>
      </w:r>
      <w:r w:rsidR="00277FDE">
        <w:rPr>
          <w:lang w:eastAsia="ja-JP"/>
        </w:rPr>
        <w:t>he following Japanese proposed texts, based on “</w:t>
      </w:r>
      <w:r w:rsidR="00277FDE" w:rsidRPr="0082462B">
        <w:rPr>
          <w:b/>
          <w:lang w:eastAsia="ja-JP"/>
        </w:rPr>
        <w:t>epfd</w:t>
      </w:r>
      <w:r w:rsidR="0082462B" w:rsidRPr="0082462B">
        <w:rPr>
          <w:rFonts w:ascii="Arial" w:eastAsia="MS Mincho" w:hAnsi="Arial" w:cs="Arial"/>
          <w:b/>
        </w:rPr>
        <w:t>↑</w:t>
      </w:r>
      <w:r w:rsidR="00277FDE" w:rsidRPr="0082462B">
        <w:rPr>
          <w:b/>
          <w:lang w:eastAsia="ja-JP"/>
        </w:rPr>
        <w:t xml:space="preserve"> </w:t>
      </w:r>
      <w:r w:rsidR="001E1069">
        <w:rPr>
          <w:b/>
          <w:lang w:eastAsia="ja-JP"/>
        </w:rPr>
        <w:t>(</w:t>
      </w:r>
      <w:r w:rsidR="004E25B2">
        <w:rPr>
          <w:b/>
          <w:lang w:eastAsia="ja-JP"/>
        </w:rPr>
        <w:t>at the satellite orbit</w:t>
      </w:r>
      <w:r w:rsidR="001E1069">
        <w:rPr>
          <w:b/>
          <w:lang w:eastAsia="ja-JP"/>
        </w:rPr>
        <w:t xml:space="preserve">) </w:t>
      </w:r>
      <w:r w:rsidR="00277FDE" w:rsidRPr="0082462B">
        <w:rPr>
          <w:b/>
          <w:lang w:eastAsia="ja-JP"/>
        </w:rPr>
        <w:t>concept</w:t>
      </w:r>
      <w:r w:rsidR="00277FDE">
        <w:rPr>
          <w:lang w:eastAsia="ja-JP"/>
        </w:rPr>
        <w:t xml:space="preserve">”, were included in </w:t>
      </w:r>
      <w:r w:rsidR="00261AA6" w:rsidRPr="00202057">
        <w:t>DRAFT NEW RESOLUTION [A113-IMT 26 GHZ] (WRC-19)</w:t>
      </w:r>
      <w:r w:rsidR="00261AA6">
        <w:t xml:space="preserve">, </w:t>
      </w:r>
      <w:r w:rsidR="00202057">
        <w:t xml:space="preserve">as </w:t>
      </w:r>
      <w:r w:rsidR="00277FDE" w:rsidRPr="00277FDE">
        <w:rPr>
          <w:i/>
        </w:rPr>
        <w:t>[</w:t>
      </w:r>
      <w:r w:rsidR="00846931" w:rsidRPr="00846931">
        <w:rPr>
          <w:i/>
        </w:rPr>
        <w:t xml:space="preserve">For Condition A2e, </w:t>
      </w:r>
      <w:r w:rsidR="00202057" w:rsidRPr="0082462B">
        <w:rPr>
          <w:b/>
          <w:i/>
        </w:rPr>
        <w:t>Option 7</w:t>
      </w:r>
      <w:r w:rsidR="00277FDE">
        <w:rPr>
          <w:i/>
        </w:rPr>
        <w:t>]</w:t>
      </w:r>
      <w:r w:rsidR="00202057">
        <w:t>:</w:t>
      </w:r>
    </w:p>
    <w:p w14:paraId="724FD9D5" w14:textId="77777777" w:rsidR="00202057" w:rsidRPr="00E13033" w:rsidRDefault="00202057" w:rsidP="00202057">
      <w:pPr>
        <w:keepNext/>
        <w:keepLines/>
        <w:spacing w:before="160" w:afterLines="50" w:after="120"/>
        <w:ind w:left="1134"/>
        <w:rPr>
          <w:i/>
        </w:rPr>
      </w:pPr>
      <w:r w:rsidRPr="00E13033">
        <w:rPr>
          <w:i/>
        </w:rPr>
        <w:t xml:space="preserve">resolves </w:t>
      </w:r>
    </w:p>
    <w:p w14:paraId="7C64A634" w14:textId="77777777" w:rsidR="00202057" w:rsidRPr="00E13033" w:rsidRDefault="00202057" w:rsidP="00202057">
      <w:pPr>
        <w:rPr>
          <w:rFonts w:eastAsia="MS Mincho"/>
        </w:rPr>
      </w:pPr>
      <w:r w:rsidRPr="00E13033">
        <w:t>1a9</w:t>
      </w:r>
      <w:r w:rsidRPr="00E13033">
        <w:tab/>
      </w:r>
      <w:r w:rsidRPr="00E13033">
        <w:rPr>
          <w:rFonts w:eastAsia="MS Mincho"/>
        </w:rPr>
        <w:t xml:space="preserve">that, in order to protect satellite reception in the frequency band 24.25-27.5 GHz, administrations implementing IMT system(s) within their territory ensure that the equivalent power flux-density (see </w:t>
      </w:r>
      <w:r w:rsidR="00846931">
        <w:rPr>
          <w:rFonts w:eastAsia="MS Mincho"/>
        </w:rPr>
        <w:t>A</w:t>
      </w:r>
      <w:r w:rsidR="00261AA6">
        <w:rPr>
          <w:rFonts w:eastAsia="MS Mincho"/>
        </w:rPr>
        <w:t>NNEX</w:t>
      </w:r>
      <w:r w:rsidR="00846931">
        <w:rPr>
          <w:rFonts w:eastAsia="MS Mincho"/>
        </w:rPr>
        <w:t xml:space="preserve"> 1a9</w:t>
      </w:r>
      <w:r w:rsidRPr="00E13033">
        <w:rPr>
          <w:rFonts w:eastAsia="MS Mincho"/>
        </w:rPr>
        <w:t>)</w:t>
      </w:r>
      <w:r w:rsidRPr="00E13033">
        <w:rPr>
          <w:rFonts w:eastAsia="MS Mincho"/>
          <w:sz w:val="18"/>
          <w:szCs w:val="18"/>
        </w:rPr>
        <w:t>,</w:t>
      </w:r>
      <w:r w:rsidRPr="00E13033">
        <w:rPr>
          <w:rFonts w:eastAsia="MS Mincho"/>
        </w:rPr>
        <w:t xml:space="preserve"> epfd</w:t>
      </w:r>
      <w:r w:rsidRPr="00E13033">
        <w:rPr>
          <w:rFonts w:ascii="Arial" w:eastAsia="MS Mincho" w:hAnsi="Arial" w:cs="Arial"/>
        </w:rPr>
        <w:t>↑</w:t>
      </w:r>
      <w:r w:rsidRPr="00E13033">
        <w:rPr>
          <w:rFonts w:eastAsia="MS Mincho"/>
        </w:rPr>
        <w:t xml:space="preserve">, produced at any point in the geostationary-satellite orbit by emissions from all the IMT base stations in their territory in the frequency bands listed in Table </w:t>
      </w:r>
      <w:r w:rsidRPr="00E13033">
        <w:rPr>
          <w:rFonts w:eastAsia="MS Mincho"/>
          <w:b/>
          <w:bCs/>
        </w:rPr>
        <w:t>X</w:t>
      </w:r>
      <w:r w:rsidRPr="00E13033">
        <w:rPr>
          <w:rFonts w:eastAsia="MS Mincho"/>
        </w:rPr>
        <w:t xml:space="preserve">, for all conditions and for all methods of modulation, shall not exceed the limits given in Table </w:t>
      </w:r>
      <w:r w:rsidRPr="00E13033">
        <w:rPr>
          <w:rFonts w:eastAsia="MS Mincho"/>
          <w:b/>
          <w:bCs/>
        </w:rPr>
        <w:t>X</w:t>
      </w:r>
      <w:r w:rsidRPr="00E13033">
        <w:rPr>
          <w:rFonts w:eastAsia="MS Mincho"/>
        </w:rPr>
        <w:t xml:space="preserve"> for the specified percentages of time.  These limits relate to the equivalent power flux-density which would be obtained under free-space propagation conditions (with appropriate losses and degradations, if applicable), into a reference antenna and in the reference bandwidth specified in Table </w:t>
      </w:r>
      <w:r w:rsidRPr="00E13033">
        <w:rPr>
          <w:rFonts w:eastAsia="MS Mincho"/>
          <w:b/>
          <w:bCs/>
        </w:rPr>
        <w:t>X</w:t>
      </w:r>
      <w:r w:rsidRPr="00E13033">
        <w:rPr>
          <w:rFonts w:eastAsia="MS Mincho"/>
        </w:rPr>
        <w:t>, for all pointing directions towards the Earth’s surface visible from any given location in the geostationary-satellite orbit;</w:t>
      </w:r>
    </w:p>
    <w:p w14:paraId="3C491366" w14:textId="77777777" w:rsidR="00202057" w:rsidRPr="00E13033" w:rsidRDefault="00202057" w:rsidP="003F5A5C">
      <w:pPr>
        <w:keepNext/>
        <w:spacing w:before="360" w:after="120"/>
        <w:jc w:val="center"/>
        <w:rPr>
          <w:rFonts w:eastAsia="MS Mincho"/>
          <w:caps/>
          <w:sz w:val="20"/>
        </w:rPr>
      </w:pPr>
      <w:r w:rsidRPr="00E13033">
        <w:rPr>
          <w:rFonts w:eastAsia="MS Mincho"/>
          <w:caps/>
          <w:sz w:val="20"/>
        </w:rPr>
        <w:t xml:space="preserve">TABLE </w:t>
      </w:r>
      <w:r w:rsidRPr="00E13033">
        <w:rPr>
          <w:rFonts w:eastAsia="MS Mincho"/>
          <w:b/>
          <w:caps/>
          <w:sz w:val="20"/>
        </w:rPr>
        <w:t>X</w:t>
      </w:r>
    </w:p>
    <w:p w14:paraId="5A7A094B" w14:textId="77777777" w:rsidR="00202057" w:rsidRPr="00E13033" w:rsidRDefault="00202057" w:rsidP="00202057">
      <w:pPr>
        <w:keepNext/>
        <w:keepLines/>
        <w:jc w:val="center"/>
        <w:rPr>
          <w:rFonts w:ascii="Times New Roman Bold" w:eastAsia="MS Mincho" w:hAnsi="Times New Roman Bold"/>
          <w:b/>
          <w:sz w:val="20"/>
        </w:rPr>
      </w:pPr>
      <w:r w:rsidRPr="00E13033">
        <w:rPr>
          <w:rFonts w:ascii="Times New Roman Bold" w:eastAsia="MS Mincho" w:hAnsi="Times New Roman Bold"/>
          <w:b/>
          <w:sz w:val="20"/>
        </w:rPr>
        <w:t>Limits to the epfd</w:t>
      </w:r>
      <w:r w:rsidRPr="00E13033">
        <w:rPr>
          <w:rFonts w:ascii="Arial" w:eastAsia="MS Mincho" w:hAnsi="Arial" w:cs="Arial"/>
          <w:b/>
          <w:sz w:val="20"/>
        </w:rPr>
        <w:t>↑</w:t>
      </w:r>
      <w:r w:rsidRPr="00E13033">
        <w:rPr>
          <w:rFonts w:ascii="Times New Roman Bold" w:eastAsia="MS Mincho" w:hAnsi="Times New Roman Bold"/>
          <w:b/>
          <w:sz w:val="20"/>
        </w:rPr>
        <w:t xml:space="preserve"> radiated by IMT base stations in the mobile service in certain frequency bands</w:t>
      </w:r>
    </w:p>
    <w:tbl>
      <w:tblPr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1418"/>
        <w:gridCol w:w="1701"/>
        <w:gridCol w:w="3690"/>
      </w:tblGrid>
      <w:tr w:rsidR="00202057" w:rsidRPr="00E13033" w14:paraId="711B0E5F" w14:textId="77777777" w:rsidTr="00261AA6">
        <w:trPr>
          <w:cantSplit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68E7" w14:textId="77777777" w:rsidR="00202057" w:rsidRPr="00E13033" w:rsidRDefault="00202057" w:rsidP="00D06006">
            <w:pPr>
              <w:keepNext/>
              <w:snapToGrid w:val="0"/>
              <w:spacing w:before="80" w:after="80"/>
              <w:jc w:val="center"/>
              <w:rPr>
                <w:rFonts w:ascii="Times New Roman Bold" w:eastAsia="MS Mincho" w:hAnsi="Times New Roman Bold" w:cs="Times New Roman Bold"/>
                <w:b/>
                <w:sz w:val="18"/>
                <w:szCs w:val="18"/>
              </w:rPr>
            </w:pPr>
            <w:r w:rsidRPr="00E13033">
              <w:rPr>
                <w:rFonts w:ascii="Times New Roman Bold" w:eastAsia="MS Mincho" w:hAnsi="Times New Roman Bold" w:cs="Times New Roman Bold"/>
                <w:b/>
                <w:sz w:val="18"/>
                <w:szCs w:val="18"/>
              </w:rPr>
              <w:t>Frequency</w:t>
            </w:r>
            <w:r w:rsidRPr="00E13033">
              <w:rPr>
                <w:rFonts w:ascii="Times New Roman Bold" w:eastAsia="MS Mincho" w:hAnsi="Times New Roman Bold" w:cs="Times New Roman Bold"/>
                <w:b/>
                <w:sz w:val="18"/>
                <w:szCs w:val="18"/>
              </w:rPr>
              <w:br/>
              <w:t>bands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138C" w14:textId="77777777" w:rsidR="00202057" w:rsidRPr="00E13033" w:rsidRDefault="00202057" w:rsidP="00D06006">
            <w:pPr>
              <w:keepNext/>
              <w:snapToGrid w:val="0"/>
              <w:spacing w:before="80" w:after="80"/>
              <w:jc w:val="center"/>
              <w:rPr>
                <w:rFonts w:ascii="Times New Roman Bold" w:eastAsia="MS Mincho" w:hAnsi="Times New Roman Bold" w:cs="Times New Roman Bold"/>
                <w:b/>
                <w:sz w:val="18"/>
                <w:szCs w:val="18"/>
              </w:rPr>
            </w:pPr>
            <w:r w:rsidRPr="00E13033">
              <w:rPr>
                <w:rFonts w:ascii="Times New Roman Bold" w:eastAsia="MS Mincho" w:hAnsi="Times New Roman Bold" w:cs="Times New Roman Bold"/>
                <w:b/>
                <w:sz w:val="18"/>
                <w:szCs w:val="18"/>
              </w:rPr>
              <w:t>epfd</w:t>
            </w:r>
            <w:r w:rsidRPr="00E13033">
              <w:rPr>
                <w:rFonts w:ascii="Times New Roman Bold" w:eastAsia="MS Mincho" w:hAnsi="Times New Roman Bold" w:cs="Times New Roman Bold"/>
                <w:b/>
                <w:sz w:val="18"/>
                <w:szCs w:val="18"/>
                <w:vertAlign w:val="subscript"/>
              </w:rPr>
              <w:sym w:font="Symbol" w:char="F0AD"/>
            </w:r>
            <w:r w:rsidRPr="00E13033">
              <w:rPr>
                <w:rFonts w:ascii="Times New Roman Bold" w:eastAsia="MS Mincho" w:hAnsi="Times New Roman Bold" w:cs="Times New Roman Bold"/>
                <w:b/>
                <w:sz w:val="18"/>
                <w:szCs w:val="18"/>
              </w:rPr>
              <w:t xml:space="preserve"> (dB(W/m</w:t>
            </w:r>
            <w:r w:rsidRPr="00E13033">
              <w:rPr>
                <w:rFonts w:ascii="Times New Roman Bold" w:eastAsia="MS Mincho" w:hAnsi="Times New Roman Bold" w:cs="Times New Roman Bold"/>
                <w:b/>
                <w:sz w:val="18"/>
                <w:szCs w:val="18"/>
                <w:vertAlign w:val="superscript"/>
              </w:rPr>
              <w:t>2</w:t>
            </w:r>
            <w:r w:rsidRPr="00E13033">
              <w:rPr>
                <w:rFonts w:ascii="Times New Roman Bold" w:eastAsia="MS Mincho" w:hAnsi="Times New Roman Bold" w:cs="Times New Roman Bold"/>
                <w:b/>
                <w:sz w:val="18"/>
                <w:szCs w:val="18"/>
              </w:rPr>
              <w:t>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D374" w14:textId="77777777" w:rsidR="00202057" w:rsidRPr="00E13033" w:rsidRDefault="00202057" w:rsidP="00D06006">
            <w:pPr>
              <w:keepNext/>
              <w:snapToGrid w:val="0"/>
              <w:spacing w:before="80" w:after="80"/>
              <w:jc w:val="center"/>
              <w:rPr>
                <w:rFonts w:ascii="Times New Roman Bold" w:eastAsia="MS Mincho" w:hAnsi="Times New Roman Bold" w:cs="Times New Roman Bold"/>
                <w:b/>
                <w:sz w:val="18"/>
                <w:szCs w:val="18"/>
              </w:rPr>
            </w:pPr>
            <w:r w:rsidRPr="00E13033">
              <w:rPr>
                <w:rFonts w:ascii="Times New Roman Bold" w:eastAsia="MS Mincho" w:hAnsi="Times New Roman Bold" w:cs="Times New Roman Bold"/>
                <w:b/>
                <w:sz w:val="18"/>
                <w:szCs w:val="18"/>
              </w:rPr>
              <w:t xml:space="preserve">Percentage of time, probability or location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CAB5" w14:textId="77777777" w:rsidR="00202057" w:rsidRPr="00E13033" w:rsidRDefault="00202057" w:rsidP="00D06006">
            <w:pPr>
              <w:keepNext/>
              <w:snapToGrid w:val="0"/>
              <w:spacing w:before="80" w:after="80"/>
              <w:jc w:val="center"/>
              <w:rPr>
                <w:rFonts w:ascii="Times New Roman Bold" w:eastAsia="MS Mincho" w:hAnsi="Times New Roman Bold" w:cs="Times New Roman Bold"/>
                <w:b/>
                <w:sz w:val="18"/>
                <w:szCs w:val="18"/>
              </w:rPr>
            </w:pPr>
            <w:r w:rsidRPr="00E13033">
              <w:rPr>
                <w:rFonts w:ascii="Times New Roman Bold" w:eastAsia="MS Mincho" w:hAnsi="Times New Roman Bold" w:cs="Times New Roman Bold"/>
                <w:b/>
                <w:sz w:val="18"/>
                <w:szCs w:val="18"/>
              </w:rPr>
              <w:t>Reference bandwidth (MHz)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32C1" w14:textId="77777777" w:rsidR="00202057" w:rsidRPr="00E13033" w:rsidRDefault="00202057" w:rsidP="00846931">
            <w:pPr>
              <w:keepNext/>
              <w:snapToGrid w:val="0"/>
              <w:spacing w:before="80" w:after="80"/>
              <w:jc w:val="center"/>
              <w:rPr>
                <w:rFonts w:ascii="Times New Roman Bold" w:eastAsia="MS Mincho" w:hAnsi="Times New Roman Bold" w:cs="Times New Roman Bold"/>
                <w:b/>
                <w:sz w:val="18"/>
                <w:szCs w:val="18"/>
              </w:rPr>
            </w:pPr>
            <w:r w:rsidRPr="00E13033">
              <w:rPr>
                <w:rFonts w:ascii="Times New Roman Bold" w:eastAsia="MS Mincho" w:hAnsi="Times New Roman Bold" w:cs="Times New Roman Bold"/>
                <w:b/>
                <w:sz w:val="18"/>
                <w:szCs w:val="18"/>
              </w:rPr>
              <w:t xml:space="preserve">Reference antenna beamwidth and reference radiation pattern (see </w:t>
            </w:r>
            <w:r w:rsidR="00846931">
              <w:rPr>
                <w:rFonts w:ascii="Times New Roman Bold" w:eastAsia="MS Mincho" w:hAnsi="Times New Roman Bold" w:cs="Times New Roman Bold"/>
                <w:b/>
                <w:sz w:val="18"/>
                <w:szCs w:val="18"/>
              </w:rPr>
              <w:t>ANNEX 1a9</w:t>
            </w:r>
            <w:r w:rsidRPr="00E13033">
              <w:rPr>
                <w:rFonts w:ascii="Times New Roman Bold" w:eastAsia="MS Mincho" w:hAnsi="Times New Roman Bold" w:cs="Times New Roman Bold"/>
                <w:b/>
                <w:sz w:val="18"/>
                <w:szCs w:val="18"/>
              </w:rPr>
              <w:t>)</w:t>
            </w:r>
          </w:p>
        </w:tc>
      </w:tr>
      <w:tr w:rsidR="00202057" w:rsidRPr="00A85632" w14:paraId="671775C8" w14:textId="77777777" w:rsidTr="00261AA6">
        <w:trPr>
          <w:cantSplit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40CF" w14:textId="77777777" w:rsidR="00202057" w:rsidRPr="00E13033" w:rsidRDefault="00202057" w:rsidP="00D0600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 w:rsidRPr="00E13033">
              <w:rPr>
                <w:rFonts w:eastAsia="MS Mincho"/>
                <w:sz w:val="18"/>
                <w:szCs w:val="18"/>
              </w:rPr>
              <w:t>24.65 – 25.25 GHz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0710" w14:textId="77777777" w:rsidR="00202057" w:rsidRPr="00E13033" w:rsidRDefault="00202057" w:rsidP="00D0600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 w:rsidRPr="00E13033">
              <w:rPr>
                <w:rFonts w:eastAsia="MS Mincho"/>
                <w:sz w:val="18"/>
                <w:szCs w:val="18"/>
              </w:rPr>
              <w:t>[TBD]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BDB1" w14:textId="77777777" w:rsidR="00202057" w:rsidRPr="00E13033" w:rsidRDefault="00202057" w:rsidP="00D0600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 w:rsidRPr="00E13033">
              <w:rPr>
                <w:rFonts w:eastAsia="MS Mincho"/>
                <w:sz w:val="18"/>
                <w:szCs w:val="18"/>
              </w:rPr>
              <w:t>[TBD]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F0B7" w14:textId="77777777" w:rsidR="00202057" w:rsidRPr="00E13033" w:rsidRDefault="00202057" w:rsidP="00D0600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 w:rsidRPr="00E13033">
              <w:rPr>
                <w:rFonts w:eastAsia="MS Mincho"/>
                <w:sz w:val="18"/>
                <w:szCs w:val="18"/>
              </w:rPr>
              <w:t>[TBD]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65E9" w14:textId="77777777" w:rsidR="00202057" w:rsidRPr="00A85632" w:rsidRDefault="00202057" w:rsidP="00D0600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40"/>
              <w:jc w:val="center"/>
              <w:rPr>
                <w:rFonts w:eastAsia="MS Mincho"/>
                <w:sz w:val="18"/>
                <w:szCs w:val="18"/>
                <w:lang w:val="fr-CH"/>
              </w:rPr>
            </w:pPr>
            <w:r w:rsidRPr="00A85632">
              <w:rPr>
                <w:rFonts w:eastAsia="MS Mincho"/>
                <w:sz w:val="18"/>
                <w:szCs w:val="18"/>
                <w:lang w:val="fr-CH"/>
              </w:rPr>
              <w:t>[0.8</w:t>
            </w:r>
            <w:r w:rsidRPr="00E13033">
              <w:rPr>
                <w:rFonts w:eastAsia="MS Mincho"/>
                <w:sz w:val="18"/>
                <w:szCs w:val="18"/>
              </w:rPr>
              <w:sym w:font="Symbol" w:char="F0B0"/>
            </w:r>
            <w:r w:rsidRPr="00A85632">
              <w:rPr>
                <w:rFonts w:eastAsia="MS Mincho"/>
                <w:sz w:val="18"/>
                <w:szCs w:val="18"/>
                <w:lang w:val="fr-CH"/>
              </w:rPr>
              <w:t>]</w:t>
            </w:r>
            <w:r w:rsidRPr="00A85632">
              <w:rPr>
                <w:rFonts w:eastAsia="MS Mincho"/>
                <w:sz w:val="18"/>
                <w:szCs w:val="18"/>
                <w:lang w:val="fr-CH"/>
              </w:rPr>
              <w:br/>
              <w:t>Recommendation ITU</w:t>
            </w:r>
            <w:r w:rsidRPr="00A85632">
              <w:rPr>
                <w:rFonts w:eastAsia="MS Mincho"/>
                <w:sz w:val="18"/>
                <w:szCs w:val="18"/>
                <w:lang w:val="fr-CH"/>
              </w:rPr>
              <w:noBreakHyphen/>
              <w:t xml:space="preserve">R S.672-4, </w:t>
            </w:r>
            <w:r w:rsidRPr="00A85632">
              <w:rPr>
                <w:rFonts w:eastAsia="MS Mincho"/>
                <w:i/>
                <w:iCs/>
                <w:sz w:val="18"/>
                <w:szCs w:val="18"/>
                <w:lang w:val="fr-CH"/>
              </w:rPr>
              <w:t>Ls</w:t>
            </w:r>
            <w:r w:rsidRPr="00A85632">
              <w:rPr>
                <w:rFonts w:eastAsia="MS Mincho"/>
                <w:sz w:val="18"/>
                <w:szCs w:val="18"/>
                <w:lang w:val="fr-CH"/>
              </w:rPr>
              <w:t> </w:t>
            </w:r>
            <w:r w:rsidRPr="00E13033">
              <w:rPr>
                <w:rFonts w:eastAsia="MS Mincho"/>
                <w:sz w:val="18"/>
                <w:szCs w:val="18"/>
              </w:rPr>
              <w:sym w:font="Symbol" w:char="F03D"/>
            </w:r>
            <w:r w:rsidRPr="00A85632">
              <w:rPr>
                <w:rFonts w:eastAsia="MS Mincho"/>
                <w:sz w:val="18"/>
                <w:szCs w:val="18"/>
                <w:lang w:val="fr-CH"/>
              </w:rPr>
              <w:t> [−25]</w:t>
            </w:r>
          </w:p>
        </w:tc>
      </w:tr>
      <w:tr w:rsidR="00202057" w:rsidRPr="00A85632" w14:paraId="125141FA" w14:textId="77777777" w:rsidTr="00261AA6">
        <w:trPr>
          <w:cantSplit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6734" w14:textId="77777777" w:rsidR="00202057" w:rsidRPr="00E13033" w:rsidRDefault="00202057" w:rsidP="00D0600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 w:rsidRPr="00E13033">
              <w:rPr>
                <w:rFonts w:eastAsia="MS Mincho"/>
                <w:sz w:val="18"/>
                <w:szCs w:val="18"/>
              </w:rPr>
              <w:t>27.0 – 27.5 GHz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FECB" w14:textId="77777777" w:rsidR="00202057" w:rsidRPr="00E13033" w:rsidRDefault="00202057" w:rsidP="00D0600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 w:rsidRPr="00E13033">
              <w:rPr>
                <w:rFonts w:eastAsia="MS Mincho"/>
                <w:sz w:val="18"/>
                <w:szCs w:val="18"/>
              </w:rPr>
              <w:t>[TBD]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A7D5" w14:textId="77777777" w:rsidR="00202057" w:rsidRPr="00E13033" w:rsidRDefault="00202057" w:rsidP="00D0600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 w:rsidRPr="00E13033">
              <w:rPr>
                <w:rFonts w:eastAsia="MS Mincho"/>
                <w:sz w:val="18"/>
                <w:szCs w:val="18"/>
              </w:rPr>
              <w:t>[TBD]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7A68" w14:textId="77777777" w:rsidR="00202057" w:rsidRPr="00E13033" w:rsidRDefault="00202057" w:rsidP="00D0600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 w:rsidRPr="00E13033">
              <w:rPr>
                <w:rFonts w:eastAsia="MS Mincho"/>
                <w:sz w:val="18"/>
                <w:szCs w:val="18"/>
              </w:rPr>
              <w:t>[TBD]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D46E" w14:textId="77777777" w:rsidR="00202057" w:rsidRPr="00A85632" w:rsidRDefault="00202057" w:rsidP="00D0600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40"/>
              <w:jc w:val="center"/>
              <w:rPr>
                <w:rFonts w:eastAsia="MS Mincho"/>
                <w:sz w:val="18"/>
                <w:szCs w:val="18"/>
                <w:lang w:val="fr-CH"/>
              </w:rPr>
            </w:pPr>
            <w:r w:rsidRPr="00A85632">
              <w:rPr>
                <w:rFonts w:eastAsia="MS Mincho"/>
                <w:sz w:val="18"/>
                <w:szCs w:val="18"/>
                <w:lang w:val="fr-CH"/>
              </w:rPr>
              <w:t>[0.8</w:t>
            </w:r>
            <w:r w:rsidRPr="00E13033">
              <w:rPr>
                <w:rFonts w:eastAsia="MS Mincho"/>
                <w:sz w:val="18"/>
                <w:szCs w:val="18"/>
              </w:rPr>
              <w:sym w:font="Symbol" w:char="F0B0"/>
            </w:r>
            <w:r w:rsidRPr="00A85632">
              <w:rPr>
                <w:rFonts w:eastAsia="MS Mincho"/>
                <w:sz w:val="18"/>
                <w:szCs w:val="18"/>
                <w:lang w:val="fr-CH"/>
              </w:rPr>
              <w:t>]</w:t>
            </w:r>
            <w:r w:rsidRPr="00A85632">
              <w:rPr>
                <w:rFonts w:eastAsia="MS Mincho"/>
                <w:sz w:val="18"/>
                <w:szCs w:val="18"/>
                <w:lang w:val="fr-CH"/>
              </w:rPr>
              <w:br/>
              <w:t>Recommendation ITU</w:t>
            </w:r>
            <w:r w:rsidRPr="00A85632">
              <w:rPr>
                <w:rFonts w:eastAsia="MS Mincho"/>
                <w:sz w:val="18"/>
                <w:szCs w:val="18"/>
                <w:lang w:val="fr-CH"/>
              </w:rPr>
              <w:noBreakHyphen/>
              <w:t xml:space="preserve">R S.672-4, </w:t>
            </w:r>
            <w:r w:rsidRPr="00A85632">
              <w:rPr>
                <w:rFonts w:eastAsia="MS Mincho"/>
                <w:i/>
                <w:iCs/>
                <w:sz w:val="18"/>
                <w:szCs w:val="18"/>
                <w:lang w:val="fr-CH"/>
              </w:rPr>
              <w:t>Ls</w:t>
            </w:r>
            <w:r w:rsidRPr="00A85632">
              <w:rPr>
                <w:rFonts w:eastAsia="MS Mincho"/>
                <w:sz w:val="18"/>
                <w:szCs w:val="18"/>
                <w:lang w:val="fr-CH"/>
              </w:rPr>
              <w:t> </w:t>
            </w:r>
            <w:r w:rsidRPr="00E13033">
              <w:rPr>
                <w:rFonts w:eastAsia="MS Mincho"/>
                <w:sz w:val="18"/>
                <w:szCs w:val="18"/>
              </w:rPr>
              <w:sym w:font="Symbol" w:char="F03D"/>
            </w:r>
            <w:r w:rsidRPr="00A85632">
              <w:rPr>
                <w:rFonts w:eastAsia="MS Mincho"/>
                <w:sz w:val="18"/>
                <w:szCs w:val="18"/>
                <w:lang w:val="fr-CH"/>
              </w:rPr>
              <w:t> [−25]</w:t>
            </w:r>
          </w:p>
        </w:tc>
      </w:tr>
    </w:tbl>
    <w:p w14:paraId="525CC845" w14:textId="77777777" w:rsidR="00202057" w:rsidRDefault="00202057" w:rsidP="00202057">
      <w:pPr>
        <w:rPr>
          <w:lang w:val="fr-CH"/>
        </w:rPr>
      </w:pPr>
    </w:p>
    <w:p w14:paraId="4C7BECF8" w14:textId="77777777" w:rsidR="00202057" w:rsidRPr="00E13033" w:rsidRDefault="00202057" w:rsidP="00202057">
      <w:pPr>
        <w:keepNext/>
        <w:keepLines/>
        <w:spacing w:before="160" w:afterLines="50" w:after="120"/>
        <w:ind w:left="1134"/>
        <w:rPr>
          <w:i/>
          <w:lang w:eastAsia="ja-JP"/>
        </w:rPr>
      </w:pPr>
      <w:r w:rsidRPr="00E13033">
        <w:rPr>
          <w:i/>
        </w:rPr>
        <w:t>invites ITU</w:t>
      </w:r>
      <w:r w:rsidRPr="00E13033">
        <w:rPr>
          <w:i/>
        </w:rPr>
        <w:noBreakHyphen/>
        <w:t>R</w:t>
      </w:r>
    </w:p>
    <w:p w14:paraId="493EB358" w14:textId="59582705" w:rsidR="00202057" w:rsidRPr="00E13033" w:rsidRDefault="00202057" w:rsidP="00202057">
      <w:pPr>
        <w:rPr>
          <w:b/>
          <w:lang w:eastAsia="fr-FR"/>
        </w:rPr>
      </w:pPr>
      <w:r w:rsidRPr="00E13033">
        <w:rPr>
          <w:rFonts w:eastAsia="MS Mincho"/>
          <w:lang w:eastAsia="zh-CN"/>
        </w:rPr>
        <w:t>7</w:t>
      </w:r>
      <w:r w:rsidRPr="00E13033">
        <w:rPr>
          <w:rFonts w:eastAsia="MS Mincho"/>
          <w:lang w:eastAsia="zh-CN"/>
        </w:rPr>
        <w:tab/>
        <w:t xml:space="preserve">to continue its studies and to develop ITU-R Recommendations and Reports, as appropriate, for a suitable methodology </w:t>
      </w:r>
      <w:r w:rsidRPr="00E13033">
        <w:rPr>
          <w:rFonts w:eastAsia="MS Mincho"/>
        </w:rPr>
        <w:t>to</w:t>
      </w:r>
      <w:r w:rsidRPr="00E13033">
        <w:rPr>
          <w:rFonts w:eastAsia="MS Mincho"/>
          <w:lang w:eastAsia="zh-CN"/>
        </w:rPr>
        <w:t xml:space="preserve"> calculat</w:t>
      </w:r>
      <w:r w:rsidRPr="00E13033">
        <w:rPr>
          <w:rFonts w:eastAsia="MS Mincho"/>
        </w:rPr>
        <w:t>e</w:t>
      </w:r>
      <w:r w:rsidRPr="00E13033">
        <w:rPr>
          <w:rFonts w:eastAsia="MS Mincho"/>
          <w:lang w:eastAsia="zh-CN"/>
        </w:rPr>
        <w:t xml:space="preserve"> the epfd</w:t>
      </w:r>
      <w:r w:rsidRPr="00E13033">
        <w:rPr>
          <w:rFonts w:eastAsia="MS Mincho"/>
        </w:rPr>
        <w:sym w:font="Symbol" w:char="F0AD"/>
      </w:r>
      <w:r w:rsidRPr="00E13033">
        <w:rPr>
          <w:rFonts w:eastAsia="MS Mincho"/>
          <w:lang w:eastAsia="zh-CN"/>
        </w:rPr>
        <w:t xml:space="preserve"> level produced by all IMT base stations within the territory of </w:t>
      </w:r>
      <w:r w:rsidRPr="00E13033">
        <w:rPr>
          <w:rFonts w:eastAsia="MS Mincho"/>
        </w:rPr>
        <w:t xml:space="preserve">an </w:t>
      </w:r>
      <w:r w:rsidRPr="00E13033">
        <w:rPr>
          <w:rFonts w:eastAsia="MS Mincho"/>
          <w:lang w:eastAsia="zh-CN"/>
        </w:rPr>
        <w:t xml:space="preserve">administration referred to in </w:t>
      </w:r>
      <w:r w:rsidRPr="00E13033">
        <w:rPr>
          <w:rFonts w:eastAsia="MS Mincho"/>
          <w:i/>
          <w:lang w:eastAsia="zh-CN"/>
        </w:rPr>
        <w:t>resolves</w:t>
      </w:r>
      <w:r w:rsidRPr="00E13033">
        <w:rPr>
          <w:rFonts w:eastAsia="MS Mincho"/>
          <w:lang w:eastAsia="zh-CN"/>
        </w:rPr>
        <w:t xml:space="preserve"> 1a9 above; </w:t>
      </w:r>
    </w:p>
    <w:p w14:paraId="05731B3A" w14:textId="77777777" w:rsidR="00202057" w:rsidRPr="00A85632" w:rsidRDefault="00202057" w:rsidP="00202057">
      <w:pPr>
        <w:rPr>
          <w:lang w:val="fr-CH"/>
        </w:rPr>
      </w:pPr>
    </w:p>
    <w:p w14:paraId="2BE834E5" w14:textId="77777777" w:rsidR="00846931" w:rsidRPr="00E13033" w:rsidRDefault="00846931" w:rsidP="00846931">
      <w:pPr>
        <w:keepNext/>
        <w:keepLines/>
        <w:spacing w:before="160" w:afterLines="50" w:after="120"/>
        <w:ind w:left="1134"/>
        <w:rPr>
          <w:i/>
        </w:rPr>
      </w:pPr>
      <w:r w:rsidRPr="00E13033">
        <w:rPr>
          <w:i/>
        </w:rPr>
        <w:t>instructs the Director of the Radiocommunication Bureau</w:t>
      </w:r>
    </w:p>
    <w:p w14:paraId="06421135" w14:textId="1CC8EE3E" w:rsidR="00846931" w:rsidRPr="00E13033" w:rsidRDefault="00846931" w:rsidP="00846931">
      <w:pPr>
        <w:rPr>
          <w:rFonts w:eastAsia="MS Mincho"/>
        </w:rPr>
      </w:pPr>
      <w:r w:rsidRPr="00E13033">
        <w:rPr>
          <w:rFonts w:eastAsia="MS Mincho"/>
        </w:rPr>
        <w:t xml:space="preserve">to provide administrations with the software to calculate and validate </w:t>
      </w:r>
      <w:r w:rsidRPr="00E13033">
        <w:rPr>
          <w:rFonts w:eastAsia="MS Mincho"/>
          <w:lang w:eastAsia="zh-CN"/>
        </w:rPr>
        <w:t>the epfd</w:t>
      </w:r>
      <w:r w:rsidRPr="00E13033">
        <w:rPr>
          <w:rFonts w:eastAsia="MS Mincho"/>
        </w:rPr>
        <w:sym w:font="Symbol" w:char="F0AD"/>
      </w:r>
      <w:r w:rsidRPr="00E13033">
        <w:rPr>
          <w:rFonts w:eastAsia="MS Mincho"/>
          <w:lang w:eastAsia="zh-CN"/>
        </w:rPr>
        <w:t xml:space="preserve"> level produced by all IMT base stations within the territory of the concerned administration in accordance with ITU-R Recommendations and Reports developed by </w:t>
      </w:r>
      <w:r w:rsidRPr="00E13033">
        <w:rPr>
          <w:rFonts w:eastAsia="MS Mincho"/>
          <w:i/>
          <w:lang w:eastAsia="zh-CN"/>
        </w:rPr>
        <w:t xml:space="preserve">invites ITU-R </w:t>
      </w:r>
      <w:r w:rsidRPr="00E13033">
        <w:rPr>
          <w:rFonts w:eastAsia="MS Mincho"/>
        </w:rPr>
        <w:t xml:space="preserve">7 above and any technical means, training and manuals, along with any assistance requested by administrations to enable them to comply with </w:t>
      </w:r>
      <w:r w:rsidRPr="00E13033">
        <w:rPr>
          <w:rFonts w:eastAsia="MS Mincho"/>
          <w:i/>
        </w:rPr>
        <w:t>resolves</w:t>
      </w:r>
      <w:r w:rsidRPr="00E13033">
        <w:rPr>
          <w:rFonts w:eastAsia="MS Mincho"/>
        </w:rPr>
        <w:t xml:space="preserve"> 1a9 above. </w:t>
      </w:r>
    </w:p>
    <w:p w14:paraId="2F9AD3D4" w14:textId="77777777" w:rsidR="00277FDE" w:rsidRDefault="00277FDE" w:rsidP="00277FDE">
      <w:pPr>
        <w:jc w:val="both"/>
        <w:rPr>
          <w:b/>
        </w:rPr>
      </w:pPr>
      <w:bookmarkStart w:id="0" w:name="_GoBack"/>
      <w:bookmarkEnd w:id="0"/>
    </w:p>
    <w:p w14:paraId="61BD40FC" w14:textId="77777777" w:rsidR="00277FDE" w:rsidRPr="00192F7C" w:rsidRDefault="00277FDE" w:rsidP="006B76C3">
      <w:pPr>
        <w:pStyle w:val="Heading1"/>
        <w:spacing w:beforeLines="50" w:before="120"/>
        <w:ind w:left="425" w:hangingChars="177" w:hanging="425"/>
        <w:jc w:val="left"/>
        <w:rPr>
          <w:u w:val="none"/>
          <w:lang w:eastAsia="ja-JP"/>
        </w:rPr>
      </w:pPr>
      <w:r>
        <w:rPr>
          <w:u w:val="none"/>
          <w:lang w:eastAsia="ja-JP"/>
        </w:rPr>
        <w:lastRenderedPageBreak/>
        <w:t>3</w:t>
      </w:r>
      <w:r w:rsidRPr="00192F7C">
        <w:rPr>
          <w:rFonts w:hint="eastAsia"/>
          <w:u w:val="none"/>
        </w:rPr>
        <w:tab/>
      </w:r>
      <w:r>
        <w:rPr>
          <w:u w:val="none"/>
          <w:lang w:eastAsia="ja-JP"/>
        </w:rPr>
        <w:t>Consideration</w:t>
      </w:r>
    </w:p>
    <w:p w14:paraId="3472DCA3" w14:textId="2EE8CAD0" w:rsidR="009551B2" w:rsidRDefault="007C0AC3" w:rsidP="00192F7C">
      <w:pPr>
        <w:spacing w:beforeLines="50" w:before="120"/>
      </w:pPr>
      <w:r>
        <w:rPr>
          <w:lang w:eastAsia="ja-JP"/>
        </w:rPr>
        <w:t xml:space="preserve">In </w:t>
      </w:r>
      <w:r w:rsidR="00B222D5">
        <w:rPr>
          <w:lang w:eastAsia="ja-JP"/>
        </w:rPr>
        <w:t xml:space="preserve">sub-Sections </w:t>
      </w:r>
      <w:r w:rsidR="00B222D5" w:rsidRPr="00D2523A">
        <w:rPr>
          <w:b/>
        </w:rPr>
        <w:t>2/1.13/4.1.2.5</w:t>
      </w:r>
      <w:r w:rsidR="00B222D5">
        <w:rPr>
          <w:b/>
        </w:rPr>
        <w:t xml:space="preserve"> </w:t>
      </w:r>
      <w:r w:rsidR="00B222D5">
        <w:t xml:space="preserve">and </w:t>
      </w:r>
      <w:r w:rsidR="003F5A5C">
        <w:t xml:space="preserve">in </w:t>
      </w:r>
      <w:r w:rsidR="003F5A5C" w:rsidRPr="00202057">
        <w:t>DRAFT NEW RESOLUTION [A113-IMT 26 GHZ</w:t>
      </w:r>
      <w:r w:rsidR="003F5A5C">
        <w:rPr>
          <w:b/>
        </w:rPr>
        <w:t xml:space="preserve"> </w:t>
      </w:r>
      <w:r w:rsidR="003F5A5C" w:rsidRPr="00202057">
        <w:t>(WRC-19</w:t>
      </w:r>
      <w:r w:rsidR="003F5A5C">
        <w:t xml:space="preserve">)] of </w:t>
      </w:r>
      <w:r w:rsidR="00B222D5" w:rsidRPr="00D2523A">
        <w:rPr>
          <w:b/>
        </w:rPr>
        <w:t>2/1.13/5.13.2</w:t>
      </w:r>
      <w:r w:rsidR="00B222D5" w:rsidRPr="00B222D5">
        <w:t xml:space="preserve"> </w:t>
      </w:r>
      <w:r w:rsidR="00B222D5">
        <w:t xml:space="preserve">of </w:t>
      </w:r>
      <w:hyperlink r:id="rId15" w:history="1">
        <w:r w:rsidR="007B021B" w:rsidRPr="00BC52D9">
          <w:rPr>
            <w:rStyle w:val="Hyperlink"/>
          </w:rPr>
          <w:t xml:space="preserve">the </w:t>
        </w:r>
        <w:r w:rsidR="00B222D5" w:rsidRPr="00BC52D9">
          <w:rPr>
            <w:rStyle w:val="Hyperlink"/>
          </w:rPr>
          <w:t xml:space="preserve">draft CPM </w:t>
        </w:r>
        <w:r w:rsidR="00BC52D9" w:rsidRPr="00BC52D9">
          <w:rPr>
            <w:rStyle w:val="Hyperlink"/>
          </w:rPr>
          <w:t>Report</w:t>
        </w:r>
      </w:hyperlink>
      <w:r w:rsidR="00B839F0">
        <w:t>, there are 3 type</w:t>
      </w:r>
      <w:r w:rsidR="006B726C">
        <w:t>s</w:t>
      </w:r>
      <w:r w:rsidR="00B839F0">
        <w:t xml:space="preserve"> of Options as follows</w:t>
      </w:r>
      <w:r w:rsidR="009551B2">
        <w:t>:</w:t>
      </w:r>
      <w:r>
        <w:t xml:space="preserve"> </w:t>
      </w:r>
    </w:p>
    <w:p w14:paraId="358731EE" w14:textId="1C361D0A" w:rsidR="00B839F0" w:rsidRPr="00B839F0" w:rsidRDefault="00B839F0" w:rsidP="009551B2">
      <w:pPr>
        <w:pStyle w:val="ListParagraph"/>
        <w:numPr>
          <w:ilvl w:val="0"/>
          <w:numId w:val="13"/>
        </w:numPr>
        <w:spacing w:beforeLines="50" w:before="120"/>
        <w:ind w:leftChars="0"/>
      </w:pPr>
      <w:r w:rsidRPr="00B839F0">
        <w:rPr>
          <w:rFonts w:eastAsiaTheme="minorEastAsia" w:hint="eastAsia"/>
          <w:b/>
          <w:lang w:eastAsia="ja-JP"/>
        </w:rPr>
        <w:t>Option 7</w:t>
      </w:r>
      <w:r>
        <w:rPr>
          <w:rFonts w:eastAsiaTheme="minorEastAsia" w:hint="eastAsia"/>
          <w:lang w:eastAsia="ja-JP"/>
        </w:rPr>
        <w:t xml:space="preserve"> proposed </w:t>
      </w:r>
      <w:r>
        <w:rPr>
          <w:lang w:eastAsia="ja-JP"/>
        </w:rPr>
        <w:t>“</w:t>
      </w:r>
      <w:r w:rsidRPr="00277FDE">
        <w:rPr>
          <w:b/>
          <w:lang w:eastAsia="ja-JP"/>
        </w:rPr>
        <w:t>epfd</w:t>
      </w:r>
      <w:r w:rsidR="006B726C" w:rsidRPr="006B726C">
        <w:rPr>
          <w:rFonts w:ascii="Arial" w:eastAsia="MS Mincho" w:hAnsi="Arial" w:cs="Arial"/>
          <w:b/>
        </w:rPr>
        <w:t>↑</w:t>
      </w:r>
      <w:r w:rsidRPr="00277FDE">
        <w:rPr>
          <w:b/>
          <w:lang w:eastAsia="ja-JP"/>
        </w:rPr>
        <w:t xml:space="preserve"> concept</w:t>
      </w:r>
      <w:r>
        <w:rPr>
          <w:lang w:eastAsia="ja-JP"/>
        </w:rPr>
        <w:t xml:space="preserve">” (detailed in </w:t>
      </w:r>
      <w:r w:rsidR="007B021B">
        <w:rPr>
          <w:lang w:eastAsia="ja-JP"/>
        </w:rPr>
        <w:t xml:space="preserve">the </w:t>
      </w:r>
      <w:r>
        <w:rPr>
          <w:lang w:eastAsia="ja-JP"/>
        </w:rPr>
        <w:t>above)</w:t>
      </w:r>
    </w:p>
    <w:p w14:paraId="1E9353B3" w14:textId="38711F1F" w:rsidR="00B222D5" w:rsidRDefault="007C0AC3" w:rsidP="002A74A5">
      <w:pPr>
        <w:pStyle w:val="ListParagraph"/>
        <w:numPr>
          <w:ilvl w:val="0"/>
          <w:numId w:val="13"/>
        </w:numPr>
        <w:spacing w:beforeLines="50" w:before="120"/>
        <w:ind w:leftChars="0"/>
      </w:pPr>
      <w:r w:rsidRPr="009551B2">
        <w:rPr>
          <w:b/>
          <w:lang w:eastAsia="ja-JP"/>
        </w:rPr>
        <w:t>Options</w:t>
      </w:r>
      <w:r w:rsidR="00B222D5" w:rsidRPr="009551B2">
        <w:rPr>
          <w:b/>
          <w:lang w:eastAsia="ja-JP"/>
        </w:rPr>
        <w:t xml:space="preserve"> 1</w:t>
      </w:r>
      <w:r w:rsidR="00B222D5">
        <w:rPr>
          <w:lang w:eastAsia="ja-JP"/>
        </w:rPr>
        <w:t xml:space="preserve"> to </w:t>
      </w:r>
      <w:r w:rsidR="00B222D5" w:rsidRPr="009551B2">
        <w:rPr>
          <w:b/>
          <w:lang w:eastAsia="ja-JP"/>
        </w:rPr>
        <w:t>8</w:t>
      </w:r>
      <w:r w:rsidR="00B222D5">
        <w:rPr>
          <w:lang w:eastAsia="ja-JP"/>
        </w:rPr>
        <w:t xml:space="preserve"> (</w:t>
      </w:r>
      <w:r>
        <w:rPr>
          <w:lang w:eastAsia="ja-JP"/>
        </w:rPr>
        <w:t xml:space="preserve">except </w:t>
      </w:r>
      <w:r w:rsidR="007B021B">
        <w:rPr>
          <w:lang w:eastAsia="ja-JP"/>
        </w:rPr>
        <w:t xml:space="preserve">for </w:t>
      </w:r>
      <w:r>
        <w:rPr>
          <w:lang w:eastAsia="ja-JP"/>
        </w:rPr>
        <w:t xml:space="preserve">the above </w:t>
      </w:r>
      <w:r w:rsidRPr="009551B2">
        <w:rPr>
          <w:b/>
          <w:lang w:eastAsia="ja-JP"/>
        </w:rPr>
        <w:t>Option 7</w:t>
      </w:r>
      <w:r w:rsidR="00B222D5">
        <w:rPr>
          <w:lang w:eastAsia="ja-JP"/>
        </w:rPr>
        <w:t>)</w:t>
      </w:r>
      <w:r>
        <w:rPr>
          <w:lang w:eastAsia="ja-JP"/>
        </w:rPr>
        <w:t xml:space="preserve"> </w:t>
      </w:r>
      <w:r>
        <w:t xml:space="preserve">proposed to introduce </w:t>
      </w:r>
      <w:r w:rsidR="00B222D5">
        <w:t>“</w:t>
      </w:r>
      <w:r w:rsidRPr="009551B2">
        <w:rPr>
          <w:b/>
          <w:i/>
        </w:rPr>
        <w:t>the particular technical conditions on IMT systems</w:t>
      </w:r>
      <w:r w:rsidR="002A74A5">
        <w:t>”</w:t>
      </w:r>
      <w:r w:rsidR="00B222D5">
        <w:t xml:space="preserve"> </w:t>
      </w:r>
      <w:r>
        <w:t>(such as certain limit</w:t>
      </w:r>
      <w:r w:rsidR="002A74A5">
        <w:t>s</w:t>
      </w:r>
      <w:r>
        <w:t xml:space="preserve"> for </w:t>
      </w:r>
      <w:r w:rsidR="002A74A5" w:rsidRPr="002A74A5">
        <w:t>maximum total radiated power (TRP)</w:t>
      </w:r>
      <w:r w:rsidR="002A74A5">
        <w:t xml:space="preserve">, </w:t>
      </w:r>
      <w:r>
        <w:t xml:space="preserve">antenna tilts (mechanical/electrical), antenna pattern, deployment limit and/or </w:t>
      </w:r>
      <w:r w:rsidR="002A74A5">
        <w:t xml:space="preserve">angular </w:t>
      </w:r>
      <w:r>
        <w:t xml:space="preserve">e.i.r.p. mask), in order to </w:t>
      </w:r>
      <w:r w:rsidRPr="007C0AC3">
        <w:t>control the emissions of IMT base stations in the skyward direction</w:t>
      </w:r>
      <w:r>
        <w:t xml:space="preserve"> (i.e. GSO arc direction)</w:t>
      </w:r>
      <w:r w:rsidR="00B222D5">
        <w:t>.</w:t>
      </w:r>
    </w:p>
    <w:p w14:paraId="14FEC482" w14:textId="6D60CB36" w:rsidR="00B222D5" w:rsidRDefault="00B222D5" w:rsidP="009551B2">
      <w:pPr>
        <w:pStyle w:val="ListParagraph"/>
        <w:numPr>
          <w:ilvl w:val="0"/>
          <w:numId w:val="13"/>
        </w:numPr>
        <w:spacing w:beforeLines="50" w:before="120"/>
        <w:ind w:leftChars="0"/>
      </w:pPr>
      <w:r w:rsidRPr="009551B2">
        <w:rPr>
          <w:b/>
        </w:rPr>
        <w:t>Option 9</w:t>
      </w:r>
      <w:r>
        <w:t xml:space="preserve"> in sub-Section </w:t>
      </w:r>
      <w:r w:rsidRPr="009551B2">
        <w:rPr>
          <w:b/>
        </w:rPr>
        <w:t xml:space="preserve">2/1.13/4.1.2.5 </w:t>
      </w:r>
      <w:r>
        <w:t xml:space="preserve">of </w:t>
      </w:r>
      <w:r w:rsidRPr="00E31949">
        <w:t>draft</w:t>
      </w:r>
      <w:r>
        <w:t xml:space="preserve"> CPM text proposed “</w:t>
      </w:r>
      <w:r w:rsidRPr="009551B2">
        <w:rPr>
          <w:b/>
          <w:i/>
        </w:rPr>
        <w:t>No condition to IMT systems</w:t>
      </w:r>
      <w:r>
        <w:t>”.</w:t>
      </w:r>
    </w:p>
    <w:p w14:paraId="4DD1CB43" w14:textId="02BC449E" w:rsidR="00173142" w:rsidRDefault="00173142" w:rsidP="00173142">
      <w:pPr>
        <w:spacing w:beforeLines="100" w:before="240"/>
        <w:rPr>
          <w:lang w:eastAsia="ja-JP"/>
        </w:rPr>
      </w:pPr>
      <w:r>
        <w:t>According to</w:t>
      </w:r>
      <w:r w:rsidR="0078534F">
        <w:t xml:space="preserve"> </w:t>
      </w:r>
      <w:r w:rsidR="0078534F" w:rsidRPr="00C74ADE">
        <w:rPr>
          <w:i/>
        </w:rPr>
        <w:t>considering l)</w:t>
      </w:r>
      <w:r w:rsidR="0078534F">
        <w:t xml:space="preserve"> </w:t>
      </w:r>
      <w:r>
        <w:t xml:space="preserve">(i.e. </w:t>
      </w:r>
      <w:r>
        <w:rPr>
          <w:rFonts w:eastAsiaTheme="minorEastAsia"/>
          <w:lang w:eastAsia="ja-JP"/>
        </w:rPr>
        <w:t>“</w:t>
      </w:r>
      <w:r w:rsidRPr="00C74ADE">
        <w:rPr>
          <w:rFonts w:eastAsiaTheme="minorEastAsia"/>
          <w:i/>
          <w:lang w:eastAsia="ja-JP"/>
        </w:rPr>
        <w:t xml:space="preserve">the need </w:t>
      </w:r>
      <w:r w:rsidRPr="00C74ADE">
        <w:rPr>
          <w:bCs/>
          <w:i/>
          <w:lang w:eastAsia="ja-JP"/>
        </w:rPr>
        <w:t>to protect existing services and to allow for their continued development when considering frequency bands for possible additional allocations to any service</w:t>
      </w:r>
      <w:r>
        <w:rPr>
          <w:rFonts w:eastAsiaTheme="minorEastAsia"/>
          <w:lang w:eastAsia="ja-JP"/>
        </w:rPr>
        <w:t xml:space="preserve">”) </w:t>
      </w:r>
      <w:r w:rsidR="0078534F">
        <w:t>of</w:t>
      </w:r>
      <w:r w:rsidR="00B839F0" w:rsidRPr="00551C3F">
        <w:t xml:space="preserve"> Resolution </w:t>
      </w:r>
      <w:r w:rsidR="00B839F0" w:rsidRPr="00551C3F">
        <w:rPr>
          <w:b/>
          <w:bCs/>
        </w:rPr>
        <w:t>238 (WRC</w:t>
      </w:r>
      <w:r w:rsidR="00B839F0">
        <w:rPr>
          <w:rFonts w:hint="eastAsia"/>
          <w:b/>
          <w:bCs/>
          <w:lang w:eastAsia="ja-JP"/>
        </w:rPr>
        <w:t>-</w:t>
      </w:r>
      <w:r w:rsidR="00B839F0" w:rsidRPr="00551C3F">
        <w:rPr>
          <w:b/>
          <w:bCs/>
        </w:rPr>
        <w:t>15)</w:t>
      </w:r>
      <w:r w:rsidR="00CA270A">
        <w:rPr>
          <w:rFonts w:eastAsiaTheme="minorEastAsia" w:hint="eastAsia"/>
          <w:lang w:eastAsia="ja-JP"/>
        </w:rPr>
        <w:t>,</w:t>
      </w:r>
      <w:r w:rsidR="0078534F">
        <w:rPr>
          <w:rFonts w:eastAsiaTheme="minorEastAsia"/>
          <w:lang w:eastAsia="ja-JP"/>
        </w:rPr>
        <w:t xml:space="preserve"> </w:t>
      </w:r>
      <w:r w:rsidR="003F5A5C">
        <w:rPr>
          <w:rFonts w:eastAsiaTheme="minorEastAsia" w:hint="eastAsia"/>
          <w:lang w:eastAsia="ja-JP"/>
        </w:rPr>
        <w:t xml:space="preserve">Japan </w:t>
      </w:r>
      <w:r w:rsidR="004012F2">
        <w:rPr>
          <w:rFonts w:eastAsiaTheme="minorEastAsia"/>
          <w:lang w:eastAsia="ja-JP"/>
        </w:rPr>
        <w:t xml:space="preserve">supports </w:t>
      </w:r>
      <w:r w:rsidR="00CA270A">
        <w:rPr>
          <w:lang w:eastAsia="ja-JP"/>
        </w:rPr>
        <w:t>to protect the</w:t>
      </w:r>
      <w:r w:rsidR="00CA270A" w:rsidRPr="00024E7F">
        <w:rPr>
          <w:lang w:eastAsia="ja-JP"/>
        </w:rPr>
        <w:t xml:space="preserve"> services to which the band is allocated on a primary basis</w:t>
      </w:r>
      <w:r w:rsidR="00CA270A">
        <w:rPr>
          <w:lang w:eastAsia="ja-JP"/>
        </w:rPr>
        <w:t xml:space="preserve"> (</w:t>
      </w:r>
      <w:r w:rsidR="00D06006">
        <w:rPr>
          <w:lang w:eastAsia="ja-JP"/>
        </w:rPr>
        <w:t>in</w:t>
      </w:r>
      <w:r w:rsidR="00CA270A">
        <w:rPr>
          <w:lang w:eastAsia="ja-JP"/>
        </w:rPr>
        <w:t xml:space="preserve"> this case, the protection of FSS</w:t>
      </w:r>
      <w:r w:rsidR="00CA270A" w:rsidRPr="00024E7F">
        <w:rPr>
          <w:lang w:eastAsia="ja-JP"/>
        </w:rPr>
        <w:t xml:space="preserve"> </w:t>
      </w:r>
      <w:r w:rsidR="00CA270A">
        <w:rPr>
          <w:lang w:eastAsia="ja-JP"/>
        </w:rPr>
        <w:t>(E-s))</w:t>
      </w:r>
      <w:r w:rsidR="00524288">
        <w:rPr>
          <w:lang w:eastAsia="ja-JP"/>
        </w:rPr>
        <w:t xml:space="preserve">. </w:t>
      </w:r>
      <w:r w:rsidR="0078534F">
        <w:rPr>
          <w:lang w:eastAsia="ja-JP"/>
        </w:rPr>
        <w:t xml:space="preserve"> </w:t>
      </w:r>
    </w:p>
    <w:p w14:paraId="3791224C" w14:textId="651E5560" w:rsidR="00CA270A" w:rsidRPr="005A203C" w:rsidRDefault="00173142" w:rsidP="00C74ADE">
      <w:pPr>
        <w:rPr>
          <w:bCs/>
          <w:lang w:eastAsia="ja-JP"/>
        </w:rPr>
      </w:pPr>
      <w:r>
        <w:rPr>
          <w:lang w:eastAsia="ja-JP"/>
        </w:rPr>
        <w:t>On the other hand</w:t>
      </w:r>
      <w:r w:rsidR="009125FB">
        <w:rPr>
          <w:lang w:eastAsia="ja-JP"/>
        </w:rPr>
        <w:t xml:space="preserve">, </w:t>
      </w:r>
      <w:r w:rsidR="00524288">
        <w:rPr>
          <w:lang w:eastAsia="ja-JP"/>
        </w:rPr>
        <w:t xml:space="preserve">Japan does not support </w:t>
      </w:r>
      <w:r w:rsidR="00CA270A" w:rsidRPr="00F1741C">
        <w:rPr>
          <w:lang w:eastAsia="ja-JP"/>
        </w:rPr>
        <w:t xml:space="preserve">to impose </w:t>
      </w:r>
      <w:r w:rsidR="00DC7A51">
        <w:rPr>
          <w:lang w:eastAsia="ja-JP"/>
        </w:rPr>
        <w:t xml:space="preserve">a number of </w:t>
      </w:r>
      <w:r w:rsidR="00CA270A" w:rsidRPr="00F1741C">
        <w:rPr>
          <w:lang w:eastAsia="ja-JP"/>
        </w:rPr>
        <w:t xml:space="preserve">particular technical </w:t>
      </w:r>
      <w:r w:rsidR="00CA270A">
        <w:rPr>
          <w:lang w:eastAsia="ja-JP"/>
        </w:rPr>
        <w:t>conditions</w:t>
      </w:r>
      <w:r w:rsidR="00CA270A" w:rsidRPr="00F1741C">
        <w:rPr>
          <w:lang w:eastAsia="ja-JP"/>
        </w:rPr>
        <w:t xml:space="preserve"> on IMT systems as “hard limits” in the RR</w:t>
      </w:r>
      <w:r w:rsidR="00CA270A">
        <w:rPr>
          <w:lang w:eastAsia="ja-JP"/>
        </w:rPr>
        <w:t xml:space="preserve"> </w:t>
      </w:r>
      <w:r w:rsidR="00C424E6">
        <w:rPr>
          <w:lang w:eastAsia="ja-JP"/>
        </w:rPr>
        <w:t>since</w:t>
      </w:r>
      <w:r w:rsidR="00573DB0">
        <w:rPr>
          <w:lang w:eastAsia="ja-JP"/>
        </w:rPr>
        <w:t xml:space="preserve"> </w:t>
      </w:r>
      <w:r w:rsidR="00C424E6">
        <w:rPr>
          <w:lang w:eastAsia="ja-JP"/>
        </w:rPr>
        <w:t xml:space="preserve">stipulating </w:t>
      </w:r>
      <w:r w:rsidR="00573DB0">
        <w:rPr>
          <w:lang w:eastAsia="ja-JP"/>
        </w:rPr>
        <w:t xml:space="preserve">these </w:t>
      </w:r>
      <w:r w:rsidR="006E7578">
        <w:rPr>
          <w:lang w:eastAsia="ja-JP"/>
        </w:rPr>
        <w:t>limits</w:t>
      </w:r>
      <w:r w:rsidR="00573DB0">
        <w:rPr>
          <w:lang w:eastAsia="ja-JP"/>
        </w:rPr>
        <w:t xml:space="preserve"> </w:t>
      </w:r>
      <w:r w:rsidR="00C424E6">
        <w:rPr>
          <w:lang w:eastAsia="ja-JP"/>
        </w:rPr>
        <w:t xml:space="preserve">in the RR </w:t>
      </w:r>
      <w:r w:rsidR="00573DB0">
        <w:rPr>
          <w:lang w:eastAsia="ja-JP"/>
        </w:rPr>
        <w:t xml:space="preserve">are not favorable for </w:t>
      </w:r>
      <w:r w:rsidR="00CA270A" w:rsidRPr="00337A48">
        <w:rPr>
          <w:rFonts w:hint="eastAsia"/>
          <w:bCs/>
          <w:lang w:eastAsia="ja-JP"/>
        </w:rPr>
        <w:t>flexible deployment/operation of IMT systems</w:t>
      </w:r>
      <w:r w:rsidR="00CA270A" w:rsidRPr="00F1741C">
        <w:rPr>
          <w:lang w:eastAsia="ja-JP"/>
        </w:rPr>
        <w:t>.</w:t>
      </w:r>
    </w:p>
    <w:p w14:paraId="55DD8DB5" w14:textId="0C6447B6" w:rsidR="00D06006" w:rsidRPr="0043092B" w:rsidRDefault="006E7578" w:rsidP="009551B2">
      <w:pPr>
        <w:spacing w:beforeLines="100" w:before="240"/>
      </w:pPr>
      <w:r>
        <w:t>Japan also notes that t</w:t>
      </w:r>
      <w:r w:rsidR="00573DB0">
        <w:t xml:space="preserve">he above </w:t>
      </w:r>
      <w:r w:rsidR="00B839F0" w:rsidRPr="00B839F0">
        <w:rPr>
          <w:b/>
        </w:rPr>
        <w:t>Option 9</w:t>
      </w:r>
      <w:r w:rsidR="009551B2">
        <w:t xml:space="preserve"> </w:t>
      </w:r>
      <w:r w:rsidR="00B839F0">
        <w:t xml:space="preserve">would </w:t>
      </w:r>
      <w:r w:rsidR="001076DD">
        <w:t xml:space="preserve">not </w:t>
      </w:r>
      <w:r w:rsidR="006310D5">
        <w:t xml:space="preserve">be </w:t>
      </w:r>
      <w:r w:rsidR="00B839F0">
        <w:t>preferable for</w:t>
      </w:r>
      <w:r w:rsidR="00D94A37">
        <w:t xml:space="preserve"> </w:t>
      </w:r>
      <w:r w:rsidR="00573DB0">
        <w:t xml:space="preserve">those </w:t>
      </w:r>
      <w:r w:rsidR="005D189A">
        <w:t>administration</w:t>
      </w:r>
      <w:r w:rsidR="00970F96">
        <w:t>s</w:t>
      </w:r>
      <w:r w:rsidR="0043092B">
        <w:t xml:space="preserve"> </w:t>
      </w:r>
      <w:r w:rsidR="00573DB0">
        <w:t xml:space="preserve">which </w:t>
      </w:r>
      <w:r w:rsidR="0043092B">
        <w:t xml:space="preserve">consider that </w:t>
      </w:r>
      <w:r w:rsidR="009551B2">
        <w:t>“</w:t>
      </w:r>
      <w:r w:rsidR="009551B2" w:rsidRPr="009551B2">
        <w:rPr>
          <w:i/>
        </w:rPr>
        <w:t>View 1</w:t>
      </w:r>
      <w:r w:rsidR="009551B2">
        <w:rPr>
          <w:i/>
        </w:rPr>
        <w:t xml:space="preserve">: </w:t>
      </w:r>
      <w:r w:rsidR="009551B2" w:rsidRPr="00E13033">
        <w:rPr>
          <w:rFonts w:eastAsia="MS Mincho"/>
          <w:i/>
          <w:iCs/>
        </w:rPr>
        <w:t xml:space="preserve">This option contradicts the results of sharing and compatibility studies, which </w:t>
      </w:r>
      <w:bookmarkStart w:id="1" w:name="_GoBack2"/>
      <w:bookmarkEnd w:id="1"/>
      <w:r w:rsidR="009551B2" w:rsidRPr="00E13033">
        <w:rPr>
          <w:rFonts w:eastAsia="MS Mincho"/>
          <w:i/>
          <w:iCs/>
        </w:rPr>
        <w:t>were based on limitations of the IMT</w:t>
      </w:r>
      <w:r w:rsidR="009551B2" w:rsidRPr="00E13033">
        <w:rPr>
          <w:rFonts w:eastAsia="MS Mincho"/>
          <w:i/>
          <w:iCs/>
        </w:rPr>
        <w:noBreakHyphen/>
        <w:t>2020 e.i.r.p. and the assumption that the elevation angle of the IMT</w:t>
      </w:r>
      <w:r w:rsidR="009551B2" w:rsidRPr="00E13033">
        <w:rPr>
          <w:rFonts w:eastAsia="MS Mincho"/>
          <w:i/>
          <w:iCs/>
        </w:rPr>
        <w:noBreakHyphen/>
        <w:t>2020 BS antenna main beam is lower than 0 degree. The impact of the IMT</w:t>
      </w:r>
      <w:r w:rsidR="009551B2" w:rsidRPr="00E13033">
        <w:rPr>
          <w:rFonts w:eastAsia="MS Mincho"/>
          <w:i/>
          <w:iCs/>
        </w:rPr>
        <w:noBreakHyphen/>
        <w:t>2020 BS antenna main beam, pointing in the upper-hemisphere without any e.i.r.p. limit, was not assessed, however it is possible in accordance with this option. This option does not ensure the protection of the ISS and FSS.</w:t>
      </w:r>
      <w:r w:rsidR="009551B2">
        <w:rPr>
          <w:rFonts w:eastAsia="MS Mincho"/>
          <w:i/>
          <w:iCs/>
        </w:rPr>
        <w:t>”</w:t>
      </w:r>
      <w:r w:rsidR="0043092B" w:rsidRPr="0043092B">
        <w:rPr>
          <w:rFonts w:eastAsia="MS Mincho"/>
          <w:iCs/>
        </w:rPr>
        <w:t xml:space="preserve"> </w:t>
      </w:r>
    </w:p>
    <w:p w14:paraId="2F923943" w14:textId="0A1510E2" w:rsidR="00CA270A" w:rsidRDefault="006310D5" w:rsidP="009551B2">
      <w:pPr>
        <w:spacing w:beforeLines="100" w:before="240"/>
        <w:rPr>
          <w:lang w:eastAsia="ja-JP"/>
        </w:rPr>
      </w:pPr>
      <w:r>
        <w:t xml:space="preserve">Furthermore, </w:t>
      </w:r>
      <w:r w:rsidR="00970F96">
        <w:t>it is noted</w:t>
      </w:r>
      <w:r>
        <w:t xml:space="preserve"> that, c</w:t>
      </w:r>
      <w:r w:rsidR="00D06006">
        <w:t xml:space="preserve">omparing </w:t>
      </w:r>
      <w:r w:rsidR="009551B2">
        <w:t>the “</w:t>
      </w:r>
      <w:r w:rsidR="009551B2" w:rsidRPr="00CA270A">
        <w:rPr>
          <w:b/>
        </w:rPr>
        <w:t>baseline parameters</w:t>
      </w:r>
      <w:r w:rsidR="009551B2">
        <w:t xml:space="preserve">” in TABLE-1 above and the </w:t>
      </w:r>
      <w:r w:rsidR="00CA270A">
        <w:t>“</w:t>
      </w:r>
      <w:r w:rsidR="00CA270A" w:rsidRPr="00CA270A">
        <w:rPr>
          <w:rFonts w:eastAsiaTheme="minorEastAsia"/>
          <w:b/>
          <w:bCs/>
          <w:lang w:eastAsia="ja-JP"/>
        </w:rPr>
        <w:t>current limits in the Radio Regulations</w:t>
      </w:r>
      <w:r w:rsidR="00CA270A">
        <w:rPr>
          <w:rFonts w:eastAsiaTheme="minorEastAsia"/>
          <w:bCs/>
          <w:lang w:eastAsia="ja-JP"/>
        </w:rPr>
        <w:t>”</w:t>
      </w:r>
      <w:r w:rsidR="009551B2">
        <w:t xml:space="preserve"> </w:t>
      </w:r>
      <w:r w:rsidR="00CA270A">
        <w:t>in TABLE-2 below</w:t>
      </w:r>
      <w:r w:rsidR="00D06006">
        <w:t>,</w:t>
      </w:r>
      <w:r w:rsidR="00CA270A">
        <w:t xml:space="preserve"> </w:t>
      </w:r>
      <w:r w:rsidR="00CA270A">
        <w:rPr>
          <w:rFonts w:eastAsiaTheme="minorEastAsia"/>
          <w:bCs/>
          <w:lang w:eastAsia="ja-JP"/>
        </w:rPr>
        <w:t xml:space="preserve">the limits in TABLE-2 are </w:t>
      </w:r>
      <w:r w:rsidR="00E87355">
        <w:rPr>
          <w:rFonts w:eastAsiaTheme="minorEastAsia"/>
          <w:bCs/>
          <w:lang w:eastAsia="ja-JP"/>
        </w:rPr>
        <w:t>much higher than</w:t>
      </w:r>
      <w:r w:rsidR="00CA270A">
        <w:rPr>
          <w:rFonts w:eastAsiaTheme="minorEastAsia"/>
          <w:bCs/>
          <w:lang w:eastAsia="ja-JP"/>
        </w:rPr>
        <w:t xml:space="preserve"> </w:t>
      </w:r>
      <w:r w:rsidR="006E7578">
        <w:rPr>
          <w:rFonts w:eastAsiaTheme="minorEastAsia"/>
          <w:bCs/>
          <w:lang w:eastAsia="ja-JP"/>
        </w:rPr>
        <w:t xml:space="preserve">the baseline parameters </w:t>
      </w:r>
      <w:r w:rsidR="00E87355">
        <w:rPr>
          <w:rFonts w:eastAsiaTheme="minorEastAsia"/>
          <w:bCs/>
          <w:lang w:eastAsia="ja-JP"/>
        </w:rPr>
        <w:t xml:space="preserve">in </w:t>
      </w:r>
      <w:r w:rsidR="00CA270A">
        <w:rPr>
          <w:rFonts w:eastAsiaTheme="minorEastAsia"/>
          <w:bCs/>
          <w:lang w:eastAsia="ja-JP"/>
        </w:rPr>
        <w:t>TABLE-1</w:t>
      </w:r>
      <w:r>
        <w:rPr>
          <w:rFonts w:eastAsiaTheme="minorEastAsia"/>
          <w:bCs/>
          <w:lang w:eastAsia="ja-JP"/>
        </w:rPr>
        <w:t xml:space="preserve">. </w:t>
      </w:r>
      <w:r w:rsidR="00402EE5">
        <w:rPr>
          <w:rFonts w:eastAsiaTheme="minorEastAsia"/>
          <w:bCs/>
          <w:lang w:eastAsia="ja-JP"/>
        </w:rPr>
        <w:t xml:space="preserve">If “No condition” is applied, in principle, IMT stations could be operated with the values close to the limits in </w:t>
      </w:r>
      <w:r w:rsidR="00234AC6">
        <w:rPr>
          <w:rFonts w:eastAsiaTheme="minorEastAsia"/>
          <w:bCs/>
          <w:lang w:eastAsia="ja-JP"/>
        </w:rPr>
        <w:t>TABLE</w:t>
      </w:r>
      <w:r w:rsidR="00402EE5">
        <w:rPr>
          <w:rFonts w:eastAsiaTheme="minorEastAsia"/>
          <w:bCs/>
          <w:lang w:eastAsia="ja-JP"/>
        </w:rPr>
        <w:t xml:space="preserve">-2. </w:t>
      </w:r>
      <w:r>
        <w:rPr>
          <w:rFonts w:eastAsiaTheme="minorEastAsia"/>
          <w:bCs/>
          <w:lang w:eastAsia="ja-JP"/>
        </w:rPr>
        <w:t xml:space="preserve">Then, </w:t>
      </w:r>
      <w:r w:rsidR="00CA270A">
        <w:rPr>
          <w:rFonts w:eastAsiaTheme="minorEastAsia"/>
          <w:bCs/>
          <w:lang w:eastAsia="ja-JP"/>
        </w:rPr>
        <w:t xml:space="preserve">it </w:t>
      </w:r>
      <w:r w:rsidR="00641B37">
        <w:rPr>
          <w:rFonts w:eastAsiaTheme="minorEastAsia"/>
          <w:bCs/>
          <w:lang w:eastAsia="ja-JP"/>
        </w:rPr>
        <w:t>is concerned</w:t>
      </w:r>
      <w:r w:rsidR="00CA270A">
        <w:rPr>
          <w:rFonts w:eastAsiaTheme="minorEastAsia"/>
          <w:bCs/>
          <w:lang w:eastAsia="ja-JP"/>
        </w:rPr>
        <w:t xml:space="preserve"> that “</w:t>
      </w:r>
      <w:r w:rsidR="00CA270A" w:rsidRPr="001076DD">
        <w:rPr>
          <w:rFonts w:eastAsiaTheme="minorEastAsia"/>
          <w:b/>
          <w:bCs/>
          <w:lang w:eastAsia="ja-JP"/>
        </w:rPr>
        <w:t>No condition</w:t>
      </w:r>
      <w:r w:rsidR="00CA270A">
        <w:rPr>
          <w:rFonts w:eastAsiaTheme="minorEastAsia"/>
          <w:bCs/>
          <w:lang w:eastAsia="ja-JP"/>
        </w:rPr>
        <w:t>”</w:t>
      </w:r>
      <w:r w:rsidR="003367A6">
        <w:rPr>
          <w:rFonts w:eastAsiaTheme="minorEastAsia"/>
          <w:bCs/>
          <w:lang w:eastAsia="ja-JP"/>
        </w:rPr>
        <w:t xml:space="preserve"> </w:t>
      </w:r>
      <w:r w:rsidR="00B9207F">
        <w:rPr>
          <w:rFonts w:eastAsiaTheme="minorEastAsia"/>
          <w:bCs/>
          <w:lang w:eastAsia="ja-JP"/>
        </w:rPr>
        <w:t xml:space="preserve">may </w:t>
      </w:r>
      <w:r w:rsidR="00CA270A">
        <w:rPr>
          <w:rFonts w:eastAsiaTheme="minorEastAsia"/>
          <w:bCs/>
          <w:lang w:eastAsia="ja-JP"/>
        </w:rPr>
        <w:t xml:space="preserve">not ensure </w:t>
      </w:r>
      <w:r w:rsidR="00B839F0">
        <w:rPr>
          <w:rFonts w:eastAsiaTheme="minorEastAsia"/>
          <w:bCs/>
          <w:lang w:eastAsia="ja-JP"/>
        </w:rPr>
        <w:t>the protection of FSS</w:t>
      </w:r>
      <w:r w:rsidR="006E7578">
        <w:rPr>
          <w:rFonts w:eastAsiaTheme="minorEastAsia"/>
          <w:bCs/>
          <w:lang w:eastAsia="ja-JP"/>
        </w:rPr>
        <w:t xml:space="preserve"> (E-s)</w:t>
      </w:r>
      <w:r w:rsidR="001076DD">
        <w:rPr>
          <w:rFonts w:eastAsiaTheme="minorEastAsia"/>
          <w:bCs/>
          <w:lang w:eastAsia="ja-JP"/>
        </w:rPr>
        <w:t>, taking into account the results of sharing study</w:t>
      </w:r>
      <w:r>
        <w:rPr>
          <w:rFonts w:eastAsiaTheme="minorEastAsia"/>
          <w:bCs/>
          <w:lang w:eastAsia="ja-JP"/>
        </w:rPr>
        <w:t xml:space="preserve"> (i.e. </w:t>
      </w:r>
      <w:r w:rsidR="001076DD">
        <w:rPr>
          <w:rFonts w:eastAsiaTheme="minorEastAsia"/>
          <w:bCs/>
          <w:lang w:eastAsia="ja-JP"/>
        </w:rPr>
        <w:t xml:space="preserve"> </w:t>
      </w:r>
      <w:r w:rsidRPr="00AB0295">
        <w:rPr>
          <w:rFonts w:eastAsiaTheme="minorEastAsia"/>
          <w:i/>
          <w:lang w:eastAsia="ja-JP"/>
        </w:rPr>
        <w:t>when using the baseline parameters</w:t>
      </w:r>
      <w:r w:rsidRPr="006310D5">
        <w:rPr>
          <w:rFonts w:eastAsiaTheme="minorEastAsia"/>
          <w:lang w:eastAsia="ja-JP"/>
        </w:rPr>
        <w:t>)</w:t>
      </w:r>
      <w:r>
        <w:rPr>
          <w:rFonts w:eastAsiaTheme="minorEastAsia"/>
          <w:lang w:eastAsia="ja-JP"/>
        </w:rPr>
        <w:t xml:space="preserve"> </w:t>
      </w:r>
      <w:r w:rsidR="001076DD">
        <w:rPr>
          <w:rFonts w:eastAsiaTheme="minorEastAsia"/>
          <w:bCs/>
          <w:lang w:eastAsia="ja-JP"/>
        </w:rPr>
        <w:t>performed by TG 5/1</w:t>
      </w:r>
      <w:r w:rsidR="00B839F0">
        <w:rPr>
          <w:rFonts w:eastAsiaTheme="minorEastAsia"/>
          <w:bCs/>
          <w:lang w:eastAsia="ja-JP"/>
        </w:rPr>
        <w:t>.</w:t>
      </w:r>
    </w:p>
    <w:p w14:paraId="17AB9762" w14:textId="77777777" w:rsidR="00CA270A" w:rsidRPr="00CA270A" w:rsidRDefault="00CA270A" w:rsidP="00CA270A">
      <w:pPr>
        <w:pStyle w:val="TableNo"/>
        <w:spacing w:before="240"/>
        <w:rPr>
          <w:sz w:val="24"/>
          <w:szCs w:val="24"/>
          <w:lang w:eastAsia="ja-JP"/>
        </w:rPr>
      </w:pPr>
      <w:r w:rsidRPr="00CA270A">
        <w:rPr>
          <w:sz w:val="24"/>
          <w:szCs w:val="24"/>
        </w:rPr>
        <w:t>TABLE</w:t>
      </w:r>
      <w:r w:rsidRPr="00CA270A">
        <w:rPr>
          <w:sz w:val="24"/>
          <w:szCs w:val="24"/>
          <w:lang w:eastAsia="ja-JP"/>
        </w:rPr>
        <w:t>-2</w:t>
      </w:r>
    </w:p>
    <w:p w14:paraId="2CDB4E7D" w14:textId="77777777" w:rsidR="00CA270A" w:rsidRPr="00EC6626" w:rsidRDefault="00CA270A" w:rsidP="00CA270A">
      <w:pPr>
        <w:pStyle w:val="Tabletitle"/>
        <w:rPr>
          <w:lang w:eastAsia="ja-JP"/>
        </w:rPr>
      </w:pPr>
      <w:r>
        <w:rPr>
          <w:lang w:eastAsia="ja-JP"/>
        </w:rPr>
        <w:t xml:space="preserve">Current limits applicable to terrestrial (both Fixed and Mobile) station in the band 24.25-27.5 GHz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1238"/>
        <w:gridCol w:w="5756"/>
      </w:tblGrid>
      <w:tr w:rsidR="00CA270A" w:rsidRPr="00EC6626" w14:paraId="4D6446E9" w14:textId="77777777" w:rsidTr="00B46BBC">
        <w:trPr>
          <w:tblHeader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DA9D" w14:textId="77777777" w:rsidR="00CA270A" w:rsidRPr="00EC6626" w:rsidRDefault="00CA270A" w:rsidP="00D06006">
            <w:pPr>
              <w:pStyle w:val="Tablehead"/>
            </w:pPr>
            <w:r w:rsidRPr="00EC6626">
              <w:t>Parameter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A4A1" w14:textId="29EE531D" w:rsidR="00CA270A" w:rsidRPr="00EC6626" w:rsidRDefault="00972A71" w:rsidP="00D06006">
            <w:pPr>
              <w:pStyle w:val="Tablehead"/>
              <w:rPr>
                <w:lang w:eastAsia="ja-JP"/>
              </w:rPr>
            </w:pPr>
            <w:r>
              <w:rPr>
                <w:lang w:eastAsia="ja-JP"/>
              </w:rPr>
              <w:t>Value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AE65" w14:textId="77777777" w:rsidR="00CA270A" w:rsidRPr="00EC6626" w:rsidRDefault="00CA270A" w:rsidP="00D06006">
            <w:pPr>
              <w:pStyle w:val="Tablehead"/>
            </w:pPr>
            <w:r w:rsidRPr="00EC6626">
              <w:t>Note</w:t>
            </w:r>
          </w:p>
        </w:tc>
      </w:tr>
      <w:tr w:rsidR="00CA270A" w:rsidRPr="00EC6626" w14:paraId="6BF28AD4" w14:textId="77777777" w:rsidTr="00B46BBC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39FB" w14:textId="77777777" w:rsidR="00CA270A" w:rsidRPr="00EC6626" w:rsidRDefault="00CA270A" w:rsidP="00D06006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Maximum </w:t>
            </w:r>
            <w:r>
              <w:rPr>
                <w:lang w:eastAsia="ja-JP"/>
              </w:rPr>
              <w:t>Antenna Input Power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03CA" w14:textId="77777777" w:rsidR="00CA270A" w:rsidRPr="00EC6626" w:rsidRDefault="00CA270A" w:rsidP="00D06006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+10 (dBW)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194D" w14:textId="434B7943" w:rsidR="00CA270A" w:rsidRPr="00EC6626" w:rsidRDefault="00CA270A" w:rsidP="00D06006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 xml:space="preserve">Mandatory Limit in RR No. </w:t>
            </w:r>
            <w:r w:rsidRPr="00FF6EBC">
              <w:rPr>
                <w:b/>
                <w:lang w:eastAsia="ja-JP"/>
              </w:rPr>
              <w:t>21.5</w:t>
            </w:r>
            <w:r>
              <w:rPr>
                <w:lang w:eastAsia="ja-JP"/>
              </w:rPr>
              <w:t xml:space="preserve"> (above 10</w:t>
            </w:r>
            <w:r w:rsidR="00972A71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GHz)</w:t>
            </w:r>
          </w:p>
          <w:p w14:paraId="02A76C4D" w14:textId="77777777" w:rsidR="00CA270A" w:rsidRPr="00BC52D9" w:rsidRDefault="00CA270A" w:rsidP="00D06006">
            <w:pPr>
              <w:pStyle w:val="Tabletext"/>
              <w:rPr>
                <w:lang w:eastAsia="ja-JP"/>
              </w:rPr>
            </w:pPr>
          </w:p>
        </w:tc>
      </w:tr>
      <w:tr w:rsidR="00CA270A" w:rsidRPr="00EC6626" w14:paraId="31ADF938" w14:textId="77777777" w:rsidTr="00B46BBC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E472" w14:textId="77777777" w:rsidR="00CA270A" w:rsidRPr="00EC6626" w:rsidRDefault="00CA270A" w:rsidP="00D06006">
            <w:pPr>
              <w:pStyle w:val="Tabletext"/>
            </w:pPr>
            <w:r w:rsidRPr="00EC6626">
              <w:rPr>
                <w:lang w:eastAsia="ja-JP"/>
              </w:rPr>
              <w:t xml:space="preserve">Maximum </w:t>
            </w:r>
            <w:r w:rsidRPr="00EC6626">
              <w:t xml:space="preserve">e.i.r.p.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DCE0" w14:textId="77777777" w:rsidR="00CA270A" w:rsidRPr="00EC6626" w:rsidRDefault="00CA270A" w:rsidP="00D06006">
            <w:pPr>
              <w:pStyle w:val="Tabletext"/>
              <w:jc w:val="center"/>
            </w:pPr>
            <w:r>
              <w:t>+55 (dBW)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7A0E" w14:textId="77777777" w:rsidR="00CA270A" w:rsidRPr="00EC6626" w:rsidRDefault="00CA270A" w:rsidP="00D06006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 xml:space="preserve">Mandatory Limit in RR No. </w:t>
            </w:r>
            <w:r w:rsidRPr="00FF6EBC">
              <w:rPr>
                <w:b/>
                <w:lang w:eastAsia="ja-JP"/>
              </w:rPr>
              <w:t>21.3</w:t>
            </w:r>
          </w:p>
          <w:p w14:paraId="2E814E84" w14:textId="77777777" w:rsidR="00CA270A" w:rsidRPr="00EC6626" w:rsidRDefault="00CA270A" w:rsidP="00D06006">
            <w:pPr>
              <w:pStyle w:val="Tabletext"/>
              <w:rPr>
                <w:lang w:eastAsia="ja-JP"/>
              </w:rPr>
            </w:pPr>
          </w:p>
        </w:tc>
      </w:tr>
      <w:tr w:rsidR="00CA270A" w:rsidRPr="00EC6626" w14:paraId="12DE4471" w14:textId="77777777" w:rsidTr="00B46BBC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95F5" w14:textId="77777777" w:rsidR="00CA270A" w:rsidRPr="00EC6626" w:rsidRDefault="00CA270A" w:rsidP="00D06006">
            <w:pPr>
              <w:pStyle w:val="Tabletext"/>
              <w:rPr>
                <w:lang w:eastAsia="ja-JP"/>
              </w:rPr>
            </w:pPr>
            <w:r w:rsidRPr="00EC6626">
              <w:rPr>
                <w:lang w:eastAsia="ja-JP"/>
              </w:rPr>
              <w:t xml:space="preserve">Maximum </w:t>
            </w:r>
            <w:r>
              <w:rPr>
                <w:lang w:eastAsia="ja-JP"/>
              </w:rPr>
              <w:t>e.i.r.p. density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D62F" w14:textId="77777777" w:rsidR="00CA270A" w:rsidRPr="00EC6626" w:rsidRDefault="00CA270A" w:rsidP="00D06006">
            <w:pPr>
              <w:pStyle w:val="Tabletext"/>
              <w:jc w:val="center"/>
              <w:rPr>
                <w:lang w:eastAsia="ja-JP"/>
              </w:rPr>
            </w:pPr>
            <w:r>
              <w:rPr>
                <w:lang w:eastAsia="ja-JP"/>
              </w:rPr>
              <w:t>+24 (dBW/MHz)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9E6B" w14:textId="77777777" w:rsidR="00CA270A" w:rsidRPr="00AD7B2C" w:rsidRDefault="00CA270A" w:rsidP="00D06006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 xml:space="preserve">Non-Mandatory Limit in RR No. </w:t>
            </w:r>
            <w:r w:rsidRPr="00FF6EBC">
              <w:rPr>
                <w:b/>
                <w:lang w:eastAsia="ja-JP"/>
              </w:rPr>
              <w:t>21.2</w:t>
            </w:r>
            <w:r>
              <w:rPr>
                <w:b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in </w:t>
            </w:r>
            <w:r>
              <w:rPr>
                <w:lang w:eastAsia="ja-JP"/>
              </w:rPr>
              <w:t xml:space="preserve">the band </w:t>
            </w:r>
            <w:r>
              <w:rPr>
                <w:rFonts w:hint="eastAsia"/>
                <w:lang w:eastAsia="ja-JP"/>
              </w:rPr>
              <w:t>25.25-</w:t>
            </w:r>
            <w:r>
              <w:rPr>
                <w:lang w:eastAsia="ja-JP"/>
              </w:rPr>
              <w:t>27.5 GHz</w:t>
            </w:r>
          </w:p>
        </w:tc>
      </w:tr>
      <w:tr w:rsidR="00CA270A" w:rsidRPr="0071643D" w14:paraId="1756FB9A" w14:textId="77777777" w:rsidTr="00B46BBC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6728" w14:textId="77777777" w:rsidR="00CA270A" w:rsidRPr="00EC6626" w:rsidRDefault="00CA270A" w:rsidP="00D06006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Antenna Patter</w:t>
            </w:r>
            <w:r>
              <w:rPr>
                <w:lang w:eastAsia="ja-JP"/>
              </w:rPr>
              <w:t>n</w:t>
            </w:r>
          </w:p>
        </w:tc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6E02" w14:textId="77777777" w:rsidR="00CA270A" w:rsidRPr="00EC6626" w:rsidRDefault="00CA270A" w:rsidP="00D06006">
            <w:pPr>
              <w:pStyle w:val="Tabletext"/>
              <w:jc w:val="center"/>
              <w:rPr>
                <w:lang w:eastAsia="ja-JP"/>
              </w:rPr>
            </w:pPr>
            <w:r>
              <w:rPr>
                <w:lang w:eastAsia="ja-JP"/>
              </w:rPr>
              <w:t>Not specified</w:t>
            </w:r>
          </w:p>
        </w:tc>
      </w:tr>
      <w:tr w:rsidR="00CA270A" w:rsidRPr="00EC6626" w14:paraId="08FDB184" w14:textId="77777777" w:rsidTr="00B46BBC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F140" w14:textId="77777777" w:rsidR="00CA270A" w:rsidRPr="00EC6626" w:rsidRDefault="00CA270A" w:rsidP="00D06006">
            <w:pPr>
              <w:pStyle w:val="Tabletext"/>
            </w:pPr>
            <w:r w:rsidRPr="00EC6626">
              <w:rPr>
                <w:lang w:eastAsia="ja-JP"/>
              </w:rPr>
              <w:t>D</w:t>
            </w:r>
            <w:r w:rsidRPr="00EC6626">
              <w:t>eployment ratio</w:t>
            </w:r>
          </w:p>
        </w:tc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1ED6" w14:textId="77777777" w:rsidR="00CA270A" w:rsidRPr="00EC6626" w:rsidRDefault="00CA270A" w:rsidP="00D06006">
            <w:pPr>
              <w:pStyle w:val="Tabletext"/>
              <w:jc w:val="center"/>
            </w:pPr>
            <w:r>
              <w:t>Not specified</w:t>
            </w:r>
          </w:p>
        </w:tc>
      </w:tr>
    </w:tbl>
    <w:p w14:paraId="078FCA28" w14:textId="528A1676" w:rsidR="00CA270A" w:rsidRDefault="006310D5" w:rsidP="009551B2">
      <w:pPr>
        <w:spacing w:beforeLines="100" w:before="240"/>
        <w:rPr>
          <w:lang w:eastAsia="ja-JP"/>
        </w:rPr>
      </w:pPr>
      <w:r>
        <w:rPr>
          <w:rFonts w:eastAsiaTheme="minorEastAsia"/>
          <w:lang w:eastAsia="ja-JP"/>
        </w:rPr>
        <w:lastRenderedPageBreak/>
        <w:t xml:space="preserve">On the other hand, </w:t>
      </w:r>
      <w:r w:rsidR="001076DD" w:rsidRPr="009551B2">
        <w:rPr>
          <w:b/>
          <w:lang w:eastAsia="ja-JP"/>
        </w:rPr>
        <w:t>Options 1</w:t>
      </w:r>
      <w:r w:rsidR="001076DD">
        <w:rPr>
          <w:lang w:eastAsia="ja-JP"/>
        </w:rPr>
        <w:t xml:space="preserve"> to </w:t>
      </w:r>
      <w:r w:rsidR="001076DD" w:rsidRPr="009551B2">
        <w:rPr>
          <w:b/>
          <w:lang w:eastAsia="ja-JP"/>
        </w:rPr>
        <w:t>8</w:t>
      </w:r>
      <w:r w:rsidR="001076DD">
        <w:rPr>
          <w:lang w:eastAsia="ja-JP"/>
        </w:rPr>
        <w:t xml:space="preserve"> (except the above </w:t>
      </w:r>
      <w:r w:rsidR="001076DD" w:rsidRPr="009551B2">
        <w:rPr>
          <w:b/>
          <w:lang w:eastAsia="ja-JP"/>
        </w:rPr>
        <w:t>Option 7</w:t>
      </w:r>
      <w:r w:rsidR="001076DD">
        <w:rPr>
          <w:lang w:eastAsia="ja-JP"/>
        </w:rPr>
        <w:t xml:space="preserve">) would </w:t>
      </w:r>
      <w:r>
        <w:rPr>
          <w:lang w:eastAsia="ja-JP"/>
        </w:rPr>
        <w:t xml:space="preserve">also </w:t>
      </w:r>
      <w:r w:rsidR="001076DD">
        <w:rPr>
          <w:lang w:eastAsia="ja-JP"/>
        </w:rPr>
        <w:t xml:space="preserve">not be preferable for </w:t>
      </w:r>
      <w:r w:rsidR="0017120C">
        <w:rPr>
          <w:lang w:eastAsia="ja-JP"/>
        </w:rPr>
        <w:t>some administrations</w:t>
      </w:r>
      <w:r w:rsidR="001076DD">
        <w:rPr>
          <w:lang w:eastAsia="ja-JP"/>
        </w:rPr>
        <w:t xml:space="preserve">, since </w:t>
      </w:r>
      <w:r w:rsidR="001076DD" w:rsidRPr="00F1741C">
        <w:rPr>
          <w:lang w:eastAsia="ja-JP"/>
        </w:rPr>
        <w:t>impos</w:t>
      </w:r>
      <w:r w:rsidR="0036091C">
        <w:rPr>
          <w:lang w:eastAsia="ja-JP"/>
        </w:rPr>
        <w:t>ing</w:t>
      </w:r>
      <w:r w:rsidR="001076DD" w:rsidRPr="00F1741C">
        <w:rPr>
          <w:lang w:eastAsia="ja-JP"/>
        </w:rPr>
        <w:t xml:space="preserve"> the particular technical </w:t>
      </w:r>
      <w:r w:rsidR="001076DD">
        <w:rPr>
          <w:lang w:eastAsia="ja-JP"/>
        </w:rPr>
        <w:t>conditions</w:t>
      </w:r>
      <w:r w:rsidR="001076DD" w:rsidRPr="00F1741C">
        <w:rPr>
          <w:lang w:eastAsia="ja-JP"/>
        </w:rPr>
        <w:t xml:space="preserve"> on </w:t>
      </w:r>
      <w:r w:rsidR="00E87355">
        <w:rPr>
          <w:lang w:eastAsia="ja-JP"/>
        </w:rPr>
        <w:t xml:space="preserve">each individual </w:t>
      </w:r>
      <w:r w:rsidR="001076DD" w:rsidRPr="00F1741C">
        <w:rPr>
          <w:lang w:eastAsia="ja-JP"/>
        </w:rPr>
        <w:t xml:space="preserve">IMT </w:t>
      </w:r>
      <w:r w:rsidR="00E87355">
        <w:rPr>
          <w:lang w:eastAsia="ja-JP"/>
        </w:rPr>
        <w:t>station</w:t>
      </w:r>
      <w:r w:rsidR="00E87355" w:rsidRPr="00F1741C">
        <w:rPr>
          <w:lang w:eastAsia="ja-JP"/>
        </w:rPr>
        <w:t xml:space="preserve"> </w:t>
      </w:r>
      <w:r w:rsidR="001076DD" w:rsidRPr="00F1741C">
        <w:rPr>
          <w:lang w:eastAsia="ja-JP"/>
        </w:rPr>
        <w:t>as “hard limits” in the RR</w:t>
      </w:r>
      <w:r w:rsidR="0036091C">
        <w:rPr>
          <w:lang w:eastAsia="ja-JP"/>
        </w:rPr>
        <w:t xml:space="preserve"> would not be beneficial for the </w:t>
      </w:r>
      <w:r w:rsidR="001361DA">
        <w:rPr>
          <w:lang w:eastAsia="ja-JP"/>
        </w:rPr>
        <w:t xml:space="preserve">development of </w:t>
      </w:r>
      <w:r w:rsidR="0036091C">
        <w:rPr>
          <w:lang w:eastAsia="ja-JP"/>
        </w:rPr>
        <w:t>IMT.</w:t>
      </w:r>
      <w:r w:rsidR="001076DD">
        <w:rPr>
          <w:lang w:eastAsia="ja-JP"/>
        </w:rPr>
        <w:t xml:space="preserve"> </w:t>
      </w:r>
    </w:p>
    <w:p w14:paraId="4F968C52" w14:textId="168C7BB2" w:rsidR="00970F96" w:rsidRDefault="00970F96" w:rsidP="009551B2">
      <w:pPr>
        <w:spacing w:beforeLines="100" w:before="240"/>
        <w:rPr>
          <w:lang w:eastAsia="ja-JP"/>
        </w:rPr>
      </w:pPr>
      <w:r>
        <w:rPr>
          <w:lang w:eastAsia="ja-JP"/>
        </w:rPr>
        <w:t xml:space="preserve">As a </w:t>
      </w:r>
      <w:r w:rsidR="00AB03A6">
        <w:rPr>
          <w:lang w:eastAsia="ja-JP"/>
        </w:rPr>
        <w:t>consequence</w:t>
      </w:r>
      <w:r>
        <w:rPr>
          <w:lang w:eastAsia="ja-JP"/>
        </w:rPr>
        <w:t xml:space="preserve">, Japan believes </w:t>
      </w:r>
      <w:r w:rsidRPr="00AB03A6">
        <w:rPr>
          <w:b/>
          <w:lang w:eastAsia="ja-JP"/>
        </w:rPr>
        <w:t>Option 7</w:t>
      </w:r>
      <w:r>
        <w:rPr>
          <w:lang w:eastAsia="ja-JP"/>
        </w:rPr>
        <w:t xml:space="preserve"> could be a compromised solution for those who </w:t>
      </w:r>
      <w:r w:rsidR="00D47541">
        <w:rPr>
          <w:lang w:eastAsia="ja-JP"/>
        </w:rPr>
        <w:t xml:space="preserve">support </w:t>
      </w:r>
      <w:r w:rsidRPr="00AB03A6">
        <w:rPr>
          <w:b/>
          <w:lang w:eastAsia="ja-JP"/>
        </w:rPr>
        <w:t>Options 1</w:t>
      </w:r>
      <w:r>
        <w:rPr>
          <w:lang w:eastAsia="ja-JP"/>
        </w:rPr>
        <w:t xml:space="preserve"> to </w:t>
      </w:r>
      <w:r w:rsidRPr="00AB03A6">
        <w:rPr>
          <w:b/>
          <w:lang w:eastAsia="ja-JP"/>
        </w:rPr>
        <w:t>8</w:t>
      </w:r>
      <w:r>
        <w:rPr>
          <w:lang w:eastAsia="ja-JP"/>
        </w:rPr>
        <w:t xml:space="preserve"> (except </w:t>
      </w:r>
      <w:r w:rsidRPr="00AB03A6">
        <w:rPr>
          <w:b/>
          <w:lang w:eastAsia="ja-JP"/>
        </w:rPr>
        <w:t>Option 7</w:t>
      </w:r>
      <w:r>
        <w:rPr>
          <w:lang w:eastAsia="ja-JP"/>
        </w:rPr>
        <w:t xml:space="preserve">) or </w:t>
      </w:r>
      <w:r w:rsidRPr="00AB03A6">
        <w:rPr>
          <w:b/>
          <w:lang w:eastAsia="ja-JP"/>
        </w:rPr>
        <w:t>Option 9</w:t>
      </w:r>
      <w:r>
        <w:rPr>
          <w:lang w:eastAsia="ja-JP"/>
        </w:rPr>
        <w:t>.</w:t>
      </w:r>
    </w:p>
    <w:p w14:paraId="324B12A9" w14:textId="77777777" w:rsidR="006310D5" w:rsidRPr="001076DD" w:rsidRDefault="006310D5" w:rsidP="006310D5">
      <w:pPr>
        <w:rPr>
          <w:rFonts w:eastAsiaTheme="minorEastAsia"/>
          <w:lang w:eastAsia="ja-JP"/>
        </w:rPr>
      </w:pPr>
    </w:p>
    <w:p w14:paraId="0517A4BB" w14:textId="77777777" w:rsidR="0036091C" w:rsidRPr="00192F7C" w:rsidRDefault="0036091C" w:rsidP="006B76C3">
      <w:pPr>
        <w:pStyle w:val="Heading1"/>
        <w:spacing w:beforeLines="50" w:before="120"/>
        <w:ind w:left="425" w:hangingChars="177" w:hanging="425"/>
        <w:jc w:val="left"/>
        <w:rPr>
          <w:u w:val="none"/>
          <w:lang w:eastAsia="ja-JP"/>
        </w:rPr>
      </w:pPr>
      <w:r>
        <w:rPr>
          <w:u w:val="none"/>
          <w:lang w:eastAsia="ja-JP"/>
        </w:rPr>
        <w:t>4</w:t>
      </w:r>
      <w:r w:rsidRPr="00192F7C">
        <w:rPr>
          <w:rFonts w:hint="eastAsia"/>
          <w:u w:val="none"/>
        </w:rPr>
        <w:tab/>
      </w:r>
      <w:r>
        <w:rPr>
          <w:u w:val="none"/>
          <w:lang w:eastAsia="ja-JP"/>
        </w:rPr>
        <w:t>Conclusion</w:t>
      </w:r>
    </w:p>
    <w:p w14:paraId="77174A69" w14:textId="5E476750" w:rsidR="0036091C" w:rsidRDefault="00E87355" w:rsidP="0036091C">
      <w:pPr>
        <w:spacing w:beforeLines="50" w:before="120"/>
        <w:rPr>
          <w:bCs/>
          <w:lang w:eastAsia="ja-JP"/>
        </w:rPr>
      </w:pPr>
      <w:r>
        <w:rPr>
          <w:bCs/>
          <w:lang w:eastAsia="ja-JP"/>
        </w:rPr>
        <w:t>It is worth noting that</w:t>
      </w:r>
      <w:r w:rsidR="002C17A8">
        <w:rPr>
          <w:bCs/>
          <w:lang w:eastAsia="ja-JP"/>
        </w:rPr>
        <w:t xml:space="preserve">, </w:t>
      </w:r>
      <w:r w:rsidR="002C17A8" w:rsidRPr="00E87355">
        <w:rPr>
          <w:bCs/>
          <w:lang w:eastAsia="ja-JP"/>
        </w:rPr>
        <w:t>in the band 24.25-27.5</w:t>
      </w:r>
      <w:r w:rsidR="00972A71">
        <w:rPr>
          <w:bCs/>
          <w:lang w:eastAsia="ja-JP"/>
        </w:rPr>
        <w:t xml:space="preserve"> </w:t>
      </w:r>
      <w:r w:rsidR="002C17A8" w:rsidRPr="00E87355">
        <w:rPr>
          <w:bCs/>
          <w:lang w:eastAsia="ja-JP"/>
        </w:rPr>
        <w:t>GHz</w:t>
      </w:r>
      <w:r w:rsidR="002C17A8">
        <w:rPr>
          <w:bCs/>
          <w:lang w:eastAsia="ja-JP"/>
        </w:rPr>
        <w:t xml:space="preserve">, </w:t>
      </w:r>
      <w:r>
        <w:rPr>
          <w:bCs/>
          <w:lang w:eastAsia="ja-JP"/>
        </w:rPr>
        <w:t>m</w:t>
      </w:r>
      <w:r w:rsidRPr="00337A48">
        <w:rPr>
          <w:bCs/>
          <w:lang w:eastAsia="ja-JP"/>
        </w:rPr>
        <w:t xml:space="preserve">andatory </w:t>
      </w:r>
      <w:r>
        <w:rPr>
          <w:bCs/>
          <w:lang w:eastAsia="ja-JP"/>
        </w:rPr>
        <w:t>“</w:t>
      </w:r>
      <w:r w:rsidRPr="0036091C">
        <w:rPr>
          <w:b/>
          <w:bCs/>
          <w:lang w:eastAsia="ja-JP"/>
        </w:rPr>
        <w:t>epfd↑ limits</w:t>
      </w:r>
      <w:r>
        <w:rPr>
          <w:bCs/>
          <w:lang w:eastAsia="ja-JP"/>
        </w:rPr>
        <w:t>”</w:t>
      </w:r>
      <w:r w:rsidRPr="00337A48">
        <w:rPr>
          <w:bCs/>
          <w:lang w:eastAsia="ja-JP"/>
        </w:rPr>
        <w:t xml:space="preserve"> at the geostationary-satellite orbit by emissions from all the IMT base stations in the territory of the administration </w:t>
      </w:r>
      <w:r w:rsidRPr="006F09C8">
        <w:rPr>
          <w:bCs/>
          <w:lang w:eastAsia="ja-JP"/>
        </w:rPr>
        <w:t>implementing IMT system(s)</w:t>
      </w:r>
      <w:r>
        <w:rPr>
          <w:bCs/>
          <w:lang w:eastAsia="ja-JP"/>
        </w:rPr>
        <w:t xml:space="preserve"> are introduced</w:t>
      </w:r>
      <w:r w:rsidR="0036091C" w:rsidRPr="00337A48">
        <w:rPr>
          <w:bCs/>
          <w:lang w:eastAsia="ja-JP"/>
        </w:rPr>
        <w:t xml:space="preserve"> in order to secure the adequate protection for FSS (E-s)</w:t>
      </w:r>
      <w:r w:rsidR="0036091C" w:rsidRPr="00337A48">
        <w:rPr>
          <w:rFonts w:hint="eastAsia"/>
          <w:bCs/>
          <w:lang w:eastAsia="ja-JP"/>
        </w:rPr>
        <w:t>, while</w:t>
      </w:r>
      <w:r w:rsidR="0036091C" w:rsidRPr="00337A48">
        <w:rPr>
          <w:bCs/>
          <w:lang w:eastAsia="ja-JP"/>
        </w:rPr>
        <w:t xml:space="preserve"> in o</w:t>
      </w:r>
      <w:r w:rsidR="0036091C">
        <w:rPr>
          <w:rFonts w:hint="eastAsia"/>
          <w:bCs/>
          <w:lang w:eastAsia="ja-JP"/>
        </w:rPr>
        <w:t>r</w:t>
      </w:r>
      <w:r w:rsidR="0036091C" w:rsidRPr="00337A48">
        <w:rPr>
          <w:bCs/>
          <w:lang w:eastAsia="ja-JP"/>
        </w:rPr>
        <w:t xml:space="preserve">der also </w:t>
      </w:r>
      <w:r w:rsidR="002C17A8">
        <w:rPr>
          <w:bCs/>
          <w:lang w:eastAsia="ja-JP"/>
        </w:rPr>
        <w:t xml:space="preserve">to </w:t>
      </w:r>
      <w:r w:rsidR="0036091C">
        <w:rPr>
          <w:rFonts w:hint="eastAsia"/>
          <w:bCs/>
          <w:lang w:eastAsia="ja-JP"/>
        </w:rPr>
        <w:t xml:space="preserve">allow </w:t>
      </w:r>
      <w:r w:rsidR="0036091C" w:rsidRPr="00337A48">
        <w:rPr>
          <w:bCs/>
          <w:lang w:eastAsia="ja-JP"/>
        </w:rPr>
        <w:t>flexib</w:t>
      </w:r>
      <w:r w:rsidR="0036091C">
        <w:rPr>
          <w:rFonts w:hint="eastAsia"/>
          <w:bCs/>
          <w:lang w:eastAsia="ja-JP"/>
        </w:rPr>
        <w:t>i</w:t>
      </w:r>
      <w:r w:rsidR="0036091C" w:rsidRPr="00337A48">
        <w:rPr>
          <w:bCs/>
          <w:lang w:eastAsia="ja-JP"/>
        </w:rPr>
        <w:t xml:space="preserve">lity for IMT </w:t>
      </w:r>
      <w:r w:rsidR="0036091C" w:rsidRPr="00337A48">
        <w:rPr>
          <w:rFonts w:hint="eastAsia"/>
          <w:bCs/>
          <w:lang w:eastAsia="ja-JP"/>
        </w:rPr>
        <w:t>deployment/</w:t>
      </w:r>
      <w:r w:rsidR="0036091C" w:rsidRPr="00337A48">
        <w:rPr>
          <w:bCs/>
          <w:lang w:eastAsia="ja-JP"/>
        </w:rPr>
        <w:t xml:space="preserve">operation in </w:t>
      </w:r>
      <w:r>
        <w:rPr>
          <w:bCs/>
          <w:lang w:eastAsia="ja-JP"/>
        </w:rPr>
        <w:t>this band</w:t>
      </w:r>
      <w:r w:rsidR="0036091C">
        <w:rPr>
          <w:bCs/>
          <w:lang w:eastAsia="ja-JP"/>
        </w:rPr>
        <w:t xml:space="preserve">, as indicated in the draft CPM text as </w:t>
      </w:r>
      <w:r w:rsidR="0036091C" w:rsidRPr="0036091C">
        <w:rPr>
          <w:b/>
          <w:bCs/>
          <w:lang w:eastAsia="ja-JP"/>
        </w:rPr>
        <w:t>Option 7</w:t>
      </w:r>
      <w:r w:rsidR="0036091C" w:rsidRPr="00337A48">
        <w:rPr>
          <w:bCs/>
          <w:lang w:eastAsia="ja-JP"/>
        </w:rPr>
        <w:t>.</w:t>
      </w:r>
    </w:p>
    <w:p w14:paraId="538E8BFD" w14:textId="77777777" w:rsidR="0036091C" w:rsidRDefault="0036091C" w:rsidP="0036091C">
      <w:pPr>
        <w:spacing w:beforeLines="50" w:before="120"/>
        <w:rPr>
          <w:bCs/>
          <w:lang w:eastAsia="ja-JP"/>
        </w:rPr>
      </w:pPr>
    </w:p>
    <w:p w14:paraId="1E9D4DD7" w14:textId="2698922F" w:rsidR="00BB22C3" w:rsidRDefault="00BB22C3" w:rsidP="00BB22C3">
      <w:pPr>
        <w:rPr>
          <w:lang w:eastAsia="ja-JP"/>
        </w:rPr>
      </w:pPr>
      <w:r>
        <w:rPr>
          <w:rFonts w:hint="eastAsia"/>
          <w:lang w:eastAsia="ja-JP"/>
        </w:rPr>
        <w:t xml:space="preserve">In addition, Japan </w:t>
      </w:r>
      <w:r>
        <w:rPr>
          <w:lang w:eastAsia="ja-JP"/>
        </w:rPr>
        <w:t xml:space="preserve">would like to update the values of </w:t>
      </w:r>
      <w:r w:rsidRPr="00664119">
        <w:rPr>
          <w:b/>
          <w:lang w:eastAsia="ja-JP"/>
        </w:rPr>
        <w:t>epfd↑ limit</w:t>
      </w:r>
      <w:r w:rsidRPr="00453632">
        <w:rPr>
          <w:lang w:eastAsia="ja-JP"/>
        </w:rPr>
        <w:t xml:space="preserve"> at the geostationary-satellite orbit by emissions from all the IMT base stations in the territory of </w:t>
      </w:r>
      <w:r>
        <w:rPr>
          <w:rFonts w:hint="eastAsia"/>
          <w:lang w:eastAsia="ja-JP"/>
        </w:rPr>
        <w:t>an</w:t>
      </w:r>
      <w:r w:rsidRPr="00453632">
        <w:rPr>
          <w:lang w:eastAsia="ja-JP"/>
        </w:rPr>
        <w:t xml:space="preserve"> administration</w:t>
      </w:r>
      <w:r>
        <w:rPr>
          <w:lang w:eastAsia="ja-JP"/>
        </w:rPr>
        <w:t xml:space="preserve"> </w:t>
      </w:r>
      <w:r w:rsidRPr="006F09C8">
        <w:rPr>
          <w:bCs/>
          <w:lang w:eastAsia="ja-JP"/>
        </w:rPr>
        <w:t>implementing IMT system(s)</w:t>
      </w:r>
      <w:r>
        <w:rPr>
          <w:bCs/>
          <w:lang w:eastAsia="ja-JP"/>
        </w:rPr>
        <w:t xml:space="preserve"> (see TABLE X below)</w:t>
      </w:r>
      <w:r>
        <w:rPr>
          <w:rFonts w:hint="eastAsia"/>
          <w:lang w:eastAsia="ja-JP"/>
        </w:rPr>
        <w:t xml:space="preserve">, </w:t>
      </w:r>
      <w:r>
        <w:rPr>
          <w:lang w:eastAsia="ja-JP"/>
        </w:rPr>
        <w:t xml:space="preserve">taking into account the </w:t>
      </w:r>
      <w:r w:rsidR="00D503E1" w:rsidRPr="000A7EC6">
        <w:rPr>
          <w:b/>
          <w:lang w:eastAsia="ja-JP"/>
        </w:rPr>
        <w:t xml:space="preserve">ATTACHMENT </w:t>
      </w:r>
      <w:r w:rsidR="00D503E1">
        <w:rPr>
          <w:lang w:eastAsia="ja-JP"/>
        </w:rPr>
        <w:t>to</w:t>
      </w:r>
      <w:r>
        <w:rPr>
          <w:rFonts w:hint="eastAsia"/>
          <w:lang w:eastAsia="ja-JP"/>
        </w:rPr>
        <w:t xml:space="preserve"> this contribution.</w:t>
      </w:r>
    </w:p>
    <w:p w14:paraId="13BFFE49" w14:textId="77777777" w:rsidR="00BB22C3" w:rsidRPr="00E13033" w:rsidRDefault="00BB22C3" w:rsidP="00BB22C3">
      <w:pPr>
        <w:keepNext/>
        <w:spacing w:before="560" w:after="120"/>
        <w:jc w:val="center"/>
        <w:rPr>
          <w:rFonts w:eastAsia="MS Mincho"/>
          <w:caps/>
          <w:sz w:val="20"/>
        </w:rPr>
      </w:pPr>
      <w:r w:rsidRPr="00E13033">
        <w:rPr>
          <w:rFonts w:eastAsia="MS Mincho"/>
          <w:caps/>
          <w:sz w:val="20"/>
        </w:rPr>
        <w:t xml:space="preserve">TABLE </w:t>
      </w:r>
      <w:r w:rsidRPr="00E13033">
        <w:rPr>
          <w:rFonts w:eastAsia="MS Mincho"/>
          <w:b/>
          <w:caps/>
          <w:sz w:val="20"/>
        </w:rPr>
        <w:t>X</w:t>
      </w:r>
      <w:r w:rsidR="00254DB0">
        <w:rPr>
          <w:rFonts w:eastAsia="MS Mincho" w:hint="eastAsia"/>
          <w:b/>
          <w:caps/>
          <w:sz w:val="20"/>
          <w:lang w:eastAsia="ja-JP"/>
        </w:rPr>
        <w:t xml:space="preserve"> </w:t>
      </w:r>
      <w:r w:rsidR="00254DB0" w:rsidRPr="00254DB0">
        <w:rPr>
          <w:rFonts w:eastAsia="MS Mincho"/>
          <w:sz w:val="20"/>
          <w:lang w:eastAsia="ja-JP"/>
        </w:rPr>
        <w:t>(updated)</w:t>
      </w:r>
    </w:p>
    <w:p w14:paraId="478AED71" w14:textId="77777777" w:rsidR="00BB22C3" w:rsidRPr="00E13033" w:rsidRDefault="00BB22C3" w:rsidP="00BB22C3">
      <w:pPr>
        <w:keepNext/>
        <w:keepLines/>
        <w:jc w:val="center"/>
        <w:rPr>
          <w:rFonts w:ascii="Times New Roman Bold" w:eastAsia="MS Mincho" w:hAnsi="Times New Roman Bold"/>
          <w:b/>
          <w:sz w:val="20"/>
        </w:rPr>
      </w:pPr>
      <w:r w:rsidRPr="00E13033">
        <w:rPr>
          <w:rFonts w:ascii="Times New Roman Bold" w:eastAsia="MS Mincho" w:hAnsi="Times New Roman Bold"/>
          <w:b/>
          <w:sz w:val="20"/>
        </w:rPr>
        <w:t>Limits to the epfd</w:t>
      </w:r>
      <w:r w:rsidRPr="00E13033">
        <w:rPr>
          <w:rFonts w:ascii="Arial" w:eastAsia="MS Mincho" w:hAnsi="Arial" w:cs="Arial"/>
          <w:b/>
          <w:sz w:val="20"/>
        </w:rPr>
        <w:t>↑</w:t>
      </w:r>
      <w:r w:rsidRPr="00E13033">
        <w:rPr>
          <w:rFonts w:ascii="Times New Roman Bold" w:eastAsia="MS Mincho" w:hAnsi="Times New Roman Bold"/>
          <w:b/>
          <w:sz w:val="20"/>
        </w:rPr>
        <w:t xml:space="preserve"> radiated by IMT base stations in the mobile service in certain frequency bands</w:t>
      </w:r>
    </w:p>
    <w:tbl>
      <w:tblPr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839"/>
        <w:gridCol w:w="1275"/>
        <w:gridCol w:w="1139"/>
        <w:gridCol w:w="3690"/>
      </w:tblGrid>
      <w:tr w:rsidR="00BB22C3" w:rsidRPr="00E13033" w14:paraId="46456D09" w14:textId="77777777" w:rsidTr="00060AD1">
        <w:trPr>
          <w:cantSplit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E75C" w14:textId="77777777" w:rsidR="00BB22C3" w:rsidRPr="00E13033" w:rsidRDefault="00BB22C3" w:rsidP="00D06006">
            <w:pPr>
              <w:keepNext/>
              <w:snapToGrid w:val="0"/>
              <w:spacing w:before="80" w:after="80"/>
              <w:jc w:val="center"/>
              <w:rPr>
                <w:rFonts w:ascii="Times New Roman Bold" w:eastAsia="MS Mincho" w:hAnsi="Times New Roman Bold" w:cs="Times New Roman Bold"/>
                <w:b/>
                <w:sz w:val="18"/>
                <w:szCs w:val="18"/>
              </w:rPr>
            </w:pPr>
            <w:r w:rsidRPr="00E13033">
              <w:rPr>
                <w:rFonts w:ascii="Times New Roman Bold" w:eastAsia="MS Mincho" w:hAnsi="Times New Roman Bold" w:cs="Times New Roman Bold"/>
                <w:b/>
                <w:sz w:val="18"/>
                <w:szCs w:val="18"/>
              </w:rPr>
              <w:t>Frequency</w:t>
            </w:r>
            <w:r w:rsidRPr="00E13033">
              <w:rPr>
                <w:rFonts w:ascii="Times New Roman Bold" w:eastAsia="MS Mincho" w:hAnsi="Times New Roman Bold" w:cs="Times New Roman Bold"/>
                <w:b/>
                <w:sz w:val="18"/>
                <w:szCs w:val="18"/>
              </w:rPr>
              <w:br/>
              <w:t>bands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900E" w14:textId="77777777" w:rsidR="00BB22C3" w:rsidRPr="00E13033" w:rsidRDefault="00BB22C3" w:rsidP="00D06006">
            <w:pPr>
              <w:keepNext/>
              <w:snapToGrid w:val="0"/>
              <w:spacing w:before="80" w:after="80"/>
              <w:jc w:val="center"/>
              <w:rPr>
                <w:rFonts w:ascii="Times New Roman Bold" w:eastAsia="MS Mincho" w:hAnsi="Times New Roman Bold" w:cs="Times New Roman Bold"/>
                <w:b/>
                <w:sz w:val="18"/>
                <w:szCs w:val="18"/>
              </w:rPr>
            </w:pPr>
            <w:r w:rsidRPr="00E13033">
              <w:rPr>
                <w:rFonts w:ascii="Times New Roman Bold" w:eastAsia="MS Mincho" w:hAnsi="Times New Roman Bold" w:cs="Times New Roman Bold"/>
                <w:b/>
                <w:sz w:val="18"/>
                <w:szCs w:val="18"/>
              </w:rPr>
              <w:t>epfd</w:t>
            </w:r>
            <w:r w:rsidRPr="00E13033">
              <w:rPr>
                <w:rFonts w:ascii="Times New Roman Bold" w:eastAsia="MS Mincho" w:hAnsi="Times New Roman Bold" w:cs="Times New Roman Bold"/>
                <w:b/>
                <w:sz w:val="18"/>
                <w:szCs w:val="18"/>
                <w:vertAlign w:val="subscript"/>
              </w:rPr>
              <w:sym w:font="Symbol" w:char="F0AD"/>
            </w:r>
            <w:r w:rsidRPr="00E13033">
              <w:rPr>
                <w:rFonts w:ascii="Times New Roman Bold" w:eastAsia="MS Mincho" w:hAnsi="Times New Roman Bold" w:cs="Times New Roman Bold"/>
                <w:b/>
                <w:sz w:val="18"/>
                <w:szCs w:val="18"/>
              </w:rPr>
              <w:t xml:space="preserve"> (dB(W/m</w:t>
            </w:r>
            <w:r w:rsidRPr="00E13033">
              <w:rPr>
                <w:rFonts w:ascii="Times New Roman Bold" w:eastAsia="MS Mincho" w:hAnsi="Times New Roman Bold" w:cs="Times New Roman Bold"/>
                <w:b/>
                <w:sz w:val="18"/>
                <w:szCs w:val="18"/>
                <w:vertAlign w:val="superscript"/>
              </w:rPr>
              <w:t>2</w:t>
            </w:r>
            <w:r w:rsidRPr="00E13033">
              <w:rPr>
                <w:rFonts w:ascii="Times New Roman Bold" w:eastAsia="MS Mincho" w:hAnsi="Times New Roman Bold" w:cs="Times New Roman Bold"/>
                <w:b/>
                <w:sz w:val="18"/>
                <w:szCs w:val="18"/>
              </w:rPr>
              <w:t>))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6EE9" w14:textId="77777777" w:rsidR="00BB22C3" w:rsidRPr="00E13033" w:rsidRDefault="00BB22C3" w:rsidP="00D06006">
            <w:pPr>
              <w:keepNext/>
              <w:snapToGrid w:val="0"/>
              <w:spacing w:before="80" w:after="80"/>
              <w:jc w:val="center"/>
              <w:rPr>
                <w:rFonts w:ascii="Times New Roman Bold" w:eastAsia="MS Mincho" w:hAnsi="Times New Roman Bold" w:cs="Times New Roman Bold"/>
                <w:b/>
                <w:sz w:val="18"/>
                <w:szCs w:val="18"/>
              </w:rPr>
            </w:pPr>
            <w:r w:rsidRPr="00E13033">
              <w:rPr>
                <w:rFonts w:ascii="Times New Roman Bold" w:eastAsia="MS Mincho" w:hAnsi="Times New Roman Bold" w:cs="Times New Roman Bold"/>
                <w:b/>
                <w:sz w:val="18"/>
                <w:szCs w:val="18"/>
              </w:rPr>
              <w:t xml:space="preserve">Percentage of time, probability or location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A401" w14:textId="77777777" w:rsidR="00BB22C3" w:rsidRPr="00E13033" w:rsidRDefault="00BB22C3" w:rsidP="00D06006">
            <w:pPr>
              <w:keepNext/>
              <w:snapToGrid w:val="0"/>
              <w:spacing w:before="80" w:after="80"/>
              <w:jc w:val="center"/>
              <w:rPr>
                <w:rFonts w:ascii="Times New Roman Bold" w:eastAsia="MS Mincho" w:hAnsi="Times New Roman Bold" w:cs="Times New Roman Bold"/>
                <w:b/>
                <w:sz w:val="18"/>
                <w:szCs w:val="18"/>
              </w:rPr>
            </w:pPr>
            <w:r w:rsidRPr="00E13033">
              <w:rPr>
                <w:rFonts w:ascii="Times New Roman Bold" w:eastAsia="MS Mincho" w:hAnsi="Times New Roman Bold" w:cs="Times New Roman Bold"/>
                <w:b/>
                <w:sz w:val="18"/>
                <w:szCs w:val="18"/>
              </w:rPr>
              <w:t>Reference bandwidth (MHz)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9F84" w14:textId="77777777" w:rsidR="00BB22C3" w:rsidRPr="00E13033" w:rsidRDefault="00BB22C3" w:rsidP="00D06006">
            <w:pPr>
              <w:keepNext/>
              <w:snapToGrid w:val="0"/>
              <w:spacing w:before="80" w:after="80"/>
              <w:jc w:val="center"/>
              <w:rPr>
                <w:rFonts w:ascii="Times New Roman Bold" w:eastAsia="MS Mincho" w:hAnsi="Times New Roman Bold" w:cs="Times New Roman Bold"/>
                <w:b/>
                <w:sz w:val="18"/>
                <w:szCs w:val="18"/>
              </w:rPr>
            </w:pPr>
            <w:r w:rsidRPr="00E13033">
              <w:rPr>
                <w:rFonts w:ascii="Times New Roman Bold" w:eastAsia="MS Mincho" w:hAnsi="Times New Roman Bold" w:cs="Times New Roman Bold"/>
                <w:b/>
                <w:sz w:val="18"/>
                <w:szCs w:val="18"/>
              </w:rPr>
              <w:t xml:space="preserve">Reference antenna beamwidth and reference radiation pattern (see </w:t>
            </w:r>
            <w:r>
              <w:rPr>
                <w:rFonts w:ascii="Times New Roman Bold" w:eastAsia="MS Mincho" w:hAnsi="Times New Roman Bold" w:cs="Times New Roman Bold"/>
                <w:b/>
                <w:sz w:val="18"/>
                <w:szCs w:val="18"/>
              </w:rPr>
              <w:t>ANNEX 1a9</w:t>
            </w:r>
            <w:r w:rsidRPr="00E13033">
              <w:rPr>
                <w:rFonts w:ascii="Times New Roman Bold" w:eastAsia="MS Mincho" w:hAnsi="Times New Roman Bold" w:cs="Times New Roman Bold"/>
                <w:b/>
                <w:sz w:val="18"/>
                <w:szCs w:val="18"/>
              </w:rPr>
              <w:t>)</w:t>
            </w:r>
          </w:p>
        </w:tc>
      </w:tr>
      <w:tr w:rsidR="00060AD1" w:rsidRPr="00A85632" w14:paraId="72327100" w14:textId="77777777" w:rsidTr="002A017E">
        <w:trPr>
          <w:cantSplit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C331" w14:textId="77777777" w:rsidR="00060AD1" w:rsidRPr="00E13033" w:rsidRDefault="00060AD1" w:rsidP="00D0600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 w:rsidRPr="00E13033">
              <w:rPr>
                <w:rFonts w:eastAsia="MS Mincho"/>
                <w:sz w:val="18"/>
                <w:szCs w:val="18"/>
              </w:rPr>
              <w:t>24.65 – 25.25 GHz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710F3C" w14:textId="3155AEAD" w:rsidR="00060AD1" w:rsidRPr="00E13033" w:rsidRDefault="00060AD1" w:rsidP="00A7633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 w:rsidRPr="00E13033">
              <w:rPr>
                <w:rFonts w:eastAsia="MS Mincho"/>
                <w:sz w:val="18"/>
                <w:szCs w:val="18"/>
              </w:rPr>
              <w:t>[</w:t>
            </w:r>
            <w:r w:rsidR="00AB03A6" w:rsidRPr="00A85632">
              <w:rPr>
                <w:rFonts w:eastAsia="MS Mincho"/>
                <w:sz w:val="18"/>
                <w:szCs w:val="18"/>
                <w:lang w:val="fr-CH"/>
              </w:rPr>
              <w:t>−</w:t>
            </w:r>
            <w:r w:rsidR="006B76C3">
              <w:rPr>
                <w:rFonts w:eastAsia="MS Mincho"/>
                <w:sz w:val="18"/>
                <w:szCs w:val="18"/>
              </w:rPr>
              <w:t>151.6</w:t>
            </w:r>
            <w:r w:rsidR="002A017E">
              <w:rPr>
                <w:rFonts w:eastAsia="MS Mincho"/>
                <w:sz w:val="18"/>
                <w:szCs w:val="18"/>
              </w:rPr>
              <w:t>+10 log (</w:t>
            </w:r>
            <w:r w:rsidR="002A017E" w:rsidRPr="00254DB0">
              <w:rPr>
                <w:rFonts w:eastAsia="MS Mincho"/>
              </w:rPr>
              <w:t>α</w:t>
            </w:r>
            <w:r w:rsidR="002A017E" w:rsidRPr="008071DE">
              <w:rPr>
                <w:rFonts w:eastAsia="MS Mincho"/>
                <w:sz w:val="18"/>
                <w:szCs w:val="18"/>
              </w:rPr>
              <w:t>)</w:t>
            </w:r>
            <w:r w:rsidR="002A017E" w:rsidRPr="002A017E">
              <w:rPr>
                <w:rFonts w:eastAsia="MS Mincho"/>
                <w:sz w:val="18"/>
                <w:szCs w:val="18"/>
              </w:rPr>
              <w:t>]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6241F1" w14:textId="77777777" w:rsidR="00060AD1" w:rsidRPr="00E13033" w:rsidRDefault="00060AD1" w:rsidP="00060AD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 w:rsidRPr="00E13033">
              <w:rPr>
                <w:rFonts w:eastAsia="MS Mincho"/>
                <w:sz w:val="18"/>
                <w:szCs w:val="18"/>
              </w:rPr>
              <w:t>[</w:t>
            </w:r>
            <w:r>
              <w:rPr>
                <w:rFonts w:eastAsia="MS Mincho"/>
                <w:sz w:val="18"/>
                <w:szCs w:val="18"/>
              </w:rPr>
              <w:t>80%</w:t>
            </w:r>
            <w:r w:rsidRPr="00E13033">
              <w:rPr>
                <w:rFonts w:eastAsia="MS Mincho"/>
                <w:sz w:val="18"/>
                <w:szCs w:val="18"/>
              </w:rPr>
              <w:t>]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88AFE3" w14:textId="77777777" w:rsidR="00060AD1" w:rsidRPr="00E13033" w:rsidRDefault="00060AD1" w:rsidP="00060AD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 w:rsidRPr="00E13033">
              <w:rPr>
                <w:rFonts w:eastAsia="MS Mincho"/>
                <w:sz w:val="18"/>
                <w:szCs w:val="18"/>
              </w:rPr>
              <w:t>[</w:t>
            </w:r>
            <w:r>
              <w:rPr>
                <w:rFonts w:eastAsia="MS Mincho"/>
                <w:sz w:val="18"/>
                <w:szCs w:val="18"/>
              </w:rPr>
              <w:t>1</w:t>
            </w:r>
            <w:r w:rsidRPr="00E13033">
              <w:rPr>
                <w:rFonts w:eastAsia="MS Mincho"/>
                <w:sz w:val="18"/>
                <w:szCs w:val="18"/>
              </w:rPr>
              <w:t>]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D082AF" w14:textId="77777777" w:rsidR="00060AD1" w:rsidRPr="00A85632" w:rsidRDefault="00060AD1" w:rsidP="00060AD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40"/>
              <w:jc w:val="center"/>
              <w:rPr>
                <w:rFonts w:eastAsia="MS Mincho"/>
                <w:sz w:val="18"/>
                <w:szCs w:val="18"/>
                <w:lang w:val="fr-CH"/>
              </w:rPr>
            </w:pPr>
            <w:r w:rsidRPr="00A85632">
              <w:rPr>
                <w:rFonts w:eastAsia="MS Mincho"/>
                <w:sz w:val="18"/>
                <w:szCs w:val="18"/>
                <w:lang w:val="fr-CH"/>
              </w:rPr>
              <w:t>[0.8</w:t>
            </w:r>
            <w:r w:rsidRPr="00E13033">
              <w:rPr>
                <w:rFonts w:eastAsia="MS Mincho"/>
                <w:sz w:val="18"/>
                <w:szCs w:val="18"/>
              </w:rPr>
              <w:sym w:font="Symbol" w:char="F0B0"/>
            </w:r>
            <w:r w:rsidRPr="00A85632">
              <w:rPr>
                <w:rFonts w:eastAsia="MS Mincho"/>
                <w:sz w:val="18"/>
                <w:szCs w:val="18"/>
                <w:lang w:val="fr-CH"/>
              </w:rPr>
              <w:t>]</w:t>
            </w:r>
            <w:r w:rsidRPr="00A85632">
              <w:rPr>
                <w:rFonts w:eastAsia="MS Mincho"/>
                <w:sz w:val="18"/>
                <w:szCs w:val="18"/>
                <w:lang w:val="fr-CH"/>
              </w:rPr>
              <w:br/>
              <w:t>Recommendation ITU</w:t>
            </w:r>
            <w:r w:rsidRPr="00A85632">
              <w:rPr>
                <w:rFonts w:eastAsia="MS Mincho"/>
                <w:sz w:val="18"/>
                <w:szCs w:val="18"/>
                <w:lang w:val="fr-CH"/>
              </w:rPr>
              <w:noBreakHyphen/>
              <w:t xml:space="preserve">R S.672-4, </w:t>
            </w:r>
            <w:r>
              <w:rPr>
                <w:rFonts w:eastAsia="MS Mincho"/>
                <w:sz w:val="18"/>
                <w:szCs w:val="18"/>
                <w:lang w:val="fr-CH"/>
              </w:rPr>
              <w:br/>
            </w:r>
            <w:r w:rsidRPr="00A85632">
              <w:rPr>
                <w:rFonts w:eastAsia="MS Mincho"/>
                <w:i/>
                <w:iCs/>
                <w:sz w:val="18"/>
                <w:szCs w:val="18"/>
                <w:lang w:val="fr-CH"/>
              </w:rPr>
              <w:t>Ls</w:t>
            </w:r>
            <w:r w:rsidRPr="00A85632">
              <w:rPr>
                <w:rFonts w:eastAsia="MS Mincho"/>
                <w:sz w:val="18"/>
                <w:szCs w:val="18"/>
                <w:lang w:val="fr-CH"/>
              </w:rPr>
              <w:t> </w:t>
            </w:r>
            <w:r w:rsidRPr="00E13033">
              <w:rPr>
                <w:rFonts w:eastAsia="MS Mincho"/>
                <w:sz w:val="18"/>
                <w:szCs w:val="18"/>
              </w:rPr>
              <w:sym w:font="Symbol" w:char="F03D"/>
            </w:r>
            <w:r w:rsidRPr="00A85632">
              <w:rPr>
                <w:rFonts w:eastAsia="MS Mincho"/>
                <w:sz w:val="18"/>
                <w:szCs w:val="18"/>
                <w:lang w:val="fr-CH"/>
              </w:rPr>
              <w:t> [−25]</w:t>
            </w:r>
          </w:p>
        </w:tc>
      </w:tr>
      <w:tr w:rsidR="00060AD1" w:rsidRPr="00A85632" w14:paraId="58A29E25" w14:textId="77777777" w:rsidTr="00060AD1">
        <w:trPr>
          <w:cantSplit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0FE7" w14:textId="77777777" w:rsidR="00060AD1" w:rsidRPr="00E13033" w:rsidRDefault="00060AD1" w:rsidP="00D0600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  <w:r w:rsidRPr="00E13033">
              <w:rPr>
                <w:rFonts w:eastAsia="MS Mincho"/>
                <w:sz w:val="18"/>
                <w:szCs w:val="18"/>
              </w:rPr>
              <w:t xml:space="preserve">27.0 – </w:t>
            </w:r>
            <w:r>
              <w:rPr>
                <w:rFonts w:eastAsia="MS Mincho"/>
                <w:sz w:val="18"/>
                <w:szCs w:val="18"/>
              </w:rPr>
              <w:br/>
            </w:r>
            <w:r w:rsidRPr="00E13033">
              <w:rPr>
                <w:rFonts w:eastAsia="MS Mincho"/>
                <w:sz w:val="18"/>
                <w:szCs w:val="18"/>
              </w:rPr>
              <w:t>27.5 GHz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D0FC" w14:textId="77777777" w:rsidR="00060AD1" w:rsidRPr="00E13033" w:rsidRDefault="00060AD1" w:rsidP="00D0600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12A4" w14:textId="77777777" w:rsidR="00060AD1" w:rsidRPr="00E13033" w:rsidRDefault="00060AD1" w:rsidP="00D0600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CECF" w14:textId="77777777" w:rsidR="00060AD1" w:rsidRPr="00E13033" w:rsidRDefault="00060AD1" w:rsidP="00D0600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40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9BA2" w14:textId="77777777" w:rsidR="00060AD1" w:rsidRPr="00A85632" w:rsidRDefault="00060AD1" w:rsidP="00D0600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40"/>
              <w:jc w:val="center"/>
              <w:rPr>
                <w:rFonts w:eastAsia="MS Mincho"/>
                <w:sz w:val="18"/>
                <w:szCs w:val="18"/>
                <w:lang w:val="fr-CH"/>
              </w:rPr>
            </w:pPr>
          </w:p>
        </w:tc>
      </w:tr>
    </w:tbl>
    <w:p w14:paraId="7199DADD" w14:textId="77777777" w:rsidR="00BB22C3" w:rsidRDefault="008071DE" w:rsidP="00BB22C3">
      <w:pPr>
        <w:rPr>
          <w:rFonts w:eastAsia="MS Mincho"/>
          <w:sz w:val="20"/>
          <w:szCs w:val="20"/>
        </w:rPr>
      </w:pPr>
      <w:r w:rsidRPr="008071DE">
        <w:rPr>
          <w:rFonts w:eastAsiaTheme="minorEastAsia"/>
          <w:sz w:val="20"/>
          <w:szCs w:val="20"/>
          <w:lang w:val="fr-CH" w:eastAsia="ja-JP"/>
        </w:rPr>
        <w:t>w</w:t>
      </w:r>
      <w:r w:rsidR="002A017E" w:rsidRPr="008071DE">
        <w:rPr>
          <w:rFonts w:eastAsiaTheme="minorEastAsia" w:hint="eastAsia"/>
          <w:sz w:val="20"/>
          <w:szCs w:val="20"/>
          <w:lang w:val="fr-CH" w:eastAsia="ja-JP"/>
        </w:rPr>
        <w:t xml:space="preserve">here </w:t>
      </w:r>
      <w:r w:rsidR="002A017E" w:rsidRPr="00424460">
        <w:rPr>
          <w:rFonts w:eastAsia="MS Mincho"/>
        </w:rPr>
        <w:t>α</w:t>
      </w:r>
      <w:r w:rsidR="002A017E">
        <w:rPr>
          <w:rFonts w:eastAsia="MS Mincho"/>
        </w:rPr>
        <w:t xml:space="preserve"> </w:t>
      </w:r>
      <w:r w:rsidR="002A017E" w:rsidRPr="008071DE">
        <w:rPr>
          <w:rFonts w:eastAsia="MS Mincho"/>
          <w:sz w:val="20"/>
          <w:szCs w:val="20"/>
        </w:rPr>
        <w:t>is defined as follow:</w:t>
      </w:r>
    </w:p>
    <w:p w14:paraId="366E3FEE" w14:textId="34E46475" w:rsidR="00E275A3" w:rsidRDefault="00E275A3" w:rsidP="00E275A3">
      <w:pPr>
        <w:ind w:leftChars="118" w:left="283"/>
        <w:rPr>
          <w:rFonts w:eastAsia="MS Mincho"/>
          <w:sz w:val="20"/>
          <w:szCs w:val="20"/>
        </w:rPr>
      </w:pPr>
      <w:r>
        <w:rPr>
          <w:rFonts w:eastAsia="MS Mincho" w:hint="eastAsia"/>
          <w:sz w:val="20"/>
          <w:szCs w:val="20"/>
          <w:lang w:eastAsia="ja-JP"/>
        </w:rPr>
        <w:t>For the</w:t>
      </w:r>
      <w:r>
        <w:rPr>
          <w:rFonts w:eastAsia="MS Mincho"/>
          <w:sz w:val="20"/>
          <w:szCs w:val="20"/>
          <w:lang w:eastAsia="ja-JP"/>
        </w:rPr>
        <w:t xml:space="preserve"> </w:t>
      </w:r>
      <w:r>
        <w:rPr>
          <w:rFonts w:eastAsia="MS Mincho"/>
          <w:sz w:val="20"/>
          <w:szCs w:val="20"/>
        </w:rPr>
        <w:t xml:space="preserve">case where </w:t>
      </w:r>
      <w:r w:rsidR="00D0026F">
        <w:rPr>
          <w:rFonts w:eastAsia="MS Mincho"/>
          <w:sz w:val="20"/>
          <w:szCs w:val="20"/>
        </w:rPr>
        <w:t>“</w:t>
      </w:r>
      <w:r>
        <w:rPr>
          <w:rFonts w:eastAsia="MS Mincho"/>
          <w:sz w:val="20"/>
          <w:szCs w:val="20"/>
        </w:rPr>
        <w:t>Land mass area of an administration implementing IMT system(s) (km</w:t>
      </w:r>
      <w:r w:rsidRPr="00424460">
        <w:rPr>
          <w:rFonts w:eastAsia="MS Mincho"/>
          <w:sz w:val="20"/>
          <w:szCs w:val="20"/>
          <w:vertAlign w:val="superscript"/>
        </w:rPr>
        <w:t>2</w:t>
      </w:r>
      <w:r>
        <w:rPr>
          <w:rFonts w:eastAsia="MS Mincho"/>
          <w:sz w:val="20"/>
          <w:szCs w:val="20"/>
        </w:rPr>
        <w:t>)</w:t>
      </w:r>
      <w:r w:rsidR="00D0026F">
        <w:rPr>
          <w:rFonts w:eastAsia="MS Mincho"/>
          <w:sz w:val="20"/>
          <w:szCs w:val="20"/>
        </w:rPr>
        <w:t>”</w:t>
      </w:r>
      <w:r>
        <w:rPr>
          <w:rFonts w:eastAsia="MS Mincho"/>
          <w:sz w:val="20"/>
          <w:szCs w:val="20"/>
        </w:rPr>
        <w:t xml:space="preserve"> ≥ </w:t>
      </w:r>
      <w:r w:rsidR="00D0026F">
        <w:rPr>
          <w:rFonts w:eastAsia="MS Mincho"/>
          <w:sz w:val="20"/>
          <w:szCs w:val="20"/>
        </w:rPr>
        <w:t>“</w:t>
      </w:r>
      <w:r>
        <w:rPr>
          <w:rFonts w:eastAsia="MS Mincho"/>
          <w:sz w:val="20"/>
          <w:szCs w:val="20"/>
        </w:rPr>
        <w:t xml:space="preserve">Area covered by </w:t>
      </w:r>
      <w:r w:rsidR="00AB03A6" w:rsidRPr="00A85632">
        <w:rPr>
          <w:rFonts w:eastAsia="MS Mincho"/>
          <w:sz w:val="18"/>
          <w:szCs w:val="18"/>
          <w:lang w:val="fr-CH"/>
        </w:rPr>
        <w:t>−</w:t>
      </w:r>
      <w:r>
        <w:rPr>
          <w:rFonts w:eastAsia="MS Mincho"/>
          <w:sz w:val="20"/>
          <w:szCs w:val="20"/>
        </w:rPr>
        <w:t>3dB contour of reference antenna beam (towards 15 degrees elevation angle</w:t>
      </w:r>
      <w:r w:rsidR="00D0026F">
        <w:rPr>
          <w:rFonts w:eastAsia="MS Mincho"/>
          <w:sz w:val="20"/>
          <w:szCs w:val="20"/>
        </w:rPr>
        <w:t>)</w:t>
      </w:r>
      <w:r>
        <w:rPr>
          <w:rFonts w:eastAsia="MS Mincho"/>
          <w:sz w:val="20"/>
          <w:szCs w:val="20"/>
        </w:rPr>
        <w:t xml:space="preserve"> (i.e. </w:t>
      </w:r>
      <w:r w:rsidR="006B76C3">
        <w:rPr>
          <w:rFonts w:eastAsia="MS Mincho"/>
          <w:sz w:val="20"/>
          <w:szCs w:val="20"/>
        </w:rPr>
        <w:t xml:space="preserve">1,135,833 </w:t>
      </w:r>
      <w:r>
        <w:rPr>
          <w:rFonts w:eastAsia="MS Mincho"/>
          <w:sz w:val="20"/>
          <w:szCs w:val="20"/>
        </w:rPr>
        <w:t>(km</w:t>
      </w:r>
      <w:r w:rsidRPr="00424460">
        <w:rPr>
          <w:rFonts w:eastAsia="MS Mincho"/>
          <w:sz w:val="20"/>
          <w:szCs w:val="20"/>
          <w:vertAlign w:val="superscript"/>
        </w:rPr>
        <w:t>2</w:t>
      </w:r>
      <w:r>
        <w:rPr>
          <w:rFonts w:eastAsia="MS Mincho"/>
          <w:sz w:val="20"/>
          <w:szCs w:val="20"/>
        </w:rPr>
        <w:t>))</w:t>
      </w:r>
      <w:r w:rsidR="00D0026F">
        <w:rPr>
          <w:rFonts w:eastAsia="MS Mincho"/>
          <w:sz w:val="20"/>
          <w:szCs w:val="20"/>
        </w:rPr>
        <w:t>”</w:t>
      </w:r>
      <w:r>
        <w:rPr>
          <w:rFonts w:eastAsia="MS Mincho"/>
          <w:sz w:val="20"/>
          <w:szCs w:val="20"/>
        </w:rPr>
        <w:t>:</w:t>
      </w:r>
    </w:p>
    <w:p w14:paraId="3E9759D0" w14:textId="77777777" w:rsidR="00E275A3" w:rsidRDefault="00E275A3" w:rsidP="00E275A3">
      <w:pPr>
        <w:spacing w:before="60" w:after="60"/>
        <w:ind w:firstLineChars="250" w:firstLine="600"/>
        <w:rPr>
          <w:rFonts w:eastAsiaTheme="minorEastAsia"/>
          <w:bCs/>
          <w:lang w:val="fr-CH" w:eastAsia="ja-JP"/>
        </w:rPr>
      </w:pPr>
      <w:r w:rsidRPr="00424460">
        <w:rPr>
          <w:rFonts w:eastAsia="MS Mincho"/>
        </w:rPr>
        <w:t>α</w:t>
      </w:r>
      <w:r w:rsidR="00424460">
        <w:rPr>
          <w:rFonts w:eastAsia="MS Mincho"/>
        </w:rPr>
        <w:t xml:space="preserve"> </w:t>
      </w:r>
      <w:r>
        <w:rPr>
          <w:rFonts w:eastAsiaTheme="minorEastAsia" w:hint="eastAsia"/>
          <w:bCs/>
          <w:lang w:val="fr-CH" w:eastAsia="ja-JP"/>
        </w:rPr>
        <w:t>=</w:t>
      </w:r>
      <w:r>
        <w:rPr>
          <w:rFonts w:eastAsiaTheme="minorEastAsia"/>
          <w:bCs/>
          <w:lang w:val="fr-CH" w:eastAsia="ja-JP"/>
        </w:rPr>
        <w:t xml:space="preserve"> 1 ;</w:t>
      </w:r>
    </w:p>
    <w:p w14:paraId="4F5D5DEC" w14:textId="5A1EADC9" w:rsidR="00E275A3" w:rsidRDefault="00E275A3" w:rsidP="00E275A3">
      <w:pPr>
        <w:ind w:leftChars="118" w:left="283"/>
        <w:rPr>
          <w:rFonts w:eastAsia="MS Mincho"/>
          <w:sz w:val="20"/>
          <w:szCs w:val="20"/>
        </w:rPr>
      </w:pPr>
      <w:r>
        <w:rPr>
          <w:rFonts w:eastAsia="MS Mincho" w:hint="eastAsia"/>
          <w:sz w:val="20"/>
          <w:szCs w:val="20"/>
          <w:lang w:eastAsia="ja-JP"/>
        </w:rPr>
        <w:t>For the</w:t>
      </w:r>
      <w:r>
        <w:rPr>
          <w:rFonts w:eastAsia="MS Mincho"/>
          <w:sz w:val="20"/>
          <w:szCs w:val="20"/>
          <w:lang w:eastAsia="ja-JP"/>
        </w:rPr>
        <w:t xml:space="preserve"> </w:t>
      </w:r>
      <w:r>
        <w:rPr>
          <w:rFonts w:eastAsia="MS Mincho"/>
          <w:sz w:val="20"/>
          <w:szCs w:val="20"/>
        </w:rPr>
        <w:t xml:space="preserve">case where </w:t>
      </w:r>
      <w:r w:rsidR="00D0026F">
        <w:rPr>
          <w:rFonts w:eastAsia="MS Mincho"/>
          <w:sz w:val="20"/>
          <w:szCs w:val="20"/>
        </w:rPr>
        <w:t>“</w:t>
      </w:r>
      <w:r>
        <w:rPr>
          <w:rFonts w:eastAsia="MS Mincho"/>
          <w:sz w:val="20"/>
          <w:szCs w:val="20"/>
        </w:rPr>
        <w:t>Land mass area of an administration implementing IMT system(s) (km</w:t>
      </w:r>
      <w:r w:rsidRPr="00424460">
        <w:rPr>
          <w:rFonts w:eastAsia="MS Mincho"/>
          <w:sz w:val="20"/>
          <w:szCs w:val="20"/>
          <w:vertAlign w:val="superscript"/>
        </w:rPr>
        <w:t>2</w:t>
      </w:r>
      <w:r>
        <w:rPr>
          <w:rFonts w:eastAsia="MS Mincho"/>
          <w:sz w:val="20"/>
          <w:szCs w:val="20"/>
        </w:rPr>
        <w:t>)</w:t>
      </w:r>
      <w:r w:rsidR="00D0026F">
        <w:rPr>
          <w:rFonts w:eastAsia="MS Mincho"/>
          <w:sz w:val="20"/>
          <w:szCs w:val="20"/>
        </w:rPr>
        <w:t>”</w:t>
      </w:r>
      <w:r>
        <w:rPr>
          <w:rFonts w:eastAsia="MS Mincho"/>
          <w:sz w:val="20"/>
          <w:szCs w:val="20"/>
        </w:rPr>
        <w:t xml:space="preserve"> &lt; </w:t>
      </w:r>
      <w:r w:rsidR="00D0026F">
        <w:rPr>
          <w:rFonts w:eastAsia="MS Mincho"/>
          <w:sz w:val="20"/>
          <w:szCs w:val="20"/>
        </w:rPr>
        <w:t>“</w:t>
      </w:r>
      <w:r>
        <w:rPr>
          <w:rFonts w:eastAsia="MS Mincho"/>
          <w:sz w:val="20"/>
          <w:szCs w:val="20"/>
        </w:rPr>
        <w:t xml:space="preserve">Area covered by </w:t>
      </w:r>
      <w:r w:rsidR="00254DB0" w:rsidRPr="00A85632">
        <w:rPr>
          <w:rFonts w:eastAsia="MS Mincho"/>
          <w:sz w:val="18"/>
          <w:szCs w:val="18"/>
          <w:lang w:val="fr-CH"/>
        </w:rPr>
        <w:t>−</w:t>
      </w:r>
      <w:r>
        <w:rPr>
          <w:rFonts w:eastAsia="MS Mincho"/>
          <w:sz w:val="20"/>
          <w:szCs w:val="20"/>
        </w:rPr>
        <w:t>3dB contour of reference antenna beam (towards 15 degrees elevation angle</w:t>
      </w:r>
      <w:r w:rsidR="00D0026F">
        <w:rPr>
          <w:rFonts w:eastAsia="MS Mincho"/>
          <w:sz w:val="20"/>
          <w:szCs w:val="20"/>
        </w:rPr>
        <w:t>)</w:t>
      </w:r>
      <w:r>
        <w:rPr>
          <w:rFonts w:eastAsia="MS Mincho"/>
          <w:sz w:val="20"/>
          <w:szCs w:val="20"/>
        </w:rPr>
        <w:t xml:space="preserve"> (i.e. </w:t>
      </w:r>
      <w:r w:rsidR="006B76C3">
        <w:rPr>
          <w:rFonts w:eastAsia="MS Mincho"/>
          <w:sz w:val="20"/>
          <w:szCs w:val="20"/>
        </w:rPr>
        <w:t xml:space="preserve">1,135,833 </w:t>
      </w:r>
      <w:r>
        <w:rPr>
          <w:rFonts w:eastAsia="MS Mincho"/>
          <w:sz w:val="20"/>
          <w:szCs w:val="20"/>
        </w:rPr>
        <w:t>(km</w:t>
      </w:r>
      <w:r w:rsidRPr="00424460">
        <w:rPr>
          <w:rFonts w:eastAsia="MS Mincho"/>
          <w:sz w:val="20"/>
          <w:szCs w:val="20"/>
          <w:vertAlign w:val="superscript"/>
        </w:rPr>
        <w:t>2</w:t>
      </w:r>
      <w:r>
        <w:rPr>
          <w:rFonts w:eastAsia="MS Mincho"/>
          <w:sz w:val="20"/>
          <w:szCs w:val="20"/>
        </w:rPr>
        <w:t>))</w:t>
      </w:r>
      <w:r w:rsidR="00D0026F">
        <w:rPr>
          <w:rFonts w:eastAsia="MS Mincho"/>
          <w:sz w:val="20"/>
          <w:szCs w:val="20"/>
        </w:rPr>
        <w:t>”</w:t>
      </w:r>
      <w:r>
        <w:rPr>
          <w:rFonts w:eastAsia="MS Mincho"/>
          <w:sz w:val="20"/>
          <w:szCs w:val="20"/>
        </w:rPr>
        <w:t>:</w:t>
      </w:r>
    </w:p>
    <w:p w14:paraId="4BE90D03" w14:textId="77777777" w:rsidR="00E45575" w:rsidRDefault="002A017E" w:rsidP="00E45575">
      <w:pPr>
        <w:rPr>
          <w:rFonts w:eastAsiaTheme="minorEastAsia"/>
          <w:bCs/>
          <w:sz w:val="20"/>
          <w:szCs w:val="20"/>
          <w:lang w:val="fr-CH" w:eastAsia="ja-JP"/>
        </w:rPr>
      </w:pPr>
      <w:r>
        <w:rPr>
          <w:rFonts w:eastAsia="MS Mincho"/>
        </w:rPr>
        <w:t xml:space="preserve">  </w:t>
      </w:r>
      <w:r w:rsidR="008071DE">
        <w:rPr>
          <w:rFonts w:eastAsia="MS Mincho"/>
        </w:rPr>
        <w:t xml:space="preserve">   </w:t>
      </w:r>
      <w:r>
        <w:rPr>
          <w:rFonts w:eastAsia="MS Mincho"/>
        </w:rPr>
        <w:t xml:space="preserve"> </w:t>
      </w:r>
      <w:r w:rsidRPr="008071DE">
        <w:rPr>
          <w:rFonts w:eastAsia="MS Mincho"/>
          <w:sz w:val="20"/>
          <w:szCs w:val="20"/>
        </w:rPr>
        <w:t xml:space="preserve"> </w:t>
      </w:r>
    </w:p>
    <w:p w14:paraId="46A5039B" w14:textId="04B7CCD3" w:rsidR="008071DE" w:rsidRPr="00E45575" w:rsidRDefault="008071DE" w:rsidP="00E45575">
      <w:pPr>
        <w:ind w:firstLineChars="250" w:firstLine="600"/>
        <w:rPr>
          <w:rFonts w:eastAsiaTheme="minorEastAsia"/>
          <w:bCs/>
          <w:sz w:val="20"/>
          <w:szCs w:val="20"/>
          <w:lang w:val="fr-CH" w:eastAsia="ja-JP"/>
        </w:rPr>
      </w:pPr>
      <w:r w:rsidRPr="00424460">
        <w:rPr>
          <w:rFonts w:eastAsia="MS Mincho"/>
        </w:rPr>
        <w:t>α</w:t>
      </w:r>
      <w:r w:rsidR="00424460" w:rsidRPr="00424460">
        <w:rPr>
          <w:rFonts w:eastAsia="MS Mincho"/>
          <w:lang w:val="fr-CH"/>
        </w:rPr>
        <w:t xml:space="preserve"> </w:t>
      </w:r>
      <w:r>
        <w:rPr>
          <w:rFonts w:eastAsiaTheme="minorEastAsia" w:hint="eastAsia"/>
          <w:bCs/>
          <w:lang w:val="fr-CH" w:eastAsia="ja-JP"/>
        </w:rPr>
        <w:t>=</w:t>
      </w:r>
      <w:r>
        <w:rPr>
          <w:rFonts w:eastAsiaTheme="minorEastAsia"/>
          <w:bCs/>
          <w:lang w:val="fr-CH" w:eastAsia="ja-JP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Cs/>
                <w:lang w:val="fr-CH" w:eastAsia="ja-JP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0"/>
                <w:szCs w:val="20"/>
                <w:lang w:val="fr-CH" w:eastAsia="ja-JP"/>
              </w:rPr>
              <m:t xml:space="preserve">Land mass area of territory of an administration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val="fr-CH" w:eastAsia="ja-JP"/>
              </w:rPr>
              <m:t xml:space="preserve">implementing IMT system(s) 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0"/>
                <w:szCs w:val="20"/>
                <w:lang w:val="fr-CH" w:eastAsia="ja-JP"/>
              </w:rPr>
              <m:t>(km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0"/>
                <w:szCs w:val="20"/>
                <w:vertAlign w:val="superscript"/>
                <w:lang w:val="fr-CH" w:eastAsia="ja-JP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val="fr-CH" w:eastAsia="ja-JP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val="fr-CH" w:eastAsia="ja-JP"/>
              </w:rPr>
              <m:t xml:space="preserve">Area covered by -3dB contour of reference antenna beam (towards 15 degrees elevation angle) (i.e. 1,135,833 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0"/>
                <w:szCs w:val="20"/>
                <w:lang w:val="fr-CH" w:eastAsia="ja-JP"/>
              </w:rPr>
              <m:t>(km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0"/>
                <w:szCs w:val="20"/>
                <w:vertAlign w:val="superscript"/>
                <w:lang w:val="fr-CH" w:eastAsia="ja-JP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val="fr-CH" w:eastAsia="ja-JP"/>
              </w:rPr>
              <m:t>))</m:t>
            </m:r>
          </m:den>
        </m:f>
      </m:oMath>
    </w:p>
    <w:p w14:paraId="43883124" w14:textId="77777777" w:rsidR="008071DE" w:rsidRPr="008071DE" w:rsidRDefault="008071DE" w:rsidP="008071DE">
      <w:pPr>
        <w:ind w:firstLineChars="150" w:firstLine="300"/>
        <w:rPr>
          <w:rFonts w:eastAsiaTheme="minorEastAsia"/>
          <w:bCs/>
          <w:sz w:val="20"/>
          <w:szCs w:val="20"/>
          <w:lang w:val="fr-CH" w:eastAsia="ja-JP"/>
        </w:rPr>
      </w:pPr>
    </w:p>
    <w:p w14:paraId="5AD21821" w14:textId="77777777" w:rsidR="00E45575" w:rsidRDefault="00E45575">
      <w:pPr>
        <w:rPr>
          <w:caps/>
          <w:sz w:val="28"/>
          <w:lang w:val="fr-CH"/>
        </w:rPr>
      </w:pPr>
    </w:p>
    <w:p w14:paraId="48F492F6" w14:textId="77777777" w:rsidR="00E45575" w:rsidRDefault="00E45575" w:rsidP="00E45575">
      <w:pPr>
        <w:rPr>
          <w:lang w:eastAsia="ja-JP"/>
        </w:rPr>
      </w:pPr>
      <w:r>
        <w:rPr>
          <w:lang w:eastAsia="ja-JP"/>
        </w:rPr>
        <w:t>Furthermore, “</w:t>
      </w:r>
      <w:r w:rsidRPr="00277FDE">
        <w:rPr>
          <w:b/>
          <w:lang w:eastAsia="ja-JP"/>
        </w:rPr>
        <w:t>epfd</w:t>
      </w:r>
      <w:r w:rsidR="002C17A8" w:rsidRPr="00664119">
        <w:rPr>
          <w:b/>
          <w:lang w:eastAsia="ja-JP"/>
        </w:rPr>
        <w:t xml:space="preserve">↑ </w:t>
      </w:r>
      <w:r w:rsidRPr="00277FDE">
        <w:rPr>
          <w:b/>
          <w:lang w:eastAsia="ja-JP"/>
        </w:rPr>
        <w:t>concept</w:t>
      </w:r>
      <w:r>
        <w:rPr>
          <w:lang w:eastAsia="ja-JP"/>
        </w:rPr>
        <w:t xml:space="preserve">” had been introduced around </w:t>
      </w:r>
      <w:r w:rsidR="002C17A8">
        <w:rPr>
          <w:lang w:eastAsia="ja-JP"/>
        </w:rPr>
        <w:t>WRC-</w:t>
      </w:r>
      <w:r>
        <w:rPr>
          <w:lang w:eastAsia="ja-JP"/>
        </w:rPr>
        <w:t xml:space="preserve">2000 in conjunction with operational limits </w:t>
      </w:r>
      <w:r w:rsidR="002C17A8">
        <w:rPr>
          <w:lang w:eastAsia="ja-JP"/>
        </w:rPr>
        <w:t xml:space="preserve">in the uplink earth stations </w:t>
      </w:r>
      <w:r>
        <w:rPr>
          <w:lang w:eastAsia="ja-JP"/>
        </w:rPr>
        <w:t>for Non-GSO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system in Article </w:t>
      </w:r>
      <w:r w:rsidRPr="000A7EC6">
        <w:rPr>
          <w:b/>
          <w:lang w:eastAsia="ja-JP"/>
        </w:rPr>
        <w:t>22</w:t>
      </w:r>
      <w:r>
        <w:rPr>
          <w:lang w:eastAsia="ja-JP"/>
        </w:rPr>
        <w:t xml:space="preserve"> of </w:t>
      </w:r>
      <w:r w:rsidR="000A7EC6">
        <w:rPr>
          <w:lang w:eastAsia="ja-JP"/>
        </w:rPr>
        <w:t xml:space="preserve">the </w:t>
      </w:r>
      <w:r>
        <w:rPr>
          <w:lang w:eastAsia="ja-JP"/>
        </w:rPr>
        <w:t xml:space="preserve">RR, </w:t>
      </w:r>
      <w:r w:rsidR="000A7EC6">
        <w:rPr>
          <w:lang w:eastAsia="ja-JP"/>
        </w:rPr>
        <w:t>but</w:t>
      </w:r>
      <w:r>
        <w:rPr>
          <w:lang w:eastAsia="ja-JP"/>
        </w:rPr>
        <w:t xml:space="preserve"> this concept </w:t>
      </w:r>
      <w:r w:rsidR="00261872">
        <w:rPr>
          <w:lang w:eastAsia="ja-JP"/>
        </w:rPr>
        <w:t>might be complex and confusing for some administrations</w:t>
      </w:r>
      <w:r>
        <w:rPr>
          <w:lang w:eastAsia="ja-JP"/>
        </w:rPr>
        <w:t xml:space="preserve"> to </w:t>
      </w:r>
      <w:r w:rsidR="005A4661">
        <w:rPr>
          <w:lang w:eastAsia="ja-JP"/>
        </w:rPr>
        <w:t>understand</w:t>
      </w:r>
      <w:r>
        <w:rPr>
          <w:lang w:eastAsia="ja-JP"/>
        </w:rPr>
        <w:t xml:space="preserve">.  </w:t>
      </w:r>
    </w:p>
    <w:p w14:paraId="69B6D390" w14:textId="77777777" w:rsidR="00E45575" w:rsidRDefault="005A4661" w:rsidP="005A4661">
      <w:pPr>
        <w:spacing w:beforeLines="50" w:before="120"/>
        <w:rPr>
          <w:lang w:eastAsia="ja-JP"/>
        </w:rPr>
      </w:pPr>
      <w:r>
        <w:rPr>
          <w:lang w:eastAsia="ja-JP"/>
        </w:rPr>
        <w:t>Therefore</w:t>
      </w:r>
      <w:r w:rsidR="00E45575">
        <w:rPr>
          <w:lang w:eastAsia="ja-JP"/>
        </w:rPr>
        <w:t>, Japan would</w:t>
      </w:r>
      <w:r w:rsidR="002C17A8">
        <w:rPr>
          <w:lang w:eastAsia="ja-JP"/>
        </w:rPr>
        <w:t xml:space="preserve"> be happy</w:t>
      </w:r>
      <w:r w:rsidR="00E45575">
        <w:rPr>
          <w:lang w:eastAsia="ja-JP"/>
        </w:rPr>
        <w:t xml:space="preserve"> to explain </w:t>
      </w:r>
      <w:r w:rsidR="002C17A8">
        <w:rPr>
          <w:lang w:eastAsia="ja-JP"/>
        </w:rPr>
        <w:t xml:space="preserve">in detail </w:t>
      </w:r>
      <w:r>
        <w:rPr>
          <w:lang w:eastAsia="ja-JP"/>
        </w:rPr>
        <w:t xml:space="preserve">the </w:t>
      </w:r>
      <w:r w:rsidR="00E45575">
        <w:rPr>
          <w:lang w:eastAsia="ja-JP"/>
        </w:rPr>
        <w:t>above our proposal</w:t>
      </w:r>
      <w:r>
        <w:rPr>
          <w:lang w:eastAsia="ja-JP"/>
        </w:rPr>
        <w:t>s</w:t>
      </w:r>
      <w:r w:rsidR="00E45575">
        <w:rPr>
          <w:lang w:eastAsia="ja-JP"/>
        </w:rPr>
        <w:t xml:space="preserve"> to </w:t>
      </w:r>
      <w:r w:rsidR="00261872">
        <w:rPr>
          <w:lang w:eastAsia="ja-JP"/>
        </w:rPr>
        <w:t>such</w:t>
      </w:r>
      <w:r w:rsidR="002C17A8">
        <w:rPr>
          <w:lang w:eastAsia="ja-JP"/>
        </w:rPr>
        <w:t xml:space="preserve"> administrations </w:t>
      </w:r>
      <w:r w:rsidR="00E45575">
        <w:rPr>
          <w:lang w:eastAsia="ja-JP"/>
        </w:rPr>
        <w:t>wh</w:t>
      </w:r>
      <w:r w:rsidR="002C17A8">
        <w:rPr>
          <w:lang w:eastAsia="ja-JP"/>
        </w:rPr>
        <w:t>ich have</w:t>
      </w:r>
      <w:r w:rsidR="00E45575">
        <w:rPr>
          <w:lang w:eastAsia="ja-JP"/>
        </w:rPr>
        <w:t xml:space="preserve"> interest in this proposal, at any time </w:t>
      </w:r>
      <w:r w:rsidR="002C17A8">
        <w:rPr>
          <w:lang w:eastAsia="ja-JP"/>
        </w:rPr>
        <w:t xml:space="preserve">during </w:t>
      </w:r>
      <w:r w:rsidR="00E45575">
        <w:rPr>
          <w:lang w:eastAsia="ja-JP"/>
        </w:rPr>
        <w:t>this APG19-4 meeting.</w:t>
      </w:r>
      <w:r>
        <w:rPr>
          <w:lang w:eastAsia="ja-JP"/>
        </w:rPr>
        <w:t xml:space="preserve">  If you wish so, please contact person</w:t>
      </w:r>
      <w:r w:rsidR="00424460">
        <w:rPr>
          <w:lang w:eastAsia="ja-JP"/>
        </w:rPr>
        <w:t>s</w:t>
      </w:r>
      <w:r>
        <w:rPr>
          <w:lang w:eastAsia="ja-JP"/>
        </w:rPr>
        <w:t xml:space="preserve"> indicating in the 1</w:t>
      </w:r>
      <w:r w:rsidRPr="005A4661">
        <w:rPr>
          <w:vertAlign w:val="superscript"/>
          <w:lang w:eastAsia="ja-JP"/>
        </w:rPr>
        <w:t>st</w:t>
      </w:r>
      <w:r>
        <w:rPr>
          <w:lang w:eastAsia="ja-JP"/>
        </w:rPr>
        <w:t xml:space="preserve"> page of this document.</w:t>
      </w:r>
    </w:p>
    <w:p w14:paraId="25DF203E" w14:textId="77777777" w:rsidR="00E45575" w:rsidRDefault="00E45575">
      <w:pPr>
        <w:rPr>
          <w:rFonts w:eastAsiaTheme="minorEastAsia"/>
          <w:caps/>
          <w:sz w:val="28"/>
          <w:lang w:eastAsia="ja-JP"/>
        </w:rPr>
      </w:pPr>
    </w:p>
    <w:p w14:paraId="7BE4B7B2" w14:textId="77777777" w:rsidR="005A4661" w:rsidRPr="00424460" w:rsidRDefault="005A4661">
      <w:pPr>
        <w:rPr>
          <w:rFonts w:eastAsiaTheme="minorEastAsia"/>
          <w:caps/>
          <w:sz w:val="28"/>
          <w:lang w:eastAsia="ja-JP"/>
        </w:rPr>
      </w:pPr>
    </w:p>
    <w:p w14:paraId="07527B73" w14:textId="77777777" w:rsidR="00846931" w:rsidRPr="00E13033" w:rsidRDefault="00E45575" w:rsidP="000A7EC6">
      <w:pPr>
        <w:jc w:val="center"/>
        <w:rPr>
          <w:caps/>
          <w:sz w:val="28"/>
        </w:rPr>
      </w:pPr>
      <w:r>
        <w:rPr>
          <w:caps/>
          <w:sz w:val="28"/>
        </w:rPr>
        <w:br w:type="page"/>
      </w:r>
      <w:r w:rsidR="00846931" w:rsidRPr="00E13033">
        <w:rPr>
          <w:caps/>
          <w:sz w:val="28"/>
        </w:rPr>
        <w:lastRenderedPageBreak/>
        <w:t xml:space="preserve">ANNEX </w:t>
      </w:r>
      <w:r w:rsidR="00846931">
        <w:rPr>
          <w:caps/>
          <w:sz w:val="28"/>
        </w:rPr>
        <w:t>1</w:t>
      </w:r>
      <w:r w:rsidR="00846931">
        <w:rPr>
          <w:sz w:val="28"/>
        </w:rPr>
        <w:t>a</w:t>
      </w:r>
      <w:r w:rsidR="00846931">
        <w:rPr>
          <w:caps/>
          <w:sz w:val="28"/>
        </w:rPr>
        <w:t>9</w:t>
      </w:r>
    </w:p>
    <w:p w14:paraId="0256A706" w14:textId="77777777" w:rsidR="00846931" w:rsidRPr="00E13033" w:rsidRDefault="00846931" w:rsidP="000A7EC6">
      <w:pPr>
        <w:keepLines/>
        <w:tabs>
          <w:tab w:val="left" w:pos="255"/>
        </w:tabs>
        <w:spacing w:beforeLines="50" w:before="120" w:line="300" w:lineRule="exact"/>
      </w:pPr>
      <w:r w:rsidRPr="00E13033">
        <w:t>The equivalent power flux-density is defined as the sum of the power flux</w:t>
      </w:r>
      <w:r w:rsidRPr="00E13033">
        <w:noBreakHyphen/>
        <w:t>densities produced at a geostationary-satellite system receive station in the geostationary orbit by all the transmit IMT base stations within its territory, taking into account the off-axis discrimination of a reference receiving antenna assumed to be pointing in its nominal direction. The equivalent power flux-density is calculated using the following formula:</w:t>
      </w:r>
    </w:p>
    <w:p w14:paraId="51524627" w14:textId="77777777" w:rsidR="00846931" w:rsidRPr="00E13033" w:rsidRDefault="00846931" w:rsidP="00846931">
      <w:pPr>
        <w:tabs>
          <w:tab w:val="center" w:pos="4820"/>
          <w:tab w:val="right" w:pos="9639"/>
        </w:tabs>
        <w:jc w:val="center"/>
        <w:rPr>
          <w:rFonts w:ascii="Book Antiqua" w:hAnsi="Book Antiqua"/>
          <w:lang w:eastAsia="ja-JP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epfd</m:t>
          </m:r>
          <m:r>
            <m:rPr>
              <m:sty m:val="p"/>
            </m:rPr>
            <w:rPr>
              <w:rFonts w:ascii="Cambria Math" w:hAnsi="Cambria Math"/>
            </w:rPr>
            <m:t>=10log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ja-JP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bs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,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g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,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clutter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,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</w:rPr>
                            <m:t>PD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</m:t>
                          </m:r>
                        </m:den>
                      </m:f>
                    </m:sup>
                  </m:sSup>
                </m:e>
              </m:nary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d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  <m:r>
                        <w:rPr>
                          <w:rFonts w:ascii="Cambria Math" w:hAnsi="Cambria Math"/>
                        </w:rPr>
                        <m:t>πd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max</m:t>
                      </m:r>
                    </m:sub>
                  </m:sSub>
                </m:den>
              </m:f>
            </m:e>
          </m:d>
        </m:oMath>
      </m:oMathPara>
    </w:p>
    <w:p w14:paraId="5C5A301E" w14:textId="77777777" w:rsidR="00846931" w:rsidRPr="00E13033" w:rsidRDefault="00846931" w:rsidP="00846931">
      <w:pPr>
        <w:keepLines/>
        <w:tabs>
          <w:tab w:val="left" w:pos="255"/>
          <w:tab w:val="left" w:pos="1531"/>
          <w:tab w:val="left" w:pos="1701"/>
        </w:tabs>
        <w:spacing w:line="300" w:lineRule="exact"/>
        <w:ind w:left="2160" w:hanging="2160"/>
      </w:pPr>
      <w:r w:rsidRPr="00E13033">
        <w:t>where:</w:t>
      </w:r>
    </w:p>
    <w:p w14:paraId="0AF4D99A" w14:textId="33CD022B" w:rsidR="00846931" w:rsidRPr="00E13033" w:rsidRDefault="00846931" w:rsidP="00846931">
      <w:pPr>
        <w:keepLines/>
        <w:tabs>
          <w:tab w:val="left" w:pos="255"/>
          <w:tab w:val="right" w:pos="709"/>
          <w:tab w:val="left" w:pos="993"/>
        </w:tabs>
        <w:spacing w:line="300" w:lineRule="exact"/>
        <w:ind w:left="993" w:hanging="993"/>
      </w:pPr>
      <w:r w:rsidRPr="00E13033">
        <w:rPr>
          <w:i/>
          <w:iCs/>
        </w:rPr>
        <w:tab/>
        <w:t>N</w:t>
      </w:r>
      <w:r w:rsidRPr="00E13033">
        <w:rPr>
          <w:i/>
          <w:iCs/>
          <w:position w:val="-4"/>
        </w:rPr>
        <w:t>a</w:t>
      </w:r>
      <w:r w:rsidRPr="00E13033">
        <w:rPr>
          <w:iCs/>
        </w:rPr>
        <w:t>:</w:t>
      </w:r>
      <w:r w:rsidRPr="00E13033">
        <w:tab/>
      </w:r>
      <w:r>
        <w:tab/>
      </w:r>
      <w:r w:rsidRPr="00E13033">
        <w:t>number of simultaneously transmit IMT base stations within its territory, taking into account network loading factor (0.2) and a reference receiving antenna beam pattern assumed to be pointing in its nominal direction (i.e. number of all concerned IMT base stations × Networking loading factor (0.2))</w:t>
      </w:r>
    </w:p>
    <w:p w14:paraId="6E4C8F3B" w14:textId="77777777" w:rsidR="00846931" w:rsidRPr="00E13033" w:rsidRDefault="00846931" w:rsidP="00846931">
      <w:pPr>
        <w:keepLines/>
        <w:tabs>
          <w:tab w:val="left" w:pos="255"/>
          <w:tab w:val="right" w:pos="709"/>
          <w:tab w:val="left" w:pos="993"/>
        </w:tabs>
        <w:spacing w:line="300" w:lineRule="exact"/>
        <w:ind w:left="993" w:hanging="993"/>
      </w:pPr>
      <w:r w:rsidRPr="00E13033">
        <w:rPr>
          <w:i/>
        </w:rPr>
        <w:tab/>
        <w:t>i</w:t>
      </w:r>
      <w:r w:rsidRPr="00E13033">
        <w:rPr>
          <w:iCs/>
        </w:rPr>
        <w:t>:</w:t>
      </w:r>
      <w:r w:rsidRPr="00E13033">
        <w:rPr>
          <w:i/>
        </w:rPr>
        <w:tab/>
      </w:r>
      <w:r>
        <w:rPr>
          <w:i/>
        </w:rPr>
        <w:tab/>
      </w:r>
      <w:r w:rsidRPr="00E13033">
        <w:t>index of the transmit IMT base station</w:t>
      </w:r>
    </w:p>
    <w:p w14:paraId="0A1FC3AC" w14:textId="77777777" w:rsidR="00846931" w:rsidRPr="00E13033" w:rsidRDefault="00846931" w:rsidP="00846931">
      <w:pPr>
        <w:keepLines/>
        <w:tabs>
          <w:tab w:val="left" w:pos="255"/>
          <w:tab w:val="right" w:pos="709"/>
          <w:tab w:val="left" w:pos="993"/>
        </w:tabs>
        <w:spacing w:line="300" w:lineRule="exact"/>
        <w:ind w:left="993" w:hanging="993"/>
      </w:pPr>
      <w:r w:rsidRPr="00E13033">
        <w:rPr>
          <w:i/>
        </w:rPr>
        <w:tab/>
        <w:t>P</w:t>
      </w:r>
      <w:r w:rsidRPr="00E13033">
        <w:rPr>
          <w:i/>
          <w:position w:val="-4"/>
        </w:rPr>
        <w:t>i</w:t>
      </w:r>
      <w:r w:rsidRPr="00E13033">
        <w:rPr>
          <w:iCs/>
        </w:rPr>
        <w:t>:</w:t>
      </w:r>
      <w:r w:rsidRPr="00E13033">
        <w:t xml:space="preserve"> </w:t>
      </w:r>
      <w:r w:rsidRPr="00E13033">
        <w:tab/>
      </w:r>
      <w:r>
        <w:tab/>
      </w:r>
      <w:r w:rsidRPr="00E13033">
        <w:t>RF power averaged by TDD activity factor (0.8), at the input of the antenna of the transmit IMT base station (dBW) in the reference bandwidth (i.e. maximum RF power – 0.97 (=10log (0.8)) (dBW))</w:t>
      </w:r>
    </w:p>
    <w:p w14:paraId="7FA24D0F" w14:textId="77777777" w:rsidR="00846931" w:rsidRPr="00E13033" w:rsidRDefault="00846931" w:rsidP="00846931">
      <w:pPr>
        <w:keepLines/>
        <w:tabs>
          <w:tab w:val="left" w:pos="255"/>
          <w:tab w:val="right" w:pos="709"/>
          <w:tab w:val="left" w:pos="993"/>
        </w:tabs>
        <w:spacing w:line="300" w:lineRule="exact"/>
        <w:ind w:left="993" w:hanging="993"/>
      </w:pPr>
      <w:r w:rsidRPr="00E13033">
        <w:rPr>
          <w:i/>
        </w:rPr>
        <w:tab/>
        <w:t>A</w:t>
      </w:r>
      <w:r w:rsidRPr="00E13033">
        <w:rPr>
          <w:i/>
          <w:vertAlign w:val="subscript"/>
        </w:rPr>
        <w:t>bs</w:t>
      </w:r>
      <w:r w:rsidRPr="00E13033">
        <w:rPr>
          <w:i/>
        </w:rPr>
        <w:t>, i:</w:t>
      </w:r>
      <w:r w:rsidRPr="00E13033">
        <w:rPr>
          <w:i/>
        </w:rPr>
        <w:tab/>
      </w:r>
      <w:r w:rsidRPr="00E13033">
        <w:t>the attenuation due to beam spreading (dB) over the interference path from the simulated IMT deployment location (n) to the satellite detailed in Recommendation ITU-R P.619</w:t>
      </w:r>
    </w:p>
    <w:p w14:paraId="107345C4" w14:textId="77777777" w:rsidR="00846931" w:rsidRPr="00E13033" w:rsidRDefault="00846931" w:rsidP="00846931">
      <w:pPr>
        <w:keepLines/>
        <w:tabs>
          <w:tab w:val="left" w:pos="255"/>
          <w:tab w:val="right" w:pos="709"/>
          <w:tab w:val="left" w:pos="993"/>
        </w:tabs>
        <w:spacing w:line="300" w:lineRule="exact"/>
        <w:ind w:left="993" w:hanging="993"/>
      </w:pPr>
      <w:r w:rsidRPr="00E13033">
        <w:rPr>
          <w:i/>
        </w:rPr>
        <w:tab/>
        <w:t>A</w:t>
      </w:r>
      <w:r w:rsidRPr="00E13033">
        <w:rPr>
          <w:i/>
          <w:vertAlign w:val="subscript"/>
        </w:rPr>
        <w:t>g</w:t>
      </w:r>
      <w:r w:rsidRPr="00E13033">
        <w:rPr>
          <w:i/>
        </w:rPr>
        <w:t>, i:</w:t>
      </w:r>
      <w:r w:rsidRPr="00E13033">
        <w:rPr>
          <w:i/>
        </w:rPr>
        <w:tab/>
      </w:r>
      <w:r w:rsidRPr="00E13033">
        <w:t>the attenuation due to atmospheric gasses (dB) over the interference path from the simulated IMT deployment location (n) to the satellite detailed in Recommendation ITU</w:t>
      </w:r>
      <w:r w:rsidRPr="00E13033">
        <w:noBreakHyphen/>
        <w:t>R P.619</w:t>
      </w:r>
    </w:p>
    <w:p w14:paraId="314839DC" w14:textId="77777777" w:rsidR="00846931" w:rsidRPr="00E13033" w:rsidRDefault="00846931" w:rsidP="00846931">
      <w:pPr>
        <w:keepLines/>
        <w:tabs>
          <w:tab w:val="left" w:pos="255"/>
          <w:tab w:val="right" w:pos="709"/>
          <w:tab w:val="left" w:pos="993"/>
        </w:tabs>
        <w:spacing w:line="300" w:lineRule="exact"/>
        <w:ind w:left="993" w:hanging="993"/>
      </w:pPr>
      <w:r w:rsidRPr="00E13033">
        <w:rPr>
          <w:i/>
        </w:rPr>
        <w:t>L</w:t>
      </w:r>
      <w:r w:rsidRPr="00E13033">
        <w:rPr>
          <w:i/>
          <w:vertAlign w:val="subscript"/>
        </w:rPr>
        <w:t>clutter</w:t>
      </w:r>
      <w:r w:rsidRPr="00E13033">
        <w:rPr>
          <w:i/>
        </w:rPr>
        <w:t>, i:</w:t>
      </w:r>
      <w:r w:rsidRPr="00E13033">
        <w:rPr>
          <w:i/>
        </w:rPr>
        <w:tab/>
      </w:r>
      <w:r w:rsidRPr="00E13033">
        <w:t>the average clutter loss in the interference path for location (n) (dB), calculated using the entire cumulative distribution of clutter losses as detailed in Recommendation ITU-R P.2108</w:t>
      </w:r>
    </w:p>
    <w:p w14:paraId="3AE0759A" w14:textId="77777777" w:rsidR="00846931" w:rsidRPr="00E13033" w:rsidRDefault="00846931" w:rsidP="00846931">
      <w:pPr>
        <w:keepLines/>
        <w:tabs>
          <w:tab w:val="left" w:pos="255"/>
          <w:tab w:val="right" w:pos="709"/>
          <w:tab w:val="left" w:pos="993"/>
        </w:tabs>
        <w:spacing w:line="300" w:lineRule="exact"/>
        <w:ind w:left="993" w:hanging="993"/>
        <w:rPr>
          <w:i/>
        </w:rPr>
      </w:pPr>
      <w:r w:rsidRPr="00E13033">
        <w:rPr>
          <w:i/>
        </w:rPr>
        <w:tab/>
        <w:t>PD:</w:t>
      </w:r>
      <w:r w:rsidRPr="00E13033">
        <w:rPr>
          <w:i/>
        </w:rPr>
        <w:tab/>
      </w:r>
      <w:r>
        <w:rPr>
          <w:i/>
        </w:rPr>
        <w:tab/>
      </w:r>
      <w:r w:rsidRPr="00E13033">
        <w:t>the polarization discrimination (dB)</w:t>
      </w:r>
    </w:p>
    <w:p w14:paraId="500C7620" w14:textId="77777777" w:rsidR="00846931" w:rsidRPr="00E13033" w:rsidRDefault="00846931" w:rsidP="00846931">
      <w:pPr>
        <w:keepLines/>
        <w:tabs>
          <w:tab w:val="left" w:pos="255"/>
          <w:tab w:val="right" w:pos="709"/>
          <w:tab w:val="left" w:pos="993"/>
        </w:tabs>
        <w:spacing w:line="300" w:lineRule="exact"/>
        <w:ind w:left="993" w:hanging="993"/>
      </w:pPr>
      <w:r w:rsidRPr="00E13033">
        <w:tab/>
        <w:t>θ</w:t>
      </w:r>
      <w:r w:rsidRPr="00E13033">
        <w:rPr>
          <w:i/>
          <w:position w:val="-4"/>
        </w:rPr>
        <w:t>i</w:t>
      </w:r>
      <w:r w:rsidRPr="00E13033">
        <w:rPr>
          <w:iCs/>
        </w:rPr>
        <w:t>:</w:t>
      </w:r>
      <w:r w:rsidRPr="00E13033">
        <w:t xml:space="preserve"> </w:t>
      </w:r>
      <w:r w:rsidRPr="00E13033">
        <w:tab/>
      </w:r>
      <w:r>
        <w:tab/>
      </w:r>
      <w:r w:rsidRPr="00E13033">
        <w:t>off-axis angle between the boresight of the transmit IMT base station and the direction of the geostationary-satellite system receive station</w:t>
      </w:r>
    </w:p>
    <w:p w14:paraId="091C9A05" w14:textId="77777777" w:rsidR="00846931" w:rsidRPr="00E13033" w:rsidRDefault="00846931" w:rsidP="00846931">
      <w:pPr>
        <w:keepLines/>
        <w:tabs>
          <w:tab w:val="left" w:pos="255"/>
          <w:tab w:val="right" w:pos="709"/>
          <w:tab w:val="left" w:pos="993"/>
        </w:tabs>
        <w:spacing w:line="300" w:lineRule="exact"/>
        <w:ind w:left="993" w:hanging="993"/>
      </w:pPr>
      <w:r w:rsidRPr="00E13033">
        <w:rPr>
          <w:i/>
        </w:rPr>
        <w:tab/>
        <w:t>G</w:t>
      </w:r>
      <w:r w:rsidRPr="00E13033">
        <w:rPr>
          <w:i/>
          <w:position w:val="-4"/>
        </w:rPr>
        <w:t>t</w:t>
      </w:r>
      <w:r w:rsidRPr="00E13033">
        <w:rPr>
          <w:iCs/>
        </w:rPr>
        <w:t>(</w:t>
      </w:r>
      <w:r w:rsidRPr="00E13033">
        <w:t>θ</w:t>
      </w:r>
      <w:r w:rsidRPr="00E13033">
        <w:rPr>
          <w:i/>
          <w:position w:val="-4"/>
        </w:rPr>
        <w:t>i</w:t>
      </w:r>
      <w:r w:rsidRPr="00E13033">
        <w:rPr>
          <w:iCs/>
        </w:rPr>
        <w:t>):</w:t>
      </w:r>
      <w:r w:rsidRPr="00E13033">
        <w:rPr>
          <w:i/>
        </w:rPr>
        <w:tab/>
      </w:r>
      <w:r w:rsidRPr="00E13033">
        <w:t>transmit antenna gain (as a ratio) of the IMT base station in the direction of the geostationary-satellite system receive station</w:t>
      </w:r>
    </w:p>
    <w:p w14:paraId="294D76FA" w14:textId="77777777" w:rsidR="00846931" w:rsidRPr="00E13033" w:rsidRDefault="00846931" w:rsidP="00846931">
      <w:pPr>
        <w:keepLines/>
        <w:tabs>
          <w:tab w:val="left" w:pos="255"/>
          <w:tab w:val="right" w:pos="709"/>
          <w:tab w:val="left" w:pos="993"/>
        </w:tabs>
        <w:spacing w:line="300" w:lineRule="exact"/>
        <w:ind w:left="993" w:hanging="993"/>
      </w:pPr>
      <w:r w:rsidRPr="00E13033">
        <w:rPr>
          <w:i/>
        </w:rPr>
        <w:tab/>
        <w:t>d</w:t>
      </w:r>
      <w:r w:rsidRPr="00E13033">
        <w:rPr>
          <w:i/>
          <w:position w:val="-4"/>
        </w:rPr>
        <w:t>i</w:t>
      </w:r>
      <w:r w:rsidRPr="00E13033">
        <w:rPr>
          <w:iCs/>
        </w:rPr>
        <w:t>:</w:t>
      </w:r>
      <w:r w:rsidRPr="00E13033">
        <w:rPr>
          <w:iCs/>
        </w:rPr>
        <w:tab/>
      </w:r>
      <w:r>
        <w:rPr>
          <w:iCs/>
        </w:rPr>
        <w:tab/>
      </w:r>
      <w:r w:rsidRPr="00E13033">
        <w:t>distance (m) between the transmit IMT base station and the geostationary-satellite system receive station</w:t>
      </w:r>
    </w:p>
    <w:p w14:paraId="1BDA2166" w14:textId="77777777" w:rsidR="00846931" w:rsidRPr="00E13033" w:rsidRDefault="00846931" w:rsidP="00846931">
      <w:pPr>
        <w:keepLines/>
        <w:tabs>
          <w:tab w:val="left" w:pos="255"/>
          <w:tab w:val="right" w:pos="709"/>
          <w:tab w:val="left" w:pos="993"/>
        </w:tabs>
        <w:spacing w:line="300" w:lineRule="exact"/>
        <w:ind w:left="993" w:hanging="993"/>
      </w:pPr>
      <w:r w:rsidRPr="00E13033">
        <w:tab/>
        <w:t>φ</w:t>
      </w:r>
      <w:r w:rsidRPr="00E13033">
        <w:rPr>
          <w:i/>
          <w:position w:val="-4"/>
        </w:rPr>
        <w:t>i</w:t>
      </w:r>
      <w:r w:rsidRPr="00E13033">
        <w:rPr>
          <w:iCs/>
        </w:rPr>
        <w:t>:</w:t>
      </w:r>
      <w:r w:rsidRPr="00E13033">
        <w:tab/>
      </w:r>
      <w:r>
        <w:tab/>
      </w:r>
      <w:r w:rsidRPr="00E13033">
        <w:t xml:space="preserve">off-axis angle between the boresight of the antenna of the geostationary-satellite system receive station and the direction of the </w:t>
      </w:r>
      <w:r w:rsidRPr="00E13033">
        <w:rPr>
          <w:i/>
          <w:iCs/>
        </w:rPr>
        <w:t>i</w:t>
      </w:r>
      <w:r w:rsidRPr="00E13033">
        <w:t>-th IMT base transmit station</w:t>
      </w:r>
    </w:p>
    <w:p w14:paraId="1A4011F6" w14:textId="77777777" w:rsidR="00846931" w:rsidRPr="00E13033" w:rsidRDefault="00846931" w:rsidP="00846931">
      <w:pPr>
        <w:keepLines/>
        <w:tabs>
          <w:tab w:val="left" w:pos="255"/>
          <w:tab w:val="right" w:pos="709"/>
          <w:tab w:val="left" w:pos="993"/>
        </w:tabs>
        <w:spacing w:line="300" w:lineRule="exact"/>
        <w:ind w:left="993" w:hanging="993"/>
      </w:pPr>
      <w:r w:rsidRPr="00E13033">
        <w:rPr>
          <w:i/>
        </w:rPr>
        <w:tab/>
        <w:t>G</w:t>
      </w:r>
      <w:r w:rsidRPr="00E13033">
        <w:rPr>
          <w:i/>
          <w:position w:val="-4"/>
        </w:rPr>
        <w:t>r</w:t>
      </w:r>
      <w:r w:rsidRPr="00E13033">
        <w:t>(φ</w:t>
      </w:r>
      <w:r w:rsidRPr="00E13033">
        <w:rPr>
          <w:i/>
          <w:position w:val="-4"/>
        </w:rPr>
        <w:t>i</w:t>
      </w:r>
      <w:r w:rsidRPr="00E13033">
        <w:rPr>
          <w:iCs/>
        </w:rPr>
        <w:t>):</w:t>
      </w:r>
      <w:r w:rsidRPr="00E13033">
        <w:rPr>
          <w:i/>
        </w:rPr>
        <w:tab/>
      </w:r>
      <w:r w:rsidRPr="00E13033">
        <w:t xml:space="preserve">receive antenna gain (as a ratio) of the geostationary-satellite system receive station in the direction of the </w:t>
      </w:r>
      <w:r w:rsidRPr="00E13033">
        <w:rPr>
          <w:i/>
          <w:iCs/>
        </w:rPr>
        <w:t>i</w:t>
      </w:r>
      <w:r w:rsidRPr="00E13033">
        <w:t>-th transmit IMT base station</w:t>
      </w:r>
    </w:p>
    <w:p w14:paraId="26FDBDEB" w14:textId="77777777" w:rsidR="00846931" w:rsidRPr="00E13033" w:rsidRDefault="00846931" w:rsidP="00846931">
      <w:pPr>
        <w:keepLines/>
        <w:tabs>
          <w:tab w:val="left" w:pos="255"/>
          <w:tab w:val="right" w:pos="709"/>
          <w:tab w:val="left" w:pos="993"/>
        </w:tabs>
        <w:spacing w:line="300" w:lineRule="exact"/>
        <w:ind w:left="993" w:hanging="993"/>
      </w:pPr>
      <w:r w:rsidRPr="00E13033">
        <w:rPr>
          <w:i/>
        </w:rPr>
        <w:tab/>
        <w:t>G</w:t>
      </w:r>
      <w:r w:rsidRPr="00E13033">
        <w:rPr>
          <w:i/>
          <w:position w:val="-4"/>
        </w:rPr>
        <w:t>r,max</w:t>
      </w:r>
      <w:r w:rsidRPr="00E13033">
        <w:rPr>
          <w:iCs/>
        </w:rPr>
        <w:t>:</w:t>
      </w:r>
      <w:r w:rsidRPr="00E13033">
        <w:tab/>
        <w:t xml:space="preserve">maximum gain (as a ratio) of the antenna of the geostationary-satellite system receive station </w:t>
      </w:r>
    </w:p>
    <w:p w14:paraId="6F6BB902" w14:textId="77777777" w:rsidR="00846931" w:rsidRPr="00E13033" w:rsidRDefault="00846931" w:rsidP="00846931">
      <w:pPr>
        <w:keepLines/>
        <w:tabs>
          <w:tab w:val="left" w:pos="255"/>
          <w:tab w:val="right" w:pos="709"/>
          <w:tab w:val="left" w:pos="993"/>
        </w:tabs>
        <w:spacing w:line="300" w:lineRule="exact"/>
        <w:ind w:left="993" w:hanging="993"/>
      </w:pPr>
      <w:r w:rsidRPr="00E13033">
        <w:rPr>
          <w:i/>
        </w:rPr>
        <w:tab/>
        <w:t>epfd</w:t>
      </w:r>
      <w:r w:rsidRPr="00E13033">
        <w:rPr>
          <w:iCs/>
        </w:rPr>
        <w:t>:</w:t>
      </w:r>
      <w:r w:rsidRPr="00E13033">
        <w:rPr>
          <w:i/>
        </w:rPr>
        <w:tab/>
      </w:r>
      <w:r w:rsidRPr="00E13033">
        <w:t>computed equivalent power flux-density (dB(W/</w:t>
      </w:r>
      <w:r w:rsidR="00254DB0">
        <w:t>m</w:t>
      </w:r>
      <w:r w:rsidR="00254DB0" w:rsidRPr="00254DB0">
        <w:rPr>
          <w:vertAlign w:val="superscript"/>
        </w:rPr>
        <w:t>2</w:t>
      </w:r>
      <w:r w:rsidRPr="00E13033">
        <w:t>)) in the reference bandwidth.</w:t>
      </w:r>
    </w:p>
    <w:p w14:paraId="12A57D5D" w14:textId="77777777" w:rsidR="00846931" w:rsidRDefault="00846931" w:rsidP="00846931"/>
    <w:p w14:paraId="71C7012B" w14:textId="77777777" w:rsidR="00846931" w:rsidRPr="00E13033" w:rsidRDefault="00846931" w:rsidP="00846931"/>
    <w:p w14:paraId="7A84CB26" w14:textId="77777777" w:rsidR="00BB22C3" w:rsidRDefault="00846931" w:rsidP="000A7EC6">
      <w:pPr>
        <w:snapToGrid w:val="0"/>
        <w:spacing w:line="300" w:lineRule="exact"/>
      </w:pPr>
      <w:r>
        <w:t xml:space="preserve">Note: </w:t>
      </w:r>
      <w:r w:rsidRPr="00E13033">
        <w:t>Recommendation ITU</w:t>
      </w:r>
      <w:r w:rsidRPr="00E13033">
        <w:noBreakHyphen/>
        <w:t>R S.672</w:t>
      </w:r>
      <w:r w:rsidRPr="00E13033">
        <w:noBreakHyphen/>
        <w:t>4 shall be used only for the calculation of interference from IMT base stations in the mobile service into geostationary-satellite systems in the fixed-satellite service.  In all cases of </w:t>
      </w:r>
      <w:r w:rsidRPr="00E13033">
        <w:rPr>
          <w:i/>
          <w:iCs/>
        </w:rPr>
        <w:t>Ls</w:t>
      </w:r>
      <w:r w:rsidRPr="00E13033">
        <w:t>, the parabolic main beam equation shall start at zero.</w:t>
      </w:r>
      <w:r w:rsidR="00BB22C3">
        <w:br w:type="page"/>
      </w:r>
    </w:p>
    <w:p w14:paraId="53726CCF" w14:textId="3F9F3355" w:rsidR="007B527A" w:rsidRDefault="007B527A" w:rsidP="007B527A">
      <w:pPr>
        <w:pStyle w:val="AnnexNo"/>
        <w:rPr>
          <w:lang w:eastAsia="ja-JP"/>
        </w:rPr>
      </w:pPr>
      <w:r w:rsidRPr="00D51703">
        <w:rPr>
          <w:rFonts w:hint="eastAsia"/>
          <w:lang w:eastAsia="ja-JP"/>
        </w:rPr>
        <w:lastRenderedPageBreak/>
        <w:t>Attachment</w:t>
      </w:r>
    </w:p>
    <w:p w14:paraId="67C532B7" w14:textId="77777777" w:rsidR="006B76C3" w:rsidRPr="001C2BC2" w:rsidRDefault="006B76C3" w:rsidP="006B76C3">
      <w:pPr>
        <w:pStyle w:val="Title1"/>
        <w:rPr>
          <w:b/>
        </w:rPr>
      </w:pPr>
      <w:r>
        <w:rPr>
          <w:rFonts w:hint="eastAsia"/>
          <w:b/>
          <w:lang w:eastAsia="ja-JP"/>
        </w:rPr>
        <w:t>Proposed equivalent power flux-density limit</w:t>
      </w:r>
      <w:r w:rsidRPr="009B4E35">
        <w:t xml:space="preserve"> </w:t>
      </w:r>
      <w:r w:rsidRPr="009B4E35">
        <w:rPr>
          <w:b/>
          <w:lang w:eastAsia="ja-JP"/>
        </w:rPr>
        <w:t>at the geostationary-satellite orbit by emissions from all the IMT-2020 stations</w:t>
      </w:r>
      <w:r w:rsidRPr="009B4E35">
        <w:t xml:space="preserve"> </w:t>
      </w:r>
      <w:r w:rsidRPr="00E71029">
        <w:rPr>
          <w:b/>
          <w:lang w:eastAsia="ja-JP"/>
        </w:rPr>
        <w:t>in the territory of the concerned administration</w:t>
      </w:r>
    </w:p>
    <w:p w14:paraId="13377771" w14:textId="77777777" w:rsidR="006B76C3" w:rsidRPr="00DC5327" w:rsidRDefault="006B76C3" w:rsidP="006B76C3">
      <w:pPr>
        <w:jc w:val="both"/>
        <w:rPr>
          <w:b/>
          <w:lang w:val="en-GB"/>
        </w:rPr>
      </w:pPr>
    </w:p>
    <w:p w14:paraId="51EDDF2D" w14:textId="77777777" w:rsidR="006B76C3" w:rsidRDefault="006B76C3" w:rsidP="006B76C3">
      <w:pPr>
        <w:pStyle w:val="Reasons"/>
        <w:rPr>
          <w:lang w:eastAsia="ja-JP"/>
        </w:rPr>
      </w:pPr>
    </w:p>
    <w:p w14:paraId="2D9792DF" w14:textId="77777777" w:rsidR="006B76C3" w:rsidRPr="00DA6138" w:rsidRDefault="006B76C3" w:rsidP="006B76C3">
      <w:pPr>
        <w:pStyle w:val="Heading4"/>
        <w:ind w:leftChars="0" w:left="0"/>
        <w:rPr>
          <w:lang w:eastAsia="ja-JP"/>
        </w:rPr>
      </w:pPr>
      <w:r>
        <w:rPr>
          <w:lang w:eastAsia="ja-JP"/>
        </w:rPr>
        <w:t>1.</w:t>
      </w:r>
      <w:r w:rsidRPr="00464DCF">
        <w:rPr>
          <w:lang w:eastAsia="ja-JP"/>
        </w:rPr>
        <w:tab/>
        <w:t xml:space="preserve">Methodology for </w:t>
      </w:r>
      <w:r>
        <w:rPr>
          <w:rFonts w:hint="eastAsia"/>
          <w:lang w:eastAsia="ja-JP"/>
        </w:rPr>
        <w:t>calculation of equivalent power flux-density</w:t>
      </w:r>
      <w:r w:rsidRPr="00464DCF">
        <w:rPr>
          <w:caps/>
          <w:sz w:val="18"/>
          <w:lang w:eastAsia="zh-CN"/>
        </w:rPr>
        <w:fldChar w:fldCharType="begin"/>
      </w:r>
      <w:r w:rsidRPr="00464DCF">
        <w:rPr>
          <w:caps/>
          <w:sz w:val="18"/>
          <w:lang w:eastAsia="zh-CN"/>
        </w:rPr>
        <w:fldChar w:fldCharType="end"/>
      </w:r>
      <w:r w:rsidRPr="00464DCF">
        <w:fldChar w:fldCharType="begin"/>
      </w:r>
      <w:r w:rsidRPr="00464DCF">
        <w:fldChar w:fldCharType="end"/>
      </w:r>
    </w:p>
    <w:p w14:paraId="2AEA4077" w14:textId="77777777" w:rsidR="006B76C3" w:rsidRPr="00464DCF" w:rsidRDefault="006B76C3" w:rsidP="006B76C3">
      <w:pPr>
        <w:rPr>
          <w:lang w:eastAsia="ja-JP"/>
        </w:rPr>
      </w:pPr>
      <w:r w:rsidRPr="00464DCF">
        <w:rPr>
          <w:lang w:eastAsia="ja-JP"/>
        </w:rPr>
        <w:t xml:space="preserve">The methodology to </w:t>
      </w:r>
      <w:r>
        <w:rPr>
          <w:rFonts w:hint="eastAsia"/>
          <w:lang w:eastAsia="ja-JP"/>
        </w:rPr>
        <w:t xml:space="preserve">calculate equivalent power flux-density from </w:t>
      </w:r>
      <w:r w:rsidRPr="00464DCF">
        <w:rPr>
          <w:lang w:eastAsia="ja-JP"/>
        </w:rPr>
        <w:t>IMT</w:t>
      </w:r>
      <w:r w:rsidRPr="00464DCF">
        <w:rPr>
          <w:lang w:eastAsia="ja-JP"/>
        </w:rPr>
        <w:noBreakHyphen/>
        <w:t xml:space="preserve">2020 </w:t>
      </w:r>
      <w:r>
        <w:rPr>
          <w:rFonts w:hint="eastAsia"/>
          <w:lang w:eastAsia="ja-JP"/>
        </w:rPr>
        <w:t xml:space="preserve">base stations towards </w:t>
      </w:r>
      <w:r w:rsidRPr="00464DCF">
        <w:rPr>
          <w:lang w:eastAsia="ja-JP"/>
        </w:rPr>
        <w:t xml:space="preserve">FSS </w:t>
      </w:r>
      <w:r>
        <w:rPr>
          <w:rFonts w:hint="eastAsia"/>
          <w:lang w:eastAsia="ja-JP"/>
        </w:rPr>
        <w:t>satellite station</w:t>
      </w:r>
      <w:r w:rsidRPr="00464DCF">
        <w:rPr>
          <w:lang w:eastAsia="ja-JP"/>
        </w:rPr>
        <w:t xml:space="preserve"> is as follows:</w:t>
      </w:r>
    </w:p>
    <w:p w14:paraId="77B7EBB2" w14:textId="77777777" w:rsidR="006B76C3" w:rsidRPr="00464DCF" w:rsidRDefault="006B76C3" w:rsidP="00D503E1">
      <w:pPr>
        <w:pStyle w:val="Headingb"/>
        <w:spacing w:before="360"/>
        <w:rPr>
          <w:lang w:val="en-GB"/>
        </w:rPr>
      </w:pPr>
      <w:r w:rsidRPr="00464DCF">
        <w:rPr>
          <w:lang w:val="en-GB"/>
        </w:rPr>
        <w:t>i)</w:t>
      </w:r>
    </w:p>
    <w:p w14:paraId="65D9FD07" w14:textId="77777777" w:rsidR="006B76C3" w:rsidRPr="00464DCF" w:rsidRDefault="006B76C3" w:rsidP="006B76C3">
      <w:pPr>
        <w:rPr>
          <w:spacing w:val="-2"/>
          <w:lang w:eastAsia="zh-CN"/>
        </w:rPr>
      </w:pPr>
      <w:r>
        <w:rPr>
          <w:rFonts w:eastAsiaTheme="minorEastAsia" w:hint="eastAsia"/>
          <w:spacing w:val="-2"/>
          <w:lang w:eastAsia="ja-JP"/>
        </w:rPr>
        <w:t>The following e</w:t>
      </w:r>
      <w:r>
        <w:rPr>
          <w:spacing w:val="-2"/>
          <w:lang w:eastAsia="zh-CN"/>
        </w:rPr>
        <w:t>quation (</w:t>
      </w:r>
      <w:r>
        <w:rPr>
          <w:rFonts w:hint="eastAsia"/>
          <w:spacing w:val="-2"/>
          <w:lang w:eastAsia="ja-JP"/>
        </w:rPr>
        <w:t>A</w:t>
      </w:r>
      <w:r w:rsidRPr="00464DCF">
        <w:rPr>
          <w:spacing w:val="-2"/>
          <w:lang w:eastAsia="zh-CN"/>
        </w:rPr>
        <w:t>-</w:t>
      </w:r>
      <w:r>
        <w:rPr>
          <w:rFonts w:hint="eastAsia"/>
          <w:spacing w:val="-2"/>
          <w:lang w:eastAsia="ja-JP"/>
        </w:rPr>
        <w:t>1</w:t>
      </w:r>
      <w:r w:rsidRPr="00464DCF">
        <w:rPr>
          <w:spacing w:val="-2"/>
          <w:lang w:eastAsia="zh-CN"/>
        </w:rPr>
        <w:t xml:space="preserve">) is repeated for </w:t>
      </w:r>
      <w:r>
        <w:rPr>
          <w:rFonts w:eastAsiaTheme="minorEastAsia" w:hint="eastAsia"/>
          <w:spacing w:val="-2"/>
          <w:lang w:eastAsia="ja-JP"/>
        </w:rPr>
        <w:t>all IMT stations</w:t>
      </w:r>
      <w:r w:rsidRPr="00464DCF">
        <w:rPr>
          <w:spacing w:val="-2"/>
          <w:lang w:eastAsia="zh-CN"/>
        </w:rPr>
        <w:t xml:space="preserve"> (</w:t>
      </w:r>
      <w:r>
        <w:rPr>
          <w:rFonts w:eastAsiaTheme="minorEastAsia" w:hint="eastAsia"/>
          <w:i/>
          <w:iCs/>
          <w:spacing w:val="-2"/>
          <w:lang w:eastAsia="ja-JP"/>
        </w:rPr>
        <w:t>i</w:t>
      </w:r>
      <w:r w:rsidRPr="00464DCF">
        <w:rPr>
          <w:spacing w:val="-2"/>
          <w:lang w:eastAsia="zh-CN"/>
        </w:rPr>
        <w:t xml:space="preserve">) within the visible Earth (for </w:t>
      </w:r>
      <w:r>
        <w:rPr>
          <w:rFonts w:eastAsiaTheme="minorEastAsia" w:hint="eastAsia"/>
          <w:i/>
          <w:iCs/>
          <w:spacing w:val="-2"/>
          <w:lang w:eastAsia="ja-JP"/>
        </w:rPr>
        <w:t>i</w:t>
      </w:r>
      <w:r w:rsidRPr="00464DCF">
        <w:rPr>
          <w:spacing w:val="-2"/>
          <w:lang w:eastAsia="zh-CN"/>
        </w:rPr>
        <w:t xml:space="preserve">=1, 2,.. </w:t>
      </w:r>
      <w:r w:rsidRPr="00464DCF">
        <w:rPr>
          <w:i/>
          <w:iCs/>
          <w:spacing w:val="-2"/>
          <w:lang w:eastAsia="zh-CN"/>
        </w:rPr>
        <w:t>N</w:t>
      </w:r>
      <w:r w:rsidRPr="00464DCF">
        <w:rPr>
          <w:spacing w:val="-2"/>
          <w:lang w:eastAsia="zh-CN"/>
        </w:rPr>
        <w:t>).</w:t>
      </w:r>
    </w:p>
    <w:p w14:paraId="76CCEF00" w14:textId="77777777" w:rsidR="006B76C3" w:rsidRPr="00464DCF" w:rsidRDefault="008C519E" w:rsidP="006B76C3">
      <w:pPr>
        <w:pStyle w:val="Equation"/>
        <w:ind w:left="6840" w:hangingChars="2850" w:hanging="6840"/>
        <w:rPr>
          <w:rFonts w:eastAsia="SimSun"/>
        </w:rPr>
      </w:pPr>
      <m:oMath>
        <m:sSub>
          <m:sSubPr>
            <m:ctrlPr>
              <w:rPr>
                <w:rFonts w:ascii="Cambria Math" w:eastAsia="SimSun" w:hAnsi="Cambria Math"/>
              </w:rPr>
            </m:ctrlPr>
          </m:sSubPr>
          <m:e>
            <m:sSub>
              <m:sSubPr>
                <m:ctrlPr>
                  <w:rPr>
                    <w:rFonts w:ascii="Cambria Math" w:eastAsia="SimSun" w:hAnsi="Cambria Math"/>
                  </w:rPr>
                </m:ctrlPr>
              </m:sSubPr>
              <m:e>
                <m:r>
                  <w:rPr>
                    <w:rFonts w:ascii="Cambria Math" w:eastAsia="SimSun" w:hAnsi="Cambria Math"/>
                  </w:rPr>
                  <m:t>I</m:t>
                </m:r>
              </m:e>
              <m:sub>
                <m:r>
                  <w:rPr>
                    <w:rFonts w:ascii="Cambria Math" w:eastAsia="SimSun" w:hAnsi="Cambria Math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</w:rPr>
              <m:t xml:space="preserve">= </m:t>
            </m:r>
            <m:sSub>
              <m:sSubPr>
                <m:ctrlPr>
                  <w:rPr>
                    <w:rFonts w:ascii="Cambria Math" w:eastAsia="SimSun" w:hAnsi="Cambria Math"/>
                  </w:rPr>
                </m:ctrlPr>
              </m:sSubPr>
              <m:e>
                <m:r>
                  <w:rPr>
                    <w:rFonts w:ascii="Cambria Math" w:eastAsia="SimSun" w:hAnsi="Cambria Math"/>
                  </w:rPr>
                  <m:t>P</m:t>
                </m:r>
              </m:e>
              <m:sub>
                <m:r>
                  <w:rPr>
                    <w:rFonts w:ascii="Cambria Math" w:eastAsia="SimSun" w:hAnsi="Cambria Math"/>
                  </w:rPr>
                  <m:t>IMT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</w:rPr>
              <m:t xml:space="preserve"> + </m:t>
            </m:r>
            <m:sSub>
              <m:sSubPr>
                <m:ctrlPr>
                  <w:rPr>
                    <w:rFonts w:ascii="Cambria Math" w:eastAsia="SimSun" w:hAnsi="Cambria Math"/>
                  </w:rPr>
                </m:ctrlPr>
              </m:sSubPr>
              <m:e>
                <m:r>
                  <w:rPr>
                    <w:rFonts w:ascii="Cambria Math" w:eastAsia="SimSun" w:hAnsi="Cambria Math"/>
                  </w:rPr>
                  <m:t>G</m:t>
                </m:r>
              </m:e>
              <m:sub>
                <m:r>
                  <w:rPr>
                    <w:rFonts w:ascii="Cambria Math" w:eastAsia="SimSun" w:hAnsi="Cambria Math"/>
                  </w:rPr>
                  <m:t>IMT,i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</w:rPr>
              <m:t>-</m:t>
            </m:r>
            <m:sSub>
              <m:sSubPr>
                <m:ctrlPr>
                  <w:rPr>
                    <w:rFonts w:ascii="Cambria Math" w:eastAsia="SimSun" w:hAnsi="Cambria Math"/>
                  </w:rPr>
                </m:ctrlPr>
              </m:sSubPr>
              <m:e>
                <m:r>
                  <w:rPr>
                    <w:rFonts w:ascii="Cambria Math" w:eastAsia="SimSun" w:hAnsi="Cambria Math"/>
                  </w:rPr>
                  <m:t>PL</m:t>
                </m:r>
              </m:e>
              <m:sub>
                <m:r>
                  <w:rPr>
                    <w:rFonts w:ascii="Cambria Math" w:eastAsia="SimSun" w:hAnsi="Cambria Math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</w:rPr>
              <m:t xml:space="preserve">- </m:t>
            </m:r>
            <m:sSub>
              <m:sSubPr>
                <m:ctrlPr>
                  <w:rPr>
                    <w:rFonts w:ascii="Cambria Math" w:eastAsia="SimSun" w:hAnsi="Cambria Math"/>
                    <w:i/>
                  </w:rPr>
                </m:ctrlPr>
              </m:sSubPr>
              <m:e>
                <m:r>
                  <w:rPr>
                    <w:rFonts w:ascii="Cambria Math" w:eastAsia="SimSun" w:hAnsi="Cambria Math"/>
                  </w:rPr>
                  <m:t>A</m:t>
                </m:r>
              </m:e>
              <m:sub>
                <m:r>
                  <w:rPr>
                    <w:rFonts w:ascii="Cambria Math" w:eastAsia="SimSun" w:hAnsi="Cambria Math"/>
                  </w:rPr>
                  <m:t>bs,i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</w:rPr>
              <m:t>-</m:t>
            </m:r>
            <m:sSub>
              <m:sSubPr>
                <m:ctrlPr>
                  <w:rPr>
                    <w:rFonts w:ascii="Cambria Math" w:eastAsia="SimSun" w:hAnsi="Cambria Math"/>
                  </w:rPr>
                </m:ctrlPr>
              </m:sSubPr>
              <m:e>
                <m:r>
                  <w:rPr>
                    <w:rFonts w:ascii="Cambria Math" w:eastAsia="SimSun" w:hAnsi="Cambria Math"/>
                  </w:rPr>
                  <m:t>A</m:t>
                </m:r>
              </m:e>
              <m:sub>
                <m:r>
                  <w:rPr>
                    <w:rFonts w:ascii="Cambria Math" w:eastAsia="SimSun" w:hAnsi="Cambria Math"/>
                  </w:rPr>
                  <m:t>g,i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</w:rPr>
              <m:t>-</m:t>
            </m:r>
            <m:r>
              <w:rPr>
                <w:rFonts w:ascii="Cambria Math" w:hAnsi="Cambria Math"/>
                <w:lang w:eastAsia="zh-CN"/>
              </w:rPr>
              <m:t>L</m:t>
            </m:r>
          </m:e>
          <m:sub>
            <m:r>
              <w:rPr>
                <w:rFonts w:ascii="Cambria Math" w:eastAsia="SimSun" w:hAnsi="Cambria Math"/>
              </w:rPr>
              <m:t>clutter</m:t>
            </m:r>
            <m:r>
              <m:rPr>
                <m:sty m:val="p"/>
              </m:rPr>
              <w:rPr>
                <w:rFonts w:ascii="Cambria Math" w:eastAsia="SimSun" w:hAnsi="Cambria Math"/>
              </w:rPr>
              <m:t xml:space="preserve">, </m:t>
            </m:r>
            <m:r>
              <w:rPr>
                <w:rFonts w:ascii="Cambria Math" w:eastAsia="SimSun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eastAsia="SimSun" w:hAnsi="Cambria Math"/>
          </w:rPr>
          <m:t xml:space="preserve">- </m:t>
        </m:r>
        <m:sSub>
          <m:sSubPr>
            <m:ctrlPr>
              <w:rPr>
                <w:rFonts w:ascii="Cambria Math" w:eastAsia="SimSun" w:hAnsi="Cambria Math"/>
              </w:rPr>
            </m:ctrlPr>
          </m:sSubPr>
          <m:e>
            <m:r>
              <w:rPr>
                <w:rFonts w:ascii="Cambria Math" w:eastAsia="SimSun" w:hAnsi="Cambria Math"/>
              </w:rPr>
              <m:t>PD-Loss</m:t>
            </m:r>
          </m:e>
          <m:sub>
            <m:r>
              <w:rPr>
                <w:rFonts w:ascii="Cambria Math" w:eastAsia="SimSun" w:hAnsi="Cambria Math"/>
              </w:rPr>
              <m:t>body</m:t>
            </m:r>
          </m:sub>
        </m:sSub>
        <m:r>
          <m:rPr>
            <m:sty m:val="p"/>
          </m:rPr>
          <w:rPr>
            <w:rFonts w:ascii="Cambria Math" w:eastAsia="SimSun" w:hAnsi="Cambria Math"/>
          </w:rPr>
          <m:t xml:space="preserve"> +</m:t>
        </m:r>
        <m:sSub>
          <m:sSubPr>
            <m:ctrlPr>
              <w:rPr>
                <w:rFonts w:ascii="Cambria Math" w:eastAsia="SimSun" w:hAnsi="Cambria Math"/>
              </w:rPr>
            </m:ctrlPr>
          </m:sSubPr>
          <m:e>
            <m:r>
              <w:rPr>
                <w:rFonts w:ascii="Cambria Math" w:eastAsia="SimSun" w:hAnsi="Cambria Math"/>
              </w:rPr>
              <m:t>G</m:t>
            </m:r>
          </m:e>
          <m:sub>
            <m:r>
              <w:rPr>
                <w:rFonts w:ascii="Cambria Math" w:eastAsia="SimSun" w:hAnsi="Cambria Math"/>
              </w:rPr>
              <m:t>sat,i</m:t>
            </m:r>
          </m:sub>
        </m:sSub>
        <m:r>
          <m:rPr>
            <m:sty m:val="p"/>
          </m:rPr>
          <w:rPr>
            <w:rFonts w:ascii="Cambria Math" w:eastAsia="SimSun" w:hAnsi="Cambria Math"/>
          </w:rPr>
          <m:t>(</m:t>
        </m:r>
        <m:r>
          <w:rPr>
            <w:rFonts w:ascii="Cambria Math" w:eastAsia="SimSun" w:hAnsi="Cambria Math"/>
          </w:rPr>
          <m:t>dBW</m:t>
        </m:r>
        <m:r>
          <m:rPr>
            <m:sty m:val="p"/>
          </m:rPr>
          <w:rPr>
            <w:rFonts w:ascii="Cambria Math" w:eastAsia="SimSun" w:hAnsi="Cambria Math"/>
          </w:rPr>
          <m:t>/</m:t>
        </m:r>
        <m:r>
          <w:rPr>
            <w:rFonts w:ascii="Cambria Math" w:eastAsia="SimSun" w:hAnsi="Cambria Math"/>
          </w:rPr>
          <m:t>Hz</m:t>
        </m:r>
        <m:r>
          <m:rPr>
            <m:sty m:val="p"/>
          </m:rPr>
          <w:rPr>
            <w:rFonts w:ascii="Cambria Math" w:eastAsia="SimSun" w:hAnsi="Cambria Math"/>
          </w:rPr>
          <m:t>)</m:t>
        </m:r>
      </m:oMath>
      <w:r w:rsidR="006B76C3" w:rsidRPr="00464DCF">
        <w:rPr>
          <w:rFonts w:eastAsia="SimSun"/>
        </w:rPr>
        <w:t xml:space="preserve"> </w:t>
      </w:r>
      <w:r w:rsidR="006B76C3" w:rsidRPr="00464DCF">
        <w:rPr>
          <w:lang w:eastAsia="ja-JP"/>
        </w:rPr>
        <w:t xml:space="preserve"> </w:t>
      </w:r>
      <w:r w:rsidR="006B76C3" w:rsidRPr="00E71029">
        <w:rPr>
          <w:i/>
          <w:lang w:eastAsia="ja-JP"/>
        </w:rPr>
        <w:t>i</w:t>
      </w:r>
      <w:r w:rsidR="006B76C3" w:rsidRPr="00464DCF">
        <w:rPr>
          <w:rFonts w:eastAsia="SimSun"/>
        </w:rPr>
        <w:t>={1,2…</w:t>
      </w:r>
      <w:r w:rsidR="006B76C3" w:rsidRPr="00464DCF">
        <w:rPr>
          <w:rFonts w:eastAsia="SimSun"/>
          <w:i/>
          <w:iCs/>
        </w:rPr>
        <w:t>N</w:t>
      </w:r>
      <w:r w:rsidR="006B76C3">
        <w:rPr>
          <w:rFonts w:eastAsia="SimSun"/>
        </w:rPr>
        <w:t>}</w:t>
      </w:r>
      <w:r w:rsidR="006B76C3">
        <w:rPr>
          <w:rFonts w:eastAsia="SimSun"/>
        </w:rPr>
        <w:tab/>
        <w:t>(</w:t>
      </w:r>
      <w:r w:rsidR="006B76C3">
        <w:rPr>
          <w:rFonts w:hint="eastAsia"/>
          <w:lang w:eastAsia="ja-JP"/>
        </w:rPr>
        <w:t>A</w:t>
      </w:r>
      <w:r w:rsidR="006B76C3" w:rsidRPr="00464DCF">
        <w:rPr>
          <w:rFonts w:eastAsia="SimSun"/>
        </w:rPr>
        <w:noBreakHyphen/>
      </w:r>
      <w:r w:rsidR="006B76C3">
        <w:rPr>
          <w:rFonts w:hint="eastAsia"/>
          <w:lang w:eastAsia="ja-JP"/>
        </w:rPr>
        <w:t>1</w:t>
      </w:r>
      <w:r w:rsidR="006B76C3" w:rsidRPr="00464DCF">
        <w:rPr>
          <w:rFonts w:eastAsia="SimSun"/>
        </w:rPr>
        <w:t>)</w:t>
      </w:r>
    </w:p>
    <w:p w14:paraId="2EF9BDB3" w14:textId="77777777" w:rsidR="006B76C3" w:rsidRPr="00464DCF" w:rsidRDefault="006B76C3" w:rsidP="006B76C3">
      <w:pPr>
        <w:rPr>
          <w:lang w:eastAsia="zh-CN"/>
        </w:rPr>
      </w:pPr>
      <w:r w:rsidRPr="00464DCF">
        <w:rPr>
          <w:lang w:eastAsia="zh-CN"/>
        </w:rPr>
        <w:t>where:</w:t>
      </w:r>
    </w:p>
    <w:p w14:paraId="3DEF48AE" w14:textId="51AC773C" w:rsidR="006B76C3" w:rsidRPr="00464DCF" w:rsidRDefault="006B76C3" w:rsidP="006B76C3">
      <w:pPr>
        <w:pStyle w:val="Equationlegend"/>
        <w:rPr>
          <w:lang w:eastAsia="zh-CN"/>
        </w:rPr>
      </w:pPr>
      <w:r w:rsidRPr="00464DCF">
        <w:rPr>
          <w:i/>
          <w:iCs/>
          <w:lang w:eastAsia="zh-CN"/>
        </w:rPr>
        <w:tab/>
        <w:t>I</w:t>
      </w:r>
      <w:r>
        <w:rPr>
          <w:rFonts w:hint="eastAsia"/>
          <w:i/>
          <w:iCs/>
          <w:vertAlign w:val="subscript"/>
          <w:lang w:eastAsia="ja-JP"/>
        </w:rPr>
        <w:t>i</w:t>
      </w:r>
      <w:r w:rsidRPr="00464DCF">
        <w:rPr>
          <w:lang w:eastAsia="zh-CN"/>
        </w:rPr>
        <w:t>:</w:t>
      </w:r>
      <w:r w:rsidRPr="00464DCF">
        <w:rPr>
          <w:lang w:eastAsia="zh-CN"/>
        </w:rPr>
        <w:tab/>
        <w:t xml:space="preserve">is the interference </w:t>
      </w:r>
      <w:r>
        <w:rPr>
          <w:rFonts w:hint="eastAsia"/>
          <w:lang w:eastAsia="ja-JP"/>
        </w:rPr>
        <w:t>power spectrum density</w:t>
      </w:r>
      <w:r w:rsidRPr="00464DCF">
        <w:rPr>
          <w:lang w:eastAsia="zh-CN"/>
        </w:rPr>
        <w:t xml:space="preserve"> (dB(</w:t>
      </w:r>
      <w:r w:rsidRPr="00464DCF">
        <w:rPr>
          <w:lang w:eastAsia="ja-JP"/>
        </w:rPr>
        <w:t>W</w:t>
      </w:r>
      <w:r w:rsidRPr="00464DCF">
        <w:rPr>
          <w:lang w:eastAsia="zh-CN"/>
        </w:rPr>
        <w:t>/Hz)) received at the satellite from each IMT</w:t>
      </w:r>
      <w:r w:rsidRPr="00464DCF">
        <w:rPr>
          <w:lang w:eastAsia="zh-CN"/>
        </w:rPr>
        <w:noBreakHyphen/>
        <w:t xml:space="preserve">2020 </w:t>
      </w:r>
      <w:r w:rsidRPr="00464DCF">
        <w:rPr>
          <w:lang w:eastAsia="ja-JP"/>
        </w:rPr>
        <w:t xml:space="preserve">station </w:t>
      </w:r>
      <w:r w:rsidRPr="00464DCF">
        <w:rPr>
          <w:lang w:eastAsia="zh-CN"/>
        </w:rPr>
        <w:t>deploy</w:t>
      </w:r>
      <w:r>
        <w:rPr>
          <w:rFonts w:hint="eastAsia"/>
          <w:lang w:eastAsia="ja-JP"/>
        </w:rPr>
        <w:t xml:space="preserve">ed </w:t>
      </w:r>
      <w:r w:rsidRPr="00464DCF">
        <w:rPr>
          <w:lang w:eastAsia="ja-JP"/>
        </w:rPr>
        <w:t xml:space="preserve">in </w:t>
      </w:r>
      <w:r w:rsidRPr="00464DCF">
        <w:rPr>
          <w:lang w:eastAsia="zh-CN"/>
        </w:rPr>
        <w:t>location (</w:t>
      </w:r>
      <w:r>
        <w:rPr>
          <w:rFonts w:hint="eastAsia"/>
          <w:i/>
          <w:iCs/>
          <w:lang w:eastAsia="ja-JP"/>
        </w:rPr>
        <w:t>i</w:t>
      </w:r>
      <w:r w:rsidRPr="00464DCF">
        <w:rPr>
          <w:lang w:eastAsia="zh-CN"/>
        </w:rPr>
        <w:t>);</w:t>
      </w:r>
    </w:p>
    <w:p w14:paraId="1FC40E15" w14:textId="77777777" w:rsidR="006B76C3" w:rsidRPr="00464DCF" w:rsidRDefault="006B76C3" w:rsidP="006B76C3">
      <w:pPr>
        <w:pStyle w:val="Equationlegend"/>
        <w:rPr>
          <w:lang w:eastAsia="zh-CN"/>
        </w:rPr>
      </w:pPr>
      <w:r w:rsidRPr="00464DCF">
        <w:rPr>
          <w:lang w:eastAsia="zh-CN"/>
        </w:rPr>
        <w:tab/>
      </w:r>
      <w:r w:rsidRPr="00464DCF">
        <w:rPr>
          <w:i/>
          <w:iCs/>
          <w:lang w:eastAsia="zh-CN"/>
        </w:rPr>
        <w:t>P</w:t>
      </w:r>
      <w:r w:rsidRPr="00464DCF">
        <w:rPr>
          <w:i/>
          <w:iCs/>
          <w:vertAlign w:val="subscript"/>
          <w:lang w:eastAsia="zh-CN"/>
        </w:rPr>
        <w:t>IMT</w:t>
      </w:r>
      <w:r w:rsidRPr="00464DCF">
        <w:rPr>
          <w:lang w:eastAsia="zh-CN"/>
        </w:rPr>
        <w:t xml:space="preserve">: </w:t>
      </w:r>
      <w:r w:rsidRPr="00464DCF">
        <w:rPr>
          <w:lang w:eastAsia="zh-CN"/>
        </w:rPr>
        <w:tab/>
        <w:t>is the transmit power (dB(</w:t>
      </w:r>
      <w:r w:rsidRPr="00464DCF">
        <w:rPr>
          <w:lang w:eastAsia="ja-JP"/>
        </w:rPr>
        <w:t>W</w:t>
      </w:r>
      <w:r w:rsidRPr="00464DCF">
        <w:rPr>
          <w:lang w:eastAsia="zh-CN"/>
        </w:rPr>
        <w:t>/Hz)) of a</w:t>
      </w:r>
      <w:r w:rsidRPr="00464DCF">
        <w:rPr>
          <w:lang w:eastAsia="ja-JP"/>
        </w:rPr>
        <w:t>n</w:t>
      </w:r>
      <w:r w:rsidRPr="00464DCF">
        <w:rPr>
          <w:lang w:eastAsia="zh-CN"/>
        </w:rPr>
        <w:t xml:space="preserve"> IMT</w:t>
      </w:r>
      <w:r w:rsidRPr="00464DCF">
        <w:rPr>
          <w:lang w:eastAsia="zh-CN"/>
        </w:rPr>
        <w:noBreakHyphen/>
        <w:t>2020 station. For BS this is the maximum power, for UE this is the power which can be calculated using the up-link simulation methodology detailed in Recommendation ITU-R M.2101;</w:t>
      </w:r>
    </w:p>
    <w:p w14:paraId="3F5D116C" w14:textId="77777777" w:rsidR="006B76C3" w:rsidRPr="00464DCF" w:rsidRDefault="006B76C3" w:rsidP="006B76C3">
      <w:pPr>
        <w:pStyle w:val="Equationlegend"/>
        <w:rPr>
          <w:lang w:eastAsia="zh-CN"/>
        </w:rPr>
      </w:pPr>
      <w:r w:rsidRPr="00464DCF">
        <w:rPr>
          <w:lang w:eastAsia="zh-CN"/>
        </w:rPr>
        <w:tab/>
      </w:r>
      <w:r w:rsidRPr="00464DCF">
        <w:rPr>
          <w:i/>
          <w:iCs/>
          <w:lang w:eastAsia="zh-CN"/>
        </w:rPr>
        <w:t>G</w:t>
      </w:r>
      <w:r w:rsidRPr="00464DCF">
        <w:rPr>
          <w:i/>
          <w:iCs/>
          <w:vertAlign w:val="subscript"/>
          <w:lang w:eastAsia="ja-JP"/>
        </w:rPr>
        <w:t>IMT</w:t>
      </w:r>
      <w:r>
        <w:rPr>
          <w:rFonts w:hint="eastAsia"/>
          <w:i/>
          <w:iCs/>
          <w:vertAlign w:val="subscript"/>
          <w:lang w:eastAsia="ja-JP"/>
        </w:rPr>
        <w:t>,i</w:t>
      </w:r>
      <w:r w:rsidRPr="00464DCF">
        <w:rPr>
          <w:lang w:eastAsia="zh-CN"/>
        </w:rPr>
        <w:t xml:space="preserve">: </w:t>
      </w:r>
      <w:r w:rsidRPr="00464DCF">
        <w:rPr>
          <w:lang w:eastAsia="zh-CN"/>
        </w:rPr>
        <w:tab/>
        <w:t>is the IMT</w:t>
      </w:r>
      <w:r w:rsidRPr="00464DCF">
        <w:rPr>
          <w:lang w:eastAsia="zh-CN"/>
        </w:rPr>
        <w:noBreakHyphen/>
        <w:t>2020 s</w:t>
      </w:r>
      <w:r w:rsidRPr="00464DCF">
        <w:rPr>
          <w:lang w:eastAsia="ja-JP"/>
        </w:rPr>
        <w:t>tation</w:t>
      </w:r>
      <w:r w:rsidRPr="00464DCF">
        <w:rPr>
          <w:lang w:eastAsia="zh-CN"/>
        </w:rPr>
        <w:t xml:space="preserve"> antenna gain (dBi) </w:t>
      </w:r>
      <w:r w:rsidRPr="00464DCF">
        <w:rPr>
          <w:lang w:eastAsia="ja-JP"/>
        </w:rPr>
        <w:t>corresponding to</w:t>
      </w:r>
      <w:r w:rsidRPr="00464DCF">
        <w:rPr>
          <w:lang w:eastAsia="zh-CN"/>
        </w:rPr>
        <w:t xml:space="preserve"> the elevation angle to the satellite</w:t>
      </w:r>
      <w:r w:rsidRPr="00464DCF">
        <w:rPr>
          <w:lang w:eastAsia="ja-JP"/>
        </w:rPr>
        <w:t xml:space="preserve">, </w:t>
      </w:r>
      <w:r w:rsidRPr="00464DCF">
        <w:rPr>
          <w:lang w:eastAsia="zh-CN"/>
        </w:rPr>
        <w:t>which can be calculated using the simulation methodology detailed in Recommendation ITU-R M.2101;</w:t>
      </w:r>
    </w:p>
    <w:p w14:paraId="7072353F" w14:textId="77777777" w:rsidR="006B76C3" w:rsidRPr="00464DCF" w:rsidRDefault="006B76C3" w:rsidP="006B76C3">
      <w:pPr>
        <w:pStyle w:val="Equationlegend"/>
        <w:rPr>
          <w:lang w:eastAsia="zh-CN"/>
        </w:rPr>
      </w:pPr>
      <w:r w:rsidRPr="00464DCF">
        <w:rPr>
          <w:i/>
          <w:iCs/>
          <w:lang w:eastAsia="zh-CN"/>
        </w:rPr>
        <w:tab/>
        <w:t>PL</w:t>
      </w:r>
      <w:r w:rsidRPr="00464DCF">
        <w:rPr>
          <w:i/>
          <w:iCs/>
          <w:vertAlign w:val="subscript"/>
          <w:lang w:eastAsia="zh-CN"/>
        </w:rPr>
        <w:t>,</w:t>
      </w:r>
      <w:r>
        <w:rPr>
          <w:rFonts w:hint="eastAsia"/>
          <w:i/>
          <w:iCs/>
          <w:vertAlign w:val="subscript"/>
          <w:lang w:eastAsia="ja-JP"/>
        </w:rPr>
        <w:t>i</w:t>
      </w:r>
      <w:r w:rsidRPr="00464DCF">
        <w:rPr>
          <w:lang w:eastAsia="zh-CN"/>
        </w:rPr>
        <w:t xml:space="preserve">: </w:t>
      </w:r>
      <w:r w:rsidRPr="00464DCF">
        <w:rPr>
          <w:lang w:eastAsia="zh-CN"/>
        </w:rPr>
        <w:tab/>
        <w:t>is the free space basic transmission loss</w:t>
      </w:r>
      <w:r w:rsidRPr="00464DCF" w:rsidDel="00567F02">
        <w:rPr>
          <w:lang w:eastAsia="zh-CN"/>
        </w:rPr>
        <w:t xml:space="preserve"> </w:t>
      </w:r>
      <w:r w:rsidRPr="00464DCF">
        <w:rPr>
          <w:lang w:eastAsia="zh-CN"/>
        </w:rPr>
        <w:t>(dB) over the interference path from the simulated IMT</w:t>
      </w:r>
      <w:r w:rsidRPr="00464DCF">
        <w:rPr>
          <w:lang w:eastAsia="zh-CN"/>
        </w:rPr>
        <w:noBreakHyphen/>
        <w:t>2020 deploy</w:t>
      </w:r>
      <w:r>
        <w:rPr>
          <w:rFonts w:hint="eastAsia"/>
          <w:lang w:eastAsia="ja-JP"/>
        </w:rPr>
        <w:t>ed</w:t>
      </w:r>
      <w:r w:rsidRPr="00464DCF">
        <w:rPr>
          <w:lang w:eastAsia="zh-CN"/>
        </w:rPr>
        <w:t xml:space="preserve"> location (</w:t>
      </w:r>
      <w:r>
        <w:rPr>
          <w:rFonts w:hint="eastAsia"/>
          <w:i/>
          <w:iCs/>
          <w:lang w:eastAsia="ja-JP"/>
        </w:rPr>
        <w:t>i</w:t>
      </w:r>
      <w:r w:rsidRPr="00464DCF">
        <w:rPr>
          <w:lang w:eastAsia="zh-CN"/>
        </w:rPr>
        <w:t>) to the satellite detailed in Recommendation ITU-R P.619;</w:t>
      </w:r>
    </w:p>
    <w:p w14:paraId="6871A9FF" w14:textId="77777777" w:rsidR="006B76C3" w:rsidRPr="00464DCF" w:rsidRDefault="006B76C3" w:rsidP="006B76C3">
      <w:pPr>
        <w:pStyle w:val="Equationlegend"/>
        <w:rPr>
          <w:rFonts w:eastAsia="SimSun"/>
          <w:lang w:eastAsia="zh-CN"/>
        </w:rPr>
      </w:pPr>
      <w:r w:rsidRPr="00464DCF">
        <w:rPr>
          <w:i/>
          <w:iCs/>
          <w:lang w:eastAsia="zh-CN"/>
        </w:rPr>
        <w:tab/>
        <w:t>A</w:t>
      </w:r>
      <w:r w:rsidRPr="00464DCF">
        <w:rPr>
          <w:i/>
          <w:iCs/>
          <w:vertAlign w:val="subscript"/>
          <w:lang w:eastAsia="zh-CN"/>
        </w:rPr>
        <w:t>bs,</w:t>
      </w:r>
      <w:r>
        <w:rPr>
          <w:rFonts w:hint="eastAsia"/>
          <w:i/>
          <w:iCs/>
          <w:vertAlign w:val="subscript"/>
          <w:lang w:eastAsia="ja-JP"/>
        </w:rPr>
        <w:t>i</w:t>
      </w:r>
      <w:r w:rsidRPr="00464DCF">
        <w:rPr>
          <w:lang w:eastAsia="zh-CN"/>
        </w:rPr>
        <w:t xml:space="preserve">: </w:t>
      </w:r>
      <w:r w:rsidRPr="00464DCF">
        <w:rPr>
          <w:lang w:eastAsia="zh-CN"/>
        </w:rPr>
        <w:tab/>
        <w:t>is the attenuation due to beam spreading (dB) over the interference path from the simulated IMT</w:t>
      </w:r>
      <w:r w:rsidRPr="00464DCF">
        <w:rPr>
          <w:lang w:eastAsia="zh-CN"/>
        </w:rPr>
        <w:noBreakHyphen/>
        <w:t>2020 deploy</w:t>
      </w:r>
      <w:r>
        <w:rPr>
          <w:rFonts w:hint="eastAsia"/>
          <w:lang w:eastAsia="ja-JP"/>
        </w:rPr>
        <w:t>ed</w:t>
      </w:r>
      <w:r w:rsidRPr="00464DCF">
        <w:rPr>
          <w:lang w:eastAsia="zh-CN"/>
        </w:rPr>
        <w:t xml:space="preserve"> location (</w:t>
      </w:r>
      <w:r>
        <w:rPr>
          <w:rFonts w:hint="eastAsia"/>
          <w:i/>
          <w:iCs/>
          <w:lang w:eastAsia="ja-JP"/>
        </w:rPr>
        <w:t>i</w:t>
      </w:r>
      <w:r w:rsidRPr="00464DCF">
        <w:rPr>
          <w:lang w:eastAsia="zh-CN"/>
        </w:rPr>
        <w:t>) to the satellite detailed in Recommendation ITU-R P.619;</w:t>
      </w:r>
      <w:r w:rsidRPr="00464DCF">
        <w:rPr>
          <w:rFonts w:eastAsia="SimSun"/>
          <w:lang w:eastAsia="zh-CN"/>
        </w:rPr>
        <w:t xml:space="preserve"> </w:t>
      </w:r>
    </w:p>
    <w:p w14:paraId="6B937C11" w14:textId="77777777" w:rsidR="006B76C3" w:rsidRPr="00464DCF" w:rsidRDefault="006B76C3" w:rsidP="006B76C3">
      <w:pPr>
        <w:pStyle w:val="Equationlegend"/>
        <w:rPr>
          <w:rFonts w:eastAsia="SimSun"/>
          <w:lang w:eastAsia="zh-CN"/>
        </w:rPr>
      </w:pPr>
      <w:r w:rsidRPr="00464DCF">
        <w:rPr>
          <w:i/>
          <w:iCs/>
          <w:lang w:eastAsia="zh-CN"/>
        </w:rPr>
        <w:tab/>
        <w:t>A</w:t>
      </w:r>
      <w:r w:rsidRPr="00464DCF">
        <w:rPr>
          <w:i/>
          <w:iCs/>
          <w:vertAlign w:val="subscript"/>
          <w:lang w:eastAsia="zh-CN"/>
        </w:rPr>
        <w:t>g,</w:t>
      </w:r>
      <w:r>
        <w:rPr>
          <w:rFonts w:hint="eastAsia"/>
          <w:i/>
          <w:iCs/>
          <w:vertAlign w:val="subscript"/>
          <w:lang w:eastAsia="ja-JP"/>
        </w:rPr>
        <w:t>i</w:t>
      </w:r>
      <w:r w:rsidRPr="00464DCF">
        <w:rPr>
          <w:lang w:eastAsia="zh-CN"/>
        </w:rPr>
        <w:t xml:space="preserve">: </w:t>
      </w:r>
      <w:r w:rsidRPr="00464DCF">
        <w:rPr>
          <w:lang w:eastAsia="zh-CN"/>
        </w:rPr>
        <w:tab/>
        <w:t>is the attenuation due to atmospheric gasses (dB) over the interference path from the simulated IMT</w:t>
      </w:r>
      <w:r w:rsidRPr="00464DCF">
        <w:rPr>
          <w:lang w:eastAsia="zh-CN"/>
        </w:rPr>
        <w:noBreakHyphen/>
        <w:t>2020 deploy</w:t>
      </w:r>
      <w:r>
        <w:rPr>
          <w:rFonts w:hint="eastAsia"/>
          <w:lang w:eastAsia="ja-JP"/>
        </w:rPr>
        <w:t>ed</w:t>
      </w:r>
      <w:r w:rsidRPr="00464DCF">
        <w:rPr>
          <w:lang w:eastAsia="zh-CN"/>
        </w:rPr>
        <w:t xml:space="preserve"> location (</w:t>
      </w:r>
      <w:r>
        <w:rPr>
          <w:rFonts w:hint="eastAsia"/>
          <w:i/>
          <w:iCs/>
          <w:lang w:eastAsia="ja-JP"/>
        </w:rPr>
        <w:t>i</w:t>
      </w:r>
      <w:r w:rsidRPr="00464DCF">
        <w:rPr>
          <w:lang w:eastAsia="zh-CN"/>
        </w:rPr>
        <w:t>) to the satellite detailed in Recommendation ITU-R P.619;</w:t>
      </w:r>
      <w:r w:rsidRPr="00464DCF">
        <w:rPr>
          <w:rFonts w:eastAsia="SimSun"/>
          <w:lang w:eastAsia="zh-CN"/>
        </w:rPr>
        <w:t xml:space="preserve"> </w:t>
      </w:r>
    </w:p>
    <w:p w14:paraId="140B8F9D" w14:textId="77777777" w:rsidR="006B76C3" w:rsidRPr="00464DCF" w:rsidRDefault="006B76C3" w:rsidP="006B76C3">
      <w:pPr>
        <w:pStyle w:val="Equationlegend"/>
        <w:rPr>
          <w:lang w:eastAsia="zh-CN"/>
        </w:rPr>
      </w:pPr>
      <w:r w:rsidRPr="00464DCF">
        <w:rPr>
          <w:lang w:eastAsia="zh-CN"/>
        </w:rPr>
        <w:tab/>
      </w:r>
      <w:r w:rsidRPr="00464DCF">
        <w:rPr>
          <w:i/>
          <w:iCs/>
          <w:lang w:eastAsia="zh-CN"/>
        </w:rPr>
        <w:t>L</w:t>
      </w:r>
      <w:r w:rsidRPr="00464DCF">
        <w:rPr>
          <w:i/>
          <w:iCs/>
          <w:vertAlign w:val="subscript"/>
          <w:lang w:eastAsia="zh-CN"/>
        </w:rPr>
        <w:t>clutter,</w:t>
      </w:r>
      <w:r>
        <w:rPr>
          <w:rFonts w:hint="eastAsia"/>
          <w:i/>
          <w:iCs/>
          <w:vertAlign w:val="subscript"/>
          <w:lang w:eastAsia="ja-JP"/>
        </w:rPr>
        <w:t>i</w:t>
      </w:r>
      <w:r w:rsidRPr="00464DCF">
        <w:rPr>
          <w:lang w:eastAsia="zh-CN"/>
        </w:rPr>
        <w:t>:</w:t>
      </w:r>
      <w:r w:rsidRPr="00464DCF">
        <w:rPr>
          <w:lang w:eastAsia="zh-CN"/>
        </w:rPr>
        <w:tab/>
        <w:t xml:space="preserve">is the average clutter loss in the interference path for location </w:t>
      </w:r>
      <w:r w:rsidRPr="00464DCF">
        <w:rPr>
          <w:lang w:eastAsia="ja-JP"/>
        </w:rPr>
        <w:t>(</w:t>
      </w:r>
      <w:r>
        <w:rPr>
          <w:rFonts w:hint="eastAsia"/>
          <w:i/>
          <w:lang w:eastAsia="ja-JP"/>
        </w:rPr>
        <w:t>i</w:t>
      </w:r>
      <w:r w:rsidRPr="00464DCF">
        <w:rPr>
          <w:lang w:eastAsia="ja-JP"/>
        </w:rPr>
        <w:t>)</w:t>
      </w:r>
      <w:r w:rsidRPr="00464DCF">
        <w:rPr>
          <w:lang w:eastAsia="zh-CN"/>
        </w:rPr>
        <w:t xml:space="preserve"> (dB), calculated using the entire cumulative distribution of clutter losses as detailed in </w:t>
      </w:r>
      <w:r w:rsidRPr="00464DCF">
        <w:rPr>
          <w:lang w:eastAsia="ja-JP"/>
        </w:rPr>
        <w:t>Recommendation ITU-R P.2108</w:t>
      </w:r>
      <w:r w:rsidRPr="00464DCF">
        <w:rPr>
          <w:lang w:eastAsia="zh-CN"/>
        </w:rPr>
        <w:t xml:space="preserve">; </w:t>
      </w:r>
    </w:p>
    <w:p w14:paraId="1A914232" w14:textId="77777777" w:rsidR="006B76C3" w:rsidRPr="00464DCF" w:rsidRDefault="006B76C3" w:rsidP="006B76C3">
      <w:pPr>
        <w:pStyle w:val="Equationlegend"/>
        <w:rPr>
          <w:rFonts w:ascii="Cambria Math" w:hAnsi="Cambria Math" w:cs="Cambria Math" w:hint="eastAsia"/>
          <w:lang w:eastAsia="ja-JP"/>
        </w:rPr>
      </w:pPr>
      <w:r w:rsidRPr="00464DCF">
        <w:rPr>
          <w:rFonts w:ascii="Cambria Math" w:hAnsi="Cambria Math" w:cs="Cambria Math"/>
          <w:lang w:eastAsia="zh-CN"/>
        </w:rPr>
        <w:tab/>
      </w:r>
      <w:r w:rsidRPr="00464DCF">
        <w:rPr>
          <w:i/>
          <w:lang w:eastAsia="ja-JP"/>
        </w:rPr>
        <w:t>PD</w:t>
      </w:r>
      <w:r w:rsidRPr="00464DCF">
        <w:rPr>
          <w:lang w:eastAsia="ja-JP"/>
        </w:rPr>
        <w:t xml:space="preserve">: </w:t>
      </w:r>
      <w:r w:rsidRPr="00464DCF">
        <w:rPr>
          <w:lang w:eastAsia="ja-JP"/>
        </w:rPr>
        <w:tab/>
        <w:t>is the polarization discrimination (dB);</w:t>
      </w:r>
    </w:p>
    <w:p w14:paraId="51A52891" w14:textId="77777777" w:rsidR="006B76C3" w:rsidRPr="00464DCF" w:rsidRDefault="006B76C3" w:rsidP="006B76C3">
      <w:pPr>
        <w:pStyle w:val="Equationlegend"/>
        <w:rPr>
          <w:lang w:eastAsia="ja-JP"/>
        </w:rPr>
      </w:pPr>
      <w:r w:rsidRPr="00464DCF">
        <w:rPr>
          <w:i/>
          <w:iCs/>
          <w:lang w:eastAsia="ja-JP"/>
        </w:rPr>
        <w:tab/>
      </w:r>
      <w:r w:rsidRPr="00464DCF">
        <w:rPr>
          <w:i/>
          <w:iCs/>
          <w:lang w:eastAsia="zh-CN"/>
        </w:rPr>
        <w:t>Loss</w:t>
      </w:r>
      <w:r w:rsidRPr="00464DCF">
        <w:rPr>
          <w:i/>
          <w:iCs/>
          <w:vertAlign w:val="subscript"/>
          <w:lang w:eastAsia="zh-CN"/>
        </w:rPr>
        <w:t>body</w:t>
      </w:r>
      <w:r w:rsidRPr="00464DCF">
        <w:rPr>
          <w:lang w:eastAsia="zh-CN"/>
        </w:rPr>
        <w:t xml:space="preserve">: </w:t>
      </w:r>
      <w:r w:rsidRPr="00464DCF">
        <w:rPr>
          <w:lang w:eastAsia="zh-CN"/>
        </w:rPr>
        <w:tab/>
        <w:t>is the loss due to the user’s body (only applicable whe</w:t>
      </w:r>
      <w:r>
        <w:rPr>
          <w:rFonts w:hint="eastAsia"/>
          <w:lang w:eastAsia="ja-JP"/>
        </w:rPr>
        <w:t>re</w:t>
      </w:r>
      <w:r w:rsidRPr="00464DCF">
        <w:rPr>
          <w:lang w:eastAsia="zh-CN"/>
        </w:rPr>
        <w:t xml:space="preserve"> considering </w:t>
      </w:r>
      <w:r w:rsidRPr="00464DCF">
        <w:rPr>
          <w:lang w:eastAsia="ja-JP"/>
        </w:rPr>
        <w:t>transmission from</w:t>
      </w:r>
      <w:r w:rsidRPr="00464DCF">
        <w:rPr>
          <w:lang w:eastAsia="zh-CN"/>
        </w:rPr>
        <w:t xml:space="preserve"> UEs) (dB)</w:t>
      </w:r>
      <w:r w:rsidRPr="00464DCF">
        <w:rPr>
          <w:lang w:eastAsia="ja-JP"/>
        </w:rPr>
        <w:t>;</w:t>
      </w:r>
    </w:p>
    <w:p w14:paraId="4812298D" w14:textId="77777777" w:rsidR="006B76C3" w:rsidRPr="00464DCF" w:rsidRDefault="006B76C3" w:rsidP="006B76C3">
      <w:pPr>
        <w:pStyle w:val="Equationlegend"/>
        <w:rPr>
          <w:lang w:eastAsia="ja-JP"/>
        </w:rPr>
      </w:pPr>
      <w:r w:rsidRPr="00464DCF">
        <w:rPr>
          <w:i/>
          <w:iCs/>
          <w:lang w:eastAsia="zh-CN"/>
        </w:rPr>
        <w:tab/>
        <w:t>G</w:t>
      </w:r>
      <w:r w:rsidRPr="00464DCF">
        <w:rPr>
          <w:i/>
          <w:iCs/>
          <w:vertAlign w:val="subscript"/>
          <w:lang w:eastAsia="zh-CN"/>
        </w:rPr>
        <w:t>sat,n</w:t>
      </w:r>
      <w:r w:rsidRPr="00464DCF">
        <w:rPr>
          <w:lang w:eastAsia="zh-CN"/>
        </w:rPr>
        <w:t xml:space="preserve">: </w:t>
      </w:r>
      <w:r w:rsidRPr="00464DCF">
        <w:rPr>
          <w:lang w:eastAsia="zh-CN"/>
        </w:rPr>
        <w:tab/>
        <w:t>is the gain of the satellite receive antenna (dBi) in the direction of the IMT</w:t>
      </w:r>
      <w:r w:rsidRPr="00464DCF">
        <w:rPr>
          <w:lang w:eastAsia="zh-CN"/>
        </w:rPr>
        <w:noBreakHyphen/>
        <w:t>2020 deploy</w:t>
      </w:r>
      <w:r>
        <w:rPr>
          <w:rFonts w:hint="eastAsia"/>
          <w:lang w:eastAsia="ja-JP"/>
        </w:rPr>
        <w:t>ed</w:t>
      </w:r>
      <w:r w:rsidRPr="00464DCF">
        <w:rPr>
          <w:lang w:eastAsia="zh-CN"/>
        </w:rPr>
        <w:t xml:space="preserve"> location (</w:t>
      </w:r>
      <w:r>
        <w:rPr>
          <w:rFonts w:hint="eastAsia"/>
          <w:i/>
          <w:iCs/>
          <w:lang w:eastAsia="ja-JP"/>
        </w:rPr>
        <w:t>i</w:t>
      </w:r>
      <w:r w:rsidRPr="00464DCF">
        <w:rPr>
          <w:lang w:eastAsia="zh-CN"/>
        </w:rPr>
        <w:t>)</w:t>
      </w:r>
      <w:r>
        <w:rPr>
          <w:rFonts w:hint="eastAsia"/>
          <w:lang w:eastAsia="ja-JP"/>
        </w:rPr>
        <w:t>;</w:t>
      </w:r>
    </w:p>
    <w:p w14:paraId="7BD0EF1E" w14:textId="77777777" w:rsidR="006B76C3" w:rsidRPr="00464DCF" w:rsidRDefault="006B76C3" w:rsidP="006B76C3">
      <w:pPr>
        <w:pStyle w:val="Equationlegend"/>
        <w:rPr>
          <w:lang w:eastAsia="ja-JP"/>
        </w:rPr>
      </w:pPr>
      <w:r w:rsidRPr="00464DCF">
        <w:rPr>
          <w:lang w:eastAsia="zh-CN"/>
        </w:rPr>
        <w:tab/>
      </w:r>
      <w:r w:rsidRPr="00464DCF">
        <w:rPr>
          <w:i/>
          <w:iCs/>
          <w:lang w:eastAsia="zh-CN"/>
        </w:rPr>
        <w:t>N</w:t>
      </w:r>
      <w:r w:rsidRPr="00464DCF">
        <w:rPr>
          <w:lang w:eastAsia="zh-CN"/>
        </w:rPr>
        <w:t xml:space="preserve">: </w:t>
      </w:r>
      <w:r w:rsidRPr="00464DCF">
        <w:rPr>
          <w:lang w:eastAsia="zh-CN"/>
        </w:rPr>
        <w:tab/>
        <w:t>is the</w:t>
      </w:r>
      <w:r>
        <w:rPr>
          <w:rFonts w:hint="eastAsia"/>
          <w:lang w:eastAsia="ja-JP"/>
        </w:rPr>
        <w:t xml:space="preserve"> </w:t>
      </w:r>
      <w:r w:rsidRPr="00464DCF">
        <w:rPr>
          <w:lang w:eastAsia="zh-CN"/>
        </w:rPr>
        <w:t>number of IMT</w:t>
      </w:r>
      <w:r w:rsidRPr="00464DCF">
        <w:rPr>
          <w:lang w:eastAsia="zh-CN"/>
        </w:rPr>
        <w:noBreakHyphen/>
        <w:t>2020</w:t>
      </w:r>
      <w:r>
        <w:rPr>
          <w:rFonts w:hint="eastAsia"/>
          <w:lang w:eastAsia="ja-JP"/>
        </w:rPr>
        <w:t xml:space="preserve"> BS or UE stations</w:t>
      </w:r>
      <w:r w:rsidRPr="00464DCF">
        <w:rPr>
          <w:lang w:eastAsia="zh-CN"/>
        </w:rPr>
        <w:t xml:space="preserve"> simulated</w:t>
      </w:r>
      <w:r w:rsidRPr="00464DCF">
        <w:rPr>
          <w:lang w:eastAsia="ja-JP"/>
        </w:rPr>
        <w:t>.</w:t>
      </w:r>
    </w:p>
    <w:p w14:paraId="19725D7E" w14:textId="77777777" w:rsidR="006B76C3" w:rsidRPr="00464DCF" w:rsidRDefault="006B76C3" w:rsidP="00D503E1">
      <w:pPr>
        <w:pStyle w:val="Headingb"/>
        <w:spacing w:before="360"/>
        <w:rPr>
          <w:lang w:val="en-GB"/>
        </w:rPr>
      </w:pPr>
      <w:r w:rsidRPr="00464DCF">
        <w:rPr>
          <w:lang w:val="en-GB"/>
        </w:rPr>
        <w:lastRenderedPageBreak/>
        <w:t>ii)</w:t>
      </w:r>
    </w:p>
    <w:p w14:paraId="53796D89" w14:textId="77777777" w:rsidR="006B76C3" w:rsidRPr="00464DCF" w:rsidRDefault="006B76C3" w:rsidP="006B76C3">
      <w:pPr>
        <w:rPr>
          <w:lang w:eastAsia="ja-JP"/>
        </w:rPr>
      </w:pPr>
      <w:r w:rsidRPr="00464DCF">
        <w:rPr>
          <w:lang w:eastAsia="ja-JP"/>
        </w:rPr>
        <w:t>The aggregate</w:t>
      </w:r>
      <w:r>
        <w:rPr>
          <w:rFonts w:eastAsiaTheme="minorEastAsia" w:hint="eastAsia"/>
          <w:lang w:eastAsia="ja-JP"/>
        </w:rPr>
        <w:t>d</w:t>
      </w:r>
      <w:r w:rsidRPr="00464DCF">
        <w:rPr>
          <w:lang w:eastAsia="ja-JP"/>
        </w:rPr>
        <w:t xml:space="preserve"> interference</w:t>
      </w:r>
      <w:r>
        <w:rPr>
          <w:rFonts w:eastAsiaTheme="minorEastAsia" w:hint="eastAsia"/>
          <w:lang w:eastAsia="ja-JP"/>
        </w:rPr>
        <w:t xml:space="preserve"> power density from BSs or UEs</w:t>
      </w:r>
      <w:r>
        <w:rPr>
          <w:lang w:eastAsia="ja-JP"/>
        </w:rPr>
        <w:t xml:space="preserve"> </w:t>
      </w:r>
      <w:r>
        <w:rPr>
          <w:rFonts w:eastAsiaTheme="minorEastAsia" w:hint="eastAsia"/>
          <w:lang w:eastAsia="ja-JP"/>
        </w:rPr>
        <w:t>are</w:t>
      </w:r>
      <w:r>
        <w:rPr>
          <w:lang w:eastAsia="ja-JP"/>
        </w:rPr>
        <w:t xml:space="preserve"> calculated by equation</w:t>
      </w:r>
      <w:r>
        <w:rPr>
          <w:rFonts w:eastAsiaTheme="minorEastAsia" w:hint="eastAsia"/>
          <w:lang w:eastAsia="ja-JP"/>
        </w:rPr>
        <w:t>s</w:t>
      </w:r>
      <w:r>
        <w:rPr>
          <w:lang w:eastAsia="ja-JP"/>
        </w:rPr>
        <w:t xml:space="preserve"> (</w:t>
      </w:r>
      <w:r>
        <w:rPr>
          <w:rFonts w:hint="eastAsia"/>
          <w:lang w:eastAsia="ja-JP"/>
        </w:rPr>
        <w:t>A</w:t>
      </w:r>
      <w:r>
        <w:rPr>
          <w:lang w:eastAsia="ja-JP"/>
        </w:rPr>
        <w:t>-</w:t>
      </w:r>
      <w:r>
        <w:rPr>
          <w:rFonts w:eastAsiaTheme="minorEastAsia" w:hint="eastAsia"/>
          <w:lang w:eastAsia="ja-JP"/>
        </w:rPr>
        <w:t>2a</w:t>
      </w:r>
      <w:r w:rsidRPr="00464DCF">
        <w:rPr>
          <w:lang w:eastAsia="ja-JP"/>
        </w:rPr>
        <w:t>)</w:t>
      </w:r>
      <w:r>
        <w:rPr>
          <w:rFonts w:eastAsiaTheme="minorEastAsia" w:hint="eastAsia"/>
          <w:lang w:eastAsia="ja-JP"/>
        </w:rPr>
        <w:t xml:space="preserve"> and (A-2b), respectively</w:t>
      </w:r>
      <w:r w:rsidRPr="00464DCF">
        <w:rPr>
          <w:lang w:eastAsia="ja-JP"/>
        </w:rPr>
        <w:t>.</w:t>
      </w:r>
    </w:p>
    <w:p w14:paraId="746BF489" w14:textId="77777777" w:rsidR="006B76C3" w:rsidRDefault="008C519E" w:rsidP="006B76C3">
      <w:pPr>
        <w:pStyle w:val="Equation"/>
        <w:ind w:left="720"/>
        <w:rPr>
          <w:rFonts w:eastAsiaTheme="minorEastAsia"/>
          <w:lang w:eastAsia="ja-JP"/>
        </w:rPr>
      </w:pPr>
      <m:oMath>
        <m:sSub>
          <m:sSubPr>
            <m:ctrlPr>
              <w:rPr>
                <w:rFonts w:ascii="Cambria Math" w:eastAsia="SimSun" w:hAnsi="Cambria Math"/>
              </w:rPr>
            </m:ctrlPr>
          </m:sSubPr>
          <m:e>
            <m:r>
              <w:rPr>
                <w:rFonts w:ascii="Cambria Math" w:eastAsia="SimSun" w:hAnsi="Cambria Math"/>
              </w:rPr>
              <m:t>I</m:t>
            </m:r>
          </m:e>
          <m:sub>
            <m:r>
              <w:rPr>
                <w:rFonts w:ascii="Cambria Math" w:eastAsia="SimSun" w:hAnsi="Cambria Math"/>
              </w:rPr>
              <m:t>agg</m:t>
            </m:r>
            <m:r>
              <m:rPr>
                <m:sty m:val="p"/>
              </m:rPr>
              <w:rPr>
                <w:rFonts w:ascii="Cambria Math" w:eastAsia="SimSun" w:hAnsi="Cambria Math"/>
              </w:rPr>
              <m:t>_</m:t>
            </m:r>
            <m:r>
              <w:rPr>
                <w:rFonts w:ascii="Cambria Math" w:eastAsia="SimSun" w:hAnsi="Cambria Math"/>
              </w:rPr>
              <m:t>BS</m:t>
            </m:r>
          </m:sub>
        </m:sSub>
        <m:r>
          <m:rPr>
            <m:sty m:val="p"/>
          </m:rPr>
          <w:rPr>
            <w:rFonts w:ascii="Cambria Math" w:eastAsia="SimSun" w:hAnsi="Cambria Math"/>
          </w:rPr>
          <m:t>=</m:t>
        </m:r>
        <m:r>
          <m:rPr>
            <m:sty m:val="p"/>
          </m:rPr>
          <w:rPr>
            <w:rFonts w:ascii="Cambria Math" w:eastAsia="SimSun" w:hAnsi="Cambria Math"/>
            <w:u w:val="single"/>
          </w:rPr>
          <m:t>10</m:t>
        </m:r>
        <m:func>
          <m:funcPr>
            <m:ctrlPr>
              <w:rPr>
                <w:rFonts w:ascii="Cambria Math" w:eastAsia="SimSun" w:hAnsi="Cambria Math"/>
                <w:u w:val="single"/>
              </w:rPr>
            </m:ctrlPr>
          </m:funcPr>
          <m:fName>
            <m:sSub>
              <m:sSubPr>
                <m:ctrlPr>
                  <w:rPr>
                    <w:rFonts w:ascii="Cambria Math" w:eastAsia="SimSun" w:hAnsi="Cambria Math"/>
                    <w:u w:val="single"/>
                  </w:rPr>
                </m:ctrlPr>
              </m:sSubPr>
              <m:e>
                <m:r>
                  <w:rPr>
                    <w:rFonts w:ascii="Cambria Math" w:eastAsia="SimSun" w:hAnsi="Cambria Math"/>
                    <w:u w:val="single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u w:val="single"/>
                  </w:rPr>
                  <m:t>10</m:t>
                </m:r>
              </m:sub>
            </m:sSub>
          </m:fName>
          <m:e>
            <m:d>
              <m:dPr>
                <m:ctrlPr>
                  <w:rPr>
                    <w:rFonts w:ascii="Cambria Math" w:eastAsia="SimSun" w:hAnsi="Cambria Math"/>
                    <w:u w:val="single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DL</m:t>
                    </m:r>
                  </m:sub>
                </m:sSub>
                <m:r>
                  <w:rPr>
                    <w:rFonts w:ascii="Cambria Math" w:hAnsi="Cambria Math"/>
                  </w:rPr>
                  <m:t>∙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theme="minorBidi"/>
                        <w:i/>
                        <w:kern w:val="2"/>
                        <w:sz w:val="21"/>
                        <w:lang w:eastAsia="ja-JP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BS</m:t>
                        </m:r>
                      </m:sub>
                    </m:sSub>
                    <m:r>
                      <w:rPr>
                        <w:rFonts w:ascii="Cambria Math" w:eastAsia="SimSun" w:hAnsi="Cambria Math"/>
                        <w:u w:val="single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 xml:space="preserve"> 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</m:sSub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Bidi"/>
                            <w:i/>
                            <w:kern w:val="2"/>
                            <w:sz w:val="21"/>
                            <w:lang w:eastAsia="ja-JP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kern w:val="2"/>
                                <w:sz w:val="21"/>
                                <w:lang w:eastAsia="ja-JP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BS,  i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10</m:t>
                            </m:r>
                          </m:den>
                        </m:f>
                      </m:sup>
                    </m:sSup>
                  </m:e>
                </m:nary>
              </m:e>
            </m:d>
          </m:e>
        </m:func>
      </m:oMath>
      <w:r w:rsidR="006B76C3">
        <w:rPr>
          <w:rFonts w:eastAsiaTheme="minorEastAsia" w:hint="eastAsia"/>
          <w:lang w:eastAsia="ja-JP"/>
        </w:rPr>
        <w:tab/>
      </w:r>
      <w:r w:rsidR="006B76C3">
        <w:rPr>
          <w:rFonts w:eastAsiaTheme="minorEastAsia" w:hint="eastAsia"/>
          <w:lang w:eastAsia="ja-JP"/>
        </w:rPr>
        <w:tab/>
      </w:r>
      <w:r w:rsidR="006B76C3">
        <w:rPr>
          <w:rFonts w:eastAsia="SimSun"/>
        </w:rPr>
        <w:t>(</w:t>
      </w:r>
      <w:r w:rsidR="006B76C3">
        <w:rPr>
          <w:rFonts w:hint="eastAsia"/>
          <w:lang w:eastAsia="ja-JP"/>
        </w:rPr>
        <w:t>A</w:t>
      </w:r>
      <w:r w:rsidR="006B76C3" w:rsidRPr="00464DCF">
        <w:rPr>
          <w:rFonts w:eastAsia="SimSun"/>
        </w:rPr>
        <w:t>-</w:t>
      </w:r>
      <w:r w:rsidR="006B76C3">
        <w:rPr>
          <w:rFonts w:hint="eastAsia"/>
          <w:lang w:eastAsia="ja-JP"/>
        </w:rPr>
        <w:t>2a</w:t>
      </w:r>
      <w:r w:rsidR="006B76C3" w:rsidRPr="00464DCF">
        <w:rPr>
          <w:rFonts w:eastAsia="SimSun"/>
        </w:rPr>
        <w:t>)</w:t>
      </w:r>
    </w:p>
    <w:p w14:paraId="6C912ED1" w14:textId="69D3FA93" w:rsidR="006B76C3" w:rsidRPr="00E71029" w:rsidRDefault="008C519E" w:rsidP="006B76C3">
      <w:pPr>
        <w:pStyle w:val="Equation"/>
        <w:ind w:left="720"/>
        <w:rPr>
          <w:rFonts w:eastAsiaTheme="minorEastAsia"/>
          <w:lang w:eastAsia="ja-JP"/>
        </w:rPr>
      </w:pPr>
      <m:oMath>
        <m:sSub>
          <m:sSubPr>
            <m:ctrlPr>
              <w:rPr>
                <w:rFonts w:ascii="Cambria Math" w:eastAsia="SimSun" w:hAnsi="Cambria Math"/>
              </w:rPr>
            </m:ctrlPr>
          </m:sSubPr>
          <m:e>
            <m:r>
              <w:rPr>
                <w:rFonts w:ascii="Cambria Math" w:eastAsia="SimSun" w:hAnsi="Cambria Math"/>
              </w:rPr>
              <m:t>I</m:t>
            </m:r>
          </m:e>
          <m:sub>
            <m:r>
              <w:rPr>
                <w:rFonts w:ascii="Cambria Math" w:eastAsia="SimSun" w:hAnsi="Cambria Math"/>
              </w:rPr>
              <m:t>agg</m:t>
            </m:r>
            <m:r>
              <m:rPr>
                <m:sty m:val="p"/>
              </m:rPr>
              <w:rPr>
                <w:rFonts w:ascii="Cambria Math" w:eastAsia="SimSun" w:hAnsi="Cambria Math"/>
              </w:rPr>
              <m:t>_</m:t>
            </m:r>
            <m:r>
              <w:rPr>
                <w:rFonts w:ascii="Cambria Math" w:eastAsia="SimSun" w:hAnsi="Cambria Math"/>
              </w:rPr>
              <m:t>UE</m:t>
            </m:r>
          </m:sub>
        </m:sSub>
        <m:r>
          <m:rPr>
            <m:sty m:val="p"/>
          </m:rPr>
          <w:rPr>
            <w:rFonts w:ascii="Cambria Math" w:eastAsia="SimSun" w:hAnsi="Cambria Math"/>
          </w:rPr>
          <m:t>=</m:t>
        </m:r>
        <m:r>
          <m:rPr>
            <m:sty m:val="p"/>
          </m:rPr>
          <w:rPr>
            <w:rFonts w:ascii="Cambria Math" w:eastAsia="SimSun" w:hAnsi="Cambria Math"/>
            <w:u w:val="single"/>
          </w:rPr>
          <m:t>10</m:t>
        </m:r>
        <m:func>
          <m:funcPr>
            <m:ctrlPr>
              <w:rPr>
                <w:rFonts w:ascii="Cambria Math" w:eastAsia="SimSun" w:hAnsi="Cambria Math"/>
                <w:u w:val="single"/>
              </w:rPr>
            </m:ctrlPr>
          </m:funcPr>
          <m:fName>
            <m:sSub>
              <m:sSubPr>
                <m:ctrlPr>
                  <w:rPr>
                    <w:rFonts w:ascii="Cambria Math" w:eastAsia="SimSun" w:hAnsi="Cambria Math"/>
                    <w:u w:val="single"/>
                  </w:rPr>
                </m:ctrlPr>
              </m:sSubPr>
              <m:e>
                <m:r>
                  <w:rPr>
                    <w:rFonts w:ascii="Cambria Math" w:eastAsia="SimSun" w:hAnsi="Cambria Math"/>
                    <w:u w:val="single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u w:val="single"/>
                  </w:rPr>
                  <m:t>10</m:t>
                </m:r>
              </m:sub>
            </m:sSub>
          </m:fName>
          <m:e>
            <m:d>
              <m:dPr>
                <m:ctrlPr>
                  <w:rPr>
                    <w:rFonts w:ascii="Cambria Math" w:eastAsia="SimSun" w:hAnsi="Cambria Math"/>
                    <w:u w:val="single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UL</m:t>
                    </m:r>
                  </m:sub>
                </m:sSub>
                <m:r>
                  <w:rPr>
                    <w:rFonts w:ascii="Cambria Math" w:hAnsi="Cambria Math"/>
                  </w:rPr>
                  <m:t>∙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theme="minorBidi"/>
                        <w:i/>
                        <w:kern w:val="2"/>
                        <w:sz w:val="21"/>
                        <w:lang w:eastAsia="ja-JP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UE</m:t>
                        </m:r>
                      </m:sub>
                    </m:sSub>
                    <m:r>
                      <w:rPr>
                        <w:rFonts w:ascii="Cambria Math" w:eastAsia="SimSun" w:hAnsi="Cambria Math"/>
                        <w:u w:val="single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 xml:space="preserve"> 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</m:sSub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Bidi"/>
                            <w:i/>
                            <w:kern w:val="2"/>
                            <w:sz w:val="21"/>
                            <w:lang w:eastAsia="ja-JP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kern w:val="2"/>
                                <w:sz w:val="21"/>
                                <w:lang w:eastAsia="ja-JP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UE,i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10</m:t>
                            </m:r>
                          </m:den>
                        </m:f>
                      </m:sup>
                    </m:sSup>
                  </m:e>
                </m:nary>
              </m:e>
            </m:d>
          </m:e>
        </m:func>
      </m:oMath>
      <w:r w:rsidR="006B76C3">
        <w:rPr>
          <w:rFonts w:eastAsia="SimSun"/>
        </w:rPr>
        <w:tab/>
        <w:t>(</w:t>
      </w:r>
      <w:r w:rsidR="006B76C3">
        <w:rPr>
          <w:rFonts w:hint="eastAsia"/>
          <w:lang w:eastAsia="ja-JP"/>
        </w:rPr>
        <w:t>A</w:t>
      </w:r>
      <w:r w:rsidR="006B76C3" w:rsidRPr="00464DCF">
        <w:rPr>
          <w:rFonts w:eastAsia="SimSun"/>
        </w:rPr>
        <w:t>-</w:t>
      </w:r>
      <w:r w:rsidR="006B76C3">
        <w:rPr>
          <w:rFonts w:hint="eastAsia"/>
          <w:lang w:eastAsia="ja-JP"/>
        </w:rPr>
        <w:t>2b</w:t>
      </w:r>
      <w:r w:rsidR="006B76C3" w:rsidRPr="00464DCF">
        <w:rPr>
          <w:rFonts w:eastAsia="SimSun"/>
        </w:rPr>
        <w:t>)</w:t>
      </w:r>
    </w:p>
    <w:p w14:paraId="18BDFC4B" w14:textId="77777777" w:rsidR="006B76C3" w:rsidRPr="00464DCF" w:rsidRDefault="006B76C3" w:rsidP="006B76C3">
      <w:pPr>
        <w:keepNext/>
        <w:keepLines/>
        <w:rPr>
          <w:lang w:eastAsia="zh-CN"/>
        </w:rPr>
      </w:pPr>
      <w:r w:rsidRPr="00464DCF">
        <w:rPr>
          <w:lang w:eastAsia="zh-CN"/>
        </w:rPr>
        <w:t>where:</w:t>
      </w:r>
    </w:p>
    <w:p w14:paraId="4B84802B" w14:textId="77777777" w:rsidR="006B76C3" w:rsidRPr="00464DCF" w:rsidRDefault="006B76C3" w:rsidP="006B76C3">
      <w:pPr>
        <w:pStyle w:val="Equationlegend"/>
        <w:rPr>
          <w:lang w:eastAsia="zh-CN"/>
        </w:rPr>
      </w:pPr>
      <w:r w:rsidRPr="00464DCF">
        <w:rPr>
          <w:lang w:eastAsia="zh-CN"/>
        </w:rPr>
        <w:tab/>
      </w:r>
      <w:r w:rsidRPr="00464DCF">
        <w:rPr>
          <w:i/>
          <w:iCs/>
          <w:lang w:eastAsia="zh-CN"/>
        </w:rPr>
        <w:t>I</w:t>
      </w:r>
      <w:r w:rsidRPr="00464DCF">
        <w:rPr>
          <w:i/>
          <w:iCs/>
          <w:vertAlign w:val="subscript"/>
          <w:lang w:eastAsia="zh-CN"/>
        </w:rPr>
        <w:t>agg_BS</w:t>
      </w:r>
      <w:r w:rsidRPr="00464DCF">
        <w:rPr>
          <w:lang w:eastAsia="zh-CN"/>
        </w:rPr>
        <w:t xml:space="preserve">: </w:t>
      </w:r>
      <w:r w:rsidRPr="00464DCF">
        <w:rPr>
          <w:lang w:eastAsia="zh-CN"/>
        </w:rPr>
        <w:tab/>
        <w:t>is the aggregate</w:t>
      </w:r>
      <w:r>
        <w:rPr>
          <w:rFonts w:hint="eastAsia"/>
          <w:lang w:eastAsia="ja-JP"/>
        </w:rPr>
        <w:t>d</w:t>
      </w:r>
      <w:r w:rsidRPr="00464DCF">
        <w:rPr>
          <w:lang w:eastAsia="zh-CN"/>
        </w:rPr>
        <w:t xml:space="preserve"> interference </w:t>
      </w:r>
      <w:r>
        <w:rPr>
          <w:rFonts w:hint="eastAsia"/>
          <w:lang w:eastAsia="ja-JP"/>
        </w:rPr>
        <w:t>power density</w:t>
      </w:r>
      <w:r w:rsidRPr="00464DCF">
        <w:rPr>
          <w:lang w:eastAsia="zh-CN"/>
        </w:rPr>
        <w:t xml:space="preserve"> at the satellite receiver from IMT</w:t>
      </w:r>
      <w:r w:rsidRPr="00464DCF">
        <w:rPr>
          <w:lang w:eastAsia="zh-CN"/>
        </w:rPr>
        <w:noBreakHyphen/>
        <w:t xml:space="preserve">2020 </w:t>
      </w:r>
      <w:r>
        <w:rPr>
          <w:rFonts w:hint="eastAsia"/>
          <w:lang w:eastAsia="ja-JP"/>
        </w:rPr>
        <w:t>BS</w:t>
      </w:r>
      <w:r w:rsidRPr="00464DCF">
        <w:rPr>
          <w:lang w:eastAsia="zh-CN"/>
        </w:rPr>
        <w:t>s (dB(</w:t>
      </w:r>
      <w:r w:rsidRPr="00464DCF">
        <w:rPr>
          <w:lang w:eastAsia="ja-JP"/>
        </w:rPr>
        <w:t>W</w:t>
      </w:r>
      <w:r w:rsidRPr="00464DCF">
        <w:rPr>
          <w:lang w:eastAsia="zh-CN"/>
        </w:rPr>
        <w:t>/MHz));</w:t>
      </w:r>
    </w:p>
    <w:p w14:paraId="3535D0EE" w14:textId="77777777" w:rsidR="006B76C3" w:rsidRPr="00464DCF" w:rsidRDefault="006B76C3" w:rsidP="006B76C3">
      <w:pPr>
        <w:pStyle w:val="Equationlegend"/>
        <w:rPr>
          <w:lang w:eastAsia="zh-CN"/>
        </w:rPr>
      </w:pPr>
      <w:r w:rsidRPr="00464DCF">
        <w:rPr>
          <w:lang w:eastAsia="zh-CN"/>
        </w:rPr>
        <w:tab/>
      </w:r>
      <w:r w:rsidRPr="00464DCF">
        <w:rPr>
          <w:i/>
          <w:iCs/>
          <w:lang w:eastAsia="zh-CN"/>
        </w:rPr>
        <w:t>I</w:t>
      </w:r>
      <w:r w:rsidRPr="00464DCF">
        <w:rPr>
          <w:i/>
          <w:iCs/>
          <w:vertAlign w:val="subscript"/>
          <w:lang w:eastAsia="zh-CN"/>
        </w:rPr>
        <w:t>agg_UE</w:t>
      </w:r>
      <w:r w:rsidRPr="00464DCF">
        <w:rPr>
          <w:lang w:eastAsia="zh-CN"/>
        </w:rPr>
        <w:t xml:space="preserve">: </w:t>
      </w:r>
      <w:r w:rsidRPr="00464DCF">
        <w:rPr>
          <w:lang w:eastAsia="zh-CN"/>
        </w:rPr>
        <w:tab/>
        <w:t>is the aggregate</w:t>
      </w:r>
      <w:r>
        <w:rPr>
          <w:rFonts w:hint="eastAsia"/>
          <w:lang w:eastAsia="ja-JP"/>
        </w:rPr>
        <w:t>d</w:t>
      </w:r>
      <w:r w:rsidRPr="00464DCF">
        <w:rPr>
          <w:lang w:eastAsia="zh-CN"/>
        </w:rPr>
        <w:t xml:space="preserve"> interference </w:t>
      </w:r>
      <w:r>
        <w:rPr>
          <w:rFonts w:hint="eastAsia"/>
          <w:lang w:eastAsia="ja-JP"/>
        </w:rPr>
        <w:t>power density</w:t>
      </w:r>
      <w:r w:rsidRPr="00464DCF">
        <w:rPr>
          <w:lang w:eastAsia="zh-CN"/>
        </w:rPr>
        <w:t xml:space="preserve"> at the satellite receiver from IMT</w:t>
      </w:r>
      <w:r w:rsidRPr="00464DCF">
        <w:rPr>
          <w:lang w:eastAsia="zh-CN"/>
        </w:rPr>
        <w:noBreakHyphen/>
        <w:t>2020 UEs (dB(</w:t>
      </w:r>
      <w:r w:rsidRPr="00464DCF">
        <w:rPr>
          <w:lang w:eastAsia="ja-JP"/>
        </w:rPr>
        <w:t>W</w:t>
      </w:r>
      <w:r w:rsidRPr="00464DCF">
        <w:rPr>
          <w:lang w:eastAsia="zh-CN"/>
        </w:rPr>
        <w:t>/MHz));</w:t>
      </w:r>
    </w:p>
    <w:p w14:paraId="6C9D1619" w14:textId="77777777" w:rsidR="006B76C3" w:rsidRPr="00464DCF" w:rsidRDefault="006B76C3" w:rsidP="006B76C3">
      <w:pPr>
        <w:pStyle w:val="Equationlegend"/>
        <w:rPr>
          <w:lang w:eastAsia="zh-CN"/>
        </w:rPr>
      </w:pPr>
      <w:r w:rsidRPr="00464DCF">
        <w:rPr>
          <w:lang w:eastAsia="zh-CN"/>
        </w:rPr>
        <w:tab/>
      </w:r>
      <w:r w:rsidRPr="00464DCF">
        <w:rPr>
          <w:i/>
          <w:iCs/>
          <w:lang w:eastAsia="zh-CN"/>
        </w:rPr>
        <w:t>P</w:t>
      </w:r>
      <w:r w:rsidRPr="00464DCF">
        <w:rPr>
          <w:i/>
          <w:iCs/>
          <w:vertAlign w:val="subscript"/>
          <w:lang w:eastAsia="zh-CN"/>
        </w:rPr>
        <w:t>DL</w:t>
      </w:r>
      <w:r w:rsidRPr="00464DCF">
        <w:rPr>
          <w:lang w:eastAsia="zh-CN"/>
        </w:rPr>
        <w:t>:</w:t>
      </w:r>
      <w:r w:rsidRPr="00464DCF">
        <w:rPr>
          <w:lang w:eastAsia="zh-CN"/>
        </w:rPr>
        <w:tab/>
        <w:t xml:space="preserve">is </w:t>
      </w:r>
      <w:r w:rsidRPr="00464DCF">
        <w:rPr>
          <w:lang w:eastAsia="ja-JP"/>
        </w:rPr>
        <w:t>BS TDD activity factor</w:t>
      </w:r>
      <w:r w:rsidRPr="00464DCF">
        <w:rPr>
          <w:lang w:eastAsia="zh-CN"/>
        </w:rPr>
        <w:t xml:space="preserve"> (</w:t>
      </w:r>
      <w:r>
        <w:rPr>
          <w:rFonts w:hint="eastAsia"/>
          <w:lang w:eastAsia="ja-JP"/>
        </w:rPr>
        <w:t>as a ratio</w:t>
      </w:r>
      <w:r w:rsidRPr="00464DCF">
        <w:rPr>
          <w:lang w:eastAsia="zh-CN"/>
        </w:rPr>
        <w:t>);</w:t>
      </w:r>
    </w:p>
    <w:p w14:paraId="61659C8A" w14:textId="77777777" w:rsidR="006B76C3" w:rsidRDefault="006B76C3" w:rsidP="006B76C3">
      <w:pPr>
        <w:pStyle w:val="Equationlegend"/>
        <w:rPr>
          <w:lang w:eastAsia="ja-JP"/>
        </w:rPr>
      </w:pPr>
      <w:r w:rsidRPr="00464DCF">
        <w:rPr>
          <w:lang w:eastAsia="zh-CN"/>
        </w:rPr>
        <w:tab/>
      </w:r>
      <w:r w:rsidRPr="00464DCF">
        <w:rPr>
          <w:i/>
          <w:iCs/>
          <w:lang w:eastAsia="zh-CN"/>
        </w:rPr>
        <w:t>P</w:t>
      </w:r>
      <w:r w:rsidRPr="00464DCF">
        <w:rPr>
          <w:i/>
          <w:iCs/>
          <w:vertAlign w:val="subscript"/>
          <w:lang w:eastAsia="zh-CN"/>
        </w:rPr>
        <w:t>UL</w:t>
      </w:r>
      <w:r w:rsidRPr="00464DCF">
        <w:rPr>
          <w:lang w:eastAsia="zh-CN"/>
        </w:rPr>
        <w:t>:</w:t>
      </w:r>
      <w:r w:rsidRPr="00464DCF">
        <w:rPr>
          <w:lang w:eastAsia="zh-CN"/>
        </w:rPr>
        <w:tab/>
        <w:t xml:space="preserve">is </w:t>
      </w:r>
      <w:r w:rsidRPr="00464DCF">
        <w:rPr>
          <w:lang w:eastAsia="ja-JP"/>
        </w:rPr>
        <w:t xml:space="preserve">UE TDD activity factor </w:t>
      </w:r>
      <w:r w:rsidRPr="00464DCF">
        <w:rPr>
          <w:lang w:eastAsia="zh-CN"/>
        </w:rPr>
        <w:t>(</w:t>
      </w:r>
      <w:r>
        <w:rPr>
          <w:rFonts w:hint="eastAsia"/>
          <w:lang w:eastAsia="ja-JP"/>
        </w:rPr>
        <w:t>as a ratio</w:t>
      </w:r>
      <w:r>
        <w:rPr>
          <w:lang w:eastAsia="zh-CN"/>
        </w:rPr>
        <w:t>)</w:t>
      </w:r>
      <w:r>
        <w:rPr>
          <w:rFonts w:hint="eastAsia"/>
          <w:lang w:eastAsia="ja-JP"/>
        </w:rPr>
        <w:t>;</w:t>
      </w:r>
    </w:p>
    <w:p w14:paraId="123343DC" w14:textId="77777777" w:rsidR="006B76C3" w:rsidRDefault="006B76C3" w:rsidP="006B76C3">
      <w:pPr>
        <w:pStyle w:val="Equationlegend"/>
        <w:rPr>
          <w:lang w:eastAsia="ja-JP"/>
        </w:rPr>
      </w:pPr>
      <w:r w:rsidRPr="00464DCF">
        <w:rPr>
          <w:lang w:eastAsia="zh-CN"/>
        </w:rPr>
        <w:tab/>
      </w:r>
      <w:r>
        <w:rPr>
          <w:rFonts w:hint="eastAsia"/>
          <w:i/>
          <w:iCs/>
          <w:lang w:eastAsia="ja-JP"/>
        </w:rPr>
        <w:t>N</w:t>
      </w:r>
      <w:r w:rsidRPr="006C3389">
        <w:rPr>
          <w:rFonts w:hint="eastAsia"/>
          <w:i/>
          <w:iCs/>
          <w:vertAlign w:val="subscript"/>
          <w:lang w:eastAsia="ja-JP"/>
        </w:rPr>
        <w:t>BS</w:t>
      </w:r>
      <w:r w:rsidRPr="00464DCF">
        <w:rPr>
          <w:lang w:eastAsia="zh-CN"/>
        </w:rPr>
        <w:t>:</w:t>
      </w:r>
      <w:r w:rsidRPr="00464DCF">
        <w:rPr>
          <w:lang w:eastAsia="zh-CN"/>
        </w:rPr>
        <w:tab/>
        <w:t xml:space="preserve">is </w:t>
      </w:r>
      <w:r>
        <w:rPr>
          <w:rFonts w:hint="eastAsia"/>
          <w:lang w:eastAsia="ja-JP"/>
        </w:rPr>
        <w:t>the number of IMT-2020 BSs to be deployed within the visible Earth;</w:t>
      </w:r>
    </w:p>
    <w:p w14:paraId="53BF0DB6" w14:textId="77777777" w:rsidR="006B76C3" w:rsidRDefault="006B76C3" w:rsidP="006B76C3">
      <w:pPr>
        <w:pStyle w:val="Equationlegend"/>
        <w:rPr>
          <w:lang w:eastAsia="ja-JP"/>
        </w:rPr>
      </w:pPr>
      <w:r w:rsidRPr="00464DCF">
        <w:rPr>
          <w:lang w:eastAsia="zh-CN"/>
        </w:rPr>
        <w:tab/>
      </w:r>
      <w:r>
        <w:rPr>
          <w:rFonts w:hint="eastAsia"/>
          <w:i/>
          <w:iCs/>
          <w:lang w:eastAsia="ja-JP"/>
        </w:rPr>
        <w:t>N</w:t>
      </w:r>
      <w:r>
        <w:rPr>
          <w:rFonts w:hint="eastAsia"/>
          <w:i/>
          <w:iCs/>
          <w:vertAlign w:val="subscript"/>
          <w:lang w:eastAsia="ja-JP"/>
        </w:rPr>
        <w:t>UE</w:t>
      </w:r>
      <w:r w:rsidRPr="00464DCF">
        <w:rPr>
          <w:lang w:eastAsia="zh-CN"/>
        </w:rPr>
        <w:t>:</w:t>
      </w:r>
      <w:r w:rsidRPr="00464DCF">
        <w:rPr>
          <w:lang w:eastAsia="zh-CN"/>
        </w:rPr>
        <w:tab/>
        <w:t xml:space="preserve">is </w:t>
      </w:r>
      <w:r>
        <w:rPr>
          <w:rFonts w:hint="eastAsia"/>
          <w:lang w:eastAsia="ja-JP"/>
        </w:rPr>
        <w:t>the number of IMT-2020 UEs to be deployed within the visible Earth;</w:t>
      </w:r>
    </w:p>
    <w:p w14:paraId="637DE132" w14:textId="77777777" w:rsidR="006B76C3" w:rsidRPr="00464DCF" w:rsidRDefault="006B76C3" w:rsidP="006B76C3">
      <w:pPr>
        <w:pStyle w:val="Equationlegend"/>
        <w:rPr>
          <w:lang w:eastAsia="ja-JP"/>
        </w:rPr>
      </w:pPr>
      <w:r w:rsidRPr="00464DCF">
        <w:rPr>
          <w:lang w:eastAsia="zh-CN"/>
        </w:rPr>
        <w:tab/>
      </w:r>
      <w:r w:rsidRPr="00464DCF">
        <w:rPr>
          <w:i/>
          <w:iCs/>
          <w:lang w:eastAsia="zh-CN"/>
        </w:rPr>
        <w:t>A</w:t>
      </w:r>
      <w:r w:rsidRPr="00464DCF">
        <w:rPr>
          <w:i/>
          <w:iCs/>
          <w:vertAlign w:val="subscript"/>
          <w:lang w:eastAsia="zh-CN"/>
        </w:rPr>
        <w:t>f</w:t>
      </w:r>
      <w:r w:rsidRPr="00464DCF">
        <w:rPr>
          <w:lang w:eastAsia="zh-CN"/>
        </w:rPr>
        <w:t>:</w:t>
      </w:r>
      <w:r w:rsidRPr="00464DCF">
        <w:rPr>
          <w:lang w:eastAsia="zh-CN"/>
        </w:rPr>
        <w:tab/>
        <w:t>is the IMT</w:t>
      </w:r>
      <w:r w:rsidRPr="00464DCF">
        <w:rPr>
          <w:lang w:eastAsia="zh-CN"/>
        </w:rPr>
        <w:noBreakHyphen/>
        <w:t xml:space="preserve">2020 </w:t>
      </w:r>
      <w:r w:rsidRPr="00464DCF">
        <w:rPr>
          <w:lang w:eastAsia="ja-JP"/>
        </w:rPr>
        <w:t xml:space="preserve">network loading </w:t>
      </w:r>
      <w:r w:rsidRPr="00464DCF">
        <w:rPr>
          <w:lang w:eastAsia="zh-CN"/>
        </w:rPr>
        <w:t>factor (</w:t>
      </w:r>
      <w:r>
        <w:rPr>
          <w:rFonts w:hint="eastAsia"/>
          <w:lang w:eastAsia="ja-JP"/>
        </w:rPr>
        <w:t>as a ratio</w:t>
      </w:r>
      <w:r w:rsidRPr="00464DCF">
        <w:rPr>
          <w:lang w:eastAsia="zh-CN"/>
        </w:rPr>
        <w:t>)</w:t>
      </w:r>
      <w:r>
        <w:rPr>
          <w:rFonts w:hint="eastAsia"/>
          <w:lang w:eastAsia="ja-JP"/>
        </w:rPr>
        <w:t>;</w:t>
      </w:r>
    </w:p>
    <w:p w14:paraId="6F353273" w14:textId="77777777" w:rsidR="006B76C3" w:rsidRDefault="006B76C3" w:rsidP="006B76C3">
      <w:pPr>
        <w:pStyle w:val="Equationlegend"/>
        <w:rPr>
          <w:lang w:eastAsia="ja-JP"/>
        </w:rPr>
      </w:pPr>
      <w:r w:rsidRPr="00464DCF">
        <w:rPr>
          <w:lang w:eastAsia="zh-CN"/>
        </w:rPr>
        <w:tab/>
      </w:r>
      <w:r>
        <w:rPr>
          <w:rFonts w:hint="eastAsia"/>
          <w:i/>
          <w:iCs/>
          <w:lang w:eastAsia="ja-JP"/>
        </w:rPr>
        <w:t>I</w:t>
      </w:r>
      <w:r w:rsidRPr="00E71029">
        <w:rPr>
          <w:i/>
          <w:iCs/>
          <w:vertAlign w:val="subscript"/>
          <w:lang w:eastAsia="ja-JP"/>
        </w:rPr>
        <w:t>BS,i</w:t>
      </w:r>
      <w:r w:rsidRPr="00464DCF">
        <w:rPr>
          <w:lang w:eastAsia="zh-CN"/>
        </w:rPr>
        <w:t>:</w:t>
      </w:r>
      <w:r w:rsidRPr="00464DCF">
        <w:rPr>
          <w:lang w:eastAsia="zh-CN"/>
        </w:rPr>
        <w:tab/>
        <w:t xml:space="preserve">is the interference </w:t>
      </w:r>
      <w:r>
        <w:rPr>
          <w:rFonts w:hint="eastAsia"/>
          <w:lang w:eastAsia="ja-JP"/>
        </w:rPr>
        <w:t>power spectrum density</w:t>
      </w:r>
      <w:r w:rsidRPr="00464DCF">
        <w:rPr>
          <w:lang w:eastAsia="zh-CN"/>
        </w:rPr>
        <w:t xml:space="preserve"> (dB(</w:t>
      </w:r>
      <w:r w:rsidRPr="00464DCF">
        <w:rPr>
          <w:lang w:eastAsia="ja-JP"/>
        </w:rPr>
        <w:t>W</w:t>
      </w:r>
      <w:r w:rsidRPr="00464DCF">
        <w:rPr>
          <w:lang w:eastAsia="zh-CN"/>
        </w:rPr>
        <w:t>/Hz)) received at the satellite from each IMT</w:t>
      </w:r>
      <w:r w:rsidRPr="00464DCF">
        <w:rPr>
          <w:lang w:eastAsia="zh-CN"/>
        </w:rPr>
        <w:noBreakHyphen/>
        <w:t xml:space="preserve">2020 </w:t>
      </w:r>
      <w:r>
        <w:rPr>
          <w:rFonts w:hint="eastAsia"/>
          <w:lang w:eastAsia="ja-JP"/>
        </w:rPr>
        <w:t>BS</w:t>
      </w:r>
      <w:r w:rsidRPr="00464DCF">
        <w:rPr>
          <w:lang w:eastAsia="ja-JP"/>
        </w:rPr>
        <w:t xml:space="preserve"> </w:t>
      </w:r>
      <w:r w:rsidRPr="00464DCF">
        <w:rPr>
          <w:lang w:eastAsia="zh-CN"/>
        </w:rPr>
        <w:t>deploy</w:t>
      </w:r>
      <w:r>
        <w:rPr>
          <w:rFonts w:hint="eastAsia"/>
          <w:lang w:eastAsia="ja-JP"/>
        </w:rPr>
        <w:t xml:space="preserve">ed </w:t>
      </w:r>
      <w:r w:rsidRPr="00464DCF">
        <w:rPr>
          <w:lang w:eastAsia="ja-JP"/>
        </w:rPr>
        <w:t xml:space="preserve">in </w:t>
      </w:r>
      <w:r w:rsidRPr="00464DCF">
        <w:rPr>
          <w:lang w:eastAsia="zh-CN"/>
        </w:rPr>
        <w:t xml:space="preserve"> location (</w:t>
      </w:r>
      <w:r>
        <w:rPr>
          <w:rFonts w:hint="eastAsia"/>
          <w:i/>
          <w:iCs/>
          <w:lang w:eastAsia="ja-JP"/>
        </w:rPr>
        <w:t>i</w:t>
      </w:r>
      <w:r w:rsidRPr="00464DCF">
        <w:rPr>
          <w:lang w:eastAsia="zh-CN"/>
        </w:rPr>
        <w:t>);</w:t>
      </w:r>
    </w:p>
    <w:p w14:paraId="66DD4635" w14:textId="77777777" w:rsidR="006B76C3" w:rsidRDefault="006B76C3" w:rsidP="006B76C3">
      <w:pPr>
        <w:pStyle w:val="Equationlegend"/>
        <w:rPr>
          <w:lang w:eastAsia="ja-JP"/>
        </w:rPr>
      </w:pPr>
      <w:r w:rsidRPr="00464DCF">
        <w:rPr>
          <w:lang w:eastAsia="zh-CN"/>
        </w:rPr>
        <w:tab/>
      </w:r>
      <w:r>
        <w:rPr>
          <w:rFonts w:hint="eastAsia"/>
          <w:i/>
          <w:iCs/>
          <w:lang w:eastAsia="ja-JP"/>
        </w:rPr>
        <w:t>I</w:t>
      </w:r>
      <w:r>
        <w:rPr>
          <w:rFonts w:hint="eastAsia"/>
          <w:i/>
          <w:iCs/>
          <w:vertAlign w:val="subscript"/>
          <w:lang w:eastAsia="ja-JP"/>
        </w:rPr>
        <w:t>UE</w:t>
      </w:r>
      <w:r w:rsidRPr="006C3389">
        <w:rPr>
          <w:rFonts w:hint="eastAsia"/>
          <w:i/>
          <w:iCs/>
          <w:vertAlign w:val="subscript"/>
          <w:lang w:eastAsia="ja-JP"/>
        </w:rPr>
        <w:t>,i</w:t>
      </w:r>
      <w:r w:rsidRPr="00464DCF">
        <w:rPr>
          <w:lang w:eastAsia="zh-CN"/>
        </w:rPr>
        <w:t>:</w:t>
      </w:r>
      <w:r w:rsidRPr="00464DCF">
        <w:rPr>
          <w:lang w:eastAsia="zh-CN"/>
        </w:rPr>
        <w:tab/>
        <w:t xml:space="preserve">is the interference </w:t>
      </w:r>
      <w:r>
        <w:rPr>
          <w:rFonts w:hint="eastAsia"/>
          <w:lang w:eastAsia="ja-JP"/>
        </w:rPr>
        <w:t>power spectrum density</w:t>
      </w:r>
      <w:r w:rsidRPr="00464DCF">
        <w:rPr>
          <w:lang w:eastAsia="zh-CN"/>
        </w:rPr>
        <w:t xml:space="preserve"> (dB(</w:t>
      </w:r>
      <w:r w:rsidRPr="00464DCF">
        <w:rPr>
          <w:lang w:eastAsia="ja-JP"/>
        </w:rPr>
        <w:t>W</w:t>
      </w:r>
      <w:r w:rsidRPr="00464DCF">
        <w:rPr>
          <w:lang w:eastAsia="zh-CN"/>
        </w:rPr>
        <w:t>/Hz)) received at the satellite from each IMT</w:t>
      </w:r>
      <w:r w:rsidRPr="00464DCF">
        <w:rPr>
          <w:lang w:eastAsia="zh-CN"/>
        </w:rPr>
        <w:noBreakHyphen/>
        <w:t xml:space="preserve">2020 </w:t>
      </w:r>
      <w:r>
        <w:rPr>
          <w:rFonts w:hint="eastAsia"/>
          <w:lang w:eastAsia="ja-JP"/>
        </w:rPr>
        <w:t>UE</w:t>
      </w:r>
      <w:r w:rsidRPr="00464DCF">
        <w:rPr>
          <w:lang w:eastAsia="ja-JP"/>
        </w:rPr>
        <w:t xml:space="preserve"> </w:t>
      </w:r>
      <w:r w:rsidRPr="00464DCF">
        <w:rPr>
          <w:lang w:eastAsia="zh-CN"/>
        </w:rPr>
        <w:t>deploy</w:t>
      </w:r>
      <w:r>
        <w:rPr>
          <w:rFonts w:hint="eastAsia"/>
          <w:lang w:eastAsia="ja-JP"/>
        </w:rPr>
        <w:t xml:space="preserve">ed </w:t>
      </w:r>
      <w:r w:rsidRPr="00464DCF">
        <w:rPr>
          <w:lang w:eastAsia="ja-JP"/>
        </w:rPr>
        <w:t xml:space="preserve">in </w:t>
      </w:r>
      <w:r w:rsidRPr="00464DCF">
        <w:rPr>
          <w:lang w:eastAsia="zh-CN"/>
        </w:rPr>
        <w:t xml:space="preserve"> location (</w:t>
      </w:r>
      <w:r>
        <w:rPr>
          <w:rFonts w:hint="eastAsia"/>
          <w:i/>
          <w:iCs/>
          <w:lang w:eastAsia="ja-JP"/>
        </w:rPr>
        <w:t>i</w:t>
      </w:r>
      <w:r w:rsidRPr="00464DCF">
        <w:rPr>
          <w:lang w:eastAsia="zh-CN"/>
        </w:rPr>
        <w:t>);</w:t>
      </w:r>
    </w:p>
    <w:p w14:paraId="51DB56C4" w14:textId="77777777" w:rsidR="006B76C3" w:rsidRPr="00116D9D" w:rsidRDefault="006B76C3" w:rsidP="006B76C3">
      <w:pPr>
        <w:pStyle w:val="Equationlegend"/>
        <w:rPr>
          <w:lang w:eastAsia="ja-JP"/>
        </w:rPr>
      </w:pPr>
    </w:p>
    <w:p w14:paraId="669C6C2D" w14:textId="77777777" w:rsidR="006B76C3" w:rsidRPr="00464DCF" w:rsidRDefault="006B76C3" w:rsidP="006B76C3">
      <w:pPr>
        <w:rPr>
          <w:lang w:eastAsia="ja-JP"/>
        </w:rPr>
      </w:pPr>
      <w:r w:rsidRPr="00464DCF">
        <w:rPr>
          <w:lang w:eastAsia="ja-JP"/>
        </w:rPr>
        <w:t>The total aggregate</w:t>
      </w:r>
      <w:r>
        <w:rPr>
          <w:rFonts w:eastAsiaTheme="minorEastAsia" w:hint="eastAsia"/>
          <w:lang w:eastAsia="ja-JP"/>
        </w:rPr>
        <w:t>d</w:t>
      </w:r>
      <w:r w:rsidRPr="00464DCF">
        <w:rPr>
          <w:lang w:eastAsia="ja-JP"/>
        </w:rPr>
        <w:t xml:space="preserve"> interference </w:t>
      </w:r>
      <w:r>
        <w:rPr>
          <w:rFonts w:eastAsiaTheme="minorEastAsia" w:hint="eastAsia"/>
          <w:lang w:eastAsia="ja-JP"/>
        </w:rPr>
        <w:t>power density</w:t>
      </w:r>
      <w:r w:rsidRPr="00464DCF">
        <w:rPr>
          <w:lang w:eastAsia="ja-JP"/>
        </w:rPr>
        <w:t xml:space="preserve"> from all BSs and U</w:t>
      </w:r>
      <w:r>
        <w:rPr>
          <w:lang w:eastAsia="ja-JP"/>
        </w:rPr>
        <w:t xml:space="preserve">Es </w:t>
      </w:r>
      <w:r>
        <w:rPr>
          <w:rFonts w:eastAsiaTheme="minorEastAsia" w:hint="eastAsia"/>
          <w:lang w:eastAsia="ja-JP"/>
        </w:rPr>
        <w:t>is</w:t>
      </w:r>
      <w:r>
        <w:rPr>
          <w:lang w:eastAsia="ja-JP"/>
        </w:rPr>
        <w:t xml:space="preserve"> calculated by equation (</w:t>
      </w:r>
      <w:r>
        <w:rPr>
          <w:rFonts w:hint="eastAsia"/>
          <w:lang w:eastAsia="ja-JP"/>
        </w:rPr>
        <w:t>A</w:t>
      </w:r>
      <w:r>
        <w:rPr>
          <w:lang w:eastAsia="ja-JP"/>
        </w:rPr>
        <w:t>-</w:t>
      </w:r>
      <w:r>
        <w:rPr>
          <w:rFonts w:eastAsiaTheme="minorEastAsia" w:hint="eastAsia"/>
          <w:lang w:eastAsia="ja-JP"/>
        </w:rPr>
        <w:t>3</w:t>
      </w:r>
      <w:r w:rsidRPr="00464DCF">
        <w:rPr>
          <w:lang w:eastAsia="ja-JP"/>
        </w:rPr>
        <w:t xml:space="preserve">). </w:t>
      </w:r>
    </w:p>
    <w:p w14:paraId="19EEE56C" w14:textId="77777777" w:rsidR="006B76C3" w:rsidRPr="00464DCF" w:rsidRDefault="006B76C3" w:rsidP="006B76C3">
      <w:pPr>
        <w:pStyle w:val="Equation"/>
        <w:rPr>
          <w:lang w:eastAsia="zh-CN"/>
        </w:rPr>
      </w:pPr>
      <w:r w:rsidRPr="00464DCF">
        <w:tab/>
      </w:r>
      <m:oMath>
        <m:sSub>
          <m:sSubPr>
            <m:ctrlPr>
              <w:rPr>
                <w:rFonts w:ascii="Cambria Math" w:eastAsia="SimSun" w:hAnsi="Cambria Math"/>
              </w:rPr>
            </m:ctrlPr>
          </m:sSubPr>
          <m:e>
            <m:r>
              <w:rPr>
                <w:rFonts w:ascii="Cambria Math" w:eastAsia="SimSun" w:hAnsi="Cambria Math"/>
              </w:rPr>
              <m:t>I</m:t>
            </m:r>
          </m:e>
          <m:sub>
            <m:r>
              <w:rPr>
                <w:rFonts w:ascii="Cambria Math" w:eastAsia="SimSun" w:hAnsi="Cambria Math"/>
              </w:rPr>
              <m:t>agg</m:t>
            </m:r>
          </m:sub>
        </m:sSub>
        <m:r>
          <m:rPr>
            <m:sty m:val="p"/>
          </m:rPr>
          <w:rPr>
            <w:rFonts w:ascii="Cambria Math" w:eastAsia="SimSun" w:hAnsi="Cambria Math"/>
          </w:rPr>
          <m:t xml:space="preserve">= </m:t>
        </m:r>
        <m:sSup>
          <m:sSupPr>
            <m:ctrlPr>
              <w:rPr>
                <w:rFonts w:ascii="Cambria Math" w:eastAsia="SimSun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</w:rPr>
              <m:t>10</m:t>
            </m:r>
          </m:e>
          <m:sup>
            <m:f>
              <m:fPr>
                <m:ctrlPr>
                  <w:rPr>
                    <w:rFonts w:ascii="Cambria Math" w:eastAsia="SimSun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SimSun" w:hAnsi="Cambria Math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eastAsia="SimSun" w:hAnsi="Cambria Math"/>
                      </w:rPr>
                      <m:t>agg_BS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</w:rPr>
                  <m:t>10</m:t>
                </m:r>
              </m:den>
            </m:f>
          </m:sup>
        </m:sSup>
        <m:r>
          <m:rPr>
            <m:sty m:val="p"/>
          </m:rPr>
          <w:rPr>
            <w:rFonts w:ascii="Cambria Math" w:eastAsia="SimSun" w:hAnsi="Cambria Math"/>
          </w:rPr>
          <m:t>+</m:t>
        </m:r>
        <m:sSup>
          <m:sSupPr>
            <m:ctrlPr>
              <w:rPr>
                <w:rFonts w:ascii="Cambria Math" w:eastAsia="SimSun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</w:rPr>
              <m:t>10</m:t>
            </m:r>
          </m:e>
          <m:sup>
            <m:f>
              <m:fPr>
                <m:ctrlPr>
                  <w:rPr>
                    <w:rFonts w:ascii="Cambria Math" w:eastAsia="SimSun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SimSun" w:hAnsi="Cambria Math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eastAsia="SimSun" w:hAnsi="Cambria Math"/>
                      </w:rPr>
                      <m:t>agg_UE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</w:rPr>
                  <m:t>10</m:t>
                </m:r>
              </m:den>
            </m:f>
          </m:sup>
        </m:sSup>
        <m:r>
          <m:rPr>
            <m:sty m:val="p"/>
          </m:rPr>
          <w:rPr>
            <w:rFonts w:ascii="Cambria Math" w:eastAsiaTheme="minorEastAsia" w:hAnsi="Cambria Math"/>
            <w:lang w:eastAsia="ja-JP"/>
          </w:rPr>
          <m:t xml:space="preserve"> </m:t>
        </m:r>
      </m:oMath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rFonts w:eastAsia="SimSun"/>
        </w:rPr>
        <w:t>(</w:t>
      </w:r>
      <w:r>
        <w:rPr>
          <w:rFonts w:hint="eastAsia"/>
          <w:lang w:eastAsia="ja-JP"/>
        </w:rPr>
        <w:t>A</w:t>
      </w:r>
      <w:r w:rsidRPr="00464DCF">
        <w:rPr>
          <w:rFonts w:eastAsia="SimSun"/>
        </w:rPr>
        <w:t>-</w:t>
      </w:r>
      <w:r>
        <w:rPr>
          <w:rFonts w:hint="eastAsia"/>
          <w:lang w:eastAsia="ja-JP"/>
        </w:rPr>
        <w:t>3</w:t>
      </w:r>
      <w:r w:rsidRPr="00464DCF">
        <w:rPr>
          <w:rFonts w:eastAsia="SimSun"/>
        </w:rPr>
        <w:t>)</w:t>
      </w:r>
    </w:p>
    <w:p w14:paraId="7CE4295C" w14:textId="77777777" w:rsidR="006B76C3" w:rsidRPr="00464DCF" w:rsidRDefault="006B76C3" w:rsidP="006B76C3">
      <w:pPr>
        <w:rPr>
          <w:lang w:eastAsia="zh-CN"/>
        </w:rPr>
      </w:pPr>
      <w:r w:rsidRPr="00464DCF">
        <w:rPr>
          <w:lang w:eastAsia="zh-CN"/>
        </w:rPr>
        <w:t>where:</w:t>
      </w:r>
    </w:p>
    <w:p w14:paraId="5813B96A" w14:textId="77777777" w:rsidR="006B76C3" w:rsidRPr="00464DCF" w:rsidRDefault="006B76C3" w:rsidP="006B76C3">
      <w:pPr>
        <w:pStyle w:val="Equationlegend"/>
        <w:rPr>
          <w:lang w:eastAsia="zh-CN"/>
        </w:rPr>
      </w:pPr>
      <w:r w:rsidRPr="00464DCF">
        <w:rPr>
          <w:lang w:eastAsia="zh-CN"/>
        </w:rPr>
        <w:tab/>
      </w:r>
      <w:r w:rsidRPr="00464DCF">
        <w:rPr>
          <w:i/>
          <w:iCs/>
          <w:lang w:eastAsia="zh-CN"/>
        </w:rPr>
        <w:t>I</w:t>
      </w:r>
      <w:r w:rsidRPr="00464DCF">
        <w:rPr>
          <w:i/>
          <w:iCs/>
          <w:vertAlign w:val="subscript"/>
          <w:lang w:eastAsia="zh-CN"/>
        </w:rPr>
        <w:t>agg</w:t>
      </w:r>
      <w:r w:rsidRPr="00464DCF">
        <w:rPr>
          <w:lang w:eastAsia="zh-CN"/>
        </w:rPr>
        <w:t>:</w:t>
      </w:r>
      <w:r w:rsidRPr="00464DCF">
        <w:rPr>
          <w:lang w:eastAsia="zh-CN"/>
        </w:rPr>
        <w:tab/>
        <w:t>is the aggregate</w:t>
      </w:r>
      <w:r>
        <w:rPr>
          <w:rFonts w:hint="eastAsia"/>
          <w:lang w:eastAsia="ja-JP"/>
        </w:rPr>
        <w:t>d</w:t>
      </w:r>
      <w:r w:rsidRPr="00464DCF">
        <w:rPr>
          <w:lang w:eastAsia="zh-CN"/>
        </w:rPr>
        <w:t xml:space="preserve"> interfe</w:t>
      </w:r>
      <w:r w:rsidRPr="00464DCF">
        <w:rPr>
          <w:lang w:eastAsia="ja-JP"/>
        </w:rPr>
        <w:t>re</w:t>
      </w:r>
      <w:r w:rsidRPr="00464DCF">
        <w:rPr>
          <w:lang w:eastAsia="zh-CN"/>
        </w:rPr>
        <w:t xml:space="preserve">nce </w:t>
      </w:r>
      <w:r>
        <w:rPr>
          <w:rFonts w:hint="eastAsia"/>
          <w:lang w:eastAsia="ja-JP"/>
        </w:rPr>
        <w:t>power density</w:t>
      </w:r>
      <w:r w:rsidRPr="00464DCF">
        <w:rPr>
          <w:lang w:eastAsia="zh-CN"/>
        </w:rPr>
        <w:t xml:space="preserve"> at the satellite receiver (dB(</w:t>
      </w:r>
      <w:r w:rsidRPr="00464DCF">
        <w:rPr>
          <w:lang w:eastAsia="ja-JP"/>
        </w:rPr>
        <w:t>W</w:t>
      </w:r>
      <w:r w:rsidRPr="00464DCF">
        <w:rPr>
          <w:lang w:eastAsia="zh-CN"/>
        </w:rPr>
        <w:t>/Hz));</w:t>
      </w:r>
    </w:p>
    <w:p w14:paraId="07BCEF41" w14:textId="77777777" w:rsidR="006B76C3" w:rsidRPr="00464DCF" w:rsidRDefault="006B76C3" w:rsidP="00D503E1">
      <w:pPr>
        <w:pStyle w:val="Headingb"/>
        <w:spacing w:before="360"/>
        <w:rPr>
          <w:lang w:val="en-GB"/>
        </w:rPr>
      </w:pPr>
      <w:r w:rsidRPr="00464DCF">
        <w:rPr>
          <w:lang w:val="en-GB"/>
        </w:rPr>
        <w:t>i</w:t>
      </w:r>
      <w:r>
        <w:rPr>
          <w:rFonts w:hint="eastAsia"/>
          <w:lang w:val="en-GB" w:eastAsia="ja-JP"/>
        </w:rPr>
        <w:t>ii</w:t>
      </w:r>
      <w:r w:rsidRPr="00464DCF">
        <w:rPr>
          <w:lang w:val="en-GB"/>
        </w:rPr>
        <w:t>)</w:t>
      </w:r>
    </w:p>
    <w:p w14:paraId="7633389F" w14:textId="77777777" w:rsidR="006B76C3" w:rsidRPr="00464DCF" w:rsidRDefault="006B76C3" w:rsidP="006B76C3">
      <w:r w:rsidRPr="00464DCF">
        <w:t>The ratio of the aggregate</w:t>
      </w:r>
      <w:r>
        <w:rPr>
          <w:rFonts w:eastAsiaTheme="minorEastAsia" w:hint="eastAsia"/>
          <w:lang w:eastAsia="ja-JP"/>
        </w:rPr>
        <w:t>d</w:t>
      </w:r>
      <w:r w:rsidRPr="00464DCF">
        <w:t xml:space="preserve"> interference power to the </w:t>
      </w:r>
      <w:r w:rsidRPr="00464DCF">
        <w:rPr>
          <w:lang w:eastAsia="ja-JP"/>
        </w:rPr>
        <w:t xml:space="preserve">receiver system </w:t>
      </w:r>
      <w:r w:rsidRPr="00464DCF">
        <w:t xml:space="preserve">noise, </w:t>
      </w:r>
      <w:r w:rsidRPr="00464DCF">
        <w:rPr>
          <w:i/>
          <w:iCs/>
        </w:rPr>
        <w:t>I</w:t>
      </w:r>
      <w:r w:rsidRPr="00464DCF">
        <w:t>/</w:t>
      </w:r>
      <w:r w:rsidRPr="00464DCF">
        <w:rPr>
          <w:i/>
          <w:iCs/>
        </w:rPr>
        <w:t>N</w:t>
      </w:r>
      <w:r w:rsidRPr="00464DCF">
        <w:t>, is obtained by equation</w:t>
      </w:r>
      <w:r w:rsidRPr="00464DCF">
        <w:rPr>
          <w:lang w:eastAsia="ja-JP"/>
        </w:rPr>
        <w:t xml:space="preserve"> (</w:t>
      </w:r>
      <w:r>
        <w:rPr>
          <w:rFonts w:hint="eastAsia"/>
          <w:lang w:eastAsia="ja-JP"/>
        </w:rPr>
        <w:t>A</w:t>
      </w:r>
      <w:r>
        <w:rPr>
          <w:lang w:eastAsia="ja-JP"/>
        </w:rPr>
        <w:t>-</w:t>
      </w:r>
      <w:r>
        <w:rPr>
          <w:rFonts w:eastAsiaTheme="minorEastAsia" w:hint="eastAsia"/>
          <w:lang w:eastAsia="ja-JP"/>
        </w:rPr>
        <w:t>4</w:t>
      </w:r>
      <w:r w:rsidRPr="00464DCF">
        <w:rPr>
          <w:lang w:eastAsia="ja-JP"/>
        </w:rPr>
        <w:t>)</w:t>
      </w:r>
      <w:r w:rsidRPr="00464DCF">
        <w:t>.</w:t>
      </w:r>
    </w:p>
    <w:p w14:paraId="26102BD1" w14:textId="5BE959CA" w:rsidR="006B76C3" w:rsidRPr="00464DCF" w:rsidRDefault="006B76C3" w:rsidP="006B76C3">
      <w:pPr>
        <w:pStyle w:val="Equation"/>
      </w:pPr>
      <w:r w:rsidRPr="00464DCF">
        <w:rPr>
          <w:position w:val="-10"/>
          <w:sz w:val="20"/>
        </w:rPr>
        <w:tab/>
      </w:r>
      <w:r w:rsidRPr="00464DCF">
        <w:rPr>
          <w:position w:val="-10"/>
          <w:sz w:val="20"/>
        </w:rPr>
        <w:tab/>
      </w:r>
      <w:r w:rsidR="00A60D45">
        <w:rPr>
          <w:noProof/>
          <w:position w:val="-14"/>
          <w:sz w:val="32"/>
          <w:szCs w:val="24"/>
          <w:lang w:val="en-US"/>
        </w:rPr>
        <w:drawing>
          <wp:inline distT="0" distB="0" distL="0" distR="0" wp14:anchorId="5036976F" wp14:editId="77E30951">
            <wp:extent cx="2581275" cy="219075"/>
            <wp:effectExtent l="0" t="0" r="0" b="9525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DCF">
        <w:t>                dB</w:t>
      </w:r>
      <w:r w:rsidRPr="00464DCF">
        <w:tab/>
        <w:t>(</w:t>
      </w:r>
      <w:r>
        <w:rPr>
          <w:rFonts w:hint="eastAsia"/>
          <w:lang w:eastAsia="ja-JP"/>
        </w:rPr>
        <w:t>A</w:t>
      </w:r>
      <w:r w:rsidRPr="00464DCF">
        <w:t>-</w:t>
      </w:r>
      <w:r>
        <w:rPr>
          <w:rFonts w:hint="eastAsia"/>
          <w:lang w:eastAsia="ja-JP"/>
        </w:rPr>
        <w:t>4</w:t>
      </w:r>
      <w:r w:rsidRPr="00464DCF">
        <w:t>)</w:t>
      </w:r>
    </w:p>
    <w:p w14:paraId="556DB4BC" w14:textId="77777777" w:rsidR="006B76C3" w:rsidRPr="00464DCF" w:rsidRDefault="006B76C3" w:rsidP="006B76C3">
      <w:pPr>
        <w:pStyle w:val="Equation"/>
        <w:keepNext/>
      </w:pPr>
      <w:r w:rsidRPr="00464DCF">
        <w:t xml:space="preserve">where: </w:t>
      </w:r>
    </w:p>
    <w:p w14:paraId="6CBB78E5" w14:textId="77777777" w:rsidR="006B76C3" w:rsidRPr="00464DCF" w:rsidRDefault="006B76C3" w:rsidP="006B76C3">
      <w:pPr>
        <w:pStyle w:val="Equationlegend"/>
        <w:rPr>
          <w:lang w:eastAsia="ja-JP"/>
        </w:rPr>
      </w:pPr>
      <w:r w:rsidRPr="00464DCF">
        <w:tab/>
      </w:r>
      <w:r w:rsidRPr="00464DCF">
        <w:rPr>
          <w:i/>
        </w:rPr>
        <w:t>k</w:t>
      </w:r>
      <w:r w:rsidRPr="00464DCF">
        <w:rPr>
          <w:sz w:val="12"/>
          <w:vertAlign w:val="subscript"/>
        </w:rPr>
        <w:t> </w:t>
      </w:r>
      <w:r w:rsidRPr="00464DCF">
        <w:t>:</w:t>
      </w:r>
      <w:r w:rsidRPr="00464DCF">
        <w:tab/>
      </w:r>
      <w:r>
        <w:rPr>
          <w:rFonts w:hint="eastAsia"/>
          <w:lang w:eastAsia="ja-JP"/>
        </w:rPr>
        <w:t xml:space="preserve">is </w:t>
      </w:r>
      <w:r w:rsidRPr="00464DCF">
        <w:t xml:space="preserve">Boltzmann’s constant </w:t>
      </w:r>
      <w:r w:rsidRPr="00464DCF">
        <w:rPr>
          <w:rFonts w:ascii="Symbol" w:hAnsi="Symbol"/>
        </w:rPr>
        <w:sym w:font="Symbol" w:char="F03D"/>
      </w:r>
      <w:r w:rsidRPr="00464DCF">
        <w:t xml:space="preserve"> </w:t>
      </w:r>
      <w:r w:rsidRPr="00464DCF">
        <w:rPr>
          <w:lang w:eastAsia="ja-JP"/>
        </w:rPr>
        <w:t>-228.6 dB(W/K/Hz);</w:t>
      </w:r>
    </w:p>
    <w:p w14:paraId="6F19D8E8" w14:textId="77777777" w:rsidR="006B76C3" w:rsidRPr="00464DCF" w:rsidRDefault="006B76C3" w:rsidP="006B76C3">
      <w:pPr>
        <w:pStyle w:val="Equationlegend"/>
        <w:rPr>
          <w:lang w:eastAsia="ja-JP"/>
        </w:rPr>
      </w:pPr>
      <w:r w:rsidRPr="00464DCF">
        <w:tab/>
      </w:r>
      <w:r w:rsidRPr="00464DCF">
        <w:rPr>
          <w:i/>
          <w:lang w:eastAsia="ja-JP"/>
        </w:rPr>
        <w:t>T</w:t>
      </w:r>
      <w:r w:rsidRPr="00464DCF">
        <w:rPr>
          <w:i/>
          <w:vertAlign w:val="subscript"/>
          <w:lang w:eastAsia="ja-JP"/>
        </w:rPr>
        <w:t>sys</w:t>
      </w:r>
      <w:r w:rsidRPr="00464DCF">
        <w:rPr>
          <w:lang w:eastAsia="ja-JP"/>
        </w:rPr>
        <w:t>:</w:t>
      </w:r>
      <w:r w:rsidRPr="00464DCF">
        <w:rPr>
          <w:lang w:eastAsia="ja-JP"/>
        </w:rPr>
        <w:tab/>
      </w:r>
      <w:r>
        <w:rPr>
          <w:rFonts w:hint="eastAsia"/>
          <w:lang w:eastAsia="ja-JP"/>
        </w:rPr>
        <w:t xml:space="preserve">is </w:t>
      </w:r>
      <w:r w:rsidRPr="00464DCF">
        <w:rPr>
          <w:lang w:eastAsia="ja-JP"/>
        </w:rPr>
        <w:t>satellite system noise temperature (K).</w:t>
      </w:r>
    </w:p>
    <w:p w14:paraId="4DA335E4" w14:textId="77777777" w:rsidR="006B76C3" w:rsidRPr="00EF1FBD" w:rsidRDefault="006B76C3" w:rsidP="00D503E1">
      <w:pPr>
        <w:pStyle w:val="Reasons"/>
        <w:spacing w:before="360"/>
        <w:rPr>
          <w:b/>
          <w:lang w:eastAsia="ja-JP"/>
        </w:rPr>
      </w:pPr>
      <w:r>
        <w:rPr>
          <w:rFonts w:hint="eastAsia"/>
          <w:b/>
          <w:lang w:eastAsia="ja-JP"/>
        </w:rPr>
        <w:t>i</w:t>
      </w:r>
      <w:r w:rsidRPr="00EF1FBD">
        <w:rPr>
          <w:rFonts w:hint="eastAsia"/>
          <w:b/>
          <w:lang w:eastAsia="ja-JP"/>
        </w:rPr>
        <w:t>v)</w:t>
      </w:r>
    </w:p>
    <w:p w14:paraId="09573E2E" w14:textId="77777777" w:rsidR="006B76C3" w:rsidRDefault="006B76C3" w:rsidP="00BF20AB">
      <w:pPr>
        <w:pStyle w:val="Reasons"/>
        <w:spacing w:afterLines="50" w:after="120"/>
        <w:rPr>
          <w:lang w:eastAsia="ja-JP"/>
        </w:rPr>
      </w:pPr>
      <w:r w:rsidRPr="00EF1FBD">
        <w:rPr>
          <w:lang w:eastAsia="ja-JP"/>
        </w:rPr>
        <w:t xml:space="preserve">The equivalent power flux-density </w:t>
      </w:r>
      <w:r>
        <w:rPr>
          <w:rFonts w:hint="eastAsia"/>
          <w:lang w:eastAsia="ja-JP"/>
        </w:rPr>
        <w:t>from IMT base stations or IMT UEs are</w:t>
      </w:r>
      <w:r w:rsidRPr="00EF1FBD">
        <w:rPr>
          <w:lang w:eastAsia="ja-JP"/>
        </w:rPr>
        <w:t xml:space="preserve"> calculated </w:t>
      </w:r>
      <w:r>
        <w:rPr>
          <w:rFonts w:hint="eastAsia"/>
          <w:lang w:eastAsia="ja-JP"/>
        </w:rPr>
        <w:t>by equation (A-5).</w:t>
      </w:r>
    </w:p>
    <w:p w14:paraId="72F90FB9" w14:textId="77777777" w:rsidR="006B76C3" w:rsidRDefault="008C519E" w:rsidP="006B76C3">
      <w:pPr>
        <w:pStyle w:val="Reasons"/>
        <w:tabs>
          <w:tab w:val="clear" w:pos="1134"/>
          <w:tab w:val="left" w:pos="567"/>
        </w:tabs>
        <w:jc w:val="right"/>
        <w:rPr>
          <w:lang w:eastAsia="ja-JP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Cs w:val="32"/>
              </w:rPr>
              <m:t>epfd</m:t>
            </m:r>
          </m:e>
          <m:sub>
            <m:r>
              <w:rPr>
                <w:rFonts w:ascii="Cambria Math" w:hAnsi="Cambria Math"/>
                <w:color w:val="000000"/>
                <w:szCs w:val="32"/>
              </w:rPr>
              <m:t>BS;UE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Cs w:val="32"/>
          </w:rPr>
          <m:t>=</m:t>
        </m:r>
        <m:sSub>
          <m:sSubPr>
            <m:ctrlPr>
              <w:rPr>
                <w:rFonts w:ascii="Cambria Math" w:hAnsi="Cambria Math"/>
                <w:color w:val="000000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Cs w:val="32"/>
              </w:rPr>
              <m:t>10log</m:t>
            </m:r>
          </m:e>
          <m:sub>
            <m:r>
              <w:rPr>
                <w:rFonts w:ascii="Cambria Math" w:hAnsi="Cambria Math"/>
                <w:color w:val="000000"/>
                <w:szCs w:val="32"/>
              </w:rPr>
              <m:t>10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Cs w:val="32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000000"/>
                    <w:szCs w:val="32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Cs w:val="32"/>
                  </w:rPr>
                  <m:t>i=1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Cs w:val="3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Cs w:val="32"/>
                      </w:rPr>
                      <m:t>a</m:t>
                    </m:r>
                  </m:sub>
                </m:sSub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Cs w:val="32"/>
                      </w:rPr>
                      <m:t>10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Cs w:val="32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Cs w:val="32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Cs w:val="32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Cs w:val="32"/>
                            <w:lang w:eastAsia="ja-JP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Cs w:val="32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Cs w:val="32"/>
                              </w:rPr>
                              <m:t>bs,i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zCs w:val="32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Cs w:val="32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Cs w:val="32"/>
                              </w:rPr>
                              <m:t>g,i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zCs w:val="32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Cs w:val="32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Cs w:val="32"/>
                              </w:rPr>
                              <m:t>clutter,i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zCs w:val="32"/>
                          </w:rPr>
                          <m:t>-PD-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Cs w:val="32"/>
                              </w:rPr>
                              <m:t>Loss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Cs w:val="32"/>
                              </w:rPr>
                              <m:t>body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Cs w:val="32"/>
                          </w:rPr>
                          <m:t>10</m:t>
                        </m:r>
                      </m:den>
                    </m:f>
                  </m:sup>
                </m:sSup>
              </m:e>
            </m:nary>
            <m:r>
              <w:rPr>
                <w:rFonts w:ascii="Cambria Math" w:hAnsi="Cambria Math"/>
                <w:color w:val="000000"/>
                <w:szCs w:val="32"/>
              </w:rPr>
              <m:t>∙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Cs w:val="32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Cs w:val="32"/>
                      </w:rPr>
                      <m:t>t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Cs w:val="3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Cs w:val="32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Cs w:val="32"/>
                          </w:rPr>
                          <m:t>i</m:t>
                        </m:r>
                      </m:sub>
                    </m:sSub>
                  </m:e>
                </m:d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Cs w:val="32"/>
                      </w:rPr>
                      <m:t>4πd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Cs w:val="32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Cs w:val="32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/>
                <w:color w:val="000000"/>
                <w:szCs w:val="32"/>
              </w:rPr>
              <m:t>∙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Cs w:val="32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Cs w:val="32"/>
                      </w:rPr>
                      <m:t>r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Cs w:val="3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Cs w:val="32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Cs w:val="32"/>
                          </w:rPr>
                          <m:t>i</m:t>
                        </m:r>
                      </m:sub>
                    </m:sSub>
                  </m:e>
                </m:d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Cs w:val="32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Cs w:val="32"/>
                      </w:rPr>
                      <m:t>r,max</m:t>
                    </m:r>
                  </m:sub>
                </m:sSub>
              </m:den>
            </m:f>
          </m:e>
        </m:d>
      </m:oMath>
      <w:r w:rsidR="006B76C3" w:rsidRPr="007C6D48">
        <w:rPr>
          <w:color w:val="000000"/>
          <w:sz w:val="32"/>
          <w:szCs w:val="32"/>
        </w:rPr>
        <w:tab/>
      </w:r>
      <w:r w:rsidR="006B76C3">
        <w:rPr>
          <w:rFonts w:hint="eastAsia"/>
          <w:lang w:eastAsia="ja-JP"/>
        </w:rPr>
        <w:t xml:space="preserve">  (A-5)</w:t>
      </w:r>
    </w:p>
    <w:p w14:paraId="57DD2211" w14:textId="77777777" w:rsidR="006B76C3" w:rsidRPr="00E13033" w:rsidRDefault="006B76C3" w:rsidP="00BF20AB">
      <w:pPr>
        <w:keepLines/>
        <w:tabs>
          <w:tab w:val="left" w:pos="255"/>
          <w:tab w:val="left" w:pos="1531"/>
          <w:tab w:val="left" w:pos="1701"/>
        </w:tabs>
        <w:spacing w:beforeLines="100" w:before="240" w:line="300" w:lineRule="exact"/>
        <w:ind w:left="2160" w:hanging="2160"/>
      </w:pPr>
      <w:r w:rsidRPr="00E13033">
        <w:lastRenderedPageBreak/>
        <w:t>where:</w:t>
      </w:r>
    </w:p>
    <w:p w14:paraId="5970DBBD" w14:textId="4ECC568B" w:rsidR="006B76C3" w:rsidRPr="00E13033" w:rsidRDefault="006B76C3" w:rsidP="006B76C3">
      <w:pPr>
        <w:keepLines/>
        <w:tabs>
          <w:tab w:val="left" w:pos="255"/>
          <w:tab w:val="right" w:pos="709"/>
          <w:tab w:val="left" w:pos="993"/>
        </w:tabs>
        <w:spacing w:line="300" w:lineRule="exact"/>
        <w:ind w:left="993" w:hanging="993"/>
      </w:pPr>
      <w:r w:rsidRPr="00E13033">
        <w:rPr>
          <w:i/>
          <w:iCs/>
        </w:rPr>
        <w:t>N</w:t>
      </w:r>
      <w:r w:rsidRPr="00E13033">
        <w:rPr>
          <w:i/>
          <w:iCs/>
          <w:position w:val="-4"/>
        </w:rPr>
        <w:t>a</w:t>
      </w:r>
      <w:r w:rsidRPr="00E13033">
        <w:rPr>
          <w:iCs/>
        </w:rPr>
        <w:t>:</w:t>
      </w:r>
      <w:r w:rsidRPr="00E13033">
        <w:tab/>
      </w:r>
      <w:r w:rsidR="00BF20AB">
        <w:tab/>
      </w:r>
      <w:r w:rsidRPr="00E13033">
        <w:t>number of simultaneously transmit IMT stations within its territory, taking into acco</w:t>
      </w:r>
      <w:r>
        <w:t>unt network loading factor</w:t>
      </w:r>
      <w:r w:rsidRPr="00E13033">
        <w:t xml:space="preserve"> and a reference receiving antenna beam pattern assumed to be pointing in its nominal direction (i.e. number of all concerned IMT stations × Networking loading factor)</w:t>
      </w:r>
    </w:p>
    <w:p w14:paraId="59AABB46" w14:textId="20347DBB" w:rsidR="006B76C3" w:rsidRPr="00E13033" w:rsidRDefault="006B76C3" w:rsidP="006B76C3">
      <w:pPr>
        <w:keepLines/>
        <w:tabs>
          <w:tab w:val="left" w:pos="255"/>
          <w:tab w:val="right" w:pos="709"/>
          <w:tab w:val="left" w:pos="993"/>
        </w:tabs>
        <w:spacing w:line="300" w:lineRule="exact"/>
        <w:ind w:left="993" w:hanging="993"/>
      </w:pPr>
      <w:r w:rsidRPr="00E13033">
        <w:rPr>
          <w:i/>
        </w:rPr>
        <w:tab/>
        <w:t>P</w:t>
      </w:r>
      <w:r w:rsidRPr="00E13033">
        <w:rPr>
          <w:i/>
          <w:position w:val="-4"/>
        </w:rPr>
        <w:t>i</w:t>
      </w:r>
      <w:r w:rsidRPr="00E13033">
        <w:rPr>
          <w:iCs/>
        </w:rPr>
        <w:t>:</w:t>
      </w:r>
      <w:r w:rsidRPr="00E13033">
        <w:t xml:space="preserve"> </w:t>
      </w:r>
      <w:r w:rsidRPr="00E13033">
        <w:tab/>
      </w:r>
      <w:r w:rsidR="00BF20AB">
        <w:tab/>
      </w:r>
      <w:r w:rsidRPr="00E13033">
        <w:t xml:space="preserve">RF power averaged by TDD activity factor, at the input of the antenna of the transmit IMT base station (dBW) in the reference bandwidth </w:t>
      </w:r>
    </w:p>
    <w:p w14:paraId="05DF4F90" w14:textId="35CE1AC5" w:rsidR="006B76C3" w:rsidRPr="00E13033" w:rsidRDefault="006B76C3" w:rsidP="006B76C3">
      <w:pPr>
        <w:keepLines/>
        <w:tabs>
          <w:tab w:val="left" w:pos="255"/>
          <w:tab w:val="right" w:pos="709"/>
          <w:tab w:val="left" w:pos="993"/>
        </w:tabs>
        <w:spacing w:line="300" w:lineRule="exact"/>
        <w:ind w:left="993" w:hanging="993"/>
      </w:pPr>
      <w:r w:rsidRPr="00E13033">
        <w:tab/>
        <w:t>θ</w:t>
      </w:r>
      <w:r w:rsidRPr="00E13033">
        <w:rPr>
          <w:i/>
          <w:position w:val="-4"/>
        </w:rPr>
        <w:t>i</w:t>
      </w:r>
      <w:r w:rsidRPr="00E13033">
        <w:rPr>
          <w:iCs/>
        </w:rPr>
        <w:t>:</w:t>
      </w:r>
      <w:r w:rsidRPr="00E13033">
        <w:t xml:space="preserve"> </w:t>
      </w:r>
      <w:r w:rsidRPr="00E13033">
        <w:tab/>
      </w:r>
      <w:r w:rsidR="00BF20AB">
        <w:tab/>
      </w:r>
      <w:r w:rsidRPr="00E13033">
        <w:t>off-axis angle between the boresight of the transmit IMT station and the direction of the geostationary-satellite system receive station</w:t>
      </w:r>
    </w:p>
    <w:p w14:paraId="62FC06B3" w14:textId="77777777" w:rsidR="006B76C3" w:rsidRPr="00E13033" w:rsidRDefault="006B76C3" w:rsidP="006B76C3">
      <w:pPr>
        <w:keepLines/>
        <w:tabs>
          <w:tab w:val="left" w:pos="255"/>
          <w:tab w:val="right" w:pos="709"/>
          <w:tab w:val="left" w:pos="993"/>
        </w:tabs>
        <w:spacing w:line="300" w:lineRule="exact"/>
        <w:ind w:left="993" w:hanging="993"/>
      </w:pPr>
      <w:r w:rsidRPr="00E13033">
        <w:rPr>
          <w:i/>
        </w:rPr>
        <w:tab/>
        <w:t>G</w:t>
      </w:r>
      <w:r w:rsidRPr="00E13033">
        <w:rPr>
          <w:i/>
          <w:position w:val="-4"/>
        </w:rPr>
        <w:t>t</w:t>
      </w:r>
      <w:r w:rsidRPr="00E13033">
        <w:rPr>
          <w:iCs/>
        </w:rPr>
        <w:t>(</w:t>
      </w:r>
      <w:r w:rsidRPr="00E13033">
        <w:t>θ</w:t>
      </w:r>
      <w:r w:rsidRPr="00E13033">
        <w:rPr>
          <w:i/>
          <w:position w:val="-4"/>
        </w:rPr>
        <w:t>i</w:t>
      </w:r>
      <w:r w:rsidRPr="00E13033">
        <w:rPr>
          <w:iCs/>
        </w:rPr>
        <w:t>):</w:t>
      </w:r>
      <w:r w:rsidRPr="00E13033">
        <w:rPr>
          <w:i/>
        </w:rPr>
        <w:tab/>
      </w:r>
      <w:r w:rsidRPr="00E13033">
        <w:t>transmit antenna ga</w:t>
      </w:r>
      <w:r>
        <w:t>in (as a ratio) of the IMT</w:t>
      </w:r>
      <w:r>
        <w:rPr>
          <w:rFonts w:eastAsiaTheme="minorEastAsia" w:hint="eastAsia"/>
          <w:lang w:eastAsia="ja-JP"/>
        </w:rPr>
        <w:t xml:space="preserve"> </w:t>
      </w:r>
      <w:r w:rsidRPr="00E13033">
        <w:t>station in the direction of the geostationary-satellite system receive station</w:t>
      </w:r>
    </w:p>
    <w:p w14:paraId="7999F47D" w14:textId="678B3F98" w:rsidR="006B76C3" w:rsidRPr="00E13033" w:rsidRDefault="006B76C3" w:rsidP="006B76C3">
      <w:pPr>
        <w:keepLines/>
        <w:tabs>
          <w:tab w:val="left" w:pos="255"/>
          <w:tab w:val="right" w:pos="709"/>
          <w:tab w:val="left" w:pos="993"/>
        </w:tabs>
        <w:spacing w:line="300" w:lineRule="exact"/>
        <w:ind w:left="993" w:hanging="993"/>
      </w:pPr>
      <w:r w:rsidRPr="00E13033">
        <w:rPr>
          <w:i/>
        </w:rPr>
        <w:tab/>
        <w:t>d</w:t>
      </w:r>
      <w:r w:rsidRPr="00E13033">
        <w:rPr>
          <w:i/>
          <w:position w:val="-4"/>
        </w:rPr>
        <w:t>i</w:t>
      </w:r>
      <w:r w:rsidRPr="00E13033">
        <w:rPr>
          <w:iCs/>
        </w:rPr>
        <w:t>:</w:t>
      </w:r>
      <w:r w:rsidRPr="00E13033">
        <w:rPr>
          <w:iCs/>
        </w:rPr>
        <w:tab/>
      </w:r>
      <w:r w:rsidR="00BF20AB">
        <w:rPr>
          <w:iCs/>
        </w:rPr>
        <w:tab/>
      </w:r>
      <w:r w:rsidRPr="00E13033">
        <w:t>distance (m</w:t>
      </w:r>
      <w:r>
        <w:t>) between the transmit IMT</w:t>
      </w:r>
      <w:r>
        <w:rPr>
          <w:rFonts w:eastAsiaTheme="minorEastAsia" w:hint="eastAsia"/>
          <w:lang w:eastAsia="ja-JP"/>
        </w:rPr>
        <w:t xml:space="preserve"> </w:t>
      </w:r>
      <w:r w:rsidRPr="00E13033">
        <w:t>station and the geostationary-satellite system receive station</w:t>
      </w:r>
    </w:p>
    <w:p w14:paraId="22455C18" w14:textId="5D15E542" w:rsidR="006B76C3" w:rsidRPr="00E13033" w:rsidRDefault="006B76C3" w:rsidP="006B76C3">
      <w:pPr>
        <w:keepLines/>
        <w:tabs>
          <w:tab w:val="left" w:pos="255"/>
          <w:tab w:val="right" w:pos="709"/>
          <w:tab w:val="left" w:pos="993"/>
        </w:tabs>
        <w:spacing w:line="300" w:lineRule="exact"/>
        <w:ind w:left="993" w:hanging="993"/>
      </w:pPr>
      <w:r w:rsidRPr="00E13033">
        <w:tab/>
        <w:t>φ</w:t>
      </w:r>
      <w:r w:rsidRPr="00E13033">
        <w:rPr>
          <w:i/>
          <w:position w:val="-4"/>
        </w:rPr>
        <w:t>i</w:t>
      </w:r>
      <w:r w:rsidRPr="00E13033">
        <w:rPr>
          <w:iCs/>
        </w:rPr>
        <w:t>:</w:t>
      </w:r>
      <w:r w:rsidRPr="00E13033">
        <w:tab/>
      </w:r>
      <w:r w:rsidR="00BF20AB">
        <w:tab/>
      </w:r>
      <w:r w:rsidRPr="00E13033">
        <w:t xml:space="preserve">off-axis angle between the boresight of the antenna of the geostationary-satellite system receive station and the direction of the </w:t>
      </w:r>
      <w:r w:rsidRPr="00E13033">
        <w:rPr>
          <w:i/>
          <w:iCs/>
        </w:rPr>
        <w:t>i</w:t>
      </w:r>
      <w:r>
        <w:t>-th IMT</w:t>
      </w:r>
      <w:r>
        <w:rPr>
          <w:rFonts w:eastAsiaTheme="minorEastAsia" w:hint="eastAsia"/>
          <w:lang w:eastAsia="ja-JP"/>
        </w:rPr>
        <w:t xml:space="preserve"> </w:t>
      </w:r>
      <w:r w:rsidRPr="00E13033">
        <w:t>transmit station</w:t>
      </w:r>
    </w:p>
    <w:p w14:paraId="59EAC1C9" w14:textId="77777777" w:rsidR="006B76C3" w:rsidRPr="00E13033" w:rsidRDefault="006B76C3" w:rsidP="006B76C3">
      <w:pPr>
        <w:keepLines/>
        <w:tabs>
          <w:tab w:val="left" w:pos="255"/>
          <w:tab w:val="right" w:pos="709"/>
          <w:tab w:val="left" w:pos="993"/>
        </w:tabs>
        <w:spacing w:line="300" w:lineRule="exact"/>
        <w:ind w:left="993" w:hanging="993"/>
      </w:pPr>
      <w:r w:rsidRPr="00E13033">
        <w:rPr>
          <w:i/>
        </w:rPr>
        <w:tab/>
        <w:t>G</w:t>
      </w:r>
      <w:r w:rsidRPr="00E13033">
        <w:rPr>
          <w:i/>
          <w:position w:val="-4"/>
        </w:rPr>
        <w:t>r</w:t>
      </w:r>
      <w:r w:rsidRPr="00E13033">
        <w:t>(φ</w:t>
      </w:r>
      <w:r w:rsidRPr="00E13033">
        <w:rPr>
          <w:i/>
          <w:position w:val="-4"/>
        </w:rPr>
        <w:t>i</w:t>
      </w:r>
      <w:r w:rsidRPr="00E13033">
        <w:rPr>
          <w:iCs/>
        </w:rPr>
        <w:t>):</w:t>
      </w:r>
      <w:r w:rsidRPr="00E13033">
        <w:rPr>
          <w:i/>
        </w:rPr>
        <w:tab/>
      </w:r>
      <w:r w:rsidRPr="00E13033">
        <w:t xml:space="preserve">receive antenna gain (as a ratio) of the geostationary-satellite system receive station in the direction of the </w:t>
      </w:r>
      <w:r w:rsidRPr="00E13033">
        <w:rPr>
          <w:i/>
          <w:iCs/>
        </w:rPr>
        <w:t>i</w:t>
      </w:r>
      <w:r>
        <w:t xml:space="preserve">-th transmit IMT </w:t>
      </w:r>
      <w:r w:rsidRPr="00E13033">
        <w:t>station</w:t>
      </w:r>
    </w:p>
    <w:p w14:paraId="1E191749" w14:textId="77777777" w:rsidR="006B76C3" w:rsidRPr="00E13033" w:rsidRDefault="006B76C3" w:rsidP="006B76C3">
      <w:pPr>
        <w:keepLines/>
        <w:tabs>
          <w:tab w:val="left" w:pos="255"/>
          <w:tab w:val="right" w:pos="709"/>
          <w:tab w:val="left" w:pos="993"/>
        </w:tabs>
        <w:spacing w:line="300" w:lineRule="exact"/>
        <w:ind w:left="993" w:hanging="993"/>
      </w:pPr>
      <w:r w:rsidRPr="00E13033">
        <w:rPr>
          <w:i/>
        </w:rPr>
        <w:tab/>
        <w:t>G</w:t>
      </w:r>
      <w:r w:rsidRPr="00E13033">
        <w:rPr>
          <w:i/>
          <w:position w:val="-4"/>
        </w:rPr>
        <w:t>r,max</w:t>
      </w:r>
      <w:r w:rsidRPr="00E13033">
        <w:rPr>
          <w:iCs/>
        </w:rPr>
        <w:t>:</w:t>
      </w:r>
      <w:r w:rsidRPr="00E13033">
        <w:tab/>
        <w:t xml:space="preserve">maximum gain (as a ratio) of the antenna of the geostationary-satellite system receive station </w:t>
      </w:r>
    </w:p>
    <w:p w14:paraId="439F0823" w14:textId="77777777" w:rsidR="006B76C3" w:rsidRDefault="006B76C3" w:rsidP="006B76C3">
      <w:pPr>
        <w:keepLines/>
        <w:tabs>
          <w:tab w:val="left" w:pos="255"/>
          <w:tab w:val="right" w:pos="709"/>
          <w:tab w:val="left" w:pos="993"/>
        </w:tabs>
        <w:spacing w:line="300" w:lineRule="exact"/>
        <w:ind w:left="993" w:hanging="993"/>
        <w:rPr>
          <w:rFonts w:eastAsiaTheme="minorEastAsia"/>
          <w:lang w:eastAsia="ja-JP"/>
        </w:rPr>
      </w:pPr>
      <w:r w:rsidRPr="00E13033">
        <w:rPr>
          <w:i/>
        </w:rPr>
        <w:tab/>
        <w:t>epfd</w:t>
      </w:r>
      <w:r w:rsidRPr="00E71029">
        <w:rPr>
          <w:rFonts w:eastAsiaTheme="minorEastAsia"/>
          <w:i/>
          <w:vertAlign w:val="subscript"/>
          <w:lang w:eastAsia="ja-JP"/>
        </w:rPr>
        <w:t>BS</w:t>
      </w:r>
      <w:r w:rsidRPr="00E13033">
        <w:rPr>
          <w:iCs/>
        </w:rPr>
        <w:t>:</w:t>
      </w:r>
      <w:r w:rsidRPr="00E13033">
        <w:rPr>
          <w:i/>
        </w:rPr>
        <w:tab/>
      </w:r>
      <w:r w:rsidRPr="00E13033">
        <w:t>computed equivalent power flux-density (dB(W/m</w:t>
      </w:r>
      <w:r w:rsidRPr="00E13033">
        <w:rPr>
          <w:position w:val="6"/>
        </w:rPr>
        <w:t>2</w:t>
      </w:r>
      <w:r w:rsidRPr="00E13033">
        <w:t xml:space="preserve">)) </w:t>
      </w:r>
      <w:r>
        <w:rPr>
          <w:rFonts w:eastAsiaTheme="minorEastAsia" w:hint="eastAsia"/>
          <w:lang w:eastAsia="ja-JP"/>
        </w:rPr>
        <w:t xml:space="preserve">from IMT BSs </w:t>
      </w:r>
      <w:r w:rsidRPr="00E13033">
        <w:t>in the reference bandwidth.</w:t>
      </w:r>
    </w:p>
    <w:p w14:paraId="4707FE88" w14:textId="77777777" w:rsidR="006B76C3" w:rsidRPr="00E71029" w:rsidRDefault="006B76C3" w:rsidP="006B76C3">
      <w:pPr>
        <w:keepLines/>
        <w:tabs>
          <w:tab w:val="left" w:pos="255"/>
          <w:tab w:val="right" w:pos="709"/>
          <w:tab w:val="left" w:pos="993"/>
        </w:tabs>
        <w:spacing w:line="300" w:lineRule="exact"/>
        <w:ind w:left="993" w:hanging="993"/>
        <w:rPr>
          <w:rFonts w:eastAsiaTheme="minorEastAsia"/>
          <w:lang w:eastAsia="ja-JP"/>
        </w:rPr>
      </w:pPr>
      <w:r w:rsidRPr="00E13033">
        <w:rPr>
          <w:i/>
        </w:rPr>
        <w:tab/>
        <w:t>epfd</w:t>
      </w:r>
      <w:r>
        <w:rPr>
          <w:rFonts w:eastAsiaTheme="minorEastAsia" w:hint="eastAsia"/>
          <w:i/>
          <w:vertAlign w:val="subscript"/>
          <w:lang w:eastAsia="ja-JP"/>
        </w:rPr>
        <w:t>UE</w:t>
      </w:r>
      <w:r w:rsidRPr="00E13033">
        <w:rPr>
          <w:iCs/>
        </w:rPr>
        <w:t>:</w:t>
      </w:r>
      <w:r w:rsidRPr="00E13033">
        <w:rPr>
          <w:i/>
        </w:rPr>
        <w:tab/>
      </w:r>
      <w:r w:rsidRPr="00E13033">
        <w:t>computed equivalent power flux-density (dB(W/m</w:t>
      </w:r>
      <w:r w:rsidRPr="00E13033">
        <w:rPr>
          <w:position w:val="6"/>
        </w:rPr>
        <w:t>2</w:t>
      </w:r>
      <w:r w:rsidRPr="00E13033">
        <w:t xml:space="preserve">)) </w:t>
      </w:r>
      <w:r>
        <w:rPr>
          <w:rFonts w:eastAsiaTheme="minorEastAsia" w:hint="eastAsia"/>
          <w:lang w:eastAsia="ja-JP"/>
        </w:rPr>
        <w:t xml:space="preserve">from IMT UEs </w:t>
      </w:r>
      <w:r w:rsidRPr="00E13033">
        <w:t>in the reference bandwidth.</w:t>
      </w:r>
    </w:p>
    <w:p w14:paraId="18BC7CC1" w14:textId="77777777" w:rsidR="006B76C3" w:rsidRPr="00E71029" w:rsidRDefault="006B76C3" w:rsidP="006B76C3">
      <w:pPr>
        <w:pStyle w:val="Reasons"/>
        <w:rPr>
          <w:lang w:val="en-US" w:eastAsia="ja-JP"/>
        </w:rPr>
      </w:pPr>
    </w:p>
    <w:p w14:paraId="120AA752" w14:textId="77777777" w:rsidR="006B76C3" w:rsidRDefault="006B76C3" w:rsidP="006B76C3">
      <w:pPr>
        <w:pStyle w:val="Reasons"/>
        <w:rPr>
          <w:lang w:eastAsia="ja-JP"/>
        </w:rPr>
      </w:pPr>
      <w:r>
        <w:rPr>
          <w:rFonts w:hint="eastAsia"/>
          <w:lang w:eastAsia="ja-JP"/>
        </w:rPr>
        <w:t>From equations (A-2a), (A-2b) and (A-5), the equivalent power flux-density is expressed by equation (A-6).</w:t>
      </w:r>
    </w:p>
    <w:p w14:paraId="3DC1B8E6" w14:textId="77777777" w:rsidR="006B76C3" w:rsidRDefault="008C519E" w:rsidP="006B76C3">
      <w:pPr>
        <w:pStyle w:val="Reasons"/>
        <w:tabs>
          <w:tab w:val="clear" w:pos="1134"/>
          <w:tab w:val="left" w:pos="567"/>
        </w:tabs>
        <w:wordWrap w:val="0"/>
        <w:jc w:val="right"/>
        <w:rPr>
          <w:lang w:eastAsia="ja-JP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Cs w:val="32"/>
              </w:rPr>
              <m:t>epfd</m:t>
            </m:r>
          </m:e>
          <m:sub>
            <m:r>
              <w:rPr>
                <w:rFonts w:ascii="Cambria Math" w:hAnsi="Cambria Math"/>
                <w:color w:val="000000"/>
                <w:szCs w:val="32"/>
              </w:rPr>
              <m:t>BS;UE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Cs w:val="32"/>
          </w:rPr>
          <m:t>=</m:t>
        </m:r>
        <m:sSub>
          <m:sSubPr>
            <m:ctrlPr>
              <w:rPr>
                <w:rFonts w:ascii="Cambria Math" w:hAnsi="Cambria Math"/>
                <w:color w:val="000000"/>
                <w:szCs w:val="32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32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32"/>
                  </w:rPr>
                  <m:t>agg_BS;UE</m:t>
                </m:r>
              </m:sub>
            </m:sSub>
            <m:r>
              <w:rPr>
                <w:rFonts w:ascii="Cambria Math" w:hAnsi="Cambria Math"/>
                <w:color w:val="000000"/>
                <w:szCs w:val="32"/>
              </w:rPr>
              <m:t>+10log</m:t>
            </m:r>
          </m:e>
          <m:sub>
            <m:r>
              <w:rPr>
                <w:rFonts w:ascii="Cambria Math" w:hAnsi="Cambria Math"/>
                <w:color w:val="000000"/>
                <w:szCs w:val="32"/>
              </w:rPr>
              <m:t>10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Cs w:val="32"/>
                  </w:rPr>
                  <m:t>4π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Cs w:val="32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Cs w:val="32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  <w:color w:val="000000"/>
            <w:szCs w:val="32"/>
          </w:rPr>
          <m:t>-10</m:t>
        </m:r>
        <m:sSub>
          <m:sSubPr>
            <m:ctrlPr>
              <w:rPr>
                <w:rFonts w:ascii="Cambria Math" w:hAnsi="Cambria Math"/>
                <w:i/>
                <w:color w:val="000000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Cs w:val="32"/>
              </w:rPr>
              <m:t>log</m:t>
            </m:r>
          </m:e>
          <m:sub>
            <m:r>
              <w:rPr>
                <w:rFonts w:ascii="Cambria Math" w:hAnsi="Cambria Math"/>
                <w:color w:val="000000"/>
                <w:szCs w:val="32"/>
              </w:rPr>
              <m:t>10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Cs w:val="32"/>
              </w:rPr>
              <m:t>G</m:t>
            </m:r>
          </m:e>
          <m:sub>
            <m:r>
              <w:rPr>
                <w:rFonts w:ascii="Cambria Math" w:hAnsi="Cambria Math"/>
                <w:color w:val="000000"/>
                <w:szCs w:val="32"/>
              </w:rPr>
              <m:t>r,max</m:t>
            </m:r>
          </m:sub>
        </m:sSub>
      </m:oMath>
      <w:r w:rsidR="006B76C3">
        <w:rPr>
          <w:rFonts w:hint="eastAsia"/>
          <w:lang w:eastAsia="ja-JP"/>
        </w:rPr>
        <w:t xml:space="preserve">                            (A-6)</w:t>
      </w:r>
    </w:p>
    <w:p w14:paraId="4BDF2DAA" w14:textId="77777777" w:rsidR="006B76C3" w:rsidRPr="00EE1630" w:rsidRDefault="006B76C3" w:rsidP="006B76C3">
      <w:pPr>
        <w:pStyle w:val="Reasons"/>
        <w:rPr>
          <w:lang w:eastAsia="ja-JP"/>
        </w:rPr>
      </w:pPr>
      <w:r>
        <w:rPr>
          <w:rFonts w:hint="eastAsia"/>
          <w:lang w:eastAsia="ja-JP"/>
        </w:rPr>
        <w:t>where:</w:t>
      </w:r>
    </w:p>
    <w:p w14:paraId="4BE7B1FE" w14:textId="77777777" w:rsidR="006B76C3" w:rsidRPr="00464DCF" w:rsidRDefault="006B76C3" w:rsidP="006B76C3">
      <w:pPr>
        <w:pStyle w:val="Equationlegend"/>
        <w:rPr>
          <w:lang w:eastAsia="ja-JP"/>
        </w:rPr>
      </w:pPr>
      <w:r w:rsidRPr="00464DCF">
        <w:tab/>
      </w:r>
      <w:r w:rsidRPr="00EE1630">
        <w:rPr>
          <w:rFonts w:hint="eastAsia"/>
        </w:rPr>
        <w:t>λ</w:t>
      </w:r>
      <w:r w:rsidRPr="00464DCF">
        <w:rPr>
          <w:sz w:val="12"/>
          <w:vertAlign w:val="subscript"/>
        </w:rPr>
        <w:t> </w:t>
      </w:r>
      <w:r w:rsidRPr="00464DCF">
        <w:t>:</w:t>
      </w:r>
      <w:r w:rsidRPr="00464DCF">
        <w:tab/>
      </w:r>
      <w:r>
        <w:rPr>
          <w:rFonts w:hint="eastAsia"/>
          <w:lang w:eastAsia="ja-JP"/>
        </w:rPr>
        <w:t>is wave length (m).</w:t>
      </w:r>
    </w:p>
    <w:p w14:paraId="12A431F2" w14:textId="77777777" w:rsidR="006B76C3" w:rsidRPr="00EE1630" w:rsidRDefault="006B76C3" w:rsidP="006B76C3">
      <w:pPr>
        <w:pStyle w:val="Reasons"/>
        <w:rPr>
          <w:lang w:eastAsia="ja-JP"/>
        </w:rPr>
      </w:pPr>
    </w:p>
    <w:p w14:paraId="401CCE21" w14:textId="77777777" w:rsidR="006B76C3" w:rsidRPr="00DA6138" w:rsidRDefault="006B76C3" w:rsidP="00BF20AB">
      <w:pPr>
        <w:pStyle w:val="Heading4"/>
        <w:spacing w:beforeLines="100" w:before="240"/>
        <w:ind w:leftChars="0" w:left="708" w:hangingChars="295" w:hanging="708"/>
        <w:rPr>
          <w:lang w:eastAsia="ja-JP"/>
        </w:rPr>
      </w:pPr>
      <w:r>
        <w:rPr>
          <w:rFonts w:hint="eastAsia"/>
          <w:lang w:eastAsia="ja-JP"/>
        </w:rPr>
        <w:t>2</w:t>
      </w:r>
      <w:r>
        <w:rPr>
          <w:lang w:eastAsia="ja-JP"/>
        </w:rPr>
        <w:t>.</w:t>
      </w:r>
      <w:r w:rsidRPr="00464DCF">
        <w:rPr>
          <w:lang w:eastAsia="ja-JP"/>
        </w:rPr>
        <w:tab/>
      </w:r>
      <w:r>
        <w:rPr>
          <w:rFonts w:hint="eastAsia"/>
          <w:lang w:eastAsia="ja-JP"/>
        </w:rPr>
        <w:t>Calculation example of equivalent power flux-density based on Study C in Attachment 3 to Annex 3 to Document 5-1/478</w:t>
      </w:r>
      <w:r w:rsidRPr="00464DCF">
        <w:rPr>
          <w:caps/>
          <w:sz w:val="18"/>
          <w:lang w:eastAsia="zh-CN"/>
        </w:rPr>
        <w:fldChar w:fldCharType="begin"/>
      </w:r>
      <w:r w:rsidRPr="00464DCF">
        <w:rPr>
          <w:caps/>
          <w:sz w:val="18"/>
          <w:lang w:eastAsia="zh-CN"/>
        </w:rPr>
        <w:fldChar w:fldCharType="end"/>
      </w:r>
      <w:r w:rsidRPr="00464DCF">
        <w:fldChar w:fldCharType="begin"/>
      </w:r>
      <w:r w:rsidRPr="00464DCF">
        <w:fldChar w:fldCharType="end"/>
      </w:r>
    </w:p>
    <w:p w14:paraId="2C1CB130" w14:textId="77777777" w:rsidR="006B76C3" w:rsidRDefault="006B76C3" w:rsidP="006B76C3">
      <w:pPr>
        <w:pStyle w:val="Reasons"/>
        <w:rPr>
          <w:lang w:eastAsia="ja-JP"/>
        </w:rPr>
      </w:pPr>
      <w:r>
        <w:rPr>
          <w:lang w:eastAsia="ja-JP"/>
        </w:rPr>
        <w:t>Aggregate</w:t>
      </w:r>
      <w:r w:rsidRPr="00AD5BFA">
        <w:rPr>
          <w:lang w:eastAsia="ja-JP"/>
        </w:rPr>
        <w:t xml:space="preserve"> </w:t>
      </w:r>
      <w:r w:rsidRPr="00E71029">
        <w:rPr>
          <w:i/>
          <w:lang w:eastAsia="ja-JP"/>
        </w:rPr>
        <w:t>I/N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from an IMT network towards the satellite </w:t>
      </w:r>
      <w:r w:rsidRPr="00AD5BFA">
        <w:rPr>
          <w:lang w:eastAsia="ja-JP"/>
        </w:rPr>
        <w:t>whose main beam pointing is 15 degrees elev</w:t>
      </w:r>
      <w:r>
        <w:rPr>
          <w:lang w:eastAsia="ja-JP"/>
        </w:rPr>
        <w:t xml:space="preserve">ation angle </w:t>
      </w:r>
      <w:r>
        <w:rPr>
          <w:rFonts w:hint="eastAsia"/>
          <w:lang w:eastAsia="ja-JP"/>
        </w:rPr>
        <w:t>is</w:t>
      </w:r>
      <w:r>
        <w:rPr>
          <w:lang w:eastAsia="ja-JP"/>
        </w:rPr>
        <w:t xml:space="preserve"> shown in Figure </w:t>
      </w:r>
      <w:r>
        <w:rPr>
          <w:rFonts w:hint="eastAsia"/>
          <w:lang w:eastAsia="ja-JP"/>
        </w:rPr>
        <w:t>A</w:t>
      </w:r>
      <w:r>
        <w:rPr>
          <w:lang w:eastAsia="ja-JP"/>
        </w:rPr>
        <w:t>-1</w:t>
      </w:r>
      <w:r>
        <w:rPr>
          <w:rFonts w:hint="eastAsia"/>
          <w:lang w:eastAsia="ja-JP"/>
        </w:rPr>
        <w:t>, where assuming the network loading factor of 20 % and the TDD activity factor of 80 % for BSs and 20 % for UEs.  The s</w:t>
      </w:r>
      <w:r w:rsidRPr="00EC6626">
        <w:rPr>
          <w:lang w:eastAsia="ja-JP"/>
        </w:rPr>
        <w:t>imulations were performed with 10 000 snapshots based on Recommendation ITU-R M.2101</w:t>
      </w:r>
      <w:r>
        <w:rPr>
          <w:rFonts w:hint="eastAsia"/>
          <w:lang w:eastAsia="ja-JP"/>
        </w:rPr>
        <w:t xml:space="preserve">.  Mean values of the aggregate </w:t>
      </w:r>
      <w:r w:rsidRPr="00E71029">
        <w:rPr>
          <w:i/>
          <w:lang w:eastAsia="ja-JP"/>
        </w:rPr>
        <w:t>I/N</w:t>
      </w:r>
      <w:r>
        <w:rPr>
          <w:rFonts w:hint="eastAsia"/>
          <w:lang w:eastAsia="ja-JP"/>
        </w:rPr>
        <w:t xml:space="preserve"> are derived as in Table A-1. It is noted that interference margin is 16.4 dB</w:t>
      </w:r>
      <w:r w:rsidRPr="00747077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from the result of </w:t>
      </w:r>
      <w:r w:rsidRPr="00E71029">
        <w:rPr>
          <w:i/>
          <w:lang w:eastAsia="ja-JP"/>
        </w:rPr>
        <w:t>I/N</w:t>
      </w:r>
      <w:r>
        <w:rPr>
          <w:rFonts w:hint="eastAsia"/>
          <w:lang w:eastAsia="ja-JP"/>
        </w:rPr>
        <w:t xml:space="preserve"> for BSs and UEs in visible earth, assuming the FSS protection criteria (</w:t>
      </w:r>
      <w:r w:rsidRPr="00E71029">
        <w:rPr>
          <w:i/>
          <w:lang w:eastAsia="ja-JP"/>
        </w:rPr>
        <w:t>I/N</w:t>
      </w:r>
      <w:r>
        <w:rPr>
          <w:rFonts w:hint="eastAsia"/>
          <w:lang w:eastAsia="ja-JP"/>
        </w:rPr>
        <w:t xml:space="preserve"> -10.5 dB) for mean value.</w:t>
      </w:r>
    </w:p>
    <w:p w14:paraId="63C6592C" w14:textId="77777777" w:rsidR="006B76C3" w:rsidRDefault="006B76C3" w:rsidP="006B76C3">
      <w:pPr>
        <w:pStyle w:val="FigureNo"/>
        <w:spacing w:before="360"/>
        <w:rPr>
          <w:lang w:eastAsia="ja-JP"/>
        </w:rPr>
      </w:pPr>
      <w:r>
        <w:rPr>
          <w:lang w:eastAsia="zh-CN"/>
        </w:rPr>
        <w:lastRenderedPageBreak/>
        <w:t xml:space="preserve">Figure </w:t>
      </w:r>
      <w:r>
        <w:rPr>
          <w:rFonts w:hint="eastAsia"/>
          <w:lang w:eastAsia="ja-JP"/>
        </w:rPr>
        <w:t>A</w:t>
      </w:r>
      <w:r>
        <w:rPr>
          <w:lang w:eastAsia="zh-CN"/>
        </w:rPr>
        <w:t>-</w:t>
      </w:r>
      <w:r>
        <w:rPr>
          <w:lang w:eastAsia="ja-JP"/>
        </w:rPr>
        <w:t>1</w:t>
      </w:r>
    </w:p>
    <w:p w14:paraId="4B57EBEA" w14:textId="2B3075E1" w:rsidR="006B76C3" w:rsidRDefault="006B76C3" w:rsidP="00C74ADE">
      <w:pPr>
        <w:pStyle w:val="Figuretitle"/>
        <w:spacing w:after="360"/>
        <w:rPr>
          <w:lang w:eastAsia="zh-CN"/>
        </w:rPr>
      </w:pPr>
      <w:r>
        <w:t xml:space="preserve">Aggregate </w:t>
      </w:r>
      <w:r w:rsidRPr="00E71029">
        <w:rPr>
          <w:i/>
          <w:lang w:eastAsia="ja-JP"/>
        </w:rPr>
        <w:t>I/N</w:t>
      </w:r>
      <w:r>
        <w:t xml:space="preserve"> from IMT network deployed </w:t>
      </w:r>
      <w:r>
        <w:rPr>
          <w:rFonts w:hint="eastAsia"/>
          <w:lang w:eastAsia="ja-JP"/>
        </w:rPr>
        <w:t xml:space="preserve">within </w:t>
      </w:r>
      <w:r w:rsidR="00040F0C" w:rsidRPr="00A85632">
        <w:rPr>
          <w:sz w:val="18"/>
          <w:szCs w:val="18"/>
          <w:lang w:val="fr-CH"/>
        </w:rPr>
        <w:t>−</w:t>
      </w:r>
      <w:r>
        <w:rPr>
          <w:rFonts w:hint="eastAsia"/>
          <w:lang w:eastAsia="ja-JP"/>
        </w:rPr>
        <w:t xml:space="preserve">3 dB or </w:t>
      </w:r>
      <w:r w:rsidR="00040F0C" w:rsidRPr="00A85632">
        <w:rPr>
          <w:sz w:val="18"/>
          <w:szCs w:val="18"/>
          <w:lang w:val="fr-CH"/>
        </w:rPr>
        <w:t>−</w:t>
      </w:r>
      <w:r>
        <w:rPr>
          <w:rFonts w:hint="eastAsia"/>
          <w:lang w:eastAsia="ja-JP"/>
        </w:rPr>
        <w:t>6dB footprints and visible earth of</w:t>
      </w:r>
      <w:r>
        <w:t xml:space="preserve"> the satellite whose main beam pointing is 15 degrees elevation angle (with random clutter loss)</w:t>
      </w:r>
    </w:p>
    <w:p w14:paraId="07023E50" w14:textId="77777777" w:rsidR="006B76C3" w:rsidRDefault="006B76C3" w:rsidP="006B76C3">
      <w:pPr>
        <w:pStyle w:val="Figuretitle"/>
      </w:pPr>
      <w:r>
        <w:t xml:space="preserve">a) Aggregate </w:t>
      </w:r>
      <w:r w:rsidRPr="00E71029">
        <w:rPr>
          <w:i/>
          <w:lang w:eastAsia="ja-JP"/>
        </w:rPr>
        <w:t>I/N</w:t>
      </w:r>
      <w:r>
        <w:rPr>
          <w:rFonts w:hint="eastAsia"/>
          <w:lang w:eastAsia="ja-JP"/>
        </w:rPr>
        <w:t xml:space="preserve"> </w:t>
      </w:r>
      <w:r>
        <w:t>from BSs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tab/>
        <w:t xml:space="preserve">b) Aggregate </w:t>
      </w:r>
      <w:r w:rsidRPr="00E71029">
        <w:rPr>
          <w:i/>
          <w:lang w:eastAsia="ja-JP"/>
        </w:rPr>
        <w:t>I/N</w:t>
      </w:r>
      <w:r>
        <w:rPr>
          <w:rFonts w:hint="eastAsia"/>
          <w:lang w:eastAsia="ja-JP"/>
        </w:rPr>
        <w:t xml:space="preserve"> from </w:t>
      </w:r>
      <w:r>
        <w:t>UEs</w:t>
      </w:r>
    </w:p>
    <w:p w14:paraId="7C1D2F6B" w14:textId="77777777" w:rsidR="006B76C3" w:rsidRDefault="006B76C3" w:rsidP="006B76C3">
      <w:pPr>
        <w:pStyle w:val="Reasons"/>
        <w:rPr>
          <w:lang w:eastAsia="ja-JP"/>
        </w:rPr>
      </w:pPr>
      <w:r>
        <w:rPr>
          <w:noProof/>
          <w:lang w:val="en-US"/>
        </w:rPr>
        <w:drawing>
          <wp:inline distT="0" distB="0" distL="0" distR="0" wp14:anchorId="595C69AB" wp14:editId="494EB7FC">
            <wp:extent cx="2925386" cy="2198451"/>
            <wp:effectExtent l="0" t="0" r="889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42" cy="220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6BF529D8" wp14:editId="37532181">
            <wp:extent cx="2935438" cy="2198451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316" cy="220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10A18" w14:textId="77777777" w:rsidR="006B76C3" w:rsidRDefault="006B76C3" w:rsidP="006B76C3">
      <w:pPr>
        <w:pStyle w:val="FigureNo"/>
        <w:spacing w:before="360"/>
        <w:rPr>
          <w:lang w:eastAsia="ja-JP"/>
        </w:rPr>
      </w:pPr>
      <w:r>
        <w:rPr>
          <w:rFonts w:hint="eastAsia"/>
          <w:lang w:eastAsia="ja-JP"/>
        </w:rPr>
        <w:t>Table</w:t>
      </w:r>
      <w:r>
        <w:rPr>
          <w:lang w:eastAsia="zh-CN"/>
        </w:rPr>
        <w:t xml:space="preserve"> </w:t>
      </w:r>
      <w:r>
        <w:rPr>
          <w:rFonts w:hint="eastAsia"/>
          <w:lang w:eastAsia="ja-JP"/>
        </w:rPr>
        <w:t>A</w:t>
      </w:r>
      <w:r>
        <w:rPr>
          <w:lang w:eastAsia="zh-CN"/>
        </w:rPr>
        <w:t>-</w:t>
      </w:r>
      <w:r>
        <w:rPr>
          <w:lang w:eastAsia="ja-JP"/>
        </w:rPr>
        <w:t>1</w:t>
      </w:r>
    </w:p>
    <w:p w14:paraId="50DCF5B0" w14:textId="43F337A8" w:rsidR="006B76C3" w:rsidRPr="00052862" w:rsidRDefault="006B76C3" w:rsidP="006B76C3">
      <w:pPr>
        <w:pStyle w:val="Figuretitle"/>
        <w:rPr>
          <w:lang w:eastAsia="ja-JP"/>
        </w:rPr>
      </w:pPr>
      <w:r>
        <w:rPr>
          <w:rFonts w:hint="eastAsia"/>
          <w:lang w:eastAsia="ja-JP"/>
        </w:rPr>
        <w:t>Mean values of a</w:t>
      </w:r>
      <w:r>
        <w:t xml:space="preserve">ggregate </w:t>
      </w:r>
      <w:r w:rsidRPr="00E71029">
        <w:rPr>
          <w:i/>
          <w:lang w:eastAsia="ja-JP"/>
        </w:rPr>
        <w:t>I/N</w:t>
      </w:r>
      <w:r>
        <w:t xml:space="preserve"> from IMT network deployed </w:t>
      </w:r>
      <w:r>
        <w:rPr>
          <w:rFonts w:hint="eastAsia"/>
          <w:lang w:eastAsia="ja-JP"/>
        </w:rPr>
        <w:t>with</w:t>
      </w:r>
      <w:r>
        <w:t xml:space="preserve">in </w:t>
      </w:r>
      <w:r w:rsidR="00040F0C" w:rsidRPr="00A85632">
        <w:rPr>
          <w:sz w:val="18"/>
          <w:szCs w:val="18"/>
          <w:lang w:val="fr-CH"/>
        </w:rPr>
        <w:t>−</w:t>
      </w:r>
      <w:r>
        <w:rPr>
          <w:rFonts w:hint="eastAsia"/>
          <w:lang w:eastAsia="ja-JP"/>
        </w:rPr>
        <w:t xml:space="preserve">3 dB or </w:t>
      </w:r>
      <w:r w:rsidR="00040F0C" w:rsidRPr="00A85632">
        <w:rPr>
          <w:sz w:val="18"/>
          <w:szCs w:val="18"/>
          <w:lang w:val="fr-CH"/>
        </w:rPr>
        <w:t>−</w:t>
      </w:r>
      <w:r>
        <w:rPr>
          <w:rFonts w:hint="eastAsia"/>
          <w:lang w:eastAsia="ja-JP"/>
        </w:rPr>
        <w:t xml:space="preserve">6 dB footprints and visible earth of </w:t>
      </w:r>
      <w:r>
        <w:t>the</w:t>
      </w:r>
      <w:r>
        <w:rPr>
          <w:rFonts w:hint="eastAsia"/>
          <w:lang w:eastAsia="ja-JP"/>
        </w:rPr>
        <w:t xml:space="preserve"> satellite</w:t>
      </w:r>
      <w:r>
        <w:t xml:space="preserve"> whose main beam pointing is 15 degrees elevation angle (with random clutter loss)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7"/>
        <w:gridCol w:w="1330"/>
        <w:gridCol w:w="1374"/>
        <w:gridCol w:w="1503"/>
        <w:gridCol w:w="1323"/>
      </w:tblGrid>
      <w:tr w:rsidR="006B76C3" w14:paraId="3F06DA72" w14:textId="21EEBE4F" w:rsidTr="00C74ADE">
        <w:tc>
          <w:tcPr>
            <w:tcW w:w="3777" w:type="dxa"/>
          </w:tcPr>
          <w:p w14:paraId="47CA38E7" w14:textId="12A1A3B4" w:rsidR="006B76C3" w:rsidRPr="00052862" w:rsidRDefault="006B76C3" w:rsidP="0017120C">
            <w:pPr>
              <w:pStyle w:val="Reasons"/>
              <w:rPr>
                <w:sz w:val="21"/>
                <w:lang w:eastAsia="ja-JP"/>
              </w:rPr>
            </w:pPr>
          </w:p>
        </w:tc>
        <w:tc>
          <w:tcPr>
            <w:tcW w:w="1330" w:type="dxa"/>
          </w:tcPr>
          <w:p w14:paraId="33F5D933" w14:textId="5E11EDD5" w:rsidR="006B76C3" w:rsidRDefault="006B76C3" w:rsidP="0017120C">
            <w:pPr>
              <w:pStyle w:val="Reasons"/>
              <w:jc w:val="center"/>
              <w:rPr>
                <w:sz w:val="21"/>
                <w:lang w:eastAsia="ja-JP"/>
              </w:rPr>
            </w:pPr>
          </w:p>
        </w:tc>
        <w:tc>
          <w:tcPr>
            <w:tcW w:w="1374" w:type="dxa"/>
          </w:tcPr>
          <w:p w14:paraId="799A46DA" w14:textId="32986E45" w:rsidR="006B76C3" w:rsidRPr="007C26D6" w:rsidRDefault="00BF20AB" w:rsidP="0017120C">
            <w:pPr>
              <w:pStyle w:val="Reasons"/>
              <w:jc w:val="center"/>
              <w:rPr>
                <w:sz w:val="21"/>
                <w:lang w:eastAsia="ja-JP"/>
              </w:rPr>
            </w:pPr>
            <w:r>
              <w:rPr>
                <w:rFonts w:ascii="Times New Roman" w:hAnsi="Times New Roman" w:cs="Times New Roman"/>
                <w:sz w:val="21"/>
                <w:lang w:eastAsia="ja-JP"/>
              </w:rPr>
              <w:t>−</w:t>
            </w:r>
            <w:r w:rsidR="006B76C3">
              <w:rPr>
                <w:rFonts w:hint="eastAsia"/>
                <w:sz w:val="21"/>
                <w:lang w:eastAsia="ja-JP"/>
              </w:rPr>
              <w:t>3 dB footprint</w:t>
            </w:r>
          </w:p>
        </w:tc>
        <w:tc>
          <w:tcPr>
            <w:tcW w:w="1503" w:type="dxa"/>
          </w:tcPr>
          <w:p w14:paraId="2E9D046B" w14:textId="42453186" w:rsidR="006B76C3" w:rsidRPr="00052862" w:rsidRDefault="00BF20AB" w:rsidP="0017120C">
            <w:pPr>
              <w:pStyle w:val="Reasons"/>
              <w:jc w:val="center"/>
              <w:rPr>
                <w:sz w:val="21"/>
                <w:lang w:eastAsia="ja-JP"/>
              </w:rPr>
            </w:pPr>
            <w:r>
              <w:rPr>
                <w:rFonts w:ascii="Times New Roman" w:hAnsi="Times New Roman" w:cs="Times New Roman"/>
                <w:sz w:val="21"/>
                <w:lang w:eastAsia="ja-JP"/>
              </w:rPr>
              <w:t>−</w:t>
            </w:r>
            <w:r w:rsidR="006B76C3">
              <w:rPr>
                <w:rFonts w:hint="eastAsia"/>
                <w:sz w:val="21"/>
                <w:lang w:eastAsia="ja-JP"/>
              </w:rPr>
              <w:t>6 dB footprint</w:t>
            </w:r>
          </w:p>
        </w:tc>
        <w:tc>
          <w:tcPr>
            <w:tcW w:w="1323" w:type="dxa"/>
          </w:tcPr>
          <w:p w14:paraId="58BF5403" w14:textId="5EE2128E" w:rsidR="006B76C3" w:rsidRPr="00052862" w:rsidRDefault="006B76C3" w:rsidP="0017120C">
            <w:pPr>
              <w:pStyle w:val="Reasons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Visible earth</w:t>
            </w:r>
          </w:p>
        </w:tc>
      </w:tr>
      <w:tr w:rsidR="006B76C3" w14:paraId="2030231B" w14:textId="77777777" w:rsidTr="00BF20AB">
        <w:tc>
          <w:tcPr>
            <w:tcW w:w="3777" w:type="dxa"/>
            <w:vMerge w:val="restart"/>
          </w:tcPr>
          <w:p w14:paraId="04F71BB6" w14:textId="77777777" w:rsidR="006B76C3" w:rsidRPr="00895A49" w:rsidRDefault="006B76C3" w:rsidP="0017120C">
            <w:pPr>
              <w:pStyle w:val="Reasons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Mean values of aggregate </w:t>
            </w:r>
            <w:r w:rsidRPr="00E71029">
              <w:rPr>
                <w:i/>
                <w:sz w:val="21"/>
                <w:lang w:eastAsia="ja-JP"/>
              </w:rPr>
              <w:t>I/N</w:t>
            </w:r>
            <w:r>
              <w:rPr>
                <w:rFonts w:hint="eastAsia"/>
                <w:sz w:val="21"/>
                <w:lang w:eastAsia="ja-JP"/>
              </w:rPr>
              <w:t xml:space="preserve"> from IMT network towards the satellite whose main beam pointing is 15 degrees elevation angle (with random clutter loss)  (dB)</w:t>
            </w:r>
          </w:p>
        </w:tc>
        <w:tc>
          <w:tcPr>
            <w:tcW w:w="1330" w:type="dxa"/>
          </w:tcPr>
          <w:p w14:paraId="16EED5DC" w14:textId="77777777" w:rsidR="006B76C3" w:rsidRPr="007C26D6" w:rsidRDefault="006B76C3" w:rsidP="0017120C">
            <w:pPr>
              <w:pStyle w:val="Reasons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BSs</w:t>
            </w:r>
          </w:p>
        </w:tc>
        <w:tc>
          <w:tcPr>
            <w:tcW w:w="1374" w:type="dxa"/>
          </w:tcPr>
          <w:p w14:paraId="638F0A00" w14:textId="77777777" w:rsidR="006B76C3" w:rsidRPr="007C26D6" w:rsidRDefault="006B76C3" w:rsidP="0017120C">
            <w:pPr>
              <w:pStyle w:val="Reasons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-28.9</w:t>
            </w:r>
          </w:p>
        </w:tc>
        <w:tc>
          <w:tcPr>
            <w:tcW w:w="1503" w:type="dxa"/>
          </w:tcPr>
          <w:p w14:paraId="017F7ADE" w14:textId="77777777" w:rsidR="006B76C3" w:rsidRPr="00052862" w:rsidRDefault="006B76C3" w:rsidP="0017120C">
            <w:pPr>
              <w:pStyle w:val="Reasons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-27.8</w:t>
            </w:r>
          </w:p>
        </w:tc>
        <w:tc>
          <w:tcPr>
            <w:tcW w:w="1323" w:type="dxa"/>
          </w:tcPr>
          <w:p w14:paraId="12995A76" w14:textId="77777777" w:rsidR="006B76C3" w:rsidRPr="00052862" w:rsidRDefault="006B76C3" w:rsidP="0017120C">
            <w:pPr>
              <w:pStyle w:val="Reasons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-27.4</w:t>
            </w:r>
          </w:p>
        </w:tc>
      </w:tr>
      <w:tr w:rsidR="006B76C3" w14:paraId="74B3A981" w14:textId="77777777" w:rsidTr="00BF20AB">
        <w:tc>
          <w:tcPr>
            <w:tcW w:w="3777" w:type="dxa"/>
            <w:vMerge/>
          </w:tcPr>
          <w:p w14:paraId="71BF97AA" w14:textId="77777777" w:rsidR="006B76C3" w:rsidRDefault="006B76C3" w:rsidP="0017120C">
            <w:pPr>
              <w:pStyle w:val="Reasons"/>
              <w:rPr>
                <w:sz w:val="21"/>
                <w:lang w:eastAsia="ja-JP"/>
              </w:rPr>
            </w:pPr>
          </w:p>
        </w:tc>
        <w:tc>
          <w:tcPr>
            <w:tcW w:w="1330" w:type="dxa"/>
          </w:tcPr>
          <w:p w14:paraId="5E2A3693" w14:textId="77777777" w:rsidR="006B76C3" w:rsidRPr="007C26D6" w:rsidRDefault="006B76C3" w:rsidP="0017120C">
            <w:pPr>
              <w:pStyle w:val="Reasons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UEs</w:t>
            </w:r>
          </w:p>
        </w:tc>
        <w:tc>
          <w:tcPr>
            <w:tcW w:w="1374" w:type="dxa"/>
          </w:tcPr>
          <w:p w14:paraId="147C9785" w14:textId="77777777" w:rsidR="006B76C3" w:rsidRPr="007C26D6" w:rsidRDefault="006B76C3" w:rsidP="0017120C">
            <w:pPr>
              <w:pStyle w:val="Reasons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-38.5</w:t>
            </w:r>
          </w:p>
        </w:tc>
        <w:tc>
          <w:tcPr>
            <w:tcW w:w="1503" w:type="dxa"/>
          </w:tcPr>
          <w:p w14:paraId="0ACD954C" w14:textId="77777777" w:rsidR="006B76C3" w:rsidRPr="007C26D6" w:rsidRDefault="006B76C3" w:rsidP="0017120C">
            <w:pPr>
              <w:pStyle w:val="Reasons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-37.2</w:t>
            </w:r>
          </w:p>
        </w:tc>
        <w:tc>
          <w:tcPr>
            <w:tcW w:w="1323" w:type="dxa"/>
          </w:tcPr>
          <w:p w14:paraId="0BE53F22" w14:textId="77777777" w:rsidR="006B76C3" w:rsidRPr="007C26D6" w:rsidRDefault="006B76C3" w:rsidP="0017120C">
            <w:pPr>
              <w:pStyle w:val="Reasons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-36.8</w:t>
            </w:r>
          </w:p>
        </w:tc>
      </w:tr>
      <w:tr w:rsidR="006B76C3" w14:paraId="376EE75A" w14:textId="77777777" w:rsidTr="00BF20AB">
        <w:tc>
          <w:tcPr>
            <w:tcW w:w="3777" w:type="dxa"/>
            <w:vMerge/>
          </w:tcPr>
          <w:p w14:paraId="2B7AB5DF" w14:textId="77777777" w:rsidR="006B76C3" w:rsidRDefault="006B76C3" w:rsidP="0017120C">
            <w:pPr>
              <w:pStyle w:val="Reasons"/>
              <w:rPr>
                <w:sz w:val="21"/>
                <w:lang w:eastAsia="ja-JP"/>
              </w:rPr>
            </w:pPr>
          </w:p>
        </w:tc>
        <w:tc>
          <w:tcPr>
            <w:tcW w:w="1330" w:type="dxa"/>
          </w:tcPr>
          <w:p w14:paraId="1D9FF72B" w14:textId="77777777" w:rsidR="006B76C3" w:rsidRPr="007C26D6" w:rsidRDefault="006B76C3" w:rsidP="0017120C">
            <w:pPr>
              <w:pStyle w:val="Reasons"/>
              <w:wordWrap w:val="0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BSs and UEs</w:t>
            </w:r>
          </w:p>
        </w:tc>
        <w:tc>
          <w:tcPr>
            <w:tcW w:w="1374" w:type="dxa"/>
          </w:tcPr>
          <w:p w14:paraId="1CD9E738" w14:textId="77777777" w:rsidR="006B76C3" w:rsidRPr="007C26D6" w:rsidRDefault="006B76C3" w:rsidP="0017120C">
            <w:pPr>
              <w:pStyle w:val="Reasons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-28.4</w:t>
            </w:r>
          </w:p>
        </w:tc>
        <w:tc>
          <w:tcPr>
            <w:tcW w:w="1503" w:type="dxa"/>
          </w:tcPr>
          <w:p w14:paraId="6E880477" w14:textId="77777777" w:rsidR="006B76C3" w:rsidRPr="007C26D6" w:rsidRDefault="006B76C3" w:rsidP="0017120C">
            <w:pPr>
              <w:pStyle w:val="Reasons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-27.3</w:t>
            </w:r>
          </w:p>
        </w:tc>
        <w:tc>
          <w:tcPr>
            <w:tcW w:w="1323" w:type="dxa"/>
          </w:tcPr>
          <w:p w14:paraId="7320411D" w14:textId="77777777" w:rsidR="006B76C3" w:rsidRPr="007C26D6" w:rsidRDefault="006B76C3" w:rsidP="0017120C">
            <w:pPr>
              <w:pStyle w:val="Reasons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-26.9</w:t>
            </w:r>
          </w:p>
        </w:tc>
      </w:tr>
    </w:tbl>
    <w:p w14:paraId="1B967C22" w14:textId="21278F4B" w:rsidR="006B76C3" w:rsidRDefault="006B76C3" w:rsidP="006B76C3">
      <w:pPr>
        <w:pStyle w:val="Reasons"/>
        <w:rPr>
          <w:lang w:eastAsia="ja-JP"/>
        </w:rPr>
      </w:pPr>
      <w:r>
        <w:rPr>
          <w:lang w:eastAsia="ja-JP"/>
        </w:rPr>
        <w:t>T</w:t>
      </w:r>
      <w:r>
        <w:rPr>
          <w:rFonts w:hint="eastAsia"/>
          <w:lang w:eastAsia="ja-JP"/>
        </w:rPr>
        <w:t xml:space="preserve">he epfd value for IMT base stations deployed within </w:t>
      </w:r>
      <w:r w:rsidR="00040F0C" w:rsidRPr="00A85632">
        <w:rPr>
          <w:sz w:val="18"/>
          <w:szCs w:val="18"/>
          <w:lang w:val="fr-CH"/>
        </w:rPr>
        <w:t>−</w:t>
      </w:r>
      <w:r>
        <w:rPr>
          <w:rFonts w:hint="eastAsia"/>
          <w:lang w:eastAsia="ja-JP"/>
        </w:rPr>
        <w:t xml:space="preserve">3 dB footprint of the satellite whose main beam pointing is 15 degrees elevation angle is derived from the aggregate </w:t>
      </w:r>
      <w:r w:rsidRPr="00E71029">
        <w:rPr>
          <w:i/>
          <w:lang w:eastAsia="ja-JP"/>
        </w:rPr>
        <w:t>I/N</w:t>
      </w:r>
      <w:r>
        <w:rPr>
          <w:rFonts w:hint="eastAsia"/>
          <w:lang w:eastAsia="ja-JP"/>
        </w:rPr>
        <w:t xml:space="preserve"> using the equations (A-4) and (A-6) as in Table A-2.  The epfd value is scaled to that for IMT base stations deployed within the territory of Japan based on the area of the territory (378,000 km</w:t>
      </w:r>
      <w:r w:rsidRPr="0074686D">
        <w:rPr>
          <w:rFonts w:hint="eastAsia"/>
          <w:vertAlign w:val="superscript"/>
          <w:lang w:eastAsia="ja-JP"/>
        </w:rPr>
        <w:t>2</w:t>
      </w:r>
      <w:r>
        <w:rPr>
          <w:rFonts w:hint="eastAsia"/>
          <w:lang w:eastAsia="ja-JP"/>
        </w:rPr>
        <w:t xml:space="preserve">) relative to the area of the </w:t>
      </w:r>
      <w:r w:rsidR="00040F0C" w:rsidRPr="00A85632">
        <w:rPr>
          <w:sz w:val="18"/>
          <w:szCs w:val="18"/>
          <w:lang w:val="fr-CH"/>
        </w:rPr>
        <w:t>−</w:t>
      </w:r>
      <w:r>
        <w:rPr>
          <w:rFonts w:hint="eastAsia"/>
          <w:lang w:eastAsia="ja-JP"/>
        </w:rPr>
        <w:t>3 dB footprint (1,135,833 km</w:t>
      </w:r>
      <w:r w:rsidRPr="0074686D">
        <w:rPr>
          <w:rFonts w:hint="eastAsia"/>
          <w:vertAlign w:val="superscript"/>
          <w:lang w:eastAsia="ja-JP"/>
        </w:rPr>
        <w:t>2</w:t>
      </w:r>
      <w:r>
        <w:rPr>
          <w:rFonts w:hint="eastAsia"/>
          <w:lang w:eastAsia="ja-JP"/>
        </w:rPr>
        <w:t xml:space="preserve">).  </w:t>
      </w:r>
    </w:p>
    <w:p w14:paraId="7724F33F" w14:textId="2EFDBC84" w:rsidR="006B76C3" w:rsidRDefault="006B76C3" w:rsidP="006B76C3">
      <w:pPr>
        <w:pStyle w:val="Reasons"/>
        <w:rPr>
          <w:lang w:eastAsia="ja-JP"/>
        </w:rPr>
      </w:pPr>
      <w:r w:rsidRPr="000664E8">
        <w:rPr>
          <w:rFonts w:hint="eastAsia"/>
          <w:lang w:eastAsia="ja-JP"/>
        </w:rPr>
        <w:t xml:space="preserve">Total number of base stations within </w:t>
      </w:r>
      <w:r w:rsidR="00A5285A">
        <w:rPr>
          <w:lang w:eastAsia="ja-JP"/>
        </w:rPr>
        <w:t>-</w:t>
      </w:r>
      <w:r w:rsidRPr="000664E8">
        <w:rPr>
          <w:rFonts w:hint="eastAsia"/>
          <w:lang w:eastAsia="ja-JP"/>
        </w:rPr>
        <w:t>3 dB footprint or within Japan are calculated, assuming the BS density values and the consideration of that</w:t>
      </w:r>
      <w:r w:rsidRPr="000664E8">
        <w:rPr>
          <w:lang w:eastAsia="ja-JP"/>
        </w:rPr>
        <w:t xml:space="preserve"> for large area</w:t>
      </w:r>
      <w:r w:rsidRPr="000664E8">
        <w:rPr>
          <w:rFonts w:hint="eastAsia"/>
          <w:lang w:eastAsia="ja-JP"/>
        </w:rPr>
        <w:t xml:space="preserve"> provided by ITU-R Working Party 5D as described in Note 1 of Table A-2.</w:t>
      </w:r>
      <w:r>
        <w:rPr>
          <w:rFonts w:hint="eastAsia"/>
          <w:lang w:eastAsia="ja-JP"/>
        </w:rPr>
        <w:t xml:space="preserve">  </w:t>
      </w:r>
    </w:p>
    <w:p w14:paraId="5F94C25A" w14:textId="77777777" w:rsidR="006B76C3" w:rsidRDefault="006B76C3" w:rsidP="006B76C3">
      <w:pPr>
        <w:pStyle w:val="Reasons"/>
        <w:rPr>
          <w:lang w:eastAsia="ja-JP"/>
        </w:rPr>
      </w:pPr>
      <w:r>
        <w:rPr>
          <w:rFonts w:hint="eastAsia"/>
          <w:lang w:eastAsia="ja-JP"/>
        </w:rPr>
        <w:t>Figure A-2 is a f</w:t>
      </w:r>
      <w:r w:rsidRPr="00C82405">
        <w:rPr>
          <w:lang w:eastAsia="ja-JP"/>
        </w:rPr>
        <w:t>ootprint example of the FSS satellite main beam (0.8 degree beamwidth) whose pointing is 15 degrees elevation angle centred in Tokyo</w:t>
      </w:r>
      <w:r>
        <w:rPr>
          <w:rFonts w:hint="eastAsia"/>
          <w:lang w:eastAsia="ja-JP"/>
        </w:rPr>
        <w:t>.</w:t>
      </w:r>
      <w:r w:rsidRPr="00C82405">
        <w:rPr>
          <w:lang w:eastAsia="ja-JP"/>
        </w:rPr>
        <w:t xml:space="preserve"> </w:t>
      </w:r>
    </w:p>
    <w:p w14:paraId="4EE32B90" w14:textId="77777777" w:rsidR="00BF20AB" w:rsidRDefault="00BF20AB">
      <w:pPr>
        <w:rPr>
          <w:rFonts w:eastAsia="MS Mincho"/>
          <w:caps/>
          <w:sz w:val="20"/>
          <w:szCs w:val="20"/>
          <w:lang w:val="en-GB" w:eastAsia="ja-JP"/>
        </w:rPr>
      </w:pPr>
      <w:r>
        <w:rPr>
          <w:lang w:eastAsia="ja-JP"/>
        </w:rPr>
        <w:br w:type="page"/>
      </w:r>
    </w:p>
    <w:p w14:paraId="68F0EA4F" w14:textId="040BAC71" w:rsidR="006B76C3" w:rsidRDefault="006B76C3" w:rsidP="006B76C3">
      <w:pPr>
        <w:pStyle w:val="FigureNo"/>
        <w:spacing w:before="360"/>
        <w:rPr>
          <w:lang w:eastAsia="ja-JP"/>
        </w:rPr>
      </w:pPr>
      <w:r>
        <w:rPr>
          <w:rFonts w:hint="eastAsia"/>
          <w:lang w:eastAsia="ja-JP"/>
        </w:rPr>
        <w:lastRenderedPageBreak/>
        <w:t>Table</w:t>
      </w:r>
      <w:r>
        <w:rPr>
          <w:lang w:eastAsia="zh-CN"/>
        </w:rPr>
        <w:t xml:space="preserve"> </w:t>
      </w:r>
      <w:r>
        <w:rPr>
          <w:rFonts w:hint="eastAsia"/>
          <w:lang w:eastAsia="ja-JP"/>
        </w:rPr>
        <w:t>A</w:t>
      </w:r>
      <w:r>
        <w:rPr>
          <w:lang w:eastAsia="zh-CN"/>
        </w:rPr>
        <w:t>-</w:t>
      </w:r>
      <w:r>
        <w:rPr>
          <w:rFonts w:hint="eastAsia"/>
          <w:lang w:eastAsia="ja-JP"/>
        </w:rPr>
        <w:t>2</w:t>
      </w:r>
    </w:p>
    <w:p w14:paraId="7D59BCF3" w14:textId="63F9B7E4" w:rsidR="006B76C3" w:rsidRPr="006D747F" w:rsidRDefault="006B76C3" w:rsidP="006B76C3">
      <w:pPr>
        <w:pStyle w:val="Figuretitle"/>
        <w:rPr>
          <w:lang w:eastAsia="ja-JP"/>
        </w:rPr>
      </w:pPr>
      <w:r w:rsidRPr="00E71029">
        <w:rPr>
          <w:i/>
          <w:lang w:eastAsia="ja-JP"/>
        </w:rPr>
        <w:t>I/N</w:t>
      </w:r>
      <w:r>
        <w:rPr>
          <w:rFonts w:hint="eastAsia"/>
          <w:lang w:eastAsia="ja-JP"/>
        </w:rPr>
        <w:t>, a</w:t>
      </w:r>
      <w:r>
        <w:t>ggregate interference</w:t>
      </w:r>
      <w:r>
        <w:rPr>
          <w:rFonts w:hint="eastAsia"/>
          <w:lang w:eastAsia="ja-JP"/>
        </w:rPr>
        <w:t xml:space="preserve"> and epfd</w:t>
      </w:r>
      <w:r>
        <w:t xml:space="preserve"> </w:t>
      </w:r>
      <w:r>
        <w:rPr>
          <w:rFonts w:hint="eastAsia"/>
          <w:lang w:eastAsia="ja-JP"/>
        </w:rPr>
        <w:t xml:space="preserve">derived </w:t>
      </w:r>
      <w:r>
        <w:t xml:space="preserve">from </w:t>
      </w:r>
      <w:r>
        <w:rPr>
          <w:rFonts w:hint="eastAsia"/>
          <w:lang w:eastAsia="ja-JP"/>
        </w:rPr>
        <w:t xml:space="preserve">the results of </w:t>
      </w:r>
      <w:r>
        <w:t xml:space="preserve">IMT network deployed </w:t>
      </w:r>
      <w:r>
        <w:rPr>
          <w:rFonts w:hint="eastAsia"/>
          <w:lang w:eastAsia="ja-JP"/>
        </w:rPr>
        <w:t xml:space="preserve">within </w:t>
      </w:r>
      <w:r w:rsidR="00040F0C" w:rsidRPr="00A85632">
        <w:rPr>
          <w:sz w:val="18"/>
          <w:szCs w:val="18"/>
          <w:lang w:val="fr-CH"/>
        </w:rPr>
        <w:t>−</w:t>
      </w:r>
      <w:r>
        <w:rPr>
          <w:rFonts w:hint="eastAsia"/>
          <w:lang w:eastAsia="ja-JP"/>
        </w:rPr>
        <w:t xml:space="preserve">3 dB footprint of the satellite </w:t>
      </w:r>
      <w:r>
        <w:t>whose main beam pointing is 15 degrees elevation angle (with random clutter loss)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3"/>
        <w:gridCol w:w="1096"/>
        <w:gridCol w:w="1265"/>
        <w:gridCol w:w="805"/>
        <w:gridCol w:w="1097"/>
        <w:gridCol w:w="1831"/>
      </w:tblGrid>
      <w:tr w:rsidR="006B76C3" w14:paraId="3FEE6777" w14:textId="77777777" w:rsidTr="0017120C">
        <w:tc>
          <w:tcPr>
            <w:tcW w:w="3652" w:type="dxa"/>
          </w:tcPr>
          <w:p w14:paraId="76B2B7D3" w14:textId="77777777" w:rsidR="006B76C3" w:rsidRPr="00E409DA" w:rsidRDefault="006B76C3" w:rsidP="0017120C">
            <w:pPr>
              <w:pStyle w:val="Reasons"/>
              <w:rPr>
                <w:sz w:val="21"/>
                <w:lang w:eastAsia="ja-JP"/>
              </w:rPr>
            </w:pPr>
          </w:p>
        </w:tc>
        <w:tc>
          <w:tcPr>
            <w:tcW w:w="1134" w:type="dxa"/>
          </w:tcPr>
          <w:p w14:paraId="41431C1A" w14:textId="77777777" w:rsidR="006B76C3" w:rsidRPr="00E409DA" w:rsidRDefault="006B76C3" w:rsidP="0017120C">
            <w:pPr>
              <w:pStyle w:val="Reasons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Number of BSs</w:t>
            </w:r>
            <w:r w:rsidRPr="0086463F">
              <w:rPr>
                <w:rFonts w:hint="eastAsia"/>
                <w:sz w:val="21"/>
                <w:vertAlign w:val="superscript"/>
                <w:lang w:eastAsia="ja-JP"/>
              </w:rPr>
              <w:t>(1)</w:t>
            </w:r>
          </w:p>
        </w:tc>
        <w:tc>
          <w:tcPr>
            <w:tcW w:w="1418" w:type="dxa"/>
          </w:tcPr>
          <w:p w14:paraId="4699F46D" w14:textId="77777777" w:rsidR="006B76C3" w:rsidRPr="00E409DA" w:rsidRDefault="006B76C3" w:rsidP="0017120C">
            <w:pPr>
              <w:pStyle w:val="Reasons"/>
              <w:rPr>
                <w:sz w:val="21"/>
                <w:lang w:eastAsia="ja-JP"/>
              </w:rPr>
            </w:pPr>
          </w:p>
        </w:tc>
        <w:tc>
          <w:tcPr>
            <w:tcW w:w="850" w:type="dxa"/>
          </w:tcPr>
          <w:p w14:paraId="1B42D16B" w14:textId="77777777" w:rsidR="006B76C3" w:rsidRPr="00E409DA" w:rsidRDefault="006B76C3" w:rsidP="0017120C">
            <w:pPr>
              <w:pStyle w:val="NormalWeb"/>
              <w:spacing w:before="0" w:beforeAutospacing="0" w:after="0" w:afterAutospacing="0" w:line="306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1029">
              <w:rPr>
                <w:rFonts w:ascii="Times New Roman" w:eastAsia="Meiryo" w:hAnsi="Times New Roman" w:cs="Times New Roman"/>
                <w:b/>
                <w:bCs/>
                <w:i/>
                <w:color w:val="000000" w:themeColor="text1"/>
                <w:kern w:val="24"/>
                <w:sz w:val="20"/>
                <w:szCs w:val="20"/>
              </w:rPr>
              <w:t>I/N</w:t>
            </w:r>
            <w:r w:rsidRPr="00E409DA">
              <w:rPr>
                <w:rFonts w:ascii="Times New Roman" w:eastAsia="Meiryo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(dB)</w:t>
            </w:r>
          </w:p>
        </w:tc>
        <w:tc>
          <w:tcPr>
            <w:tcW w:w="1098" w:type="dxa"/>
          </w:tcPr>
          <w:p w14:paraId="6D68A4D9" w14:textId="77777777" w:rsidR="006B76C3" w:rsidRPr="00E409DA" w:rsidRDefault="006B76C3" w:rsidP="0017120C">
            <w:pPr>
              <w:pStyle w:val="NormalWeb"/>
              <w:spacing w:before="0" w:beforeAutospacing="0" w:after="0" w:afterAutospacing="0" w:line="306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1029">
              <w:rPr>
                <w:rFonts w:ascii="Times New Roman" w:eastAsia="Meiryo" w:hAnsi="Times New Roman" w:cs="Times New Roman"/>
                <w:b/>
                <w:bCs/>
                <w:i/>
                <w:color w:val="000000" w:themeColor="text1"/>
                <w:kern w:val="24"/>
                <w:sz w:val="20"/>
                <w:szCs w:val="20"/>
              </w:rPr>
              <w:t>I</w:t>
            </w:r>
            <w:r w:rsidRPr="00E71029">
              <w:rPr>
                <w:rFonts w:ascii="Times New Roman" w:eastAsia="Meiryo" w:hAnsi="Times New Roman" w:cs="Times New Roman"/>
                <w:b/>
                <w:bCs/>
                <w:i/>
                <w:color w:val="000000" w:themeColor="text1"/>
                <w:kern w:val="24"/>
                <w:position w:val="-5"/>
                <w:sz w:val="20"/>
                <w:szCs w:val="20"/>
                <w:vertAlign w:val="subscript"/>
              </w:rPr>
              <w:t>agg</w:t>
            </w:r>
            <w:r w:rsidRPr="00E409DA">
              <w:rPr>
                <w:rFonts w:ascii="Times New Roman" w:eastAsia="Meiryo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(dBW/Hz)</w:t>
            </w:r>
          </w:p>
        </w:tc>
        <w:tc>
          <w:tcPr>
            <w:tcW w:w="1703" w:type="dxa"/>
          </w:tcPr>
          <w:p w14:paraId="628914C3" w14:textId="55392D88" w:rsidR="006B76C3" w:rsidRPr="00E409DA" w:rsidRDefault="006B76C3" w:rsidP="00A5285A">
            <w:pPr>
              <w:pStyle w:val="NormalWeb"/>
              <w:spacing w:before="0" w:beforeAutospacing="0" w:after="0" w:afterAutospacing="0" w:line="306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4BB0">
              <w:rPr>
                <w:rFonts w:ascii="Times New Roman" w:eastAsia="Meiryo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epfd</w:t>
            </w:r>
            <w:r w:rsidRPr="00E409DA">
              <w:rPr>
                <w:rFonts w:ascii="Times New Roman" w:eastAsia="Meiryo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(dB(W/</w:t>
            </w:r>
            <w:r w:rsidR="00A5285A">
              <w:rPr>
                <w:rFonts w:ascii="Times New Roman" w:eastAsia="Meiryo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(</w:t>
            </w:r>
            <w:r w:rsidRPr="00E409DA">
              <w:rPr>
                <w:rFonts w:ascii="Times New Roman" w:eastAsia="Meiryo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m</w:t>
            </w:r>
            <w:r w:rsidRPr="00E409DA">
              <w:rPr>
                <w:rFonts w:ascii="Times New Roman" w:eastAsia="Meiryo" w:hAnsi="Times New Roman" w:cs="Times New Roman"/>
                <w:b/>
                <w:bCs/>
                <w:color w:val="000000" w:themeColor="text1"/>
                <w:kern w:val="24"/>
                <w:position w:val="6"/>
                <w:sz w:val="20"/>
                <w:szCs w:val="20"/>
                <w:vertAlign w:val="superscript"/>
              </w:rPr>
              <w:t>2</w:t>
            </w:r>
            <w:r w:rsidR="00A5285A">
              <w:rPr>
                <w:rFonts w:ascii="Times New Roman" w:eastAsia="Meiryo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∙M</w:t>
            </w:r>
            <w:r w:rsidRPr="00E409DA">
              <w:rPr>
                <w:rFonts w:ascii="Times New Roman" w:eastAsia="Meiryo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Hz))</w:t>
            </w:r>
            <w:r w:rsidR="00A5285A">
              <w:rPr>
                <w:rFonts w:ascii="Times New Roman" w:eastAsia="Meiryo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)</w:t>
            </w:r>
            <w:r w:rsidRPr="00E409DA">
              <w:rPr>
                <w:rFonts w:ascii="Times New Roman" w:eastAsia="Meiryo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</w:t>
            </w:r>
          </w:p>
        </w:tc>
      </w:tr>
      <w:tr w:rsidR="006B76C3" w14:paraId="07F458D5" w14:textId="77777777" w:rsidTr="0017120C">
        <w:trPr>
          <w:trHeight w:val="387"/>
        </w:trPr>
        <w:tc>
          <w:tcPr>
            <w:tcW w:w="3652" w:type="dxa"/>
            <w:vMerge w:val="restart"/>
          </w:tcPr>
          <w:p w14:paraId="380405EA" w14:textId="06FDC66A" w:rsidR="006B76C3" w:rsidRPr="00514CAB" w:rsidRDefault="006B76C3" w:rsidP="0017120C">
            <w:pPr>
              <w:pStyle w:val="Reasons"/>
              <w:rPr>
                <w:sz w:val="21"/>
                <w:lang w:eastAsia="ja-JP"/>
              </w:rPr>
            </w:pPr>
            <w:r w:rsidRPr="00E71029">
              <w:rPr>
                <w:i/>
                <w:sz w:val="21"/>
                <w:lang w:eastAsia="ja-JP"/>
              </w:rPr>
              <w:t>I/N</w:t>
            </w:r>
            <w:r>
              <w:rPr>
                <w:rFonts w:hint="eastAsia"/>
                <w:sz w:val="21"/>
                <w:lang w:eastAsia="ja-JP"/>
              </w:rPr>
              <w:t xml:space="preserve">, </w:t>
            </w:r>
            <w:r w:rsidRPr="00E71029">
              <w:rPr>
                <w:i/>
                <w:sz w:val="21"/>
                <w:lang w:eastAsia="ja-JP"/>
              </w:rPr>
              <w:t>I</w:t>
            </w:r>
            <w:r w:rsidRPr="00E71029">
              <w:rPr>
                <w:i/>
                <w:sz w:val="21"/>
                <w:vertAlign w:val="subscript"/>
                <w:lang w:eastAsia="ja-JP"/>
              </w:rPr>
              <w:t>agg</w:t>
            </w:r>
            <w:r>
              <w:rPr>
                <w:rFonts w:hint="eastAsia"/>
                <w:sz w:val="21"/>
                <w:lang w:eastAsia="ja-JP"/>
              </w:rPr>
              <w:t xml:space="preserve"> and </w:t>
            </w:r>
            <w:r w:rsidRPr="00E44BB0">
              <w:rPr>
                <w:rFonts w:hint="eastAsia"/>
                <w:sz w:val="21"/>
                <w:lang w:eastAsia="ja-JP"/>
              </w:rPr>
              <w:t>epfd</w:t>
            </w:r>
            <w:r>
              <w:rPr>
                <w:rFonts w:hint="eastAsia"/>
                <w:sz w:val="21"/>
                <w:lang w:eastAsia="ja-JP"/>
              </w:rPr>
              <w:t xml:space="preserve"> from IMT stations deployed within </w:t>
            </w:r>
            <w:r w:rsidR="00040F0C" w:rsidRPr="00A85632">
              <w:rPr>
                <w:sz w:val="18"/>
                <w:szCs w:val="18"/>
                <w:lang w:val="fr-CH"/>
              </w:rPr>
              <w:t>−</w:t>
            </w:r>
            <w:r>
              <w:rPr>
                <w:rFonts w:hint="eastAsia"/>
                <w:sz w:val="21"/>
                <w:lang w:eastAsia="ja-JP"/>
              </w:rPr>
              <w:t>3 dB footprint (1,135,833 km</w:t>
            </w:r>
            <w:r w:rsidRPr="00411A45">
              <w:rPr>
                <w:rFonts w:hint="eastAsia"/>
                <w:sz w:val="21"/>
                <w:vertAlign w:val="superscript"/>
                <w:lang w:eastAsia="ja-JP"/>
              </w:rPr>
              <w:t>2</w:t>
            </w:r>
            <w:r>
              <w:rPr>
                <w:rFonts w:hint="eastAsia"/>
                <w:sz w:val="21"/>
                <w:lang w:eastAsia="ja-JP"/>
              </w:rPr>
              <w:t>) of the satellite whose main beam pointing is 15 degrees elevation</w:t>
            </w:r>
          </w:p>
        </w:tc>
        <w:tc>
          <w:tcPr>
            <w:tcW w:w="1134" w:type="dxa"/>
            <w:vMerge w:val="restart"/>
          </w:tcPr>
          <w:p w14:paraId="0D63B901" w14:textId="77777777" w:rsidR="006B76C3" w:rsidRPr="006A0D25" w:rsidRDefault="006B76C3" w:rsidP="0017120C">
            <w:pPr>
              <w:pStyle w:val="Reasons"/>
              <w:jc w:val="center"/>
              <w:rPr>
                <w:sz w:val="21"/>
                <w:highlight w:val="yellow"/>
                <w:lang w:eastAsia="ja-JP"/>
              </w:rPr>
            </w:pPr>
            <w:r w:rsidRPr="0086463F">
              <w:rPr>
                <w:rFonts w:hint="eastAsia"/>
                <w:sz w:val="21"/>
                <w:lang w:eastAsia="ja-JP"/>
              </w:rPr>
              <w:t>136,300</w:t>
            </w:r>
          </w:p>
        </w:tc>
        <w:tc>
          <w:tcPr>
            <w:tcW w:w="1418" w:type="dxa"/>
          </w:tcPr>
          <w:p w14:paraId="45BD0A6B" w14:textId="77777777" w:rsidR="006B76C3" w:rsidRPr="00E409DA" w:rsidRDefault="006B76C3" w:rsidP="0017120C">
            <w:pPr>
              <w:pStyle w:val="Reasons"/>
              <w:rPr>
                <w:sz w:val="21"/>
                <w:lang w:eastAsia="ja-JP"/>
              </w:rPr>
            </w:pPr>
            <w:r w:rsidRPr="00E409DA">
              <w:rPr>
                <w:rFonts w:hint="eastAsia"/>
                <w:sz w:val="21"/>
                <w:lang w:eastAsia="ja-JP"/>
              </w:rPr>
              <w:t>BS</w:t>
            </w:r>
            <w:r>
              <w:rPr>
                <w:rFonts w:hint="eastAsia"/>
                <w:sz w:val="21"/>
                <w:lang w:eastAsia="ja-JP"/>
              </w:rPr>
              <w:t>s</w:t>
            </w:r>
          </w:p>
        </w:tc>
        <w:tc>
          <w:tcPr>
            <w:tcW w:w="850" w:type="dxa"/>
            <w:vAlign w:val="bottom"/>
          </w:tcPr>
          <w:p w14:paraId="00458769" w14:textId="77777777" w:rsidR="006B76C3" w:rsidRPr="00E409DA" w:rsidRDefault="006B76C3" w:rsidP="0017120C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Meiryo" w:hAnsi="Times New Roman" w:cs="Times New Roman"/>
                <w:color w:val="000000"/>
                <w:kern w:val="24"/>
                <w:sz w:val="21"/>
                <w:szCs w:val="21"/>
              </w:rPr>
              <w:t>-</w:t>
            </w:r>
            <w:r>
              <w:rPr>
                <w:rFonts w:ascii="Times New Roman" w:eastAsia="Meiryo" w:hAnsi="Times New Roman" w:cs="Times New Roman" w:hint="eastAsia"/>
                <w:color w:val="000000"/>
                <w:kern w:val="24"/>
                <w:sz w:val="21"/>
                <w:szCs w:val="21"/>
              </w:rPr>
              <w:t>28</w:t>
            </w:r>
            <w:r>
              <w:rPr>
                <w:rFonts w:ascii="Times New Roman" w:eastAsia="Meiryo" w:hAnsi="Times New Roman" w:cs="Times New Roman"/>
                <w:color w:val="000000"/>
                <w:kern w:val="24"/>
                <w:sz w:val="21"/>
                <w:szCs w:val="21"/>
              </w:rPr>
              <w:t>.</w:t>
            </w:r>
            <w:r>
              <w:rPr>
                <w:rFonts w:ascii="Times New Roman" w:eastAsia="Meiryo" w:hAnsi="Times New Roman" w:cs="Times New Roman" w:hint="eastAsia"/>
                <w:color w:val="000000"/>
                <w:kern w:val="24"/>
                <w:sz w:val="21"/>
                <w:szCs w:val="21"/>
              </w:rPr>
              <w:t>9</w:t>
            </w:r>
            <w:r w:rsidRPr="00E409DA">
              <w:rPr>
                <w:rFonts w:ascii="Times New Roman" w:eastAsia="Meiryo" w:hAnsi="Times New Roman" w:cs="Times New Roman"/>
                <w:color w:val="000000"/>
                <w:kern w:val="24"/>
                <w:sz w:val="21"/>
                <w:szCs w:val="21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14:paraId="06688723" w14:textId="77777777" w:rsidR="006B76C3" w:rsidRPr="00E409DA" w:rsidRDefault="006B76C3" w:rsidP="0017120C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Meiryo" w:hAnsi="Times New Roman" w:cs="Times New Roman"/>
                <w:color w:val="000000"/>
                <w:kern w:val="24"/>
                <w:sz w:val="21"/>
                <w:szCs w:val="21"/>
              </w:rPr>
              <w:t>-23</w:t>
            </w:r>
            <w:r>
              <w:rPr>
                <w:rFonts w:ascii="Times New Roman" w:eastAsia="Meiryo" w:hAnsi="Times New Roman" w:cs="Times New Roman" w:hint="eastAsia"/>
                <w:color w:val="000000"/>
                <w:kern w:val="24"/>
                <w:sz w:val="21"/>
                <w:szCs w:val="21"/>
              </w:rPr>
              <w:t>1</w:t>
            </w:r>
            <w:r>
              <w:rPr>
                <w:rFonts w:ascii="Times New Roman" w:eastAsia="Meiryo" w:hAnsi="Times New Roman" w:cs="Times New Roman"/>
                <w:color w:val="000000"/>
                <w:kern w:val="24"/>
                <w:sz w:val="21"/>
                <w:szCs w:val="21"/>
              </w:rPr>
              <w:t>.</w:t>
            </w:r>
            <w:r>
              <w:rPr>
                <w:rFonts w:ascii="Times New Roman" w:eastAsia="Meiryo" w:hAnsi="Times New Roman" w:cs="Times New Roman" w:hint="eastAsia"/>
                <w:color w:val="000000"/>
                <w:kern w:val="24"/>
                <w:sz w:val="21"/>
                <w:szCs w:val="21"/>
              </w:rPr>
              <w:t>5</w:t>
            </w:r>
            <w:r w:rsidRPr="00E409DA">
              <w:rPr>
                <w:rFonts w:ascii="Times New Roman" w:eastAsia="Meiryo" w:hAnsi="Times New Roman" w:cs="Times New Roman"/>
                <w:color w:val="000000"/>
                <w:kern w:val="24"/>
                <w:sz w:val="21"/>
                <w:szCs w:val="21"/>
              </w:rPr>
              <w:t xml:space="preserve"> </w:t>
            </w:r>
          </w:p>
        </w:tc>
        <w:tc>
          <w:tcPr>
            <w:tcW w:w="1703" w:type="dxa"/>
            <w:vAlign w:val="bottom"/>
          </w:tcPr>
          <w:p w14:paraId="731501D6" w14:textId="77777777" w:rsidR="006B76C3" w:rsidRPr="00E409DA" w:rsidRDefault="006B76C3" w:rsidP="0017120C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Meiryo" w:hAnsi="Times New Roman" w:cs="Times New Roman"/>
                <w:b/>
                <w:bCs/>
                <w:color w:val="000000"/>
                <w:kern w:val="24"/>
                <w:sz w:val="21"/>
                <w:szCs w:val="21"/>
              </w:rPr>
              <w:t>-1</w:t>
            </w:r>
            <w:r>
              <w:rPr>
                <w:rFonts w:ascii="Times New Roman" w:eastAsia="Meiryo" w:hAnsi="Times New Roman" w:cs="Times New Roman" w:hint="eastAsia"/>
                <w:b/>
                <w:bCs/>
                <w:color w:val="000000"/>
                <w:kern w:val="24"/>
                <w:sz w:val="21"/>
                <w:szCs w:val="21"/>
              </w:rPr>
              <w:t>68</w:t>
            </w:r>
            <w:r>
              <w:rPr>
                <w:rFonts w:ascii="Times New Roman" w:eastAsia="Meiryo" w:hAnsi="Times New Roman" w:cs="Times New Roman"/>
                <w:b/>
                <w:bCs/>
                <w:color w:val="000000"/>
                <w:kern w:val="24"/>
                <w:sz w:val="21"/>
                <w:szCs w:val="21"/>
              </w:rPr>
              <w:t>.</w:t>
            </w:r>
            <w:r>
              <w:rPr>
                <w:rFonts w:ascii="Times New Roman" w:eastAsia="Meiryo" w:hAnsi="Times New Roman" w:cs="Times New Roman" w:hint="eastAsia"/>
                <w:b/>
                <w:bCs/>
                <w:color w:val="000000"/>
                <w:kern w:val="24"/>
                <w:sz w:val="21"/>
                <w:szCs w:val="21"/>
              </w:rPr>
              <w:t>0</w:t>
            </w:r>
            <w:r w:rsidRPr="00E409DA">
              <w:rPr>
                <w:rFonts w:ascii="Times New Roman" w:eastAsia="Meiryo" w:hAnsi="Times New Roman" w:cs="Times New Roman"/>
                <w:b/>
                <w:bCs/>
                <w:color w:val="000000"/>
                <w:kern w:val="24"/>
                <w:sz w:val="21"/>
                <w:szCs w:val="21"/>
              </w:rPr>
              <w:t xml:space="preserve"> </w:t>
            </w:r>
          </w:p>
        </w:tc>
      </w:tr>
      <w:tr w:rsidR="006B76C3" w14:paraId="060494BF" w14:textId="77777777" w:rsidTr="0017120C">
        <w:trPr>
          <w:trHeight w:val="421"/>
        </w:trPr>
        <w:tc>
          <w:tcPr>
            <w:tcW w:w="3652" w:type="dxa"/>
            <w:vMerge/>
          </w:tcPr>
          <w:p w14:paraId="440087DE" w14:textId="77777777" w:rsidR="006B76C3" w:rsidRPr="00E409DA" w:rsidRDefault="006B76C3" w:rsidP="0017120C">
            <w:pPr>
              <w:pStyle w:val="Reasons"/>
              <w:rPr>
                <w:sz w:val="21"/>
                <w:lang w:eastAsia="ja-JP"/>
              </w:rPr>
            </w:pPr>
          </w:p>
        </w:tc>
        <w:tc>
          <w:tcPr>
            <w:tcW w:w="1134" w:type="dxa"/>
            <w:vMerge/>
          </w:tcPr>
          <w:p w14:paraId="63693B18" w14:textId="77777777" w:rsidR="006B76C3" w:rsidRPr="006A0D25" w:rsidRDefault="006B76C3" w:rsidP="0017120C">
            <w:pPr>
              <w:pStyle w:val="Reasons"/>
              <w:jc w:val="center"/>
              <w:rPr>
                <w:sz w:val="21"/>
                <w:highlight w:val="yellow"/>
                <w:lang w:eastAsia="ja-JP"/>
              </w:rPr>
            </w:pPr>
          </w:p>
        </w:tc>
        <w:tc>
          <w:tcPr>
            <w:tcW w:w="1418" w:type="dxa"/>
          </w:tcPr>
          <w:p w14:paraId="570CF3B0" w14:textId="77777777" w:rsidR="006B76C3" w:rsidRPr="00E409DA" w:rsidRDefault="006B76C3" w:rsidP="0017120C">
            <w:pPr>
              <w:pStyle w:val="Reasons"/>
              <w:rPr>
                <w:sz w:val="21"/>
                <w:lang w:eastAsia="ja-JP"/>
              </w:rPr>
            </w:pPr>
            <w:r w:rsidRPr="00E409DA">
              <w:rPr>
                <w:rFonts w:hint="eastAsia"/>
                <w:sz w:val="21"/>
                <w:lang w:eastAsia="ja-JP"/>
              </w:rPr>
              <w:t>UE</w:t>
            </w:r>
            <w:r>
              <w:rPr>
                <w:rFonts w:hint="eastAsia"/>
                <w:sz w:val="21"/>
                <w:lang w:eastAsia="ja-JP"/>
              </w:rPr>
              <w:t>s</w:t>
            </w:r>
          </w:p>
        </w:tc>
        <w:tc>
          <w:tcPr>
            <w:tcW w:w="850" w:type="dxa"/>
            <w:vAlign w:val="bottom"/>
          </w:tcPr>
          <w:p w14:paraId="26ED9D53" w14:textId="77777777" w:rsidR="006B76C3" w:rsidRPr="00E409DA" w:rsidRDefault="006B76C3" w:rsidP="0017120C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Meiryo" w:hAnsi="Times New Roman" w:cs="Times New Roman"/>
                <w:color w:val="000000"/>
                <w:kern w:val="24"/>
                <w:sz w:val="21"/>
                <w:szCs w:val="21"/>
              </w:rPr>
              <w:t>-</w:t>
            </w:r>
            <w:r>
              <w:rPr>
                <w:rFonts w:ascii="Times New Roman" w:eastAsia="Meiryo" w:hAnsi="Times New Roman" w:cs="Times New Roman" w:hint="eastAsia"/>
                <w:color w:val="000000"/>
                <w:kern w:val="24"/>
                <w:sz w:val="21"/>
                <w:szCs w:val="21"/>
              </w:rPr>
              <w:t>38</w:t>
            </w:r>
            <w:r>
              <w:rPr>
                <w:rFonts w:ascii="Times New Roman" w:eastAsia="Meiryo" w:hAnsi="Times New Roman" w:cs="Times New Roman"/>
                <w:color w:val="000000"/>
                <w:kern w:val="24"/>
                <w:sz w:val="21"/>
                <w:szCs w:val="21"/>
              </w:rPr>
              <w:t>.</w:t>
            </w:r>
            <w:r>
              <w:rPr>
                <w:rFonts w:ascii="Times New Roman" w:eastAsia="Meiryo" w:hAnsi="Times New Roman" w:cs="Times New Roman" w:hint="eastAsia"/>
                <w:color w:val="000000"/>
                <w:kern w:val="24"/>
                <w:sz w:val="21"/>
                <w:szCs w:val="21"/>
              </w:rPr>
              <w:t>5</w:t>
            </w:r>
            <w:r w:rsidRPr="00E409DA">
              <w:rPr>
                <w:rFonts w:ascii="Times New Roman" w:eastAsia="Meiryo" w:hAnsi="Times New Roman" w:cs="Times New Roman"/>
                <w:color w:val="000000"/>
                <w:kern w:val="24"/>
                <w:sz w:val="21"/>
                <w:szCs w:val="21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14:paraId="04B952B2" w14:textId="77777777" w:rsidR="006B76C3" w:rsidRPr="00E409DA" w:rsidRDefault="006B76C3" w:rsidP="0017120C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Times New Roman" w:hAnsi="Times New Roman" w:cs="Times New Roman"/>
                <w:sz w:val="36"/>
                <w:szCs w:val="36"/>
              </w:rPr>
            </w:pPr>
            <w:r w:rsidRPr="00E409DA">
              <w:rPr>
                <w:rFonts w:ascii="Times New Roman" w:eastAsia="Meiryo" w:hAnsi="Times New Roman" w:cs="Times New Roman"/>
                <w:color w:val="000000"/>
                <w:kern w:val="24"/>
                <w:sz w:val="21"/>
                <w:szCs w:val="21"/>
              </w:rPr>
              <w:t>-</w:t>
            </w:r>
            <w:r>
              <w:rPr>
                <w:rFonts w:ascii="Times New Roman" w:eastAsia="Meiryo" w:hAnsi="Times New Roman" w:cs="Times New Roman"/>
                <w:color w:val="000000"/>
                <w:kern w:val="24"/>
                <w:sz w:val="21"/>
                <w:szCs w:val="21"/>
              </w:rPr>
              <w:t>24</w:t>
            </w:r>
            <w:r>
              <w:rPr>
                <w:rFonts w:ascii="Times New Roman" w:eastAsia="Meiryo" w:hAnsi="Times New Roman" w:cs="Times New Roman" w:hint="eastAsia"/>
                <w:color w:val="000000"/>
                <w:kern w:val="24"/>
                <w:sz w:val="21"/>
                <w:szCs w:val="21"/>
              </w:rPr>
              <w:t>1</w:t>
            </w:r>
            <w:r>
              <w:rPr>
                <w:rFonts w:ascii="Times New Roman" w:eastAsia="Meiryo" w:hAnsi="Times New Roman" w:cs="Times New Roman"/>
                <w:color w:val="000000"/>
                <w:kern w:val="24"/>
                <w:sz w:val="21"/>
                <w:szCs w:val="21"/>
              </w:rPr>
              <w:t>.</w:t>
            </w:r>
            <w:r>
              <w:rPr>
                <w:rFonts w:ascii="Times New Roman" w:eastAsia="Meiryo" w:hAnsi="Times New Roman" w:cs="Times New Roman" w:hint="eastAsia"/>
                <w:color w:val="000000"/>
                <w:kern w:val="24"/>
                <w:sz w:val="21"/>
                <w:szCs w:val="21"/>
              </w:rPr>
              <w:t>1</w:t>
            </w:r>
            <w:r w:rsidRPr="00E409DA">
              <w:rPr>
                <w:rFonts w:ascii="Times New Roman" w:eastAsia="Meiryo" w:hAnsi="Times New Roman" w:cs="Times New Roman"/>
                <w:color w:val="000000"/>
                <w:kern w:val="24"/>
                <w:sz w:val="21"/>
                <w:szCs w:val="21"/>
              </w:rPr>
              <w:t xml:space="preserve"> </w:t>
            </w:r>
          </w:p>
        </w:tc>
        <w:tc>
          <w:tcPr>
            <w:tcW w:w="1703" w:type="dxa"/>
            <w:vAlign w:val="bottom"/>
          </w:tcPr>
          <w:p w14:paraId="54A62C76" w14:textId="77777777" w:rsidR="006B76C3" w:rsidRPr="00E409DA" w:rsidRDefault="006B76C3" w:rsidP="0017120C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Times New Roman" w:hAnsi="Times New Roman" w:cs="Times New Roman"/>
                <w:sz w:val="36"/>
                <w:szCs w:val="36"/>
              </w:rPr>
            </w:pPr>
            <w:r w:rsidRPr="00E409DA">
              <w:rPr>
                <w:rFonts w:ascii="Times New Roman" w:eastAsia="Meiryo" w:hAnsi="Times New Roman" w:cs="Times New Roman"/>
                <w:color w:val="000000"/>
                <w:kern w:val="24"/>
                <w:sz w:val="21"/>
                <w:szCs w:val="21"/>
              </w:rPr>
              <w:t>-</w:t>
            </w:r>
            <w:r>
              <w:rPr>
                <w:rFonts w:ascii="Times New Roman" w:eastAsia="Meiryo" w:hAnsi="Times New Roman" w:cs="Times New Roman"/>
                <w:color w:val="000000"/>
                <w:kern w:val="24"/>
                <w:sz w:val="21"/>
                <w:szCs w:val="21"/>
              </w:rPr>
              <w:t>1</w:t>
            </w:r>
            <w:r>
              <w:rPr>
                <w:rFonts w:ascii="Times New Roman" w:eastAsia="Meiryo" w:hAnsi="Times New Roman" w:cs="Times New Roman" w:hint="eastAsia"/>
                <w:color w:val="000000"/>
                <w:kern w:val="24"/>
                <w:sz w:val="21"/>
                <w:szCs w:val="21"/>
              </w:rPr>
              <w:t>77</w:t>
            </w:r>
            <w:r>
              <w:rPr>
                <w:rFonts w:ascii="Times New Roman" w:eastAsia="Meiryo" w:hAnsi="Times New Roman" w:cs="Times New Roman"/>
                <w:color w:val="000000"/>
                <w:kern w:val="24"/>
                <w:sz w:val="21"/>
                <w:szCs w:val="21"/>
              </w:rPr>
              <w:t>.</w:t>
            </w:r>
            <w:r>
              <w:rPr>
                <w:rFonts w:ascii="Times New Roman" w:eastAsia="Meiryo" w:hAnsi="Times New Roman" w:cs="Times New Roman" w:hint="eastAsia"/>
                <w:color w:val="000000"/>
                <w:kern w:val="24"/>
                <w:sz w:val="21"/>
                <w:szCs w:val="21"/>
              </w:rPr>
              <w:t>6</w:t>
            </w:r>
            <w:r w:rsidRPr="00E409DA">
              <w:rPr>
                <w:rFonts w:ascii="Times New Roman" w:eastAsia="Meiryo" w:hAnsi="Times New Roman" w:cs="Times New Roman"/>
                <w:color w:val="000000"/>
                <w:kern w:val="24"/>
                <w:sz w:val="21"/>
                <w:szCs w:val="21"/>
              </w:rPr>
              <w:t xml:space="preserve"> </w:t>
            </w:r>
          </w:p>
        </w:tc>
      </w:tr>
      <w:tr w:rsidR="006B76C3" w14:paraId="5A7E502A" w14:textId="77777777" w:rsidTr="0017120C">
        <w:trPr>
          <w:trHeight w:val="414"/>
        </w:trPr>
        <w:tc>
          <w:tcPr>
            <w:tcW w:w="3652" w:type="dxa"/>
            <w:vMerge/>
          </w:tcPr>
          <w:p w14:paraId="78CB09BF" w14:textId="77777777" w:rsidR="006B76C3" w:rsidRPr="00E409DA" w:rsidRDefault="006B76C3" w:rsidP="0017120C">
            <w:pPr>
              <w:pStyle w:val="Reasons"/>
              <w:rPr>
                <w:sz w:val="21"/>
                <w:lang w:eastAsia="ja-JP"/>
              </w:rPr>
            </w:pPr>
          </w:p>
        </w:tc>
        <w:tc>
          <w:tcPr>
            <w:tcW w:w="1134" w:type="dxa"/>
            <w:vMerge/>
          </w:tcPr>
          <w:p w14:paraId="2041E497" w14:textId="77777777" w:rsidR="006B76C3" w:rsidRPr="006A0D25" w:rsidRDefault="006B76C3" w:rsidP="0017120C">
            <w:pPr>
              <w:pStyle w:val="Reasons"/>
              <w:jc w:val="center"/>
              <w:rPr>
                <w:sz w:val="21"/>
                <w:highlight w:val="yellow"/>
                <w:lang w:eastAsia="ja-JP"/>
              </w:rPr>
            </w:pPr>
          </w:p>
        </w:tc>
        <w:tc>
          <w:tcPr>
            <w:tcW w:w="1418" w:type="dxa"/>
          </w:tcPr>
          <w:p w14:paraId="1AEB469B" w14:textId="77777777" w:rsidR="006B76C3" w:rsidRPr="00E409DA" w:rsidRDefault="006B76C3" w:rsidP="0017120C">
            <w:pPr>
              <w:pStyle w:val="Reasons"/>
              <w:rPr>
                <w:sz w:val="21"/>
                <w:lang w:eastAsia="ja-JP"/>
              </w:rPr>
            </w:pPr>
            <w:r w:rsidRPr="00E409DA">
              <w:rPr>
                <w:rFonts w:hint="eastAsia"/>
                <w:sz w:val="21"/>
                <w:lang w:eastAsia="ja-JP"/>
              </w:rPr>
              <w:t>BS</w:t>
            </w:r>
            <w:r>
              <w:rPr>
                <w:rFonts w:hint="eastAsia"/>
                <w:sz w:val="21"/>
                <w:lang w:eastAsia="ja-JP"/>
              </w:rPr>
              <w:t>s</w:t>
            </w:r>
            <w:r w:rsidRPr="00E409DA">
              <w:rPr>
                <w:rFonts w:hint="eastAsia"/>
                <w:sz w:val="21"/>
                <w:lang w:eastAsia="ja-JP"/>
              </w:rPr>
              <w:t xml:space="preserve"> and UE</w:t>
            </w:r>
            <w:r>
              <w:rPr>
                <w:rFonts w:hint="eastAsia"/>
                <w:sz w:val="21"/>
                <w:lang w:eastAsia="ja-JP"/>
              </w:rPr>
              <w:t>s</w:t>
            </w:r>
          </w:p>
        </w:tc>
        <w:tc>
          <w:tcPr>
            <w:tcW w:w="850" w:type="dxa"/>
            <w:vAlign w:val="bottom"/>
          </w:tcPr>
          <w:p w14:paraId="4F00624D" w14:textId="77777777" w:rsidR="006B76C3" w:rsidRPr="00E409DA" w:rsidRDefault="006B76C3" w:rsidP="0017120C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Times New Roman" w:hAnsi="Times New Roman" w:cs="Times New Roman"/>
                <w:sz w:val="36"/>
                <w:szCs w:val="36"/>
              </w:rPr>
            </w:pPr>
            <w:r w:rsidRPr="00E409DA">
              <w:rPr>
                <w:rFonts w:ascii="Times New Roman" w:eastAsia="Meiryo" w:hAnsi="Times New Roman" w:cs="Times New Roman"/>
                <w:color w:val="000000"/>
                <w:kern w:val="24"/>
                <w:sz w:val="21"/>
                <w:szCs w:val="21"/>
              </w:rPr>
              <w:t>-</w:t>
            </w:r>
            <w:r>
              <w:rPr>
                <w:rFonts w:ascii="Times New Roman" w:eastAsia="Meiryo" w:hAnsi="Times New Roman" w:cs="Times New Roman" w:hint="eastAsia"/>
                <w:color w:val="000000"/>
                <w:kern w:val="24"/>
                <w:sz w:val="21"/>
                <w:szCs w:val="21"/>
              </w:rPr>
              <w:t>28</w:t>
            </w:r>
            <w:r>
              <w:rPr>
                <w:rFonts w:ascii="Times New Roman" w:eastAsia="Meiryo" w:hAnsi="Times New Roman" w:cs="Times New Roman"/>
                <w:color w:val="000000"/>
                <w:kern w:val="24"/>
                <w:sz w:val="21"/>
                <w:szCs w:val="21"/>
              </w:rPr>
              <w:t>.</w:t>
            </w:r>
            <w:r>
              <w:rPr>
                <w:rFonts w:ascii="Times New Roman" w:eastAsia="Meiryo" w:hAnsi="Times New Roman" w:cs="Times New Roman" w:hint="eastAsia"/>
                <w:color w:val="000000"/>
                <w:kern w:val="24"/>
                <w:sz w:val="21"/>
                <w:szCs w:val="21"/>
              </w:rPr>
              <w:t>4</w:t>
            </w:r>
            <w:r w:rsidRPr="00E409DA">
              <w:rPr>
                <w:rFonts w:ascii="Times New Roman" w:eastAsia="Meiryo" w:hAnsi="Times New Roman" w:cs="Times New Roman"/>
                <w:color w:val="000000"/>
                <w:kern w:val="24"/>
                <w:sz w:val="21"/>
                <w:szCs w:val="21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14:paraId="5CC81470" w14:textId="77777777" w:rsidR="006B76C3" w:rsidRPr="00E409DA" w:rsidRDefault="006B76C3" w:rsidP="0017120C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Times New Roman" w:hAnsi="Times New Roman" w:cs="Times New Roman"/>
                <w:sz w:val="36"/>
                <w:szCs w:val="36"/>
              </w:rPr>
            </w:pPr>
            <w:r w:rsidRPr="00E409DA">
              <w:rPr>
                <w:rFonts w:ascii="Times New Roman" w:eastAsia="Meiryo" w:hAnsi="Times New Roman" w:cs="Times New Roman"/>
                <w:color w:val="000000"/>
                <w:kern w:val="24"/>
                <w:sz w:val="21"/>
                <w:szCs w:val="21"/>
              </w:rPr>
              <w:t>-</w:t>
            </w:r>
            <w:r>
              <w:rPr>
                <w:rFonts w:ascii="Times New Roman" w:eastAsia="Meiryo" w:hAnsi="Times New Roman" w:cs="Times New Roman"/>
                <w:color w:val="000000"/>
                <w:kern w:val="24"/>
                <w:sz w:val="21"/>
                <w:szCs w:val="21"/>
              </w:rPr>
              <w:t>23</w:t>
            </w:r>
            <w:r>
              <w:rPr>
                <w:rFonts w:ascii="Times New Roman" w:eastAsia="Meiryo" w:hAnsi="Times New Roman" w:cs="Times New Roman" w:hint="eastAsia"/>
                <w:color w:val="000000"/>
                <w:kern w:val="24"/>
                <w:sz w:val="21"/>
                <w:szCs w:val="21"/>
              </w:rPr>
              <w:t>1</w:t>
            </w:r>
            <w:r>
              <w:rPr>
                <w:rFonts w:ascii="Times New Roman" w:eastAsia="Meiryo" w:hAnsi="Times New Roman" w:cs="Times New Roman"/>
                <w:color w:val="000000"/>
                <w:kern w:val="24"/>
                <w:sz w:val="21"/>
                <w:szCs w:val="21"/>
              </w:rPr>
              <w:t>.</w:t>
            </w:r>
            <w:r>
              <w:rPr>
                <w:rFonts w:ascii="Times New Roman" w:eastAsia="Meiryo" w:hAnsi="Times New Roman" w:cs="Times New Roman" w:hint="eastAsia"/>
                <w:color w:val="000000"/>
                <w:kern w:val="24"/>
                <w:sz w:val="21"/>
                <w:szCs w:val="21"/>
              </w:rPr>
              <w:t>0</w:t>
            </w:r>
            <w:r w:rsidRPr="00E409DA">
              <w:rPr>
                <w:rFonts w:ascii="Times New Roman" w:eastAsia="Meiryo" w:hAnsi="Times New Roman" w:cs="Times New Roman"/>
                <w:color w:val="000000"/>
                <w:kern w:val="24"/>
                <w:sz w:val="21"/>
                <w:szCs w:val="21"/>
              </w:rPr>
              <w:t xml:space="preserve"> </w:t>
            </w:r>
          </w:p>
        </w:tc>
        <w:tc>
          <w:tcPr>
            <w:tcW w:w="1703" w:type="dxa"/>
            <w:vAlign w:val="bottom"/>
          </w:tcPr>
          <w:p w14:paraId="02C4FF2F" w14:textId="77777777" w:rsidR="006B76C3" w:rsidRPr="00E409DA" w:rsidRDefault="006B76C3" w:rsidP="0017120C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Times New Roman" w:hAnsi="Times New Roman" w:cs="Times New Roman"/>
                <w:sz w:val="36"/>
                <w:szCs w:val="36"/>
              </w:rPr>
            </w:pPr>
            <w:r w:rsidRPr="00E409DA">
              <w:rPr>
                <w:rFonts w:ascii="Times New Roman" w:eastAsia="Meiryo" w:hAnsi="Times New Roman" w:cs="Times New Roman"/>
                <w:color w:val="000000"/>
                <w:kern w:val="24"/>
                <w:sz w:val="21"/>
                <w:szCs w:val="21"/>
              </w:rPr>
              <w:t>-</w:t>
            </w:r>
            <w:r>
              <w:rPr>
                <w:rFonts w:ascii="Times New Roman" w:eastAsia="Meiryo" w:hAnsi="Times New Roman" w:cs="Times New Roman"/>
                <w:color w:val="000000"/>
                <w:kern w:val="24"/>
                <w:sz w:val="21"/>
                <w:szCs w:val="21"/>
              </w:rPr>
              <w:t>1</w:t>
            </w:r>
            <w:r>
              <w:rPr>
                <w:rFonts w:ascii="Times New Roman" w:eastAsia="Meiryo" w:hAnsi="Times New Roman" w:cs="Times New Roman" w:hint="eastAsia"/>
                <w:color w:val="000000"/>
                <w:kern w:val="24"/>
                <w:sz w:val="21"/>
                <w:szCs w:val="21"/>
              </w:rPr>
              <w:t>67</w:t>
            </w:r>
            <w:r>
              <w:rPr>
                <w:rFonts w:ascii="Times New Roman" w:eastAsia="Meiryo" w:hAnsi="Times New Roman" w:cs="Times New Roman"/>
                <w:color w:val="000000"/>
                <w:kern w:val="24"/>
                <w:sz w:val="21"/>
                <w:szCs w:val="21"/>
              </w:rPr>
              <w:t>.</w:t>
            </w:r>
            <w:r>
              <w:rPr>
                <w:rFonts w:ascii="Times New Roman" w:eastAsia="Meiryo" w:hAnsi="Times New Roman" w:cs="Times New Roman" w:hint="eastAsia"/>
                <w:color w:val="000000"/>
                <w:kern w:val="24"/>
                <w:sz w:val="21"/>
                <w:szCs w:val="21"/>
              </w:rPr>
              <w:t>5</w:t>
            </w:r>
            <w:r w:rsidRPr="00E409DA">
              <w:rPr>
                <w:rFonts w:ascii="Times New Roman" w:eastAsia="Meiryo" w:hAnsi="Times New Roman" w:cs="Times New Roman"/>
                <w:color w:val="000000"/>
                <w:kern w:val="24"/>
                <w:sz w:val="21"/>
                <w:szCs w:val="21"/>
              </w:rPr>
              <w:t xml:space="preserve"> </w:t>
            </w:r>
          </w:p>
        </w:tc>
      </w:tr>
      <w:tr w:rsidR="006B76C3" w14:paraId="6E563716" w14:textId="77777777" w:rsidTr="0017120C">
        <w:tc>
          <w:tcPr>
            <w:tcW w:w="3652" w:type="dxa"/>
            <w:vMerge w:val="restart"/>
          </w:tcPr>
          <w:p w14:paraId="3AD64DE7" w14:textId="10A0BF68" w:rsidR="006B76C3" w:rsidRPr="00BB5D6D" w:rsidRDefault="006B76C3" w:rsidP="0017120C">
            <w:pPr>
              <w:pStyle w:val="Reasons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Scaled </w:t>
            </w:r>
            <w:r w:rsidRPr="00E71029">
              <w:rPr>
                <w:i/>
                <w:sz w:val="21"/>
                <w:lang w:eastAsia="ja-JP"/>
              </w:rPr>
              <w:t>I/N</w:t>
            </w:r>
            <w:r>
              <w:rPr>
                <w:rFonts w:hint="eastAsia"/>
                <w:sz w:val="21"/>
                <w:lang w:eastAsia="ja-JP"/>
              </w:rPr>
              <w:t xml:space="preserve">, </w:t>
            </w:r>
            <w:r w:rsidRPr="00E71029">
              <w:rPr>
                <w:i/>
                <w:sz w:val="21"/>
                <w:lang w:eastAsia="ja-JP"/>
              </w:rPr>
              <w:t>I</w:t>
            </w:r>
            <w:r w:rsidRPr="00E71029">
              <w:rPr>
                <w:i/>
                <w:sz w:val="21"/>
                <w:vertAlign w:val="subscript"/>
                <w:lang w:eastAsia="ja-JP"/>
              </w:rPr>
              <w:t>agg</w:t>
            </w:r>
            <w:r>
              <w:rPr>
                <w:rFonts w:hint="eastAsia"/>
                <w:sz w:val="21"/>
                <w:lang w:eastAsia="ja-JP"/>
              </w:rPr>
              <w:t xml:space="preserve"> and </w:t>
            </w:r>
            <w:r w:rsidRPr="00E44BB0">
              <w:rPr>
                <w:rFonts w:hint="eastAsia"/>
                <w:sz w:val="21"/>
                <w:lang w:eastAsia="ja-JP"/>
              </w:rPr>
              <w:t>epfd</w:t>
            </w:r>
            <w:r>
              <w:rPr>
                <w:rFonts w:hint="eastAsia"/>
                <w:sz w:val="21"/>
                <w:lang w:eastAsia="ja-JP"/>
              </w:rPr>
              <w:t xml:space="preserve"> to the </w:t>
            </w:r>
            <w:r>
              <w:rPr>
                <w:sz w:val="21"/>
                <w:lang w:eastAsia="ja-JP"/>
              </w:rPr>
              <w:t>territory</w:t>
            </w:r>
            <w:r>
              <w:rPr>
                <w:rFonts w:hint="eastAsia"/>
                <w:sz w:val="21"/>
                <w:lang w:eastAsia="ja-JP"/>
              </w:rPr>
              <w:t xml:space="preserve"> of Japan (378,000 km</w:t>
            </w:r>
            <w:r w:rsidRPr="00910964">
              <w:rPr>
                <w:rFonts w:hint="eastAsia"/>
                <w:sz w:val="21"/>
                <w:vertAlign w:val="superscript"/>
                <w:lang w:eastAsia="ja-JP"/>
              </w:rPr>
              <w:t>2</w:t>
            </w:r>
            <w:r>
              <w:rPr>
                <w:rFonts w:hint="eastAsia"/>
                <w:sz w:val="21"/>
                <w:lang w:eastAsia="ja-JP"/>
              </w:rPr>
              <w:t xml:space="preserve">) resulted from relative area to that of </w:t>
            </w:r>
            <w:r w:rsidR="00040F0C" w:rsidRPr="00A85632">
              <w:rPr>
                <w:sz w:val="18"/>
                <w:szCs w:val="18"/>
                <w:lang w:val="fr-CH"/>
              </w:rPr>
              <w:t>−</w:t>
            </w:r>
            <w:r>
              <w:rPr>
                <w:rFonts w:hint="eastAsia"/>
                <w:sz w:val="21"/>
                <w:lang w:eastAsia="ja-JP"/>
              </w:rPr>
              <w:t>3 dB footprint</w:t>
            </w:r>
          </w:p>
        </w:tc>
        <w:tc>
          <w:tcPr>
            <w:tcW w:w="1134" w:type="dxa"/>
            <w:vMerge w:val="restart"/>
          </w:tcPr>
          <w:p w14:paraId="4A775DF3" w14:textId="77777777" w:rsidR="006B76C3" w:rsidRPr="006A0D25" w:rsidRDefault="006B76C3" w:rsidP="0017120C">
            <w:pPr>
              <w:pStyle w:val="Reasons"/>
              <w:jc w:val="center"/>
              <w:rPr>
                <w:sz w:val="21"/>
                <w:highlight w:val="yellow"/>
                <w:lang w:eastAsia="ja-JP"/>
              </w:rPr>
            </w:pPr>
            <w:r w:rsidRPr="0086463F">
              <w:rPr>
                <w:rFonts w:hint="eastAsia"/>
                <w:sz w:val="21"/>
                <w:lang w:eastAsia="ja-JP"/>
              </w:rPr>
              <w:t>45,360</w:t>
            </w:r>
          </w:p>
        </w:tc>
        <w:tc>
          <w:tcPr>
            <w:tcW w:w="1418" w:type="dxa"/>
          </w:tcPr>
          <w:p w14:paraId="605C149C" w14:textId="77777777" w:rsidR="006B76C3" w:rsidRPr="00E409DA" w:rsidRDefault="006B76C3" w:rsidP="0017120C">
            <w:pPr>
              <w:pStyle w:val="Reasons"/>
              <w:rPr>
                <w:sz w:val="21"/>
                <w:lang w:eastAsia="ja-JP"/>
              </w:rPr>
            </w:pPr>
            <w:r w:rsidRPr="00E409DA">
              <w:rPr>
                <w:rFonts w:hint="eastAsia"/>
                <w:sz w:val="21"/>
                <w:lang w:eastAsia="ja-JP"/>
              </w:rPr>
              <w:t>BS</w:t>
            </w:r>
            <w:r>
              <w:rPr>
                <w:rFonts w:hint="eastAsia"/>
                <w:sz w:val="21"/>
                <w:lang w:eastAsia="ja-JP"/>
              </w:rPr>
              <w:t>s</w:t>
            </w:r>
          </w:p>
        </w:tc>
        <w:tc>
          <w:tcPr>
            <w:tcW w:w="850" w:type="dxa"/>
            <w:vAlign w:val="bottom"/>
          </w:tcPr>
          <w:p w14:paraId="478F7CA3" w14:textId="77777777" w:rsidR="006B76C3" w:rsidRPr="00885F0B" w:rsidRDefault="006B76C3" w:rsidP="0017120C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-33.7</w:t>
            </w:r>
          </w:p>
        </w:tc>
        <w:tc>
          <w:tcPr>
            <w:tcW w:w="1098" w:type="dxa"/>
            <w:vAlign w:val="bottom"/>
          </w:tcPr>
          <w:p w14:paraId="66AD5C7E" w14:textId="77777777" w:rsidR="006B76C3" w:rsidRPr="00885F0B" w:rsidRDefault="006B76C3" w:rsidP="0017120C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-236.3</w:t>
            </w:r>
          </w:p>
        </w:tc>
        <w:tc>
          <w:tcPr>
            <w:tcW w:w="1703" w:type="dxa"/>
            <w:vAlign w:val="bottom"/>
          </w:tcPr>
          <w:p w14:paraId="23C24177" w14:textId="77777777" w:rsidR="006B76C3" w:rsidRPr="00885F0B" w:rsidRDefault="006B76C3" w:rsidP="0017120C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-172.8</w:t>
            </w:r>
          </w:p>
        </w:tc>
      </w:tr>
      <w:tr w:rsidR="006B76C3" w14:paraId="71C63398" w14:textId="77777777" w:rsidTr="0017120C">
        <w:tc>
          <w:tcPr>
            <w:tcW w:w="3652" w:type="dxa"/>
            <w:vMerge/>
          </w:tcPr>
          <w:p w14:paraId="7C8C446B" w14:textId="77777777" w:rsidR="006B76C3" w:rsidRPr="00E409DA" w:rsidRDefault="006B76C3" w:rsidP="0017120C">
            <w:pPr>
              <w:pStyle w:val="Reasons"/>
              <w:rPr>
                <w:sz w:val="21"/>
                <w:lang w:eastAsia="ja-JP"/>
              </w:rPr>
            </w:pPr>
          </w:p>
        </w:tc>
        <w:tc>
          <w:tcPr>
            <w:tcW w:w="1134" w:type="dxa"/>
            <w:vMerge/>
          </w:tcPr>
          <w:p w14:paraId="2C29BFC6" w14:textId="77777777" w:rsidR="006B76C3" w:rsidRPr="00E409DA" w:rsidRDefault="006B76C3" w:rsidP="0017120C">
            <w:pPr>
              <w:pStyle w:val="Reasons"/>
              <w:rPr>
                <w:sz w:val="21"/>
                <w:lang w:eastAsia="ja-JP"/>
              </w:rPr>
            </w:pPr>
          </w:p>
        </w:tc>
        <w:tc>
          <w:tcPr>
            <w:tcW w:w="1418" w:type="dxa"/>
          </w:tcPr>
          <w:p w14:paraId="58AECEFE" w14:textId="77777777" w:rsidR="006B76C3" w:rsidRPr="00E409DA" w:rsidRDefault="006B76C3" w:rsidP="0017120C">
            <w:pPr>
              <w:pStyle w:val="Reasons"/>
              <w:rPr>
                <w:sz w:val="21"/>
                <w:lang w:eastAsia="ja-JP"/>
              </w:rPr>
            </w:pPr>
            <w:r w:rsidRPr="00E409DA">
              <w:rPr>
                <w:rFonts w:hint="eastAsia"/>
                <w:sz w:val="21"/>
                <w:lang w:eastAsia="ja-JP"/>
              </w:rPr>
              <w:t>UE</w:t>
            </w:r>
            <w:r>
              <w:rPr>
                <w:rFonts w:hint="eastAsia"/>
                <w:sz w:val="21"/>
                <w:lang w:eastAsia="ja-JP"/>
              </w:rPr>
              <w:t>s</w:t>
            </w:r>
          </w:p>
        </w:tc>
        <w:tc>
          <w:tcPr>
            <w:tcW w:w="850" w:type="dxa"/>
            <w:vAlign w:val="bottom"/>
          </w:tcPr>
          <w:p w14:paraId="4547CBBA" w14:textId="77777777" w:rsidR="006B76C3" w:rsidRPr="00885F0B" w:rsidRDefault="006B76C3" w:rsidP="0017120C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-43.3</w:t>
            </w:r>
          </w:p>
        </w:tc>
        <w:tc>
          <w:tcPr>
            <w:tcW w:w="1098" w:type="dxa"/>
            <w:vAlign w:val="bottom"/>
          </w:tcPr>
          <w:p w14:paraId="6E5F7629" w14:textId="77777777" w:rsidR="006B76C3" w:rsidRPr="00885F0B" w:rsidRDefault="006B76C3" w:rsidP="0017120C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-245.9</w:t>
            </w:r>
          </w:p>
        </w:tc>
        <w:tc>
          <w:tcPr>
            <w:tcW w:w="1703" w:type="dxa"/>
            <w:vAlign w:val="bottom"/>
          </w:tcPr>
          <w:p w14:paraId="5F44E9B2" w14:textId="77777777" w:rsidR="006B76C3" w:rsidRPr="00885F0B" w:rsidRDefault="006B76C3" w:rsidP="0017120C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-182.4</w:t>
            </w:r>
          </w:p>
        </w:tc>
      </w:tr>
      <w:tr w:rsidR="006B76C3" w14:paraId="0220A7E8" w14:textId="77777777" w:rsidTr="0017120C">
        <w:tc>
          <w:tcPr>
            <w:tcW w:w="3652" w:type="dxa"/>
            <w:vMerge/>
          </w:tcPr>
          <w:p w14:paraId="5BB63791" w14:textId="77777777" w:rsidR="006B76C3" w:rsidRPr="00E409DA" w:rsidRDefault="006B76C3" w:rsidP="0017120C">
            <w:pPr>
              <w:pStyle w:val="Reasons"/>
              <w:rPr>
                <w:sz w:val="21"/>
                <w:lang w:eastAsia="ja-JP"/>
              </w:rPr>
            </w:pPr>
          </w:p>
        </w:tc>
        <w:tc>
          <w:tcPr>
            <w:tcW w:w="1134" w:type="dxa"/>
            <w:vMerge/>
          </w:tcPr>
          <w:p w14:paraId="787E9E7F" w14:textId="77777777" w:rsidR="006B76C3" w:rsidRPr="00E409DA" w:rsidRDefault="006B76C3" w:rsidP="0017120C">
            <w:pPr>
              <w:pStyle w:val="Reasons"/>
              <w:rPr>
                <w:sz w:val="21"/>
                <w:lang w:eastAsia="ja-JP"/>
              </w:rPr>
            </w:pPr>
          </w:p>
        </w:tc>
        <w:tc>
          <w:tcPr>
            <w:tcW w:w="1418" w:type="dxa"/>
          </w:tcPr>
          <w:p w14:paraId="2C9372C3" w14:textId="77777777" w:rsidR="006B76C3" w:rsidRPr="00E409DA" w:rsidRDefault="006B76C3" w:rsidP="0017120C">
            <w:pPr>
              <w:pStyle w:val="Reasons"/>
              <w:rPr>
                <w:sz w:val="21"/>
                <w:lang w:eastAsia="ja-JP"/>
              </w:rPr>
            </w:pPr>
            <w:r w:rsidRPr="00E409DA">
              <w:rPr>
                <w:rFonts w:hint="eastAsia"/>
                <w:sz w:val="21"/>
                <w:lang w:eastAsia="ja-JP"/>
              </w:rPr>
              <w:t>BS</w:t>
            </w:r>
            <w:r>
              <w:rPr>
                <w:rFonts w:hint="eastAsia"/>
                <w:sz w:val="21"/>
                <w:lang w:eastAsia="ja-JP"/>
              </w:rPr>
              <w:t>s</w:t>
            </w:r>
            <w:r w:rsidRPr="00E409DA">
              <w:rPr>
                <w:rFonts w:hint="eastAsia"/>
                <w:sz w:val="21"/>
                <w:lang w:eastAsia="ja-JP"/>
              </w:rPr>
              <w:t xml:space="preserve"> and UE</w:t>
            </w:r>
            <w:r>
              <w:rPr>
                <w:rFonts w:hint="eastAsia"/>
                <w:sz w:val="21"/>
                <w:lang w:eastAsia="ja-JP"/>
              </w:rPr>
              <w:t>s</w:t>
            </w:r>
          </w:p>
        </w:tc>
        <w:tc>
          <w:tcPr>
            <w:tcW w:w="850" w:type="dxa"/>
            <w:vAlign w:val="bottom"/>
          </w:tcPr>
          <w:p w14:paraId="2FA669CC" w14:textId="77777777" w:rsidR="006B76C3" w:rsidRPr="00885F0B" w:rsidRDefault="006B76C3" w:rsidP="0017120C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-33.2</w:t>
            </w:r>
          </w:p>
        </w:tc>
        <w:tc>
          <w:tcPr>
            <w:tcW w:w="1098" w:type="dxa"/>
            <w:vAlign w:val="bottom"/>
          </w:tcPr>
          <w:p w14:paraId="1E35917A" w14:textId="77777777" w:rsidR="006B76C3" w:rsidRPr="00885F0B" w:rsidRDefault="006B76C3" w:rsidP="0017120C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-235.8</w:t>
            </w:r>
          </w:p>
        </w:tc>
        <w:tc>
          <w:tcPr>
            <w:tcW w:w="1703" w:type="dxa"/>
            <w:vAlign w:val="bottom"/>
          </w:tcPr>
          <w:p w14:paraId="081AAB0C" w14:textId="77777777" w:rsidR="006B76C3" w:rsidRPr="00885F0B" w:rsidRDefault="006B76C3" w:rsidP="0017120C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-172.3</w:t>
            </w:r>
          </w:p>
        </w:tc>
      </w:tr>
      <w:tr w:rsidR="006B76C3" w14:paraId="436BA884" w14:textId="77777777" w:rsidTr="0017120C">
        <w:tc>
          <w:tcPr>
            <w:tcW w:w="9855" w:type="dxa"/>
            <w:gridSpan w:val="6"/>
          </w:tcPr>
          <w:p w14:paraId="39D619C4" w14:textId="77777777" w:rsidR="006B76C3" w:rsidRPr="00DC2BEB" w:rsidRDefault="006B76C3" w:rsidP="0017120C">
            <w:pPr>
              <w:pStyle w:val="NormalWeb"/>
              <w:spacing w:before="0" w:beforeAutospacing="0" w:after="0" w:afterAutospacing="0"/>
              <w:textAlignment w:val="bottom"/>
              <w:rPr>
                <w:rFonts w:ascii="Times New Roman" w:eastAsia="Meiryo" w:hAnsi="Times New Roman" w:cs="Times New Roman"/>
                <w:color w:val="000000"/>
                <w:kern w:val="24"/>
                <w:sz w:val="18"/>
                <w:szCs w:val="21"/>
              </w:rPr>
            </w:pPr>
            <w:r>
              <w:rPr>
                <w:rFonts w:ascii="Times New Roman" w:eastAsia="Meiryo" w:hAnsi="Times New Roman" w:cs="Times New Roman" w:hint="eastAsia"/>
                <w:color w:val="000000"/>
                <w:kern w:val="24"/>
                <w:sz w:val="18"/>
                <w:szCs w:val="21"/>
              </w:rPr>
              <w:t xml:space="preserve">Note 1: </w:t>
            </w:r>
            <w:r w:rsidRPr="00DC2BEB">
              <w:rPr>
                <w:rFonts w:ascii="Times New Roman" w:eastAsia="Meiryo" w:hAnsi="Times New Roman" w:cs="Times New Roman"/>
                <w:color w:val="000000"/>
                <w:kern w:val="24"/>
                <w:sz w:val="18"/>
                <w:szCs w:val="21"/>
              </w:rPr>
              <w:t>Calculated from Table 14 in Attachment 2 to Doc. 5-1/36 (WP 5D)</w:t>
            </w:r>
          </w:p>
          <w:p w14:paraId="65A74DAB" w14:textId="77777777" w:rsidR="006B76C3" w:rsidRPr="00DC2BEB" w:rsidRDefault="006B76C3" w:rsidP="0017120C">
            <w:pPr>
              <w:pStyle w:val="NormalWeb"/>
              <w:spacing w:before="0" w:beforeAutospacing="0" w:after="0" w:afterAutospacing="0"/>
              <w:ind w:firstLineChars="78" w:firstLine="140"/>
              <w:textAlignment w:val="bottom"/>
              <w:rPr>
                <w:rFonts w:ascii="Times New Roman" w:eastAsia="Meiryo" w:hAnsi="Times New Roman" w:cs="Times New Roman"/>
                <w:color w:val="000000"/>
                <w:kern w:val="24"/>
                <w:sz w:val="18"/>
                <w:szCs w:val="21"/>
              </w:rPr>
            </w:pPr>
            <w:r w:rsidRPr="00DC2BEB">
              <w:rPr>
                <w:rFonts w:ascii="Times New Roman" w:eastAsia="Meiryo" w:hAnsi="Times New Roman" w:cs="Times New Roman"/>
                <w:color w:val="000000"/>
                <w:kern w:val="24"/>
                <w:sz w:val="18"/>
                <w:szCs w:val="21"/>
              </w:rPr>
              <w:t>BS density: 10 BSs/km</w:t>
            </w:r>
            <w:r w:rsidRPr="00590329">
              <w:rPr>
                <w:rFonts w:ascii="Times New Roman" w:eastAsia="Meiryo" w:hAnsi="Times New Roman" w:cs="Times New Roman"/>
                <w:color w:val="000000"/>
                <w:kern w:val="24"/>
                <w:sz w:val="18"/>
                <w:szCs w:val="21"/>
                <w:vertAlign w:val="superscript"/>
              </w:rPr>
              <w:t>2</w:t>
            </w:r>
            <w:r w:rsidRPr="00DC2BEB">
              <w:rPr>
                <w:rFonts w:ascii="Times New Roman" w:eastAsia="Meiryo" w:hAnsi="Times New Roman" w:cs="Times New Roman"/>
                <w:color w:val="000000"/>
                <w:kern w:val="24"/>
                <w:sz w:val="18"/>
                <w:szCs w:val="21"/>
              </w:rPr>
              <w:t xml:space="preserve"> (suburban), 30 BSs/km</w:t>
            </w:r>
            <w:r w:rsidRPr="00590329">
              <w:rPr>
                <w:rFonts w:ascii="Times New Roman" w:eastAsia="Meiryo" w:hAnsi="Times New Roman" w:cs="Times New Roman"/>
                <w:color w:val="000000"/>
                <w:kern w:val="24"/>
                <w:sz w:val="18"/>
                <w:szCs w:val="21"/>
                <w:vertAlign w:val="superscript"/>
              </w:rPr>
              <w:t>2</w:t>
            </w:r>
            <w:r w:rsidRPr="00DC2BEB">
              <w:rPr>
                <w:rFonts w:ascii="Times New Roman" w:eastAsia="Meiryo" w:hAnsi="Times New Roman" w:cs="Times New Roman"/>
                <w:color w:val="000000"/>
                <w:kern w:val="24"/>
                <w:sz w:val="18"/>
                <w:szCs w:val="21"/>
              </w:rPr>
              <w:t xml:space="preserve"> (urban)</w:t>
            </w:r>
          </w:p>
          <w:p w14:paraId="5E5B8551" w14:textId="77777777" w:rsidR="006B76C3" w:rsidRPr="00DC2BEB" w:rsidRDefault="006B76C3" w:rsidP="0017120C">
            <w:pPr>
              <w:pStyle w:val="NormalWeb"/>
              <w:spacing w:before="0" w:beforeAutospacing="0" w:after="0" w:afterAutospacing="0"/>
              <w:ind w:firstLineChars="78" w:firstLine="140"/>
              <w:textAlignment w:val="bottom"/>
              <w:rPr>
                <w:rFonts w:ascii="Times New Roman" w:eastAsia="Meiryo" w:hAnsi="Times New Roman" w:cs="Times New Roman"/>
                <w:color w:val="000000"/>
                <w:kern w:val="24"/>
                <w:sz w:val="18"/>
                <w:szCs w:val="21"/>
              </w:rPr>
            </w:pPr>
            <w:r w:rsidRPr="00DC2BEB">
              <w:rPr>
                <w:rFonts w:ascii="Times New Roman" w:eastAsia="Meiryo" w:hAnsi="Times New Roman" w:cs="Times New Roman"/>
                <w:color w:val="000000"/>
                <w:kern w:val="24"/>
                <w:sz w:val="18"/>
                <w:szCs w:val="21"/>
              </w:rPr>
              <w:t>Ra: 3% (suburban), 7% (urban)</w:t>
            </w:r>
          </w:p>
          <w:p w14:paraId="7816595A" w14:textId="77777777" w:rsidR="006B76C3" w:rsidRPr="00DC2BEB" w:rsidRDefault="006B76C3" w:rsidP="0017120C">
            <w:pPr>
              <w:pStyle w:val="NormalWeb"/>
              <w:spacing w:before="0" w:beforeAutospacing="0" w:after="0" w:afterAutospacing="0"/>
              <w:ind w:firstLineChars="78" w:firstLine="140"/>
              <w:textAlignment w:val="bottom"/>
              <w:rPr>
                <w:rFonts w:ascii="Times New Roman" w:eastAsia="Meiryo" w:hAnsi="Times New Roman" w:cs="Times New Roman"/>
                <w:color w:val="000000"/>
                <w:kern w:val="24"/>
                <w:sz w:val="18"/>
                <w:szCs w:val="21"/>
              </w:rPr>
            </w:pPr>
            <w:r w:rsidRPr="00DC2BEB">
              <w:rPr>
                <w:rFonts w:ascii="Times New Roman" w:eastAsia="Meiryo" w:hAnsi="Times New Roman" w:cs="Times New Roman"/>
                <w:color w:val="000000"/>
                <w:kern w:val="24"/>
                <w:sz w:val="18"/>
                <w:szCs w:val="21"/>
              </w:rPr>
              <w:t>Rb: 5%</w:t>
            </w:r>
          </w:p>
          <w:p w14:paraId="0C6EC53D" w14:textId="7126E031" w:rsidR="006B76C3" w:rsidRDefault="006B76C3" w:rsidP="0017120C">
            <w:pPr>
              <w:pStyle w:val="NormalWeb"/>
              <w:spacing w:before="0" w:beforeAutospacing="0" w:after="0" w:afterAutospacing="0"/>
              <w:ind w:firstLineChars="78" w:firstLine="140"/>
              <w:textAlignment w:val="bottom"/>
              <w:rPr>
                <w:rFonts w:ascii="Times New Roman" w:eastAsia="Meiryo" w:hAnsi="Times New Roman" w:cs="Times New Roman"/>
                <w:color w:val="000000"/>
                <w:kern w:val="24"/>
                <w:sz w:val="18"/>
                <w:szCs w:val="21"/>
                <w:vertAlign w:val="subscript"/>
              </w:rPr>
            </w:pPr>
            <w:r>
              <w:rPr>
                <w:rFonts w:ascii="Times New Roman" w:eastAsia="Meiryo" w:hAnsi="Times New Roman" w:cs="Times New Roman" w:hint="eastAsia"/>
                <w:color w:val="000000"/>
                <w:kern w:val="24"/>
                <w:sz w:val="18"/>
                <w:szCs w:val="21"/>
              </w:rPr>
              <w:t xml:space="preserve">Number of BSs within </w:t>
            </w:r>
            <w:r w:rsidR="00A5285A">
              <w:rPr>
                <w:rFonts w:eastAsia="MS Mincho"/>
                <w:sz w:val="18"/>
                <w:szCs w:val="18"/>
                <w:lang w:val="fr-CH"/>
              </w:rPr>
              <w:t>-</w:t>
            </w:r>
            <w:r>
              <w:rPr>
                <w:rFonts w:ascii="Times New Roman" w:eastAsia="Meiryo" w:hAnsi="Times New Roman" w:cs="Times New Roman" w:hint="eastAsia"/>
                <w:color w:val="000000"/>
                <w:kern w:val="24"/>
                <w:sz w:val="18"/>
                <w:szCs w:val="21"/>
              </w:rPr>
              <w:t xml:space="preserve">3 dB footprint  = </w:t>
            </w:r>
            <w:r w:rsidRPr="00DC2BEB">
              <w:rPr>
                <w:rFonts w:ascii="Times New Roman" w:eastAsia="Meiryo" w:hAnsi="Times New Roman" w:cs="Times New Roman"/>
                <w:color w:val="000000"/>
                <w:kern w:val="24"/>
                <w:sz w:val="18"/>
                <w:szCs w:val="21"/>
              </w:rPr>
              <w:t>(Ds_BS_suburban * Ra_suburban + Ds_BS_urban * Ra_urban) * Rb</w:t>
            </w:r>
            <w:r>
              <w:rPr>
                <w:rFonts w:ascii="Times New Roman" w:eastAsia="Meiryo" w:hAnsi="Times New Roman" w:cs="Times New Roman" w:hint="eastAsia"/>
                <w:color w:val="000000"/>
                <w:kern w:val="24"/>
                <w:sz w:val="18"/>
                <w:szCs w:val="21"/>
              </w:rPr>
              <w:t xml:space="preserve"> * S</w:t>
            </w:r>
            <w:r w:rsidR="00C74ADE">
              <w:rPr>
                <w:rFonts w:ascii="Times New Roman" w:eastAsia="Meiryo" w:hAnsi="Times New Roman" w:cs="Times New Roman"/>
                <w:color w:val="000000"/>
                <w:kern w:val="24"/>
                <w:sz w:val="18"/>
                <w:szCs w:val="21"/>
              </w:rPr>
              <w:t>-</w:t>
            </w:r>
            <w:r>
              <w:rPr>
                <w:rFonts w:ascii="Times New Roman" w:eastAsia="Meiryo" w:hAnsi="Times New Roman" w:cs="Times New Roman" w:hint="eastAsia"/>
                <w:color w:val="000000"/>
                <w:kern w:val="24"/>
                <w:sz w:val="18"/>
                <w:szCs w:val="21"/>
                <w:vertAlign w:val="subscript"/>
              </w:rPr>
              <w:t>3dB</w:t>
            </w:r>
          </w:p>
          <w:p w14:paraId="10916C3C" w14:textId="77777777" w:rsidR="006B76C3" w:rsidRPr="00A02B58" w:rsidRDefault="006B76C3" w:rsidP="00BF20AB">
            <w:pPr>
              <w:pStyle w:val="NormalWeb"/>
              <w:spacing w:before="0" w:beforeAutospacing="0" w:after="0" w:afterAutospacing="0"/>
              <w:ind w:firstLineChars="1675" w:firstLine="3015"/>
              <w:textAlignment w:val="bottom"/>
              <w:rPr>
                <w:rFonts w:ascii="Times New Roman" w:eastAsia="Meiryo" w:hAnsi="Times New Roman" w:cs="Times New Roman"/>
                <w:color w:val="000000"/>
                <w:kern w:val="24"/>
                <w:sz w:val="18"/>
                <w:szCs w:val="21"/>
                <w:vertAlign w:val="subscript"/>
              </w:rPr>
            </w:pPr>
            <w:r w:rsidRPr="00590329">
              <w:rPr>
                <w:rFonts w:ascii="Times New Roman" w:eastAsia="Meiryo" w:hAnsi="Times New Roman" w:cs="Times New Roman" w:hint="eastAsia"/>
                <w:color w:val="000000"/>
                <w:kern w:val="24"/>
                <w:sz w:val="18"/>
                <w:szCs w:val="21"/>
              </w:rPr>
              <w:t>= 0.12</w:t>
            </w:r>
            <w:r>
              <w:rPr>
                <w:rFonts w:ascii="Times New Roman" w:eastAsia="Meiryo" w:hAnsi="Times New Roman" w:cs="Times New Roman" w:hint="eastAsia"/>
                <w:color w:val="000000"/>
                <w:kern w:val="24"/>
                <w:sz w:val="18"/>
                <w:szCs w:val="21"/>
              </w:rPr>
              <w:t xml:space="preserve"> BSs/km</w:t>
            </w:r>
            <w:r w:rsidRPr="000D6873">
              <w:rPr>
                <w:rFonts w:ascii="Times New Roman" w:eastAsia="Meiryo" w:hAnsi="Times New Roman" w:cs="Times New Roman" w:hint="eastAsia"/>
                <w:color w:val="000000"/>
                <w:kern w:val="24"/>
                <w:sz w:val="18"/>
                <w:szCs w:val="21"/>
                <w:vertAlign w:val="superscript"/>
              </w:rPr>
              <w:t>2</w:t>
            </w:r>
            <w:r>
              <w:rPr>
                <w:rFonts w:ascii="Times New Roman" w:eastAsia="Meiryo" w:hAnsi="Times New Roman" w:cs="Times New Roman" w:hint="eastAsia"/>
                <w:color w:val="000000"/>
                <w:kern w:val="24"/>
                <w:sz w:val="18"/>
                <w:szCs w:val="21"/>
              </w:rPr>
              <w:t xml:space="preserve"> * 1,135,833 km</w:t>
            </w:r>
            <w:r w:rsidRPr="000D6873">
              <w:rPr>
                <w:rFonts w:ascii="Times New Roman" w:eastAsia="Meiryo" w:hAnsi="Times New Roman" w:cs="Times New Roman" w:hint="eastAsia"/>
                <w:color w:val="000000"/>
                <w:kern w:val="24"/>
                <w:sz w:val="18"/>
                <w:szCs w:val="21"/>
                <w:vertAlign w:val="superscript"/>
              </w:rPr>
              <w:t>2</w:t>
            </w:r>
          </w:p>
          <w:p w14:paraId="35F200AE" w14:textId="23D5928F" w:rsidR="006B76C3" w:rsidRDefault="006B76C3" w:rsidP="0017120C">
            <w:pPr>
              <w:pStyle w:val="NormalWeb"/>
              <w:spacing w:before="0" w:beforeAutospacing="0" w:after="0" w:afterAutospacing="0"/>
              <w:ind w:firstLineChars="78" w:firstLine="140"/>
              <w:textAlignment w:val="bottom"/>
              <w:rPr>
                <w:rFonts w:ascii="Times New Roman" w:eastAsia="Meiryo" w:hAnsi="Times New Roman" w:cs="Times New Roman"/>
                <w:color w:val="000000"/>
                <w:kern w:val="24"/>
                <w:sz w:val="18"/>
                <w:szCs w:val="21"/>
                <w:vertAlign w:val="subscript"/>
              </w:rPr>
            </w:pPr>
            <w:r>
              <w:rPr>
                <w:rFonts w:ascii="Times New Roman" w:eastAsia="Meiryo" w:hAnsi="Times New Roman" w:cs="Times New Roman" w:hint="eastAsia"/>
                <w:color w:val="000000"/>
                <w:kern w:val="24"/>
                <w:sz w:val="18"/>
                <w:szCs w:val="21"/>
              </w:rPr>
              <w:t xml:space="preserve">Number of BSs within Japan  </w:t>
            </w:r>
            <w:r w:rsidR="00BF20AB">
              <w:rPr>
                <w:rFonts w:ascii="Times New Roman" w:eastAsia="Meiryo" w:hAnsi="Times New Roman" w:cs="Times New Roman"/>
                <w:color w:val="000000"/>
                <w:kern w:val="24"/>
                <w:sz w:val="18"/>
                <w:szCs w:val="21"/>
              </w:rPr>
              <w:t xml:space="preserve"> </w:t>
            </w:r>
            <w:r>
              <w:rPr>
                <w:rFonts w:ascii="Times New Roman" w:eastAsia="Meiryo" w:hAnsi="Times New Roman" w:cs="Times New Roman" w:hint="eastAsia"/>
                <w:color w:val="000000"/>
                <w:kern w:val="24"/>
                <w:sz w:val="18"/>
                <w:szCs w:val="21"/>
              </w:rPr>
              <w:t xml:space="preserve">= </w:t>
            </w:r>
            <w:r w:rsidRPr="00DC2BEB">
              <w:rPr>
                <w:rFonts w:ascii="Times New Roman" w:eastAsia="Meiryo" w:hAnsi="Times New Roman" w:cs="Times New Roman"/>
                <w:color w:val="000000"/>
                <w:kern w:val="24"/>
                <w:sz w:val="18"/>
                <w:szCs w:val="21"/>
              </w:rPr>
              <w:t>(Ds_BS_suburban * Ra_suburban + Ds_BS_urban * Ra_urban) * Rb</w:t>
            </w:r>
            <w:r>
              <w:rPr>
                <w:rFonts w:ascii="Times New Roman" w:eastAsia="Meiryo" w:hAnsi="Times New Roman" w:cs="Times New Roman" w:hint="eastAsia"/>
                <w:color w:val="000000"/>
                <w:kern w:val="24"/>
                <w:sz w:val="18"/>
                <w:szCs w:val="21"/>
              </w:rPr>
              <w:t xml:space="preserve"> * S</w:t>
            </w:r>
            <w:r w:rsidRPr="00590329">
              <w:rPr>
                <w:rFonts w:ascii="Times New Roman" w:eastAsia="Meiryo" w:hAnsi="Times New Roman" w:cs="Times New Roman" w:hint="eastAsia"/>
                <w:color w:val="000000"/>
                <w:kern w:val="24"/>
                <w:sz w:val="18"/>
                <w:szCs w:val="21"/>
                <w:vertAlign w:val="subscript"/>
              </w:rPr>
              <w:t>Japan</w:t>
            </w:r>
          </w:p>
          <w:p w14:paraId="2010E69C" w14:textId="77777777" w:rsidR="006B76C3" w:rsidRPr="00A02B58" w:rsidRDefault="006B76C3" w:rsidP="00BF20AB">
            <w:pPr>
              <w:pStyle w:val="NormalWeb"/>
              <w:spacing w:before="0" w:beforeAutospacing="0" w:after="0" w:afterAutospacing="0"/>
              <w:ind w:firstLineChars="1310" w:firstLine="2358"/>
              <w:textAlignment w:val="bottom"/>
              <w:rPr>
                <w:rFonts w:ascii="Times New Roman" w:eastAsia="Meiryo" w:hAnsi="Times New Roman" w:cs="Times New Roman"/>
                <w:color w:val="000000"/>
                <w:kern w:val="24"/>
                <w:sz w:val="18"/>
                <w:szCs w:val="21"/>
                <w:vertAlign w:val="superscript"/>
              </w:rPr>
            </w:pPr>
            <w:r w:rsidRPr="00590329">
              <w:rPr>
                <w:rFonts w:ascii="Times New Roman" w:eastAsia="Meiryo" w:hAnsi="Times New Roman" w:cs="Times New Roman" w:hint="eastAsia"/>
                <w:color w:val="000000"/>
                <w:kern w:val="24"/>
                <w:sz w:val="18"/>
                <w:szCs w:val="21"/>
              </w:rPr>
              <w:t>= 0.12</w:t>
            </w:r>
            <w:r>
              <w:rPr>
                <w:rFonts w:ascii="Times New Roman" w:eastAsia="Meiryo" w:hAnsi="Times New Roman" w:cs="Times New Roman" w:hint="eastAsia"/>
                <w:color w:val="000000"/>
                <w:kern w:val="24"/>
                <w:sz w:val="18"/>
                <w:szCs w:val="21"/>
              </w:rPr>
              <w:t xml:space="preserve"> BSs/km</w:t>
            </w:r>
            <w:r w:rsidRPr="000D6873">
              <w:rPr>
                <w:rFonts w:ascii="Times New Roman" w:eastAsia="Meiryo" w:hAnsi="Times New Roman" w:cs="Times New Roman" w:hint="eastAsia"/>
                <w:color w:val="000000"/>
                <w:kern w:val="24"/>
                <w:sz w:val="18"/>
                <w:szCs w:val="21"/>
                <w:vertAlign w:val="superscript"/>
              </w:rPr>
              <w:t>2</w:t>
            </w:r>
            <w:r>
              <w:rPr>
                <w:rFonts w:ascii="Times New Roman" w:eastAsia="Meiryo" w:hAnsi="Times New Roman" w:cs="Times New Roman" w:hint="eastAsia"/>
                <w:color w:val="000000"/>
                <w:kern w:val="24"/>
                <w:sz w:val="18"/>
                <w:szCs w:val="21"/>
              </w:rPr>
              <w:t xml:space="preserve"> * 378,000 km</w:t>
            </w:r>
            <w:r w:rsidRPr="000D6873">
              <w:rPr>
                <w:rFonts w:ascii="Times New Roman" w:eastAsia="Meiryo" w:hAnsi="Times New Roman" w:cs="Times New Roman" w:hint="eastAsia"/>
                <w:color w:val="000000"/>
                <w:kern w:val="24"/>
                <w:sz w:val="18"/>
                <w:szCs w:val="21"/>
                <w:vertAlign w:val="superscript"/>
              </w:rPr>
              <w:t>2</w:t>
            </w:r>
          </w:p>
        </w:tc>
      </w:tr>
    </w:tbl>
    <w:p w14:paraId="142CB27D" w14:textId="77777777" w:rsidR="006B76C3" w:rsidRDefault="006B76C3" w:rsidP="006B76C3">
      <w:pPr>
        <w:pStyle w:val="Reasons"/>
        <w:rPr>
          <w:lang w:eastAsia="ja-JP"/>
        </w:rPr>
      </w:pPr>
    </w:p>
    <w:p w14:paraId="11C8136B" w14:textId="77777777" w:rsidR="006B76C3" w:rsidRDefault="006B76C3" w:rsidP="006B76C3">
      <w:pPr>
        <w:pStyle w:val="FigureNo"/>
        <w:spacing w:before="360"/>
        <w:rPr>
          <w:lang w:eastAsia="ja-JP"/>
        </w:rPr>
      </w:pPr>
      <w:r>
        <w:rPr>
          <w:lang w:eastAsia="zh-CN"/>
        </w:rPr>
        <w:t xml:space="preserve">Figure </w:t>
      </w:r>
      <w:r>
        <w:rPr>
          <w:rFonts w:hint="eastAsia"/>
          <w:lang w:eastAsia="ja-JP"/>
        </w:rPr>
        <w:t>A</w:t>
      </w:r>
      <w:r>
        <w:rPr>
          <w:lang w:eastAsia="zh-CN"/>
        </w:rPr>
        <w:t>-</w:t>
      </w:r>
      <w:r>
        <w:rPr>
          <w:rFonts w:hint="eastAsia"/>
          <w:lang w:eastAsia="ja-JP"/>
        </w:rPr>
        <w:t>2</w:t>
      </w:r>
    </w:p>
    <w:p w14:paraId="439DB794" w14:textId="77777777" w:rsidR="006B76C3" w:rsidRDefault="006B76C3" w:rsidP="006B76C3">
      <w:pPr>
        <w:pStyle w:val="Figuretitle"/>
        <w:rPr>
          <w:lang w:eastAsia="zh-CN"/>
        </w:rPr>
      </w:pPr>
      <w:r>
        <w:rPr>
          <w:rFonts w:hint="eastAsia"/>
          <w:lang w:eastAsia="ja-JP"/>
        </w:rPr>
        <w:t>Footprint example of the FSS satellite main beam (0.8 degree beamwidth) whose pointing is 15 degrees elevation angle centred in Tokyo</w:t>
      </w:r>
    </w:p>
    <w:p w14:paraId="14987C17" w14:textId="2F7A6AD6" w:rsidR="006B76C3" w:rsidRPr="00CE42A4" w:rsidRDefault="00A00FC9" w:rsidP="006B76C3">
      <w:pPr>
        <w:pStyle w:val="Reasons"/>
        <w:jc w:val="center"/>
        <w:rPr>
          <w:lang w:eastAsia="ja-JP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15FCC" wp14:editId="53D09A0B">
                <wp:simplePos x="0" y="0"/>
                <wp:positionH relativeFrom="column">
                  <wp:posOffset>3314700</wp:posOffset>
                </wp:positionH>
                <wp:positionV relativeFrom="paragraph">
                  <wp:posOffset>1553845</wp:posOffset>
                </wp:positionV>
                <wp:extent cx="1333500" cy="2667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AD28C8" w14:textId="1527B3D2" w:rsidR="00BC52D9" w:rsidRPr="00C74ADE" w:rsidRDefault="00BC52D9">
                            <w:pPr>
                              <w:rPr>
                                <w:rFonts w:ascii="Meiryo UI" w:eastAsia="Meiryo UI" w:hAnsi="Meiryo UI" w:cs="MS Mincho"/>
                                <w:b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4ADE">
                              <w:rPr>
                                <w:rFonts w:ascii="Meiryo UI" w:eastAsia="Meiryo UI" w:hAnsi="Meiryo UI" w:cs="MS Mincho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-3dB footprint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6615F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61pt;margin-top:122.35pt;width:10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" fillcolor="white [3201]" stroked="f" strokeweight=".5pt">
                <v:textbox>
                  <w:txbxContent>
                    <w:p w14:paraId="11AD28C8" w14:textId="1527B3D2" w:rsidR="00BC52D9" w:rsidRPr="00C74ADE" w:rsidRDefault="00BC52D9">
                      <w:pPr>
                        <w:rPr>
                          <w:rFonts w:ascii="Meiryo UI" w:eastAsia="Meiryo UI" w:hAnsi="Meiryo UI" w:cs="ＭＳ 明朝"/>
                          <w:b/>
                          <w:sz w:val="20"/>
                          <w:szCs w:val="20"/>
                          <w:lang w:eastAsia="ja-JP"/>
                        </w:rPr>
                      </w:pPr>
                      <w:r w:rsidRPr="00C74ADE">
                        <w:rPr>
                          <w:rFonts w:ascii="Meiryo UI" w:eastAsia="Meiryo UI" w:hAnsi="Meiryo UI" w:cs="ＭＳ 明朝"/>
                          <w:b/>
                          <w:sz w:val="20"/>
                          <w:szCs w:val="20"/>
                          <w:lang w:eastAsia="ja-JP"/>
                        </w:rPr>
                        <w:t>-3dB footprint</w:t>
                      </w:r>
                    </w:p>
                  </w:txbxContent>
                </v:textbox>
              </v:shape>
            </w:pict>
          </mc:Fallback>
        </mc:AlternateContent>
      </w:r>
      <w:r w:rsidR="006B76C3">
        <w:rPr>
          <w:noProof/>
          <w:lang w:val="en-US"/>
        </w:rPr>
        <w:drawing>
          <wp:inline distT="0" distB="0" distL="0" distR="0" wp14:anchorId="0B392A35" wp14:editId="2B14ECA7">
            <wp:extent cx="4396902" cy="2576098"/>
            <wp:effectExtent l="0" t="0" r="381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255" cy="258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D313C" w14:textId="77777777" w:rsidR="006B76C3" w:rsidRPr="00E409DA" w:rsidRDefault="006B76C3" w:rsidP="006B76C3">
      <w:pPr>
        <w:pStyle w:val="Reasons"/>
        <w:rPr>
          <w:lang w:eastAsia="ja-JP"/>
        </w:rPr>
      </w:pPr>
    </w:p>
    <w:p w14:paraId="18B68B17" w14:textId="77777777" w:rsidR="006B76C3" w:rsidRPr="00DA6138" w:rsidRDefault="006B76C3" w:rsidP="006B76C3">
      <w:pPr>
        <w:pStyle w:val="Heading4"/>
        <w:ind w:leftChars="0" w:left="0"/>
        <w:rPr>
          <w:lang w:eastAsia="ja-JP"/>
        </w:rPr>
      </w:pPr>
      <w:r>
        <w:rPr>
          <w:rFonts w:hint="eastAsia"/>
          <w:lang w:eastAsia="ja-JP"/>
        </w:rPr>
        <w:t>3</w:t>
      </w:r>
      <w:r>
        <w:rPr>
          <w:lang w:eastAsia="ja-JP"/>
        </w:rPr>
        <w:t>.</w:t>
      </w:r>
      <w:r w:rsidRPr="00464DCF">
        <w:rPr>
          <w:lang w:eastAsia="ja-JP"/>
        </w:rPr>
        <w:tab/>
      </w:r>
      <w:r>
        <w:rPr>
          <w:rFonts w:hint="eastAsia"/>
          <w:lang w:eastAsia="ja-JP"/>
        </w:rPr>
        <w:t>Proposed equivalent power flux-density limit</w:t>
      </w:r>
      <w:r w:rsidRPr="00464DCF">
        <w:rPr>
          <w:caps/>
          <w:sz w:val="18"/>
          <w:lang w:eastAsia="zh-CN"/>
        </w:rPr>
        <w:fldChar w:fldCharType="begin"/>
      </w:r>
      <w:r w:rsidRPr="00464DCF">
        <w:rPr>
          <w:caps/>
          <w:sz w:val="18"/>
          <w:lang w:eastAsia="zh-CN"/>
        </w:rPr>
        <w:fldChar w:fldCharType="end"/>
      </w:r>
      <w:r w:rsidRPr="00464DCF">
        <w:fldChar w:fldCharType="begin"/>
      </w:r>
      <w:r w:rsidRPr="00464DCF">
        <w:fldChar w:fldCharType="end"/>
      </w:r>
    </w:p>
    <w:p w14:paraId="2E029EFD" w14:textId="515A0B9A" w:rsidR="006B76C3" w:rsidRDefault="006B76C3" w:rsidP="009D0FD2">
      <w:pPr>
        <w:pStyle w:val="Reasons"/>
        <w:ind w:left="708" w:hangingChars="294" w:hanging="708"/>
        <w:rPr>
          <w:b/>
          <w:lang w:eastAsia="ja-JP"/>
        </w:rPr>
      </w:pPr>
      <w:r>
        <w:rPr>
          <w:rFonts w:hint="eastAsia"/>
          <w:b/>
          <w:lang w:eastAsia="ja-JP"/>
        </w:rPr>
        <w:t>3.</w:t>
      </w:r>
      <w:r w:rsidR="009D0FD2">
        <w:rPr>
          <w:rFonts w:hint="eastAsia"/>
          <w:b/>
          <w:lang w:eastAsia="ja-JP"/>
        </w:rPr>
        <w:t>1</w:t>
      </w:r>
      <w:r w:rsidR="009D0FD2">
        <w:rPr>
          <w:b/>
          <w:lang w:eastAsia="ja-JP"/>
        </w:rPr>
        <w:tab/>
      </w:r>
      <w:r>
        <w:rPr>
          <w:rFonts w:hint="eastAsia"/>
          <w:b/>
          <w:lang w:eastAsia="ja-JP"/>
        </w:rPr>
        <w:t>Derivation of epfd limit calculated from the FSS protection criteria</w:t>
      </w:r>
    </w:p>
    <w:p w14:paraId="359A1B24" w14:textId="26A9A3FD" w:rsidR="006B76C3" w:rsidRDefault="006B76C3" w:rsidP="006B76C3">
      <w:pPr>
        <w:pStyle w:val="Reasons"/>
        <w:tabs>
          <w:tab w:val="clear" w:pos="1134"/>
          <w:tab w:val="left" w:pos="0"/>
        </w:tabs>
        <w:ind w:left="2"/>
        <w:rPr>
          <w:lang w:eastAsia="ja-JP"/>
        </w:rPr>
      </w:pPr>
      <w:r>
        <w:rPr>
          <w:rFonts w:hint="eastAsia"/>
          <w:lang w:eastAsia="ja-JP"/>
        </w:rPr>
        <w:t xml:space="preserve">The epfd limit that should be satisfied by IMT base stations within </w:t>
      </w:r>
      <w:r w:rsidR="00040F0C" w:rsidRPr="00A85632">
        <w:rPr>
          <w:sz w:val="18"/>
          <w:szCs w:val="18"/>
          <w:lang w:val="fr-CH"/>
        </w:rPr>
        <w:t>−</w:t>
      </w:r>
      <w:r>
        <w:rPr>
          <w:rFonts w:hint="eastAsia"/>
          <w:lang w:eastAsia="ja-JP"/>
        </w:rPr>
        <w:t>3 dB footprint of the satellite is calculated in Table A-3.  The epfd value of -149.6 dB(W/</w:t>
      </w:r>
      <w:r w:rsidR="00A5285A">
        <w:rPr>
          <w:lang w:eastAsia="ja-JP"/>
        </w:rPr>
        <w:t>(</w:t>
      </w:r>
      <w:r>
        <w:rPr>
          <w:rFonts w:hint="eastAsia"/>
          <w:lang w:eastAsia="ja-JP"/>
        </w:rPr>
        <w:t>m</w:t>
      </w:r>
      <w:r w:rsidRPr="00A77046">
        <w:rPr>
          <w:rFonts w:hint="eastAsia"/>
          <w:vertAlign w:val="superscript"/>
          <w:lang w:eastAsia="ja-JP"/>
        </w:rPr>
        <w:t>2</w:t>
      </w:r>
      <w:r w:rsidR="00A5285A">
        <w:rPr>
          <w:lang w:eastAsia="ja-JP"/>
        </w:rPr>
        <w:t>∙</w:t>
      </w:r>
      <w:r>
        <w:rPr>
          <w:rFonts w:hint="eastAsia"/>
          <w:lang w:eastAsia="ja-JP"/>
        </w:rPr>
        <w:t>MHz</w:t>
      </w:r>
      <w:r w:rsidR="00A5285A">
        <w:rPr>
          <w:lang w:eastAsia="ja-JP"/>
        </w:rPr>
        <w:t>)</w:t>
      </w:r>
      <w:r>
        <w:rPr>
          <w:rFonts w:hint="eastAsia"/>
          <w:lang w:eastAsia="ja-JP"/>
        </w:rPr>
        <w:t>) corresponding to the FSS protection criteria (</w:t>
      </w:r>
      <w:r w:rsidRPr="00E71029">
        <w:rPr>
          <w:i/>
          <w:lang w:eastAsia="ja-JP"/>
        </w:rPr>
        <w:t>I/N</w:t>
      </w:r>
      <w:r>
        <w:rPr>
          <w:rFonts w:hint="eastAsia"/>
          <w:lang w:eastAsia="ja-JP"/>
        </w:rPr>
        <w:t xml:space="preserve"> -10.5 dB) is distributed based on contribution of </w:t>
      </w:r>
      <w:r w:rsidR="00040F0C" w:rsidRPr="00A85632">
        <w:rPr>
          <w:sz w:val="18"/>
          <w:szCs w:val="18"/>
          <w:lang w:val="fr-CH"/>
        </w:rPr>
        <w:t>−</w:t>
      </w:r>
      <w:r>
        <w:rPr>
          <w:rFonts w:hint="eastAsia"/>
          <w:lang w:eastAsia="ja-JP"/>
        </w:rPr>
        <w:t xml:space="preserve">3 dB footprint relative to visible earth (-1.5 dB).  It is furthermore distributed based on interference contribution of BSs relative to both BSs and UEs (-0.5 dB).  </w:t>
      </w:r>
    </w:p>
    <w:p w14:paraId="234F6BF2" w14:textId="77777777" w:rsidR="006B76C3" w:rsidRDefault="006B76C3" w:rsidP="006B76C3">
      <w:pPr>
        <w:pStyle w:val="FigureNo"/>
        <w:spacing w:before="360"/>
        <w:rPr>
          <w:lang w:eastAsia="ja-JP"/>
        </w:rPr>
      </w:pPr>
      <w:r>
        <w:rPr>
          <w:rFonts w:hint="eastAsia"/>
          <w:lang w:eastAsia="ja-JP"/>
        </w:rPr>
        <w:lastRenderedPageBreak/>
        <w:t>Table</w:t>
      </w:r>
      <w:r>
        <w:rPr>
          <w:lang w:eastAsia="zh-CN"/>
        </w:rPr>
        <w:t xml:space="preserve"> </w:t>
      </w:r>
      <w:r>
        <w:rPr>
          <w:rFonts w:hint="eastAsia"/>
          <w:lang w:eastAsia="ja-JP"/>
        </w:rPr>
        <w:t>A</w:t>
      </w:r>
      <w:r>
        <w:rPr>
          <w:lang w:eastAsia="zh-CN"/>
        </w:rPr>
        <w:t>-</w:t>
      </w:r>
      <w:r>
        <w:rPr>
          <w:rFonts w:hint="eastAsia"/>
          <w:lang w:eastAsia="ja-JP"/>
        </w:rPr>
        <w:t>3</w:t>
      </w:r>
    </w:p>
    <w:p w14:paraId="38ECF4F6" w14:textId="77777777" w:rsidR="006B76C3" w:rsidRPr="00725DC0" w:rsidRDefault="006B76C3" w:rsidP="006B76C3">
      <w:pPr>
        <w:pStyle w:val="Figuretitle"/>
        <w:rPr>
          <w:lang w:eastAsia="ja-JP"/>
        </w:rPr>
      </w:pPr>
      <w:r>
        <w:rPr>
          <w:rFonts w:hint="eastAsia"/>
          <w:lang w:eastAsia="ja-JP"/>
        </w:rPr>
        <w:t>Derivation of epfd</w:t>
      </w:r>
      <w:r>
        <w:t xml:space="preserve"> </w:t>
      </w:r>
      <w:r>
        <w:rPr>
          <w:rFonts w:hint="eastAsia"/>
          <w:lang w:eastAsia="ja-JP"/>
        </w:rPr>
        <w:t xml:space="preserve">limit calculated from the FSS protection criteria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"/>
        <w:gridCol w:w="3503"/>
        <w:gridCol w:w="784"/>
        <w:gridCol w:w="1138"/>
        <w:gridCol w:w="1913"/>
        <w:gridCol w:w="1510"/>
      </w:tblGrid>
      <w:tr w:rsidR="006B76C3" w14:paraId="79230FC0" w14:textId="77777777" w:rsidTr="0017120C">
        <w:tc>
          <w:tcPr>
            <w:tcW w:w="461" w:type="dxa"/>
          </w:tcPr>
          <w:p w14:paraId="757E573B" w14:textId="77777777" w:rsidR="006B76C3" w:rsidRPr="00585BBB" w:rsidRDefault="006B76C3" w:rsidP="0017120C">
            <w:pPr>
              <w:pStyle w:val="Reasons"/>
              <w:rPr>
                <w:sz w:val="21"/>
                <w:szCs w:val="21"/>
                <w:lang w:eastAsia="ja-JP"/>
              </w:rPr>
            </w:pPr>
          </w:p>
        </w:tc>
        <w:tc>
          <w:tcPr>
            <w:tcW w:w="4042" w:type="dxa"/>
          </w:tcPr>
          <w:p w14:paraId="0AE578C9" w14:textId="77777777" w:rsidR="006B76C3" w:rsidRPr="00585BBB" w:rsidRDefault="006B76C3" w:rsidP="0017120C">
            <w:pPr>
              <w:pStyle w:val="Reasons"/>
              <w:rPr>
                <w:sz w:val="21"/>
                <w:szCs w:val="21"/>
                <w:lang w:eastAsia="ja-JP"/>
              </w:rPr>
            </w:pPr>
          </w:p>
        </w:tc>
        <w:tc>
          <w:tcPr>
            <w:tcW w:w="826" w:type="dxa"/>
          </w:tcPr>
          <w:p w14:paraId="20575E5C" w14:textId="77777777" w:rsidR="006B76C3" w:rsidRPr="00585BBB" w:rsidRDefault="006B76C3" w:rsidP="0017120C">
            <w:pPr>
              <w:pStyle w:val="NormalWeb"/>
              <w:spacing w:before="0" w:beforeAutospacing="0" w:after="0" w:afterAutospacing="0" w:line="306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1029">
              <w:rPr>
                <w:rFonts w:ascii="Times New Roman" w:eastAsia="Meiryo" w:hAnsi="Times New Roman" w:cs="Times New Roman"/>
                <w:b/>
                <w:bCs/>
                <w:i/>
                <w:color w:val="000000" w:themeColor="text1"/>
                <w:kern w:val="24"/>
                <w:sz w:val="21"/>
                <w:szCs w:val="21"/>
              </w:rPr>
              <w:t>I/N</w:t>
            </w:r>
            <w:r w:rsidRPr="00585BBB">
              <w:rPr>
                <w:rFonts w:ascii="Times New Roman" w:eastAsia="Meiryo" w:hAnsi="Times New Roman" w:cs="Times New Roman"/>
                <w:b/>
                <w:bCs/>
                <w:color w:val="000000" w:themeColor="text1"/>
                <w:kern w:val="24"/>
                <w:sz w:val="21"/>
                <w:szCs w:val="21"/>
              </w:rPr>
              <w:t xml:space="preserve"> (dB)</w:t>
            </w:r>
          </w:p>
        </w:tc>
        <w:tc>
          <w:tcPr>
            <w:tcW w:w="1138" w:type="dxa"/>
          </w:tcPr>
          <w:p w14:paraId="52CBB0C2" w14:textId="77777777" w:rsidR="006B76C3" w:rsidRPr="00585BBB" w:rsidRDefault="006B76C3" w:rsidP="0017120C">
            <w:pPr>
              <w:pStyle w:val="NormalWeb"/>
              <w:spacing w:before="0" w:beforeAutospacing="0" w:after="0" w:afterAutospacing="0" w:line="306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1029">
              <w:rPr>
                <w:rFonts w:ascii="Times New Roman" w:eastAsia="Meiryo" w:hAnsi="Times New Roman" w:cs="Times New Roman"/>
                <w:b/>
                <w:bCs/>
                <w:i/>
                <w:color w:val="000000" w:themeColor="text1"/>
                <w:kern w:val="24"/>
                <w:sz w:val="21"/>
                <w:szCs w:val="21"/>
              </w:rPr>
              <w:t>I</w:t>
            </w:r>
            <w:r w:rsidRPr="00E71029">
              <w:rPr>
                <w:rFonts w:ascii="Times New Roman" w:eastAsia="Meiryo" w:hAnsi="Times New Roman" w:cs="Times New Roman"/>
                <w:b/>
                <w:bCs/>
                <w:i/>
                <w:color w:val="000000" w:themeColor="text1"/>
                <w:kern w:val="24"/>
                <w:position w:val="-5"/>
                <w:sz w:val="21"/>
                <w:szCs w:val="21"/>
                <w:vertAlign w:val="subscript"/>
              </w:rPr>
              <w:t>agg</w:t>
            </w:r>
            <w:r w:rsidRPr="00585BBB">
              <w:rPr>
                <w:rFonts w:ascii="Times New Roman" w:eastAsia="Meiryo" w:hAnsi="Times New Roman" w:cs="Times New Roman"/>
                <w:b/>
                <w:bCs/>
                <w:color w:val="000000" w:themeColor="text1"/>
                <w:kern w:val="24"/>
                <w:sz w:val="21"/>
                <w:szCs w:val="21"/>
              </w:rPr>
              <w:t xml:space="preserve"> (dBW/Hz)</w:t>
            </w:r>
          </w:p>
        </w:tc>
        <w:tc>
          <w:tcPr>
            <w:tcW w:w="1779" w:type="dxa"/>
          </w:tcPr>
          <w:p w14:paraId="6B48EB4D" w14:textId="05700C3B" w:rsidR="006B76C3" w:rsidRPr="00585BBB" w:rsidRDefault="006B76C3" w:rsidP="0017120C">
            <w:pPr>
              <w:pStyle w:val="NormalWeb"/>
              <w:spacing w:before="0" w:beforeAutospacing="0" w:after="0" w:afterAutospacing="0" w:line="306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5BBB">
              <w:rPr>
                <w:rFonts w:ascii="Times New Roman" w:eastAsia="Meiryo" w:hAnsi="Times New Roman" w:cs="Times New Roman"/>
                <w:b/>
                <w:bCs/>
                <w:color w:val="000000" w:themeColor="text1"/>
                <w:kern w:val="24"/>
                <w:sz w:val="21"/>
                <w:szCs w:val="21"/>
              </w:rPr>
              <w:t>epfd (dB(W/</w:t>
            </w:r>
            <w:r w:rsidR="009D0FD2">
              <w:rPr>
                <w:rFonts w:ascii="Times New Roman" w:eastAsia="Meiryo" w:hAnsi="Times New Roman" w:cs="Times New Roman"/>
                <w:b/>
                <w:bCs/>
                <w:color w:val="000000" w:themeColor="text1"/>
                <w:kern w:val="24"/>
                <w:sz w:val="21"/>
                <w:szCs w:val="21"/>
              </w:rPr>
              <w:t>(</w:t>
            </w:r>
            <w:r w:rsidRPr="00585BBB">
              <w:rPr>
                <w:rFonts w:ascii="Times New Roman" w:eastAsia="Meiryo" w:hAnsi="Times New Roman" w:cs="Times New Roman"/>
                <w:b/>
                <w:bCs/>
                <w:color w:val="000000" w:themeColor="text1"/>
                <w:kern w:val="24"/>
                <w:sz w:val="21"/>
                <w:szCs w:val="21"/>
              </w:rPr>
              <w:t>m</w:t>
            </w:r>
            <w:r w:rsidRPr="00585BBB">
              <w:rPr>
                <w:rFonts w:ascii="Times New Roman" w:eastAsia="Meiryo" w:hAnsi="Times New Roman" w:cs="Times New Roman"/>
                <w:b/>
                <w:bCs/>
                <w:color w:val="000000" w:themeColor="text1"/>
                <w:kern w:val="24"/>
                <w:position w:val="6"/>
                <w:sz w:val="21"/>
                <w:szCs w:val="21"/>
                <w:vertAlign w:val="superscript"/>
              </w:rPr>
              <w:t>2</w:t>
            </w:r>
            <w:r w:rsidR="009D0FD2">
              <w:rPr>
                <w:rFonts w:ascii="Times New Roman" w:eastAsia="Meiryo" w:hAnsi="Times New Roman" w:cs="Times New Roman"/>
                <w:b/>
                <w:bCs/>
                <w:color w:val="000000" w:themeColor="text1"/>
                <w:kern w:val="24"/>
                <w:sz w:val="21"/>
                <w:szCs w:val="21"/>
              </w:rPr>
              <w:t>∙</w:t>
            </w:r>
            <w:r w:rsidRPr="00585BBB">
              <w:rPr>
                <w:rFonts w:ascii="Times New Roman" w:eastAsia="Meiryo" w:hAnsi="Times New Roman" w:cs="Times New Roman"/>
                <w:b/>
                <w:bCs/>
                <w:color w:val="000000" w:themeColor="text1"/>
                <w:kern w:val="24"/>
                <w:sz w:val="21"/>
                <w:szCs w:val="21"/>
              </w:rPr>
              <w:t>MHz</w:t>
            </w:r>
            <w:r w:rsidR="009D0FD2">
              <w:rPr>
                <w:rFonts w:ascii="Times New Roman" w:eastAsia="Meiryo" w:hAnsi="Times New Roman" w:cs="Times New Roman"/>
                <w:b/>
                <w:bCs/>
                <w:color w:val="000000" w:themeColor="text1"/>
                <w:kern w:val="24"/>
                <w:sz w:val="21"/>
                <w:szCs w:val="21"/>
              </w:rPr>
              <w:t>)</w:t>
            </w:r>
            <w:r w:rsidRPr="00585BBB">
              <w:rPr>
                <w:rFonts w:ascii="Times New Roman" w:eastAsia="Meiryo" w:hAnsi="Times New Roman" w:cs="Times New Roman"/>
                <w:b/>
                <w:bCs/>
                <w:color w:val="000000" w:themeColor="text1"/>
                <w:kern w:val="24"/>
                <w:sz w:val="21"/>
                <w:szCs w:val="21"/>
              </w:rPr>
              <w:t xml:space="preserve">)) </w:t>
            </w:r>
          </w:p>
        </w:tc>
        <w:tc>
          <w:tcPr>
            <w:tcW w:w="1609" w:type="dxa"/>
          </w:tcPr>
          <w:p w14:paraId="6777C73B" w14:textId="77777777" w:rsidR="006B76C3" w:rsidRPr="00585BBB" w:rsidRDefault="006B76C3" w:rsidP="0017120C">
            <w:pPr>
              <w:pStyle w:val="Reasons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Derivation of values</w:t>
            </w:r>
          </w:p>
        </w:tc>
      </w:tr>
      <w:tr w:rsidR="006B76C3" w14:paraId="3B609EF8" w14:textId="77777777" w:rsidTr="0017120C">
        <w:tc>
          <w:tcPr>
            <w:tcW w:w="461" w:type="dxa"/>
          </w:tcPr>
          <w:p w14:paraId="5120397A" w14:textId="77777777" w:rsidR="006B76C3" w:rsidRPr="00585BBB" w:rsidRDefault="006B76C3" w:rsidP="0017120C">
            <w:pPr>
              <w:pStyle w:val="Reasons"/>
              <w:rPr>
                <w:sz w:val="21"/>
                <w:szCs w:val="21"/>
                <w:lang w:eastAsia="ja-JP"/>
              </w:rPr>
            </w:pPr>
            <w:r w:rsidRPr="00585BBB">
              <w:rPr>
                <w:rFonts w:hint="eastAsia"/>
                <w:sz w:val="21"/>
                <w:szCs w:val="21"/>
                <w:lang w:eastAsia="ja-JP"/>
              </w:rPr>
              <w:t>(1)</w:t>
            </w:r>
          </w:p>
        </w:tc>
        <w:tc>
          <w:tcPr>
            <w:tcW w:w="4042" w:type="dxa"/>
          </w:tcPr>
          <w:p w14:paraId="5C49D98E" w14:textId="77777777" w:rsidR="006B76C3" w:rsidRPr="00E77371" w:rsidRDefault="006B76C3" w:rsidP="0017120C">
            <w:pPr>
              <w:pStyle w:val="Reasons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FSS protection criteria</w:t>
            </w:r>
          </w:p>
        </w:tc>
        <w:tc>
          <w:tcPr>
            <w:tcW w:w="826" w:type="dxa"/>
            <w:vAlign w:val="center"/>
          </w:tcPr>
          <w:p w14:paraId="182C0D6E" w14:textId="77777777" w:rsidR="006B76C3" w:rsidRPr="00585BBB" w:rsidRDefault="006B76C3" w:rsidP="0017120C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585BBB">
              <w:rPr>
                <w:rFonts w:ascii="Times New Roman" w:eastAsia="Meiryo" w:hAnsi="Times New Roman" w:cs="Times New Roman"/>
                <w:bCs/>
                <w:kern w:val="24"/>
                <w:sz w:val="21"/>
                <w:szCs w:val="21"/>
              </w:rPr>
              <w:t>-10.5</w:t>
            </w:r>
          </w:p>
        </w:tc>
        <w:tc>
          <w:tcPr>
            <w:tcW w:w="1138" w:type="dxa"/>
            <w:vAlign w:val="center"/>
          </w:tcPr>
          <w:p w14:paraId="6D0BFD90" w14:textId="77777777" w:rsidR="006B76C3" w:rsidRPr="00585BBB" w:rsidRDefault="006B76C3" w:rsidP="0017120C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585BBB">
              <w:rPr>
                <w:rFonts w:ascii="Times New Roman" w:eastAsia="Meiryo" w:hAnsi="Times New Roman" w:cs="Times New Roman"/>
                <w:bCs/>
                <w:kern w:val="24"/>
                <w:sz w:val="21"/>
                <w:szCs w:val="21"/>
              </w:rPr>
              <w:t>-213.1</w:t>
            </w:r>
          </w:p>
        </w:tc>
        <w:tc>
          <w:tcPr>
            <w:tcW w:w="1779" w:type="dxa"/>
            <w:vAlign w:val="center"/>
          </w:tcPr>
          <w:p w14:paraId="000B7DE5" w14:textId="77777777" w:rsidR="006B76C3" w:rsidRPr="00585BBB" w:rsidRDefault="006B76C3" w:rsidP="0017120C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585BBB">
              <w:rPr>
                <w:rFonts w:ascii="Times New Roman" w:eastAsia="Meiryo" w:hAnsi="Times New Roman" w:cs="Times New Roman"/>
                <w:bCs/>
                <w:kern w:val="24"/>
                <w:sz w:val="21"/>
                <w:szCs w:val="21"/>
              </w:rPr>
              <w:t>-149.6</w:t>
            </w:r>
          </w:p>
        </w:tc>
        <w:tc>
          <w:tcPr>
            <w:tcW w:w="1609" w:type="dxa"/>
            <w:vAlign w:val="center"/>
          </w:tcPr>
          <w:p w14:paraId="53E961FA" w14:textId="77777777" w:rsidR="006B76C3" w:rsidRPr="00585BBB" w:rsidRDefault="006B76C3" w:rsidP="0017120C">
            <w:pPr>
              <w:pStyle w:val="Reasons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B76C3" w14:paraId="25F898C5" w14:textId="77777777" w:rsidTr="0017120C">
        <w:tc>
          <w:tcPr>
            <w:tcW w:w="461" w:type="dxa"/>
          </w:tcPr>
          <w:p w14:paraId="04BF6DD5" w14:textId="77777777" w:rsidR="006B76C3" w:rsidRPr="00585BBB" w:rsidRDefault="006B76C3" w:rsidP="0017120C">
            <w:pPr>
              <w:pStyle w:val="Reasons"/>
              <w:rPr>
                <w:sz w:val="21"/>
                <w:szCs w:val="21"/>
                <w:lang w:eastAsia="ja-JP"/>
              </w:rPr>
            </w:pPr>
            <w:r w:rsidRPr="00585BBB">
              <w:rPr>
                <w:rFonts w:hint="eastAsia"/>
                <w:sz w:val="21"/>
                <w:szCs w:val="21"/>
                <w:lang w:eastAsia="ja-JP"/>
              </w:rPr>
              <w:t>(2)</w:t>
            </w:r>
          </w:p>
        </w:tc>
        <w:tc>
          <w:tcPr>
            <w:tcW w:w="4042" w:type="dxa"/>
          </w:tcPr>
          <w:p w14:paraId="3EE540C6" w14:textId="7A471910" w:rsidR="006B76C3" w:rsidRPr="00E77371" w:rsidRDefault="006B76C3" w:rsidP="0017120C">
            <w:pPr>
              <w:pStyle w:val="Reasons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Contribution of </w:t>
            </w:r>
            <w:r w:rsidR="00C74ADE">
              <w:rPr>
                <w:sz w:val="21"/>
                <w:szCs w:val="21"/>
                <w:lang w:eastAsia="ja-JP"/>
              </w:rPr>
              <w:t>-</w:t>
            </w:r>
            <w:r>
              <w:rPr>
                <w:rFonts w:hint="eastAsia"/>
                <w:sz w:val="21"/>
                <w:szCs w:val="21"/>
                <w:lang w:eastAsia="ja-JP"/>
              </w:rPr>
              <w:t>3 dB footprint relative to visible earth (-1.5 dB)</w:t>
            </w:r>
          </w:p>
        </w:tc>
        <w:tc>
          <w:tcPr>
            <w:tcW w:w="826" w:type="dxa"/>
            <w:vAlign w:val="center"/>
          </w:tcPr>
          <w:p w14:paraId="7BF2AED6" w14:textId="77777777" w:rsidR="006B76C3" w:rsidRPr="00585BBB" w:rsidRDefault="006B76C3" w:rsidP="0017120C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585BBB">
              <w:rPr>
                <w:rFonts w:ascii="Times New Roman" w:eastAsia="Meiryo" w:hAnsi="Times New Roman" w:cs="Times New Roman"/>
                <w:color w:val="000000" w:themeColor="dark1"/>
                <w:kern w:val="24"/>
                <w:sz w:val="21"/>
                <w:szCs w:val="21"/>
              </w:rPr>
              <w:t>-1</w:t>
            </w:r>
            <w:r>
              <w:rPr>
                <w:rFonts w:ascii="Times New Roman" w:eastAsia="Meiryo" w:hAnsi="Times New Roman" w:cs="Times New Roman" w:hint="eastAsia"/>
                <w:color w:val="000000" w:themeColor="dark1"/>
                <w:kern w:val="24"/>
                <w:sz w:val="21"/>
                <w:szCs w:val="21"/>
              </w:rPr>
              <w:t>2</w:t>
            </w:r>
            <w:r>
              <w:rPr>
                <w:rFonts w:ascii="Times New Roman" w:eastAsia="Meiryo" w:hAnsi="Times New Roman" w:cs="Times New Roman"/>
                <w:color w:val="000000" w:themeColor="dark1"/>
                <w:kern w:val="24"/>
                <w:sz w:val="21"/>
                <w:szCs w:val="21"/>
              </w:rPr>
              <w:t>.</w:t>
            </w:r>
            <w:r>
              <w:rPr>
                <w:rFonts w:ascii="Times New Roman" w:eastAsia="Meiryo" w:hAnsi="Times New Roman" w:cs="Times New Roman" w:hint="eastAsia"/>
                <w:color w:val="000000" w:themeColor="dark1"/>
                <w:kern w:val="24"/>
                <w:sz w:val="21"/>
                <w:szCs w:val="21"/>
              </w:rPr>
              <w:t>0</w:t>
            </w:r>
          </w:p>
        </w:tc>
        <w:tc>
          <w:tcPr>
            <w:tcW w:w="1138" w:type="dxa"/>
            <w:vAlign w:val="center"/>
          </w:tcPr>
          <w:p w14:paraId="282A4FD0" w14:textId="77777777" w:rsidR="006B76C3" w:rsidRPr="00585BBB" w:rsidRDefault="006B76C3" w:rsidP="0017120C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Meiryo" w:hAnsi="Times New Roman" w:cs="Times New Roman"/>
                <w:color w:val="000000" w:themeColor="dark1"/>
                <w:kern w:val="24"/>
                <w:sz w:val="21"/>
                <w:szCs w:val="21"/>
              </w:rPr>
              <w:t>-2</w:t>
            </w:r>
            <w:r>
              <w:rPr>
                <w:rFonts w:ascii="Times New Roman" w:eastAsia="Meiryo" w:hAnsi="Times New Roman" w:cs="Times New Roman" w:hint="eastAsia"/>
                <w:color w:val="000000" w:themeColor="dark1"/>
                <w:kern w:val="24"/>
                <w:sz w:val="21"/>
                <w:szCs w:val="21"/>
              </w:rPr>
              <w:t>14</w:t>
            </w:r>
            <w:r>
              <w:rPr>
                <w:rFonts w:ascii="Times New Roman" w:eastAsia="Meiryo" w:hAnsi="Times New Roman" w:cs="Times New Roman"/>
                <w:color w:val="000000" w:themeColor="dark1"/>
                <w:kern w:val="24"/>
                <w:sz w:val="21"/>
                <w:szCs w:val="21"/>
              </w:rPr>
              <w:t>.</w:t>
            </w:r>
            <w:r>
              <w:rPr>
                <w:rFonts w:ascii="Times New Roman" w:eastAsia="Meiryo" w:hAnsi="Times New Roman" w:cs="Times New Roman" w:hint="eastAsia"/>
                <w:color w:val="000000" w:themeColor="dark1"/>
                <w:kern w:val="24"/>
                <w:sz w:val="21"/>
                <w:szCs w:val="21"/>
              </w:rPr>
              <w:t>6</w:t>
            </w:r>
          </w:p>
        </w:tc>
        <w:tc>
          <w:tcPr>
            <w:tcW w:w="1779" w:type="dxa"/>
            <w:vAlign w:val="center"/>
          </w:tcPr>
          <w:p w14:paraId="7A44B301" w14:textId="77777777" w:rsidR="006B76C3" w:rsidRPr="007748DE" w:rsidRDefault="006B76C3" w:rsidP="0017120C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7748DE">
              <w:rPr>
                <w:rFonts w:ascii="Times New Roman" w:eastAsia="Meiryo" w:hAnsi="Times New Roman" w:cs="Times New Roman"/>
                <w:bCs/>
                <w:color w:val="000000" w:themeColor="dark1"/>
                <w:kern w:val="24"/>
                <w:sz w:val="21"/>
                <w:szCs w:val="21"/>
              </w:rPr>
              <w:t>-15</w:t>
            </w:r>
            <w:r w:rsidRPr="007748DE">
              <w:rPr>
                <w:rFonts w:ascii="Times New Roman" w:eastAsia="Meiryo" w:hAnsi="Times New Roman" w:cs="Times New Roman" w:hint="eastAsia"/>
                <w:bCs/>
                <w:color w:val="000000" w:themeColor="dark1"/>
                <w:kern w:val="24"/>
                <w:sz w:val="21"/>
                <w:szCs w:val="21"/>
              </w:rPr>
              <w:t>1</w:t>
            </w:r>
            <w:r w:rsidRPr="007748DE">
              <w:rPr>
                <w:rFonts w:ascii="Times New Roman" w:eastAsia="Meiryo" w:hAnsi="Times New Roman" w:cs="Times New Roman"/>
                <w:bCs/>
                <w:color w:val="000000" w:themeColor="dark1"/>
                <w:kern w:val="24"/>
                <w:sz w:val="21"/>
                <w:szCs w:val="21"/>
              </w:rPr>
              <w:t>.</w:t>
            </w:r>
            <w:r w:rsidRPr="007748DE">
              <w:rPr>
                <w:rFonts w:ascii="Times New Roman" w:eastAsia="Meiryo" w:hAnsi="Times New Roman" w:cs="Times New Roman" w:hint="eastAsia"/>
                <w:bCs/>
                <w:color w:val="000000" w:themeColor="dark1"/>
                <w:kern w:val="24"/>
                <w:sz w:val="21"/>
                <w:szCs w:val="21"/>
              </w:rPr>
              <w:t>1</w:t>
            </w:r>
          </w:p>
        </w:tc>
        <w:tc>
          <w:tcPr>
            <w:tcW w:w="1609" w:type="dxa"/>
            <w:vAlign w:val="center"/>
          </w:tcPr>
          <w:p w14:paraId="38942267" w14:textId="77777777" w:rsidR="006B76C3" w:rsidRPr="007748DE" w:rsidRDefault="006B76C3" w:rsidP="0017120C">
            <w:pPr>
              <w:pStyle w:val="Reasons"/>
              <w:jc w:val="both"/>
              <w:rPr>
                <w:sz w:val="21"/>
                <w:szCs w:val="21"/>
                <w:lang w:eastAsia="ja-JP"/>
              </w:rPr>
            </w:pPr>
            <w:r w:rsidRPr="007748DE">
              <w:rPr>
                <w:rFonts w:hint="eastAsia"/>
                <w:sz w:val="21"/>
                <w:szCs w:val="21"/>
                <w:lang w:eastAsia="ja-JP"/>
              </w:rPr>
              <w:t>(1)-1.5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dB</w:t>
            </w:r>
          </w:p>
        </w:tc>
      </w:tr>
      <w:tr w:rsidR="006B76C3" w14:paraId="0CF3C999" w14:textId="77777777" w:rsidTr="0017120C">
        <w:tc>
          <w:tcPr>
            <w:tcW w:w="461" w:type="dxa"/>
          </w:tcPr>
          <w:p w14:paraId="4D097EC1" w14:textId="77777777" w:rsidR="006B76C3" w:rsidRPr="00BE716F" w:rsidRDefault="006B76C3" w:rsidP="0017120C">
            <w:pPr>
              <w:pStyle w:val="Reasons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(3)</w:t>
            </w:r>
          </w:p>
        </w:tc>
        <w:tc>
          <w:tcPr>
            <w:tcW w:w="4042" w:type="dxa"/>
          </w:tcPr>
          <w:p w14:paraId="00508D01" w14:textId="77777777" w:rsidR="006B76C3" w:rsidRPr="00BE716F" w:rsidRDefault="006B76C3" w:rsidP="0017120C">
            <w:pPr>
              <w:pStyle w:val="Reasons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Contribution of BSs relative to both BSs and UEs (-0.5 dB)</w:t>
            </w:r>
          </w:p>
        </w:tc>
        <w:tc>
          <w:tcPr>
            <w:tcW w:w="826" w:type="dxa"/>
            <w:vAlign w:val="center"/>
          </w:tcPr>
          <w:p w14:paraId="2D3E1F81" w14:textId="77777777" w:rsidR="006B76C3" w:rsidRPr="00BE716F" w:rsidRDefault="006B76C3" w:rsidP="0017120C">
            <w:pPr>
              <w:pStyle w:val="NormalWeb"/>
              <w:spacing w:before="0" w:beforeAutospacing="0" w:after="0" w:afterAutospacing="0"/>
              <w:jc w:val="right"/>
              <w:rPr>
                <w:rFonts w:ascii="Times New Roman" w:eastAsia="Meiryo" w:hAnsi="Times New Roman" w:cs="Times New Roman"/>
                <w:color w:val="000000" w:themeColor="dark1"/>
                <w:kern w:val="24"/>
                <w:sz w:val="21"/>
                <w:szCs w:val="21"/>
                <w:lang w:val="en-GB"/>
              </w:rPr>
            </w:pPr>
            <w:r>
              <w:rPr>
                <w:rFonts w:ascii="Times New Roman" w:eastAsia="Meiryo" w:hAnsi="Times New Roman" w:cs="Times New Roman" w:hint="eastAsia"/>
                <w:color w:val="000000" w:themeColor="dark1"/>
                <w:kern w:val="24"/>
                <w:sz w:val="21"/>
                <w:szCs w:val="21"/>
                <w:lang w:val="en-GB"/>
              </w:rPr>
              <w:t>-12.5</w:t>
            </w:r>
          </w:p>
        </w:tc>
        <w:tc>
          <w:tcPr>
            <w:tcW w:w="1138" w:type="dxa"/>
            <w:vAlign w:val="center"/>
          </w:tcPr>
          <w:p w14:paraId="434B5DEC" w14:textId="77777777" w:rsidR="006B76C3" w:rsidRPr="00585BBB" w:rsidRDefault="006B76C3" w:rsidP="0017120C">
            <w:pPr>
              <w:pStyle w:val="NormalWeb"/>
              <w:spacing w:before="0" w:beforeAutospacing="0" w:after="0" w:afterAutospacing="0"/>
              <w:jc w:val="right"/>
              <w:rPr>
                <w:rFonts w:ascii="Times New Roman" w:eastAsia="Meiryo" w:hAnsi="Times New Roman" w:cs="Times New Roman"/>
                <w:color w:val="000000" w:themeColor="dark1"/>
                <w:kern w:val="24"/>
                <w:sz w:val="21"/>
                <w:szCs w:val="21"/>
              </w:rPr>
            </w:pPr>
            <w:r>
              <w:rPr>
                <w:rFonts w:ascii="Times New Roman" w:eastAsia="Meiryo" w:hAnsi="Times New Roman" w:cs="Times New Roman" w:hint="eastAsia"/>
                <w:color w:val="000000" w:themeColor="dark1"/>
                <w:kern w:val="24"/>
                <w:sz w:val="21"/>
                <w:szCs w:val="21"/>
              </w:rPr>
              <w:t>-215.1</w:t>
            </w:r>
          </w:p>
        </w:tc>
        <w:tc>
          <w:tcPr>
            <w:tcW w:w="1779" w:type="dxa"/>
            <w:vAlign w:val="center"/>
          </w:tcPr>
          <w:p w14:paraId="3D5F0897" w14:textId="77777777" w:rsidR="006B76C3" w:rsidRPr="00585BBB" w:rsidRDefault="006B76C3" w:rsidP="0017120C">
            <w:pPr>
              <w:pStyle w:val="NormalWeb"/>
              <w:spacing w:before="0" w:beforeAutospacing="0" w:after="0" w:afterAutospacing="0"/>
              <w:jc w:val="right"/>
              <w:rPr>
                <w:rFonts w:ascii="Times New Roman" w:eastAsia="Meiryo" w:hAnsi="Times New Roman" w:cs="Times New Roman"/>
                <w:b/>
                <w:bCs/>
                <w:color w:val="000000" w:themeColor="dark1"/>
                <w:kern w:val="24"/>
                <w:sz w:val="21"/>
                <w:szCs w:val="21"/>
              </w:rPr>
            </w:pPr>
            <w:r>
              <w:rPr>
                <w:rFonts w:ascii="Times New Roman" w:eastAsia="Meiryo" w:hAnsi="Times New Roman" w:cs="Times New Roman" w:hint="eastAsia"/>
                <w:b/>
                <w:bCs/>
                <w:color w:val="000000" w:themeColor="dark1"/>
                <w:kern w:val="24"/>
                <w:sz w:val="21"/>
                <w:szCs w:val="21"/>
              </w:rPr>
              <w:t>-151.6</w:t>
            </w:r>
          </w:p>
        </w:tc>
        <w:tc>
          <w:tcPr>
            <w:tcW w:w="1609" w:type="dxa"/>
            <w:vAlign w:val="center"/>
          </w:tcPr>
          <w:p w14:paraId="01D96B3E" w14:textId="77777777" w:rsidR="006B76C3" w:rsidRPr="00BE716F" w:rsidRDefault="006B76C3" w:rsidP="0017120C">
            <w:pPr>
              <w:pStyle w:val="Reasons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(2)-0.5 dB</w:t>
            </w:r>
          </w:p>
        </w:tc>
      </w:tr>
    </w:tbl>
    <w:p w14:paraId="7F899C2B" w14:textId="77777777" w:rsidR="006B76C3" w:rsidRDefault="006B76C3" w:rsidP="006B76C3">
      <w:pPr>
        <w:pStyle w:val="Reasons"/>
        <w:rPr>
          <w:lang w:eastAsia="ja-JP"/>
        </w:rPr>
      </w:pPr>
    </w:p>
    <w:p w14:paraId="5D39072F" w14:textId="77777777" w:rsidR="006B76C3" w:rsidRPr="009E262A" w:rsidRDefault="006B76C3" w:rsidP="006B76C3">
      <w:pPr>
        <w:pStyle w:val="Reasons"/>
        <w:tabs>
          <w:tab w:val="clear" w:pos="1134"/>
          <w:tab w:val="left" w:pos="0"/>
        </w:tabs>
        <w:ind w:left="2"/>
        <w:rPr>
          <w:lang w:eastAsia="ja-JP"/>
        </w:rPr>
      </w:pPr>
      <w:r>
        <w:rPr>
          <w:rFonts w:hint="eastAsia"/>
          <w:lang w:eastAsia="ja-JP"/>
        </w:rPr>
        <w:t>The epfd limit is proposed from the Table A-3, considering the area of the territory of a concerned administration as equation (A-7).</w:t>
      </w:r>
    </w:p>
    <w:p w14:paraId="6FD58471" w14:textId="77777777" w:rsidR="006B76C3" w:rsidRPr="009E262A" w:rsidRDefault="006B76C3" w:rsidP="006B76C3">
      <w:pPr>
        <w:pStyle w:val="Reasons"/>
        <w:ind w:left="1128" w:hangingChars="470" w:hanging="1128"/>
        <w:rPr>
          <w:lang w:eastAsia="ja-JP"/>
        </w:rPr>
      </w:pPr>
    </w:p>
    <w:p w14:paraId="6D46D23E" w14:textId="119256AD" w:rsidR="006B76C3" w:rsidRPr="00AA4AA0" w:rsidRDefault="006B76C3" w:rsidP="006B76C3">
      <w:pPr>
        <w:pStyle w:val="Reasons"/>
        <w:wordWrap w:val="0"/>
        <w:ind w:left="1128" w:hangingChars="470" w:hanging="1128"/>
        <w:jc w:val="right"/>
        <w:rPr>
          <w:lang w:eastAsia="ja-JP"/>
        </w:rPr>
      </w:pPr>
      <m:oMath>
        <m:r>
          <w:rPr>
            <w:rFonts w:ascii="Cambria Math" w:hAnsi="Cambria Math"/>
            <w:lang w:eastAsia="ja-JP"/>
          </w:rPr>
          <m:t>epfd limit 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lang w:eastAsia="ja-JP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eastAsia="ja-JP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ja-JP"/>
                    </w:rPr>
                    <m:t>-</m:t>
                  </m:r>
                  <m:r>
                    <w:rPr>
                      <w:rFonts w:ascii="Cambria Math" w:hAnsi="Cambria Math"/>
                      <w:lang w:eastAsia="ja-JP"/>
                    </w:rPr>
                    <m:t>15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ja-JP"/>
                    </w:rPr>
                    <m:t>1.6</m:t>
                  </m:r>
                  <m:r>
                    <w:rPr>
                      <w:rFonts w:ascii="Cambria Math" w:hAnsi="Cambria Math"/>
                      <w:lang w:eastAsia="ja-JP"/>
                    </w:rPr>
                    <m:t xml:space="preserve"> dB(W/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ja-JP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ja-JP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ja-JP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eastAsia="ja-JP"/>
                    </w:rPr>
                    <m:t xml:space="preserve">/MHz),  if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ja-JP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ja-JP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ja-JP"/>
                        </w:rPr>
                        <m:t>adm</m:t>
                      </m:r>
                    </m:sub>
                  </m:sSub>
                  <m:r>
                    <w:rPr>
                      <w:rFonts w:ascii="Cambria Math" w:hAnsi="Cambria Math"/>
                      <w:lang w:eastAsia="ja-JP"/>
                    </w:rPr>
                    <m:t xml:space="preserve">≥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ja-JP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ja-JP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ja-JP"/>
                        </w:rPr>
                        <m:t>-3dB</m:t>
                      </m:r>
                    </m:sub>
                  </m:sSub>
                  <m:r>
                    <w:rPr>
                      <w:rFonts w:ascii="Cambria Math" w:hAnsi="Cambria Math"/>
                      <w:lang w:eastAsia="ja-JP"/>
                    </w:rPr>
                    <m:t xml:space="preserve"> 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ja-JP"/>
                    </w:rPr>
                    <m:t>-</m:t>
                  </m:r>
                  <m:r>
                    <w:rPr>
                      <w:rFonts w:ascii="Cambria Math" w:hAnsi="Cambria Math"/>
                      <w:lang w:eastAsia="ja-JP"/>
                    </w:rPr>
                    <m:t xml:space="preserve">151.6 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</w:rPr>
                    <m:t>+</m:t>
                  </m:r>
                  <m:r>
                    <w:rPr>
                      <w:rFonts w:ascii="Cambria Math" w:hAnsi="Cambria Math"/>
                      <w:lang w:eastAsia="ja-JP"/>
                    </w:rPr>
                    <m:t>10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eastAsia="ja-JP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lang w:eastAsia="ja-JP"/>
                        </w:rPr>
                        <m:t>log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eastAsia="ja-JP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eastAsia="ja-JP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ja-JP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eastAsia="ja-JP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ja-JP"/>
                                    </w:rPr>
                                    <m:t>adm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ja-JP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eastAsia="ja-JP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ja-JP"/>
                                    </w:rPr>
                                    <m:t>-3dB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</m:func>
                  <m:r>
                    <w:rPr>
                      <w:rFonts w:ascii="Cambria Math" w:hAnsi="Cambria Math"/>
                      <w:lang w:eastAsia="ja-JP"/>
                    </w:rPr>
                    <m:t>dB(W/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ja-JP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ja-JP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ja-JP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eastAsia="ja-JP"/>
                    </w:rPr>
                    <m:t xml:space="preserve">/MHz),  if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ja-JP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ja-JP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ja-JP"/>
                        </w:rPr>
                        <m:t>adm</m:t>
                      </m:r>
                    </m:sub>
                  </m:sSub>
                  <m:r>
                    <w:rPr>
                      <w:rFonts w:ascii="Cambria Math" w:hAnsi="Cambria Math"/>
                      <w:lang w:eastAsia="ja-JP"/>
                    </w:rPr>
                    <m:t xml:space="preserve">&lt;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ja-JP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ja-JP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ja-JP"/>
                        </w:rPr>
                        <m:t>-3dB</m:t>
                      </m:r>
                    </m:sub>
                  </m:sSub>
                </m:e>
              </m:mr>
            </m:m>
          </m:e>
        </m:d>
      </m:oMath>
      <w:r>
        <w:rPr>
          <w:rFonts w:hint="eastAsia"/>
          <w:lang w:eastAsia="ja-JP"/>
        </w:rPr>
        <w:t xml:space="preserve">          (A-7)</w:t>
      </w:r>
    </w:p>
    <w:p w14:paraId="50FC83A4" w14:textId="77777777" w:rsidR="006B76C3" w:rsidRDefault="008C519E" w:rsidP="006B76C3">
      <w:pPr>
        <w:pStyle w:val="Reasons"/>
        <w:tabs>
          <w:tab w:val="clear" w:pos="1134"/>
          <w:tab w:val="clear" w:pos="1588"/>
          <w:tab w:val="clear" w:pos="1985"/>
          <w:tab w:val="left" w:pos="660"/>
        </w:tabs>
        <w:ind w:leftChars="1181" w:left="2834"/>
        <w:rPr>
          <w:lang w:eastAsia="ja-JP"/>
        </w:rPr>
      </w:pPr>
      <m:oMath>
        <m:sSub>
          <m:sSubPr>
            <m:ctrlPr>
              <w:rPr>
                <w:rFonts w:ascii="Cambria Math" w:hAnsi="Cambria Math"/>
                <w:i/>
                <w:lang w:eastAsia="ja-JP"/>
              </w:rPr>
            </m:ctrlPr>
          </m:sSubPr>
          <m:e>
            <m:r>
              <w:rPr>
                <w:rFonts w:ascii="Cambria Math" w:hAnsi="Cambria Math"/>
                <w:lang w:eastAsia="ja-JP"/>
              </w:rPr>
              <m:t>S</m:t>
            </m:r>
          </m:e>
          <m:sub>
            <m:r>
              <w:rPr>
                <w:rFonts w:ascii="Cambria Math" w:hAnsi="Cambria Math"/>
                <w:lang w:eastAsia="ja-JP"/>
              </w:rPr>
              <m:t>adm</m:t>
            </m:r>
          </m:sub>
        </m:sSub>
      </m:oMath>
      <w:r w:rsidR="006B76C3">
        <w:rPr>
          <w:rFonts w:hint="eastAsia"/>
          <w:lang w:eastAsia="ja-JP"/>
        </w:rPr>
        <w:t xml:space="preserve"> : area of territory of an administration</w:t>
      </w:r>
    </w:p>
    <w:p w14:paraId="025312CF" w14:textId="646CC23E" w:rsidR="006B76C3" w:rsidRDefault="008C519E" w:rsidP="006B76C3">
      <w:pPr>
        <w:pStyle w:val="Reasons"/>
        <w:ind w:leftChars="1181" w:left="3542" w:hangingChars="295" w:hanging="708"/>
        <w:rPr>
          <w:lang w:eastAsia="ja-JP"/>
        </w:rPr>
      </w:pPr>
      <m:oMath>
        <m:sSub>
          <m:sSubPr>
            <m:ctrlPr>
              <w:rPr>
                <w:rFonts w:ascii="Cambria Math" w:hAnsi="Cambria Math"/>
                <w:i/>
                <w:lang w:eastAsia="ja-JP"/>
              </w:rPr>
            </m:ctrlPr>
          </m:sSubPr>
          <m:e>
            <m:r>
              <w:rPr>
                <w:rFonts w:ascii="Cambria Math" w:hAnsi="Cambria Math"/>
                <w:lang w:eastAsia="ja-JP"/>
              </w:rPr>
              <m:t>S</m:t>
            </m:r>
          </m:e>
          <m:sub>
            <m:r>
              <w:rPr>
                <w:rFonts w:ascii="Cambria Math" w:hAnsi="Cambria Math"/>
                <w:lang w:eastAsia="ja-JP"/>
              </w:rPr>
              <m:t>-3dB</m:t>
            </m:r>
          </m:sub>
        </m:sSub>
      </m:oMath>
      <w:r w:rsidR="006B76C3">
        <w:rPr>
          <w:rFonts w:hint="eastAsia"/>
          <w:lang w:eastAsia="ja-JP"/>
        </w:rPr>
        <w:t xml:space="preserve"> : area of </w:t>
      </w:r>
      <w:r w:rsidR="00040F0C" w:rsidRPr="00A85632">
        <w:rPr>
          <w:sz w:val="18"/>
          <w:szCs w:val="18"/>
          <w:lang w:val="fr-CH"/>
        </w:rPr>
        <w:t>−</w:t>
      </w:r>
      <w:r w:rsidR="006B76C3">
        <w:rPr>
          <w:rFonts w:hint="eastAsia"/>
          <w:lang w:eastAsia="ja-JP"/>
        </w:rPr>
        <w:t xml:space="preserve">3 dB footprint of satellite whose main beam pointing is 15 degrees elevation angle </w:t>
      </w:r>
      <w:r w:rsidR="006B76C3" w:rsidRPr="00CB1033">
        <w:rPr>
          <w:lang w:eastAsia="ja-JP"/>
        </w:rPr>
        <w:t>(1,135,833 km</w:t>
      </w:r>
      <w:r w:rsidR="006B76C3" w:rsidRPr="00CB1033">
        <w:rPr>
          <w:vertAlign w:val="superscript"/>
          <w:lang w:eastAsia="ja-JP"/>
        </w:rPr>
        <w:t>2</w:t>
      </w:r>
      <w:r w:rsidR="006B76C3" w:rsidRPr="00CB1033">
        <w:rPr>
          <w:lang w:eastAsia="ja-JP"/>
        </w:rPr>
        <w:t>)</w:t>
      </w:r>
    </w:p>
    <w:p w14:paraId="480535B6" w14:textId="77777777" w:rsidR="006B76C3" w:rsidRPr="001F14F3" w:rsidRDefault="006B76C3" w:rsidP="006B76C3">
      <w:pPr>
        <w:pStyle w:val="Reasons"/>
        <w:ind w:left="1128" w:hangingChars="470" w:hanging="1128"/>
        <w:rPr>
          <w:lang w:eastAsia="ja-JP"/>
        </w:rPr>
      </w:pPr>
    </w:p>
    <w:p w14:paraId="0AEA6EE6" w14:textId="4D3200DD" w:rsidR="006B76C3" w:rsidRDefault="006B76C3" w:rsidP="009D0FD2">
      <w:pPr>
        <w:pStyle w:val="Reasons"/>
        <w:tabs>
          <w:tab w:val="clear" w:pos="1134"/>
          <w:tab w:val="left" w:pos="1276"/>
        </w:tabs>
        <w:ind w:leftChars="-1" w:left="706" w:hangingChars="294" w:hanging="708"/>
        <w:rPr>
          <w:b/>
          <w:lang w:eastAsia="ja-JP"/>
        </w:rPr>
      </w:pPr>
      <w:r>
        <w:rPr>
          <w:rFonts w:hint="eastAsia"/>
          <w:b/>
          <w:lang w:eastAsia="ja-JP"/>
        </w:rPr>
        <w:t>3.</w:t>
      </w:r>
      <w:r w:rsidR="009D0FD2">
        <w:rPr>
          <w:rFonts w:hint="eastAsia"/>
          <w:b/>
          <w:lang w:eastAsia="ja-JP"/>
        </w:rPr>
        <w:t>2</w:t>
      </w:r>
      <w:r w:rsidR="009D0FD2">
        <w:rPr>
          <w:b/>
          <w:lang w:eastAsia="ja-JP"/>
        </w:rPr>
        <w:tab/>
      </w:r>
      <w:r>
        <w:rPr>
          <w:rFonts w:hint="eastAsia"/>
          <w:b/>
          <w:lang w:eastAsia="ja-JP"/>
        </w:rPr>
        <w:t>Evaluation for derivation of epfd limit calculated from the interference results of IMT base stations in Japan</w:t>
      </w:r>
    </w:p>
    <w:p w14:paraId="5EAD279F" w14:textId="3E2F5A35" w:rsidR="006B76C3" w:rsidRDefault="006B76C3" w:rsidP="006B76C3">
      <w:pPr>
        <w:pStyle w:val="Reasons"/>
        <w:rPr>
          <w:lang w:eastAsia="ja-JP"/>
        </w:rPr>
      </w:pPr>
      <w:r>
        <w:rPr>
          <w:rFonts w:hint="eastAsia"/>
          <w:lang w:eastAsia="ja-JP"/>
        </w:rPr>
        <w:t>As an example, the epfd limit for Japan is derived from equation (A-7) as follows:</w:t>
      </w:r>
      <w:r>
        <w:rPr>
          <w:rFonts w:hint="eastAsia"/>
          <w:lang w:eastAsia="ja-JP"/>
        </w:rPr>
        <w:br/>
        <w:t xml:space="preserve">epfd limit for Japan = </w:t>
      </w:r>
      <w:r w:rsidR="009D0FD2">
        <w:rPr>
          <w:lang w:eastAsia="ja-JP"/>
        </w:rPr>
        <w:t>−</w:t>
      </w:r>
      <w:r>
        <w:rPr>
          <w:rFonts w:hint="eastAsia"/>
          <w:lang w:eastAsia="ja-JP"/>
        </w:rPr>
        <w:t>151.6</w:t>
      </w:r>
      <w:r w:rsidR="00237EF4">
        <w:rPr>
          <w:lang w:val="en-US" w:eastAsia="ja-JP"/>
        </w:rPr>
        <w:t>+</w:t>
      </w:r>
      <w:r>
        <w:rPr>
          <w:rFonts w:hint="eastAsia"/>
          <w:lang w:eastAsia="ja-JP"/>
        </w:rPr>
        <w:t>10</w:t>
      </w:r>
      <w:r w:rsidRPr="00E71029">
        <w:rPr>
          <w:i/>
          <w:lang w:eastAsia="ja-JP"/>
        </w:rPr>
        <w:t>log</w:t>
      </w:r>
      <w:r>
        <w:rPr>
          <w:rFonts w:hint="eastAsia"/>
          <w:lang w:eastAsia="ja-JP"/>
        </w:rPr>
        <w:t>(</w:t>
      </w:r>
      <w:r w:rsidR="00237EF4">
        <w:rPr>
          <w:lang w:val="en-US" w:eastAsia="ja-JP"/>
        </w:rPr>
        <w:t>378,000/</w:t>
      </w:r>
      <w:r>
        <w:rPr>
          <w:rFonts w:hint="eastAsia"/>
          <w:lang w:eastAsia="ja-JP"/>
        </w:rPr>
        <w:t xml:space="preserve">1,135,833) =  </w:t>
      </w:r>
      <w:r w:rsidR="00040F0C">
        <w:rPr>
          <w:lang w:eastAsia="ja-JP"/>
        </w:rPr>
        <w:t>−</w:t>
      </w:r>
      <w:r>
        <w:rPr>
          <w:rFonts w:hint="eastAsia"/>
          <w:lang w:eastAsia="ja-JP"/>
        </w:rPr>
        <w:t>156.4 dB(W/</w:t>
      </w:r>
      <w:r w:rsidR="009D0FD2">
        <w:rPr>
          <w:lang w:eastAsia="ja-JP"/>
        </w:rPr>
        <w:t>(</w:t>
      </w:r>
      <w:r>
        <w:rPr>
          <w:rFonts w:hint="eastAsia"/>
          <w:lang w:eastAsia="ja-JP"/>
        </w:rPr>
        <w:t>m</w:t>
      </w:r>
      <w:r w:rsidRPr="008442A6">
        <w:rPr>
          <w:rFonts w:hint="eastAsia"/>
          <w:vertAlign w:val="superscript"/>
          <w:lang w:eastAsia="ja-JP"/>
        </w:rPr>
        <w:t>2</w:t>
      </w:r>
      <w:r w:rsidR="009D0FD2">
        <w:rPr>
          <w:lang w:eastAsia="ja-JP"/>
        </w:rPr>
        <w:t>∙</w:t>
      </w:r>
      <w:r>
        <w:rPr>
          <w:rFonts w:hint="eastAsia"/>
          <w:lang w:eastAsia="ja-JP"/>
        </w:rPr>
        <w:t>MHz</w:t>
      </w:r>
      <w:r w:rsidR="009D0FD2">
        <w:rPr>
          <w:lang w:eastAsia="ja-JP"/>
        </w:rPr>
        <w:t>)</w:t>
      </w:r>
      <w:r>
        <w:rPr>
          <w:rFonts w:hint="eastAsia"/>
          <w:lang w:eastAsia="ja-JP"/>
        </w:rPr>
        <w:t>).</w:t>
      </w:r>
    </w:p>
    <w:p w14:paraId="33D5F633" w14:textId="77777777" w:rsidR="006B76C3" w:rsidRPr="00C558D7" w:rsidRDefault="006B76C3" w:rsidP="006B76C3">
      <w:pPr>
        <w:pStyle w:val="Reasons"/>
        <w:rPr>
          <w:lang w:eastAsia="ja-JP"/>
        </w:rPr>
      </w:pPr>
      <w:r>
        <w:rPr>
          <w:rFonts w:hint="eastAsia"/>
          <w:lang w:eastAsia="ja-JP"/>
        </w:rPr>
        <w:t xml:space="preserve">It corresponds to the epfd value that is calculated from the interference </w:t>
      </w:r>
      <w:r>
        <w:rPr>
          <w:lang w:eastAsia="ja-JP"/>
        </w:rPr>
        <w:t>results</w:t>
      </w:r>
      <w:r>
        <w:rPr>
          <w:rFonts w:hint="eastAsia"/>
          <w:lang w:eastAsia="ja-JP"/>
        </w:rPr>
        <w:t xml:space="preserve"> of IMT base stations in Japan with adding the margin of sharing study result in TG 5/1 as in Table A-4</w:t>
      </w:r>
      <w:r w:rsidRPr="00C558D7">
        <w:rPr>
          <w:rFonts w:hint="eastAsia"/>
          <w:lang w:eastAsia="ja-JP"/>
        </w:rPr>
        <w:t>.</w:t>
      </w:r>
    </w:p>
    <w:p w14:paraId="3252CA89" w14:textId="77777777" w:rsidR="006B76C3" w:rsidRDefault="006B76C3" w:rsidP="006B76C3">
      <w:pPr>
        <w:pStyle w:val="FigureNo"/>
        <w:spacing w:before="360"/>
        <w:rPr>
          <w:lang w:eastAsia="ja-JP"/>
        </w:rPr>
      </w:pPr>
      <w:r>
        <w:rPr>
          <w:rFonts w:hint="eastAsia"/>
          <w:lang w:eastAsia="ja-JP"/>
        </w:rPr>
        <w:t>Table</w:t>
      </w:r>
      <w:r>
        <w:rPr>
          <w:lang w:eastAsia="zh-CN"/>
        </w:rPr>
        <w:t xml:space="preserve"> </w:t>
      </w:r>
      <w:r>
        <w:rPr>
          <w:rFonts w:hint="eastAsia"/>
          <w:lang w:eastAsia="ja-JP"/>
        </w:rPr>
        <w:t>A</w:t>
      </w:r>
      <w:r>
        <w:rPr>
          <w:lang w:eastAsia="zh-CN"/>
        </w:rPr>
        <w:t>-</w:t>
      </w:r>
      <w:r>
        <w:rPr>
          <w:rFonts w:hint="eastAsia"/>
          <w:lang w:eastAsia="ja-JP"/>
        </w:rPr>
        <w:t>4</w:t>
      </w:r>
    </w:p>
    <w:p w14:paraId="2D30B29A" w14:textId="77777777" w:rsidR="006B76C3" w:rsidRPr="00725DC0" w:rsidRDefault="006B76C3" w:rsidP="006B76C3">
      <w:pPr>
        <w:pStyle w:val="Figuretitle"/>
        <w:rPr>
          <w:lang w:eastAsia="ja-JP"/>
        </w:rPr>
      </w:pPr>
      <w:r>
        <w:rPr>
          <w:rFonts w:hint="eastAsia"/>
          <w:lang w:eastAsia="ja-JP"/>
        </w:rPr>
        <w:t>Derivation of epfd</w:t>
      </w:r>
      <w:r>
        <w:t xml:space="preserve"> </w:t>
      </w:r>
      <w:r>
        <w:rPr>
          <w:rFonts w:hint="eastAsia"/>
          <w:lang w:eastAsia="ja-JP"/>
        </w:rPr>
        <w:t xml:space="preserve">limit calculated from the interference results of </w:t>
      </w:r>
      <w:r>
        <w:t xml:space="preserve">IMT </w:t>
      </w:r>
      <w:r>
        <w:rPr>
          <w:rFonts w:hint="eastAsia"/>
          <w:lang w:eastAsia="ja-JP"/>
        </w:rPr>
        <w:t>base stations in the territory of Japan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2940"/>
        <w:gridCol w:w="725"/>
        <w:gridCol w:w="1138"/>
        <w:gridCol w:w="1913"/>
        <w:gridCol w:w="2131"/>
      </w:tblGrid>
      <w:tr w:rsidR="006B76C3" w14:paraId="566707A8" w14:textId="77777777" w:rsidTr="0017120C">
        <w:tc>
          <w:tcPr>
            <w:tcW w:w="462" w:type="dxa"/>
          </w:tcPr>
          <w:p w14:paraId="404086B3" w14:textId="77777777" w:rsidR="006B76C3" w:rsidRPr="00585BBB" w:rsidRDefault="006B76C3" w:rsidP="0017120C">
            <w:pPr>
              <w:pStyle w:val="Reasons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02" w:type="dxa"/>
          </w:tcPr>
          <w:p w14:paraId="067C692E" w14:textId="77777777" w:rsidR="006B76C3" w:rsidRPr="00585BBB" w:rsidRDefault="006B76C3" w:rsidP="0017120C">
            <w:pPr>
              <w:pStyle w:val="Reasons"/>
              <w:rPr>
                <w:sz w:val="21"/>
                <w:szCs w:val="21"/>
                <w:lang w:eastAsia="ja-JP"/>
              </w:rPr>
            </w:pPr>
          </w:p>
        </w:tc>
        <w:tc>
          <w:tcPr>
            <w:tcW w:w="758" w:type="dxa"/>
          </w:tcPr>
          <w:p w14:paraId="6DDBCF9E" w14:textId="77777777" w:rsidR="006B76C3" w:rsidRPr="00585BBB" w:rsidRDefault="006B76C3" w:rsidP="0017120C">
            <w:pPr>
              <w:pStyle w:val="NormalWeb"/>
              <w:spacing w:before="0" w:beforeAutospacing="0" w:after="0" w:afterAutospacing="0" w:line="306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1029">
              <w:rPr>
                <w:rFonts w:ascii="Times New Roman" w:eastAsia="Meiryo" w:hAnsi="Times New Roman" w:cs="Times New Roman"/>
                <w:b/>
                <w:bCs/>
                <w:i/>
                <w:color w:val="000000" w:themeColor="text1"/>
                <w:kern w:val="24"/>
                <w:sz w:val="21"/>
                <w:szCs w:val="21"/>
              </w:rPr>
              <w:t>I/N</w:t>
            </w:r>
            <w:r w:rsidRPr="00585BBB">
              <w:rPr>
                <w:rFonts w:ascii="Times New Roman" w:eastAsia="Meiryo" w:hAnsi="Times New Roman" w:cs="Times New Roman"/>
                <w:b/>
                <w:bCs/>
                <w:color w:val="000000" w:themeColor="text1"/>
                <w:kern w:val="24"/>
                <w:sz w:val="21"/>
                <w:szCs w:val="21"/>
              </w:rPr>
              <w:t xml:space="preserve"> (dB)</w:t>
            </w:r>
          </w:p>
        </w:tc>
        <w:tc>
          <w:tcPr>
            <w:tcW w:w="1138" w:type="dxa"/>
          </w:tcPr>
          <w:p w14:paraId="24B8CC4C" w14:textId="77777777" w:rsidR="006B76C3" w:rsidRPr="00585BBB" w:rsidRDefault="006B76C3" w:rsidP="0017120C">
            <w:pPr>
              <w:pStyle w:val="NormalWeb"/>
              <w:spacing w:before="0" w:beforeAutospacing="0" w:after="0" w:afterAutospacing="0" w:line="306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1029">
              <w:rPr>
                <w:rFonts w:ascii="Times New Roman" w:eastAsia="Meiryo" w:hAnsi="Times New Roman" w:cs="Times New Roman"/>
                <w:b/>
                <w:bCs/>
                <w:i/>
                <w:color w:val="000000" w:themeColor="text1"/>
                <w:kern w:val="24"/>
                <w:sz w:val="21"/>
                <w:szCs w:val="21"/>
              </w:rPr>
              <w:t>I</w:t>
            </w:r>
            <w:r w:rsidRPr="00E71029">
              <w:rPr>
                <w:rFonts w:ascii="Times New Roman" w:eastAsia="Meiryo" w:hAnsi="Times New Roman" w:cs="Times New Roman"/>
                <w:b/>
                <w:bCs/>
                <w:i/>
                <w:color w:val="000000" w:themeColor="text1"/>
                <w:kern w:val="24"/>
                <w:position w:val="-5"/>
                <w:sz w:val="21"/>
                <w:szCs w:val="21"/>
                <w:vertAlign w:val="subscript"/>
              </w:rPr>
              <w:t>agg</w:t>
            </w:r>
            <w:r w:rsidRPr="00585BBB">
              <w:rPr>
                <w:rFonts w:ascii="Times New Roman" w:eastAsia="Meiryo" w:hAnsi="Times New Roman" w:cs="Times New Roman"/>
                <w:b/>
                <w:bCs/>
                <w:color w:val="000000" w:themeColor="text1"/>
                <w:kern w:val="24"/>
                <w:sz w:val="21"/>
                <w:szCs w:val="21"/>
              </w:rPr>
              <w:t xml:space="preserve"> (dBW/Hz)</w:t>
            </w:r>
          </w:p>
        </w:tc>
        <w:tc>
          <w:tcPr>
            <w:tcW w:w="1779" w:type="dxa"/>
          </w:tcPr>
          <w:p w14:paraId="608248AA" w14:textId="0921175E" w:rsidR="006B76C3" w:rsidRPr="00585BBB" w:rsidRDefault="006B76C3" w:rsidP="0017120C">
            <w:pPr>
              <w:pStyle w:val="NormalWeb"/>
              <w:spacing w:before="0" w:beforeAutospacing="0" w:after="0" w:afterAutospacing="0" w:line="306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5BBB">
              <w:rPr>
                <w:rFonts w:ascii="Times New Roman" w:eastAsia="Meiryo" w:hAnsi="Times New Roman" w:cs="Times New Roman"/>
                <w:b/>
                <w:bCs/>
                <w:color w:val="000000" w:themeColor="text1"/>
                <w:kern w:val="24"/>
                <w:sz w:val="21"/>
                <w:szCs w:val="21"/>
              </w:rPr>
              <w:t>epfd (dB(W/</w:t>
            </w:r>
            <w:r w:rsidR="00A5285A">
              <w:rPr>
                <w:rFonts w:ascii="Times New Roman" w:eastAsia="Meiryo" w:hAnsi="Times New Roman" w:cs="Times New Roman"/>
                <w:b/>
                <w:bCs/>
                <w:color w:val="000000" w:themeColor="text1"/>
                <w:kern w:val="24"/>
                <w:sz w:val="21"/>
                <w:szCs w:val="21"/>
              </w:rPr>
              <w:t>(</w:t>
            </w:r>
            <w:r w:rsidRPr="00585BBB">
              <w:rPr>
                <w:rFonts w:ascii="Times New Roman" w:eastAsia="Meiryo" w:hAnsi="Times New Roman" w:cs="Times New Roman"/>
                <w:b/>
                <w:bCs/>
                <w:color w:val="000000" w:themeColor="text1"/>
                <w:kern w:val="24"/>
                <w:sz w:val="21"/>
                <w:szCs w:val="21"/>
              </w:rPr>
              <w:t>m</w:t>
            </w:r>
            <w:r w:rsidRPr="00585BBB">
              <w:rPr>
                <w:rFonts w:ascii="Times New Roman" w:eastAsia="Meiryo" w:hAnsi="Times New Roman" w:cs="Times New Roman"/>
                <w:b/>
                <w:bCs/>
                <w:color w:val="000000" w:themeColor="text1"/>
                <w:kern w:val="24"/>
                <w:position w:val="6"/>
                <w:sz w:val="21"/>
                <w:szCs w:val="21"/>
                <w:vertAlign w:val="superscript"/>
              </w:rPr>
              <w:t>2</w:t>
            </w:r>
            <w:r w:rsidR="00A5285A">
              <w:rPr>
                <w:rFonts w:ascii="Times New Roman" w:eastAsia="Meiryo" w:hAnsi="Times New Roman" w:cs="Times New Roman"/>
                <w:b/>
                <w:bCs/>
                <w:color w:val="000000" w:themeColor="text1"/>
                <w:kern w:val="24"/>
                <w:sz w:val="21"/>
                <w:szCs w:val="21"/>
              </w:rPr>
              <w:t>∙M</w:t>
            </w:r>
            <w:r w:rsidRPr="00585BBB">
              <w:rPr>
                <w:rFonts w:ascii="Times New Roman" w:eastAsia="Meiryo" w:hAnsi="Times New Roman" w:cs="Times New Roman"/>
                <w:b/>
                <w:bCs/>
                <w:color w:val="000000" w:themeColor="text1"/>
                <w:kern w:val="24"/>
                <w:sz w:val="21"/>
                <w:szCs w:val="21"/>
              </w:rPr>
              <w:t>Hz))</w:t>
            </w:r>
            <w:r w:rsidR="00A5285A">
              <w:rPr>
                <w:rFonts w:ascii="Times New Roman" w:eastAsia="Meiryo" w:hAnsi="Times New Roman" w:cs="Times New Roman"/>
                <w:b/>
                <w:bCs/>
                <w:color w:val="000000" w:themeColor="text1"/>
                <w:kern w:val="24"/>
                <w:sz w:val="21"/>
                <w:szCs w:val="21"/>
              </w:rPr>
              <w:t>)</w:t>
            </w:r>
            <w:r w:rsidRPr="00585BBB">
              <w:rPr>
                <w:rFonts w:ascii="Times New Roman" w:eastAsia="Meiryo" w:hAnsi="Times New Roman" w:cs="Times New Roman"/>
                <w:b/>
                <w:bCs/>
                <w:color w:val="000000" w:themeColor="text1"/>
                <w:kern w:val="24"/>
                <w:sz w:val="21"/>
                <w:szCs w:val="21"/>
              </w:rPr>
              <w:t xml:space="preserve"> </w:t>
            </w:r>
          </w:p>
        </w:tc>
        <w:tc>
          <w:tcPr>
            <w:tcW w:w="2416" w:type="dxa"/>
            <w:vAlign w:val="center"/>
          </w:tcPr>
          <w:p w14:paraId="012A7F6C" w14:textId="77777777" w:rsidR="006B76C3" w:rsidRPr="00585BBB" w:rsidRDefault="006B76C3" w:rsidP="0017120C">
            <w:pPr>
              <w:pStyle w:val="Reasons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Derivation of values</w:t>
            </w:r>
          </w:p>
        </w:tc>
      </w:tr>
      <w:tr w:rsidR="006B76C3" w14:paraId="20DC5C06" w14:textId="77777777" w:rsidTr="0017120C">
        <w:tc>
          <w:tcPr>
            <w:tcW w:w="462" w:type="dxa"/>
          </w:tcPr>
          <w:p w14:paraId="499DA56D" w14:textId="77777777" w:rsidR="006B76C3" w:rsidRPr="00663008" w:rsidRDefault="006B76C3" w:rsidP="0017120C">
            <w:pPr>
              <w:pStyle w:val="Reasons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(1)</w:t>
            </w:r>
          </w:p>
        </w:tc>
        <w:tc>
          <w:tcPr>
            <w:tcW w:w="3302" w:type="dxa"/>
          </w:tcPr>
          <w:p w14:paraId="3FE03365" w14:textId="77777777" w:rsidR="006B76C3" w:rsidRDefault="006B76C3" w:rsidP="0017120C">
            <w:pPr>
              <w:pStyle w:val="Reasons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Scaled </w:t>
            </w:r>
            <w:r w:rsidRPr="00E71029">
              <w:rPr>
                <w:i/>
                <w:sz w:val="21"/>
                <w:lang w:eastAsia="ja-JP"/>
              </w:rPr>
              <w:t>I/N</w:t>
            </w:r>
            <w:r>
              <w:rPr>
                <w:rFonts w:hint="eastAsia"/>
                <w:sz w:val="21"/>
                <w:lang w:eastAsia="ja-JP"/>
              </w:rPr>
              <w:t xml:space="preserve">, </w:t>
            </w:r>
            <w:r w:rsidRPr="00E71029">
              <w:rPr>
                <w:i/>
                <w:sz w:val="21"/>
                <w:lang w:eastAsia="ja-JP"/>
              </w:rPr>
              <w:t>I</w:t>
            </w:r>
            <w:r w:rsidRPr="00E71029">
              <w:rPr>
                <w:i/>
                <w:sz w:val="21"/>
                <w:vertAlign w:val="subscript"/>
                <w:lang w:eastAsia="ja-JP"/>
              </w:rPr>
              <w:t>agg</w:t>
            </w:r>
            <w:r>
              <w:rPr>
                <w:rFonts w:hint="eastAsia"/>
                <w:sz w:val="21"/>
                <w:lang w:eastAsia="ja-JP"/>
              </w:rPr>
              <w:t xml:space="preserve"> and epfd to the </w:t>
            </w:r>
            <w:r>
              <w:rPr>
                <w:sz w:val="21"/>
                <w:lang w:eastAsia="ja-JP"/>
              </w:rPr>
              <w:t>territory</w:t>
            </w:r>
            <w:r>
              <w:rPr>
                <w:rFonts w:hint="eastAsia"/>
                <w:sz w:val="21"/>
                <w:lang w:eastAsia="ja-JP"/>
              </w:rPr>
              <w:t xml:space="preserve"> of Japan (378,000 km</w:t>
            </w:r>
            <w:r w:rsidRPr="00910964">
              <w:rPr>
                <w:rFonts w:hint="eastAsia"/>
                <w:sz w:val="21"/>
                <w:vertAlign w:val="superscript"/>
                <w:lang w:eastAsia="ja-JP"/>
              </w:rPr>
              <w:t>2</w:t>
            </w:r>
            <w:r>
              <w:rPr>
                <w:rFonts w:hint="eastAsia"/>
                <w:sz w:val="21"/>
                <w:lang w:eastAsia="ja-JP"/>
              </w:rPr>
              <w:t>)</w:t>
            </w:r>
          </w:p>
        </w:tc>
        <w:tc>
          <w:tcPr>
            <w:tcW w:w="758" w:type="dxa"/>
            <w:vAlign w:val="center"/>
          </w:tcPr>
          <w:p w14:paraId="172079A5" w14:textId="77777777" w:rsidR="006B76C3" w:rsidRPr="00585BBB" w:rsidRDefault="006B76C3" w:rsidP="0017120C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  <w:r w:rsidRPr="00585BBB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1"/>
                <w:szCs w:val="21"/>
              </w:rPr>
              <w:t>-</w:t>
            </w:r>
            <w:r>
              <w:rPr>
                <w:rFonts w:ascii="Times New Roman" w:eastAsia="MS Mincho" w:hAnsi="Times New Roman" w:cs="Times New Roman" w:hint="eastAsia"/>
                <w:color w:val="000000" w:themeColor="dark1"/>
                <w:kern w:val="24"/>
                <w:sz w:val="21"/>
                <w:szCs w:val="21"/>
              </w:rPr>
              <w:t>33.7</w:t>
            </w:r>
            <w:r w:rsidRPr="00585BBB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1"/>
                <w:szCs w:val="21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53E75B26" w14:textId="77777777" w:rsidR="006B76C3" w:rsidRPr="00585BBB" w:rsidRDefault="006B76C3" w:rsidP="0017120C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  <w:r w:rsidRPr="00585BBB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1"/>
                <w:szCs w:val="21"/>
              </w:rPr>
              <w:t>-23</w:t>
            </w:r>
            <w:r>
              <w:rPr>
                <w:rFonts w:ascii="Times New Roman" w:eastAsia="MS Mincho" w:hAnsi="Times New Roman" w:cs="Times New Roman" w:hint="eastAsia"/>
                <w:color w:val="000000" w:themeColor="dark1"/>
                <w:kern w:val="24"/>
                <w:sz w:val="21"/>
                <w:szCs w:val="21"/>
              </w:rPr>
              <w:t>6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1"/>
                <w:szCs w:val="21"/>
              </w:rPr>
              <w:t>.</w:t>
            </w:r>
            <w:r>
              <w:rPr>
                <w:rFonts w:ascii="Times New Roman" w:eastAsia="MS Mincho" w:hAnsi="Times New Roman" w:cs="Times New Roman" w:hint="eastAsia"/>
                <w:color w:val="000000" w:themeColor="dark1"/>
                <w:kern w:val="24"/>
                <w:sz w:val="21"/>
                <w:szCs w:val="21"/>
              </w:rPr>
              <w:t>3</w:t>
            </w:r>
            <w:r w:rsidRPr="00585BBB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1"/>
                <w:szCs w:val="21"/>
              </w:rPr>
              <w:t xml:space="preserve"> </w:t>
            </w:r>
          </w:p>
        </w:tc>
        <w:tc>
          <w:tcPr>
            <w:tcW w:w="1779" w:type="dxa"/>
            <w:vAlign w:val="center"/>
          </w:tcPr>
          <w:p w14:paraId="6DA0A116" w14:textId="77777777" w:rsidR="006B76C3" w:rsidRPr="00585BBB" w:rsidRDefault="006B76C3" w:rsidP="0017120C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  <w:r w:rsidRPr="00585BBB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1"/>
                <w:szCs w:val="21"/>
              </w:rPr>
              <w:t>-1</w:t>
            </w:r>
            <w:r>
              <w:rPr>
                <w:rFonts w:ascii="Times New Roman" w:eastAsia="MS Mincho" w:hAnsi="Times New Roman" w:cs="Times New Roman" w:hint="eastAsia"/>
                <w:color w:val="000000" w:themeColor="dark1"/>
                <w:kern w:val="24"/>
                <w:sz w:val="21"/>
                <w:szCs w:val="21"/>
              </w:rPr>
              <w:t>72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1"/>
                <w:szCs w:val="21"/>
              </w:rPr>
              <w:t>.</w:t>
            </w:r>
            <w:r>
              <w:rPr>
                <w:rFonts w:ascii="Times New Roman" w:eastAsia="MS Mincho" w:hAnsi="Times New Roman" w:cs="Times New Roman" w:hint="eastAsia"/>
                <w:color w:val="000000" w:themeColor="dark1"/>
                <w:kern w:val="24"/>
                <w:sz w:val="21"/>
                <w:szCs w:val="21"/>
              </w:rPr>
              <w:t>8</w:t>
            </w:r>
            <w:r w:rsidRPr="00585BBB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1"/>
                <w:szCs w:val="21"/>
              </w:rPr>
              <w:t xml:space="preserve"> </w:t>
            </w:r>
          </w:p>
        </w:tc>
        <w:tc>
          <w:tcPr>
            <w:tcW w:w="2416" w:type="dxa"/>
            <w:vAlign w:val="center"/>
          </w:tcPr>
          <w:p w14:paraId="4650B27E" w14:textId="77777777" w:rsidR="006B76C3" w:rsidRPr="00EB3F1C" w:rsidRDefault="006B76C3" w:rsidP="0017120C">
            <w:pPr>
              <w:pStyle w:val="Reasons"/>
              <w:ind w:firstLineChars="50" w:firstLine="105"/>
              <w:jc w:val="both"/>
              <w:rPr>
                <w:sz w:val="21"/>
                <w:szCs w:val="21"/>
                <w:highlight w:val="yellow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t>S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ee </w:t>
            </w:r>
            <w:r w:rsidRPr="00FB6AF2">
              <w:rPr>
                <w:rFonts w:hint="eastAsia"/>
                <w:sz w:val="21"/>
                <w:szCs w:val="21"/>
                <w:lang w:eastAsia="ja-JP"/>
              </w:rPr>
              <w:t>Table A-2</w:t>
            </w:r>
          </w:p>
        </w:tc>
      </w:tr>
      <w:tr w:rsidR="006B76C3" w14:paraId="36853E0B" w14:textId="77777777" w:rsidTr="0017120C">
        <w:tc>
          <w:tcPr>
            <w:tcW w:w="462" w:type="dxa"/>
          </w:tcPr>
          <w:p w14:paraId="40C31A43" w14:textId="77777777" w:rsidR="006B76C3" w:rsidRPr="00663008" w:rsidRDefault="006B76C3" w:rsidP="0017120C">
            <w:pPr>
              <w:pStyle w:val="Reasons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(2)</w:t>
            </w:r>
          </w:p>
        </w:tc>
        <w:tc>
          <w:tcPr>
            <w:tcW w:w="3302" w:type="dxa"/>
          </w:tcPr>
          <w:p w14:paraId="17D34C24" w14:textId="77777777" w:rsidR="006B76C3" w:rsidRDefault="006B76C3" w:rsidP="0017120C">
            <w:pPr>
              <w:pStyle w:val="Reasons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Addition of  margin</w:t>
            </w:r>
          </w:p>
          <w:p w14:paraId="201CC5B7" w14:textId="77777777" w:rsidR="006B76C3" w:rsidRDefault="006B76C3" w:rsidP="006B76C3">
            <w:pPr>
              <w:pStyle w:val="Reasons"/>
              <w:numPr>
                <w:ilvl w:val="0"/>
                <w:numId w:val="14"/>
              </w:num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16.4 dB interference margin resulted from Study C in </w:t>
            </w:r>
            <w:r w:rsidRPr="00FC4BF8">
              <w:rPr>
                <w:rFonts w:hint="eastAsia"/>
                <w:sz w:val="21"/>
                <w:lang w:eastAsia="ja-JP"/>
              </w:rPr>
              <w:t xml:space="preserve">Attachment 3 to Annex 3 to Document 5-1/478, </w:t>
            </w:r>
            <w:r>
              <w:rPr>
                <w:rFonts w:hint="eastAsia"/>
                <w:sz w:val="21"/>
                <w:szCs w:val="21"/>
                <w:lang w:eastAsia="ja-JP"/>
              </w:rPr>
              <w:t>TG5/1 sharing study</w:t>
            </w:r>
          </w:p>
        </w:tc>
        <w:tc>
          <w:tcPr>
            <w:tcW w:w="758" w:type="dxa"/>
            <w:vAlign w:val="center"/>
          </w:tcPr>
          <w:p w14:paraId="0AD9BFA5" w14:textId="77777777" w:rsidR="006B76C3" w:rsidRPr="00585BBB" w:rsidRDefault="006B76C3" w:rsidP="0017120C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585BBB">
              <w:rPr>
                <w:rFonts w:ascii="Times New Roman" w:eastAsia="Meiryo" w:hAnsi="Times New Roman" w:cs="Times New Roman"/>
                <w:color w:val="000000" w:themeColor="dark1"/>
                <w:kern w:val="24"/>
                <w:sz w:val="21"/>
                <w:szCs w:val="21"/>
              </w:rPr>
              <w:t>-1</w:t>
            </w:r>
            <w:r>
              <w:rPr>
                <w:rFonts w:ascii="Times New Roman" w:eastAsia="Meiryo" w:hAnsi="Times New Roman" w:cs="Times New Roman" w:hint="eastAsia"/>
                <w:color w:val="000000" w:themeColor="dark1"/>
                <w:kern w:val="24"/>
                <w:sz w:val="21"/>
                <w:szCs w:val="21"/>
              </w:rPr>
              <w:t>7</w:t>
            </w:r>
            <w:r>
              <w:rPr>
                <w:rFonts w:ascii="Times New Roman" w:eastAsia="Meiryo" w:hAnsi="Times New Roman" w:cs="Times New Roman"/>
                <w:color w:val="000000" w:themeColor="dark1"/>
                <w:kern w:val="24"/>
                <w:sz w:val="21"/>
                <w:szCs w:val="21"/>
              </w:rPr>
              <w:t>.</w:t>
            </w:r>
            <w:r>
              <w:rPr>
                <w:rFonts w:ascii="Times New Roman" w:eastAsia="Meiryo" w:hAnsi="Times New Roman" w:cs="Times New Roman" w:hint="eastAsia"/>
                <w:color w:val="000000" w:themeColor="dark1"/>
                <w:kern w:val="24"/>
                <w:sz w:val="21"/>
                <w:szCs w:val="21"/>
              </w:rPr>
              <w:t>3</w:t>
            </w:r>
          </w:p>
        </w:tc>
        <w:tc>
          <w:tcPr>
            <w:tcW w:w="1138" w:type="dxa"/>
            <w:vAlign w:val="center"/>
          </w:tcPr>
          <w:p w14:paraId="5E99DF54" w14:textId="77777777" w:rsidR="006B76C3" w:rsidRPr="00585BBB" w:rsidRDefault="006B76C3" w:rsidP="0017120C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Meiryo" w:hAnsi="Times New Roman" w:cs="Times New Roman"/>
                <w:color w:val="000000" w:themeColor="dark1"/>
                <w:kern w:val="24"/>
                <w:sz w:val="21"/>
                <w:szCs w:val="21"/>
              </w:rPr>
              <w:t>-21</w:t>
            </w:r>
            <w:r>
              <w:rPr>
                <w:rFonts w:ascii="Times New Roman" w:eastAsia="Meiryo" w:hAnsi="Times New Roman" w:cs="Times New Roman" w:hint="eastAsia"/>
                <w:color w:val="000000" w:themeColor="dark1"/>
                <w:kern w:val="24"/>
                <w:sz w:val="21"/>
                <w:szCs w:val="21"/>
              </w:rPr>
              <w:t>9</w:t>
            </w:r>
            <w:r>
              <w:rPr>
                <w:rFonts w:ascii="Times New Roman" w:eastAsia="Meiryo" w:hAnsi="Times New Roman" w:cs="Times New Roman"/>
                <w:color w:val="000000" w:themeColor="dark1"/>
                <w:kern w:val="24"/>
                <w:sz w:val="21"/>
                <w:szCs w:val="21"/>
              </w:rPr>
              <w:t>.</w:t>
            </w:r>
            <w:r>
              <w:rPr>
                <w:rFonts w:ascii="Times New Roman" w:eastAsia="Meiryo" w:hAnsi="Times New Roman" w:cs="Times New Roman" w:hint="eastAsia"/>
                <w:color w:val="000000" w:themeColor="dark1"/>
                <w:kern w:val="24"/>
                <w:sz w:val="21"/>
                <w:szCs w:val="21"/>
              </w:rPr>
              <w:t>9</w:t>
            </w:r>
          </w:p>
        </w:tc>
        <w:tc>
          <w:tcPr>
            <w:tcW w:w="1779" w:type="dxa"/>
            <w:vAlign w:val="center"/>
          </w:tcPr>
          <w:p w14:paraId="501970CE" w14:textId="77777777" w:rsidR="006B76C3" w:rsidRPr="00585BBB" w:rsidRDefault="006B76C3" w:rsidP="0017120C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Meiryo" w:hAnsi="Times New Roman" w:cs="Times New Roman"/>
                <w:b/>
                <w:bCs/>
                <w:color w:val="000000" w:themeColor="dark1"/>
                <w:kern w:val="24"/>
                <w:sz w:val="21"/>
                <w:szCs w:val="21"/>
              </w:rPr>
              <w:t>-15</w:t>
            </w:r>
            <w:r>
              <w:rPr>
                <w:rFonts w:ascii="Times New Roman" w:eastAsia="Meiryo" w:hAnsi="Times New Roman" w:cs="Times New Roman" w:hint="eastAsia"/>
                <w:b/>
                <w:bCs/>
                <w:color w:val="000000" w:themeColor="dark1"/>
                <w:kern w:val="24"/>
                <w:sz w:val="21"/>
                <w:szCs w:val="21"/>
              </w:rPr>
              <w:t>6</w:t>
            </w:r>
            <w:r>
              <w:rPr>
                <w:rFonts w:ascii="Times New Roman" w:eastAsia="Meiryo" w:hAnsi="Times New Roman" w:cs="Times New Roman"/>
                <w:b/>
                <w:bCs/>
                <w:color w:val="000000" w:themeColor="dark1"/>
                <w:kern w:val="24"/>
                <w:sz w:val="21"/>
                <w:szCs w:val="21"/>
              </w:rPr>
              <w:t>.</w:t>
            </w:r>
            <w:r>
              <w:rPr>
                <w:rFonts w:ascii="Times New Roman" w:eastAsia="Meiryo" w:hAnsi="Times New Roman" w:cs="Times New Roman" w:hint="eastAsia"/>
                <w:b/>
                <w:bCs/>
                <w:color w:val="000000" w:themeColor="dark1"/>
                <w:kern w:val="24"/>
                <w:sz w:val="21"/>
                <w:szCs w:val="21"/>
              </w:rPr>
              <w:t>4</w:t>
            </w:r>
          </w:p>
        </w:tc>
        <w:tc>
          <w:tcPr>
            <w:tcW w:w="2416" w:type="dxa"/>
            <w:vAlign w:val="center"/>
          </w:tcPr>
          <w:p w14:paraId="7B098020" w14:textId="77777777" w:rsidR="006B76C3" w:rsidRPr="00EB3F1C" w:rsidRDefault="006B76C3" w:rsidP="0017120C">
            <w:pPr>
              <w:pStyle w:val="Reasons"/>
              <w:jc w:val="both"/>
              <w:rPr>
                <w:sz w:val="21"/>
                <w:szCs w:val="21"/>
                <w:highlight w:val="yellow"/>
                <w:lang w:eastAsia="ja-JP"/>
              </w:rPr>
            </w:pPr>
            <w:r w:rsidRPr="00537560">
              <w:rPr>
                <w:rFonts w:hint="eastAsia"/>
                <w:sz w:val="21"/>
                <w:szCs w:val="21"/>
                <w:lang w:eastAsia="ja-JP"/>
              </w:rPr>
              <w:t>(</w:t>
            </w: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Pr="00537560">
              <w:rPr>
                <w:rFonts w:hint="eastAsia"/>
                <w:sz w:val="21"/>
                <w:szCs w:val="21"/>
                <w:lang w:eastAsia="ja-JP"/>
              </w:rPr>
              <w:t>)+16.4</w:t>
            </w:r>
            <w:r>
              <w:rPr>
                <w:rFonts w:hint="eastAsia"/>
                <w:sz w:val="21"/>
                <w:szCs w:val="21"/>
                <w:lang w:eastAsia="ja-JP"/>
              </w:rPr>
              <w:t>dB</w:t>
            </w:r>
          </w:p>
        </w:tc>
      </w:tr>
    </w:tbl>
    <w:p w14:paraId="30A9ED8F" w14:textId="77777777" w:rsidR="006B76C3" w:rsidRDefault="006B76C3" w:rsidP="006B76C3">
      <w:pPr>
        <w:pStyle w:val="Reasons"/>
        <w:rPr>
          <w:lang w:eastAsia="ja-JP"/>
        </w:rPr>
      </w:pPr>
    </w:p>
    <w:p w14:paraId="020B5E52" w14:textId="77777777" w:rsidR="006B76C3" w:rsidRPr="00DA6138" w:rsidRDefault="006B76C3" w:rsidP="006B76C3">
      <w:pPr>
        <w:pStyle w:val="Heading4"/>
        <w:ind w:leftChars="0" w:left="0"/>
        <w:rPr>
          <w:lang w:eastAsia="ja-JP"/>
        </w:rPr>
      </w:pPr>
      <w:r>
        <w:rPr>
          <w:rFonts w:hint="eastAsia"/>
          <w:lang w:eastAsia="ja-JP"/>
        </w:rPr>
        <w:lastRenderedPageBreak/>
        <w:t>4</w:t>
      </w:r>
      <w:r>
        <w:rPr>
          <w:lang w:eastAsia="ja-JP"/>
        </w:rPr>
        <w:t>.</w:t>
      </w:r>
      <w:r w:rsidRPr="00464DCF">
        <w:rPr>
          <w:lang w:eastAsia="ja-JP"/>
        </w:rPr>
        <w:tab/>
      </w:r>
      <w:r>
        <w:rPr>
          <w:rFonts w:hint="eastAsia"/>
          <w:lang w:eastAsia="ja-JP"/>
        </w:rPr>
        <w:t>Conclusion</w:t>
      </w:r>
      <w:r w:rsidRPr="00464DCF">
        <w:rPr>
          <w:caps/>
          <w:sz w:val="18"/>
          <w:lang w:eastAsia="zh-CN"/>
        </w:rPr>
        <w:fldChar w:fldCharType="begin"/>
      </w:r>
      <w:r w:rsidRPr="00464DCF">
        <w:rPr>
          <w:caps/>
          <w:sz w:val="18"/>
          <w:lang w:eastAsia="zh-CN"/>
        </w:rPr>
        <w:fldChar w:fldCharType="end"/>
      </w:r>
      <w:r w:rsidRPr="00464DCF">
        <w:fldChar w:fldCharType="begin"/>
      </w:r>
      <w:r w:rsidRPr="00464DCF">
        <w:fldChar w:fldCharType="end"/>
      </w:r>
    </w:p>
    <w:p w14:paraId="092E1B53" w14:textId="4C3FC333" w:rsidR="006B76C3" w:rsidRDefault="006B76C3" w:rsidP="006B76C3">
      <w:pPr>
        <w:pStyle w:val="Reasons"/>
        <w:rPr>
          <w:lang w:eastAsia="ja-JP"/>
        </w:rPr>
      </w:pPr>
      <w:r>
        <w:rPr>
          <w:rFonts w:hint="eastAsia"/>
          <w:lang w:eastAsia="ja-JP"/>
        </w:rPr>
        <w:t xml:space="preserve">The value of </w:t>
      </w:r>
      <w:r w:rsidR="00A5285A">
        <w:rPr>
          <w:lang w:eastAsia="ja-JP"/>
        </w:rPr>
        <w:t>−</w:t>
      </w:r>
      <w:r>
        <w:rPr>
          <w:rFonts w:hint="eastAsia"/>
          <w:lang w:eastAsia="ja-JP"/>
        </w:rPr>
        <w:t>151.6 dB(W/</w:t>
      </w:r>
      <w:r w:rsidR="009D0FD2">
        <w:rPr>
          <w:lang w:eastAsia="ja-JP"/>
        </w:rPr>
        <w:t>(</w:t>
      </w:r>
      <w:r>
        <w:rPr>
          <w:rFonts w:hint="eastAsia"/>
          <w:lang w:eastAsia="ja-JP"/>
        </w:rPr>
        <w:t>m</w:t>
      </w:r>
      <w:r w:rsidRPr="008035CC">
        <w:rPr>
          <w:rFonts w:hint="eastAsia"/>
          <w:vertAlign w:val="superscript"/>
          <w:lang w:eastAsia="ja-JP"/>
        </w:rPr>
        <w:t>2</w:t>
      </w:r>
      <w:r w:rsidR="009D0FD2">
        <w:rPr>
          <w:lang w:eastAsia="ja-JP"/>
        </w:rPr>
        <w:t>∙</w:t>
      </w:r>
      <w:r>
        <w:rPr>
          <w:rFonts w:hint="eastAsia"/>
          <w:lang w:eastAsia="ja-JP"/>
        </w:rPr>
        <w:t>MHz</w:t>
      </w:r>
      <w:r w:rsidR="009D0FD2">
        <w:rPr>
          <w:lang w:eastAsia="ja-JP"/>
        </w:rPr>
        <w:t>)</w:t>
      </w:r>
      <w:r>
        <w:rPr>
          <w:rFonts w:hint="eastAsia"/>
          <w:lang w:eastAsia="ja-JP"/>
        </w:rPr>
        <w:t xml:space="preserve">) is proposed for the equivalent power flux-density limit at the geostationary-satellite orbit </w:t>
      </w:r>
      <w:r w:rsidRPr="006C5737">
        <w:rPr>
          <w:lang w:eastAsia="ja-JP"/>
        </w:rPr>
        <w:t xml:space="preserve">by emissions from all the IMT-2020 base stations </w:t>
      </w:r>
      <w:r>
        <w:rPr>
          <w:rFonts w:hint="eastAsia"/>
          <w:lang w:eastAsia="ja-JP"/>
        </w:rPr>
        <w:t xml:space="preserve">within a territory of the concerned administration that overlaps </w:t>
      </w:r>
      <w:r w:rsidR="00A5285A">
        <w:rPr>
          <w:lang w:eastAsia="ja-JP"/>
        </w:rPr>
        <w:t>-</w:t>
      </w:r>
      <w:r>
        <w:rPr>
          <w:rFonts w:hint="eastAsia"/>
          <w:lang w:eastAsia="ja-JP"/>
        </w:rPr>
        <w:t>3dB footprint of a satellite and the territory is larger than 1,135,833 km</w:t>
      </w:r>
      <w:r w:rsidRPr="0087304E">
        <w:rPr>
          <w:vertAlign w:val="superscript"/>
          <w:lang w:eastAsia="ja-JP"/>
        </w:rPr>
        <w:t>2</w:t>
      </w:r>
      <w:r w:rsidRPr="006C5737">
        <w:rPr>
          <w:lang w:eastAsia="ja-JP"/>
        </w:rPr>
        <w:t xml:space="preserve"> in the frequency bands 24.65-25.25 GHz and 27.0-27.5GHz</w:t>
      </w:r>
      <w:r>
        <w:rPr>
          <w:rFonts w:hint="eastAsia"/>
          <w:lang w:eastAsia="ja-JP"/>
        </w:rPr>
        <w:t xml:space="preserve">. The value of </w:t>
      </w:r>
      <w:r w:rsidR="00A5285A" w:rsidRPr="00A85632">
        <w:rPr>
          <w:sz w:val="18"/>
          <w:szCs w:val="18"/>
          <w:lang w:val="fr-CH"/>
        </w:rPr>
        <w:t>−</w:t>
      </w:r>
      <w:r>
        <w:rPr>
          <w:rFonts w:hint="eastAsia"/>
          <w:lang w:eastAsia="ja-JP"/>
        </w:rPr>
        <w:t xml:space="preserve">151.6 </w:t>
      </w:r>
      <w:r w:rsidR="00237EF4">
        <w:rPr>
          <w:lang w:eastAsia="ja-JP"/>
        </w:rPr>
        <w:t>+</w:t>
      </w:r>
      <w:r w:rsidR="00237EF4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10</w:t>
      </w:r>
      <w:r w:rsidRPr="00815F1D">
        <w:rPr>
          <w:rFonts w:hint="eastAsia"/>
          <w:i/>
          <w:lang w:eastAsia="ja-JP"/>
        </w:rPr>
        <w:t>log</w:t>
      </w:r>
      <w:r>
        <w:rPr>
          <w:rFonts w:hint="eastAsia"/>
          <w:lang w:eastAsia="ja-JP"/>
        </w:rPr>
        <w:t xml:space="preserve"> (S</w:t>
      </w:r>
      <w:r w:rsidR="00237EF4">
        <w:rPr>
          <w:vertAlign w:val="subscript"/>
          <w:lang w:val="en-US" w:eastAsia="ja-JP"/>
        </w:rPr>
        <w:t>adm</w:t>
      </w:r>
      <w:r>
        <w:rPr>
          <w:rFonts w:hint="eastAsia"/>
          <w:vertAlign w:val="subscript"/>
          <w:lang w:eastAsia="ja-JP"/>
        </w:rPr>
        <w:t xml:space="preserve"> </w:t>
      </w:r>
      <w:r>
        <w:rPr>
          <w:rFonts w:hint="eastAsia"/>
          <w:lang w:eastAsia="ja-JP"/>
        </w:rPr>
        <w:t>/ S</w:t>
      </w:r>
      <w:r w:rsidR="00040F0C">
        <w:rPr>
          <w:vertAlign w:val="subscript"/>
          <w:lang w:val="en-US" w:eastAsia="ja-JP"/>
        </w:rPr>
        <w:t xml:space="preserve">-3 </w:t>
      </w:r>
      <w:r w:rsidR="00237EF4">
        <w:rPr>
          <w:vertAlign w:val="subscript"/>
          <w:lang w:val="en-US" w:eastAsia="ja-JP"/>
        </w:rPr>
        <w:t>dB</w:t>
      </w:r>
      <w:r>
        <w:rPr>
          <w:rFonts w:hint="eastAsia"/>
          <w:lang w:eastAsia="ja-JP"/>
        </w:rPr>
        <w:t>) dB(W/</w:t>
      </w:r>
      <w:r w:rsidR="00A5285A">
        <w:rPr>
          <w:lang w:eastAsia="ja-JP"/>
        </w:rPr>
        <w:t>(</w:t>
      </w:r>
      <w:r>
        <w:rPr>
          <w:rFonts w:hint="eastAsia"/>
          <w:lang w:eastAsia="ja-JP"/>
        </w:rPr>
        <w:t>m</w:t>
      </w:r>
      <w:r w:rsidRPr="008035CC">
        <w:rPr>
          <w:rFonts w:hint="eastAsia"/>
          <w:vertAlign w:val="superscript"/>
          <w:lang w:eastAsia="ja-JP"/>
        </w:rPr>
        <w:t>2</w:t>
      </w:r>
      <w:r w:rsidR="00A5285A">
        <w:rPr>
          <w:lang w:eastAsia="ja-JP"/>
        </w:rPr>
        <w:t>∙M</w:t>
      </w:r>
      <w:r>
        <w:rPr>
          <w:rFonts w:hint="eastAsia"/>
          <w:lang w:eastAsia="ja-JP"/>
        </w:rPr>
        <w:t>Hz)</w:t>
      </w:r>
      <w:r w:rsidR="00A5285A">
        <w:rPr>
          <w:lang w:eastAsia="ja-JP"/>
        </w:rPr>
        <w:t>)</w:t>
      </w:r>
      <w:r>
        <w:rPr>
          <w:rFonts w:hint="eastAsia"/>
          <w:lang w:eastAsia="ja-JP"/>
        </w:rPr>
        <w:t xml:space="preserve"> is also proposed for that within a territory of the concerned administration that is smaller than 1,135,833 km</w:t>
      </w:r>
      <w:r w:rsidRPr="0087304E">
        <w:rPr>
          <w:rFonts w:hint="eastAsia"/>
          <w:vertAlign w:val="superscript"/>
          <w:lang w:eastAsia="ja-JP"/>
        </w:rPr>
        <w:t>2</w:t>
      </w:r>
      <w:r>
        <w:rPr>
          <w:rFonts w:hint="eastAsia"/>
          <w:lang w:eastAsia="ja-JP"/>
        </w:rPr>
        <w:t xml:space="preserve">. </w:t>
      </w:r>
    </w:p>
    <w:p w14:paraId="48DB0716" w14:textId="77777777" w:rsidR="006B76C3" w:rsidRPr="001C2BC2" w:rsidRDefault="006B76C3" w:rsidP="006B76C3">
      <w:pPr>
        <w:pStyle w:val="Reasons"/>
        <w:rPr>
          <w:lang w:eastAsia="ja-JP"/>
        </w:rPr>
      </w:pPr>
    </w:p>
    <w:p w14:paraId="15ABAFDA" w14:textId="77777777" w:rsidR="006B76C3" w:rsidRPr="00DC5327" w:rsidRDefault="006B76C3" w:rsidP="006B76C3">
      <w:pPr>
        <w:jc w:val="both"/>
        <w:rPr>
          <w:b/>
          <w:lang w:val="en-GB"/>
        </w:rPr>
      </w:pPr>
    </w:p>
    <w:p w14:paraId="7685F2B8" w14:textId="77777777" w:rsidR="006B76C3" w:rsidRPr="009A4A6D" w:rsidRDefault="006B76C3" w:rsidP="006B76C3">
      <w:pPr>
        <w:jc w:val="center"/>
        <w:rPr>
          <w:snapToGrid w:val="0"/>
        </w:rPr>
      </w:pPr>
      <w:r>
        <w:t>____________</w:t>
      </w:r>
    </w:p>
    <w:p w14:paraId="0BBD6359" w14:textId="77777777" w:rsidR="006B76C3" w:rsidRPr="006B76C3" w:rsidRDefault="006B76C3" w:rsidP="006B76C3"/>
    <w:sectPr w:rsidR="006B76C3" w:rsidRPr="006B76C3" w:rsidSect="00424460">
      <w:headerReference w:type="default" r:id="rId20"/>
      <w:footerReference w:type="even" r:id="rId21"/>
      <w:footerReference w:type="default" r:id="rId22"/>
      <w:footerReference w:type="first" r:id="rId23"/>
      <w:pgSz w:w="11909" w:h="16834" w:code="9"/>
      <w:pgMar w:top="1195" w:right="1152" w:bottom="1138" w:left="1440" w:header="720" w:footer="1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B1DE0" w14:textId="77777777" w:rsidR="008C519E" w:rsidRDefault="008C519E">
      <w:r>
        <w:separator/>
      </w:r>
    </w:p>
  </w:endnote>
  <w:endnote w:type="continuationSeparator" w:id="0">
    <w:p w14:paraId="43435140" w14:textId="77777777" w:rsidR="008C519E" w:rsidRDefault="008C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altName w:val="Malgun Gothic Semilight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altName w:val="MS Gothic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altName w:val="MS UI Gothic"/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4DD27" w14:textId="77777777" w:rsidR="00BC52D9" w:rsidRDefault="00BC52D9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D50F2A" w14:textId="77777777" w:rsidR="00BC52D9" w:rsidRDefault="00BC52D9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96009" w14:textId="3AB0D6AF" w:rsidR="00BC52D9" w:rsidRDefault="00BC52D9" w:rsidP="00F17B0A">
    <w:pPr>
      <w:pStyle w:val="Footer"/>
      <w:ind w:right="360"/>
    </w:pPr>
    <w:r>
      <w:rPr>
        <w:rFonts w:hint="eastAsia"/>
        <w:lang w:eastAsia="ko-KR"/>
      </w:rPr>
      <w:t>A</w:t>
    </w:r>
    <w:r>
      <w:rPr>
        <w:lang w:eastAsia="ko-KR"/>
      </w:rPr>
      <w:t>PG19</w:t>
    </w:r>
    <w:r>
      <w:rPr>
        <w:rFonts w:hint="eastAsia"/>
        <w:lang w:eastAsia="ko-KR"/>
      </w:rPr>
      <w:t>-</w:t>
    </w:r>
    <w:r>
      <w:rPr>
        <w:lang w:eastAsia="ko-KR"/>
      </w:rPr>
      <w:t>4</w:t>
    </w:r>
    <w:r>
      <w:rPr>
        <w:rFonts w:hint="eastAsia"/>
        <w:lang w:eastAsia="ko-KR"/>
      </w:rPr>
      <w:t>/</w:t>
    </w:r>
    <w:r w:rsidR="007F03F9">
      <w:rPr>
        <w:lang w:eastAsia="ko-KR"/>
      </w:rPr>
      <w:t>INP-67</w:t>
    </w:r>
    <w:r>
      <w:rPr>
        <w:rStyle w:val="PageNumber"/>
      </w:rPr>
      <w:tab/>
    </w:r>
    <w:r>
      <w:rPr>
        <w:rStyle w:val="PageNumber"/>
      </w:rPr>
      <w:tab/>
    </w: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7F03F9">
      <w:rPr>
        <w:rStyle w:val="PageNumber"/>
        <w:noProof/>
      </w:rPr>
      <w:t>7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7F03F9">
      <w:rPr>
        <w:rStyle w:val="PageNumber"/>
        <w:noProof/>
      </w:rPr>
      <w:t>12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BC52D9" w14:paraId="79B1F089" w14:textId="77777777" w:rsidTr="0043092B">
      <w:trPr>
        <w:cantSplit/>
        <w:trHeight w:val="679"/>
        <w:jc w:val="center"/>
      </w:trPr>
      <w:tc>
        <w:tcPr>
          <w:tcW w:w="1617" w:type="dxa"/>
          <w:tcBorders>
            <w:top w:val="single" w:sz="12" w:space="0" w:color="auto"/>
          </w:tcBorders>
        </w:tcPr>
        <w:p w14:paraId="5B755797" w14:textId="77777777" w:rsidR="00BC52D9" w:rsidRPr="00155F6B" w:rsidRDefault="00BC52D9" w:rsidP="00762576">
          <w:pPr>
            <w:rPr>
              <w:b/>
              <w:bCs/>
            </w:rPr>
          </w:pPr>
          <w:r w:rsidRPr="00155F6B"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14:paraId="3FAE1BB0" w14:textId="77777777" w:rsidR="00BC52D9" w:rsidRPr="00155F6B" w:rsidRDefault="00BC52D9" w:rsidP="00762576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  <w:szCs w:val="24"/>
              <w:lang w:eastAsia="ko-KR"/>
            </w:rPr>
          </w:pPr>
          <w:r>
            <w:rPr>
              <w:rFonts w:eastAsia="Batang"/>
              <w:szCs w:val="24"/>
              <w:lang w:eastAsia="ko-KR"/>
            </w:rPr>
            <w:t>Mr. Yoshihito YOKOYAMA (SJC, Japan)</w:t>
          </w:r>
        </w:p>
        <w:p w14:paraId="156914FE" w14:textId="77777777" w:rsidR="00BC52D9" w:rsidRPr="00155F6B" w:rsidRDefault="00BC52D9" w:rsidP="00155F6B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  <w:szCs w:val="24"/>
            </w:rPr>
          </w:pPr>
          <w:r>
            <w:rPr>
              <w:rFonts w:eastAsia="Batang"/>
              <w:szCs w:val="24"/>
              <w:lang w:eastAsia="ko-KR"/>
            </w:rPr>
            <w:t>Mr. Satoshi IMATA (KDDI, Japan)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14:paraId="7B5716E2" w14:textId="77777777" w:rsidR="00BC52D9" w:rsidRDefault="00BC52D9" w:rsidP="00762576">
          <w:pPr>
            <w:rPr>
              <w:rFonts w:eastAsiaTheme="minorEastAsia"/>
              <w:lang w:eastAsia="ja-JP"/>
            </w:rPr>
          </w:pPr>
          <w:r w:rsidRPr="00155F6B">
            <w:t>Email</w:t>
          </w:r>
          <w:r w:rsidRPr="00155F6B">
            <w:rPr>
              <w:rFonts w:hint="eastAsia"/>
            </w:rPr>
            <w:t xml:space="preserve">: </w:t>
          </w:r>
          <w:hyperlink r:id="rId1" w:history="1">
            <w:r w:rsidRPr="007D43DF">
              <w:rPr>
                <w:rStyle w:val="Hyperlink"/>
                <w:rFonts w:eastAsiaTheme="minorEastAsia" w:hint="eastAsia"/>
                <w:lang w:eastAsia="ja-JP"/>
              </w:rPr>
              <w:t>y-yokoyama@sptvjsat.com</w:t>
            </w:r>
          </w:hyperlink>
        </w:p>
        <w:p w14:paraId="5715C84C" w14:textId="77777777" w:rsidR="00BC52D9" w:rsidRPr="0043092B" w:rsidRDefault="008C519E" w:rsidP="0043092B">
          <w:pPr>
            <w:ind w:firstLineChars="300" w:firstLine="720"/>
            <w:rPr>
              <w:rFonts w:eastAsiaTheme="minorEastAsia"/>
              <w:lang w:eastAsia="ja-JP"/>
            </w:rPr>
          </w:pPr>
          <w:hyperlink r:id="rId2" w:history="1">
            <w:r w:rsidR="00BC52D9" w:rsidRPr="007D43DF">
              <w:rPr>
                <w:rStyle w:val="Hyperlink"/>
                <w:rFonts w:eastAsiaTheme="minorEastAsia"/>
                <w:lang w:eastAsia="ja-JP"/>
              </w:rPr>
              <w:t>sa-imata@kddi.com</w:t>
            </w:r>
          </w:hyperlink>
        </w:p>
      </w:tc>
    </w:tr>
  </w:tbl>
  <w:p w14:paraId="3A65AB4F" w14:textId="77777777" w:rsidR="00BC52D9" w:rsidRDefault="00BC52D9" w:rsidP="004309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650A1" w14:textId="77777777" w:rsidR="008C519E" w:rsidRDefault="008C519E">
      <w:r>
        <w:separator/>
      </w:r>
    </w:p>
  </w:footnote>
  <w:footnote w:type="continuationSeparator" w:id="0">
    <w:p w14:paraId="277E2C72" w14:textId="77777777" w:rsidR="008C519E" w:rsidRDefault="008C5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28A06" w14:textId="77777777" w:rsidR="00BC52D9" w:rsidRDefault="00BC52D9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14:paraId="6E35C073" w14:textId="77777777" w:rsidR="00BC52D9" w:rsidRDefault="00BC52D9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727B"/>
    <w:multiLevelType w:val="hybridMultilevel"/>
    <w:tmpl w:val="F6CA2B50"/>
    <w:lvl w:ilvl="0" w:tplc="BE7C2300">
      <w:start w:val="1"/>
      <w:numFmt w:val="bullet"/>
      <w:lvlText w:val="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8660E4"/>
    <w:multiLevelType w:val="hybridMultilevel"/>
    <w:tmpl w:val="9FEA7E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5FD40FF"/>
    <w:multiLevelType w:val="hybridMultilevel"/>
    <w:tmpl w:val="6C36CBC0"/>
    <w:lvl w:ilvl="0" w:tplc="838E73CC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1FFB1D3C"/>
    <w:multiLevelType w:val="hybridMultilevel"/>
    <w:tmpl w:val="5DBECBA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9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AF20A51"/>
    <w:multiLevelType w:val="hybridMultilevel"/>
    <w:tmpl w:val="0BAC29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BE74A1"/>
    <w:multiLevelType w:val="hybridMultilevel"/>
    <w:tmpl w:val="104C875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3"/>
  </w:num>
  <w:num w:numId="5">
    <w:abstractNumId w:val="8"/>
  </w:num>
  <w:num w:numId="6">
    <w:abstractNumId w:val="10"/>
  </w:num>
  <w:num w:numId="7">
    <w:abstractNumId w:val="4"/>
  </w:num>
  <w:num w:numId="8">
    <w:abstractNumId w:val="2"/>
  </w:num>
  <w:num w:numId="9">
    <w:abstractNumId w:val="5"/>
  </w:num>
  <w:num w:numId="10">
    <w:abstractNumId w:val="12"/>
  </w:num>
  <w:num w:numId="11">
    <w:abstractNumId w:val="11"/>
  </w:num>
  <w:num w:numId="12">
    <w:abstractNumId w:val="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33"/>
    <w:rsid w:val="00014030"/>
    <w:rsid w:val="00020E48"/>
    <w:rsid w:val="00024E7F"/>
    <w:rsid w:val="0003595B"/>
    <w:rsid w:val="00040F0C"/>
    <w:rsid w:val="00060AD1"/>
    <w:rsid w:val="000713CF"/>
    <w:rsid w:val="00096326"/>
    <w:rsid w:val="000A5418"/>
    <w:rsid w:val="000A5C23"/>
    <w:rsid w:val="000A7EC6"/>
    <w:rsid w:val="000F517C"/>
    <w:rsid w:val="000F5540"/>
    <w:rsid w:val="000F5592"/>
    <w:rsid w:val="001076DD"/>
    <w:rsid w:val="00113FB5"/>
    <w:rsid w:val="001174B7"/>
    <w:rsid w:val="00136175"/>
    <w:rsid w:val="001361DA"/>
    <w:rsid w:val="001362BF"/>
    <w:rsid w:val="00147B1B"/>
    <w:rsid w:val="001539DD"/>
    <w:rsid w:val="00155F6B"/>
    <w:rsid w:val="00170A13"/>
    <w:rsid w:val="0017120C"/>
    <w:rsid w:val="00173142"/>
    <w:rsid w:val="001804F1"/>
    <w:rsid w:val="00192F7C"/>
    <w:rsid w:val="00196568"/>
    <w:rsid w:val="001A2F16"/>
    <w:rsid w:val="001A520C"/>
    <w:rsid w:val="001B0D61"/>
    <w:rsid w:val="001B18C2"/>
    <w:rsid w:val="001C3E88"/>
    <w:rsid w:val="001D5D7E"/>
    <w:rsid w:val="001E1069"/>
    <w:rsid w:val="00202057"/>
    <w:rsid w:val="00203E97"/>
    <w:rsid w:val="0020416B"/>
    <w:rsid w:val="00234AC6"/>
    <w:rsid w:val="00237EF4"/>
    <w:rsid w:val="00253035"/>
    <w:rsid w:val="00253229"/>
    <w:rsid w:val="00254A1B"/>
    <w:rsid w:val="00254DB0"/>
    <w:rsid w:val="00260843"/>
    <w:rsid w:val="00261872"/>
    <w:rsid w:val="00261AA6"/>
    <w:rsid w:val="00277FDE"/>
    <w:rsid w:val="00281505"/>
    <w:rsid w:val="0028454D"/>
    <w:rsid w:val="00291C9E"/>
    <w:rsid w:val="002926D4"/>
    <w:rsid w:val="00295C08"/>
    <w:rsid w:val="002A017E"/>
    <w:rsid w:val="002A74A5"/>
    <w:rsid w:val="002C07DA"/>
    <w:rsid w:val="002C17A8"/>
    <w:rsid w:val="002C7EA9"/>
    <w:rsid w:val="002D7428"/>
    <w:rsid w:val="003367A6"/>
    <w:rsid w:val="00342F20"/>
    <w:rsid w:val="003475AE"/>
    <w:rsid w:val="0036091C"/>
    <w:rsid w:val="003613B0"/>
    <w:rsid w:val="00371351"/>
    <w:rsid w:val="003809C7"/>
    <w:rsid w:val="003952C0"/>
    <w:rsid w:val="003B6263"/>
    <w:rsid w:val="003C64A7"/>
    <w:rsid w:val="003D3FDA"/>
    <w:rsid w:val="003D43F8"/>
    <w:rsid w:val="003F5A5C"/>
    <w:rsid w:val="004012F2"/>
    <w:rsid w:val="00402EE5"/>
    <w:rsid w:val="00420822"/>
    <w:rsid w:val="00424460"/>
    <w:rsid w:val="0043092B"/>
    <w:rsid w:val="0045458F"/>
    <w:rsid w:val="004633B4"/>
    <w:rsid w:val="00490FB9"/>
    <w:rsid w:val="00497772"/>
    <w:rsid w:val="004B3553"/>
    <w:rsid w:val="004B5D22"/>
    <w:rsid w:val="004D4A00"/>
    <w:rsid w:val="004E25B2"/>
    <w:rsid w:val="004F6C66"/>
    <w:rsid w:val="005205E5"/>
    <w:rsid w:val="00524288"/>
    <w:rsid w:val="00530E8C"/>
    <w:rsid w:val="00545933"/>
    <w:rsid w:val="00557544"/>
    <w:rsid w:val="00571992"/>
    <w:rsid w:val="00573DB0"/>
    <w:rsid w:val="00583665"/>
    <w:rsid w:val="00584E4C"/>
    <w:rsid w:val="00587875"/>
    <w:rsid w:val="00591F79"/>
    <w:rsid w:val="005A203C"/>
    <w:rsid w:val="005A4661"/>
    <w:rsid w:val="005B5261"/>
    <w:rsid w:val="005D189A"/>
    <w:rsid w:val="005E1F88"/>
    <w:rsid w:val="00607E2B"/>
    <w:rsid w:val="006139D6"/>
    <w:rsid w:val="0062096F"/>
    <w:rsid w:val="00623CE1"/>
    <w:rsid w:val="0063062B"/>
    <w:rsid w:val="006310D5"/>
    <w:rsid w:val="00641B37"/>
    <w:rsid w:val="00650017"/>
    <w:rsid w:val="00664119"/>
    <w:rsid w:val="00667229"/>
    <w:rsid w:val="00682BE5"/>
    <w:rsid w:val="00690FED"/>
    <w:rsid w:val="006939A5"/>
    <w:rsid w:val="006A64A9"/>
    <w:rsid w:val="006B726C"/>
    <w:rsid w:val="006B76C3"/>
    <w:rsid w:val="006E7578"/>
    <w:rsid w:val="00712451"/>
    <w:rsid w:val="00712EA0"/>
    <w:rsid w:val="00722F0A"/>
    <w:rsid w:val="00731041"/>
    <w:rsid w:val="00732F08"/>
    <w:rsid w:val="00733CCD"/>
    <w:rsid w:val="0074190C"/>
    <w:rsid w:val="00762576"/>
    <w:rsid w:val="00763B19"/>
    <w:rsid w:val="0078534F"/>
    <w:rsid w:val="00791060"/>
    <w:rsid w:val="007B021B"/>
    <w:rsid w:val="007B527A"/>
    <w:rsid w:val="007B5626"/>
    <w:rsid w:val="007B66A0"/>
    <w:rsid w:val="007C0AC3"/>
    <w:rsid w:val="007F03F9"/>
    <w:rsid w:val="0080570B"/>
    <w:rsid w:val="008071DE"/>
    <w:rsid w:val="008148E1"/>
    <w:rsid w:val="00816AC7"/>
    <w:rsid w:val="0082462B"/>
    <w:rsid w:val="008319BF"/>
    <w:rsid w:val="00846931"/>
    <w:rsid w:val="008B46D4"/>
    <w:rsid w:val="008C157F"/>
    <w:rsid w:val="008C4900"/>
    <w:rsid w:val="008C519E"/>
    <w:rsid w:val="008D0897"/>
    <w:rsid w:val="008D0E09"/>
    <w:rsid w:val="008F1E81"/>
    <w:rsid w:val="009125FB"/>
    <w:rsid w:val="00921E1C"/>
    <w:rsid w:val="009551B2"/>
    <w:rsid w:val="00970F96"/>
    <w:rsid w:val="00972A71"/>
    <w:rsid w:val="0097693B"/>
    <w:rsid w:val="00987DA6"/>
    <w:rsid w:val="00993355"/>
    <w:rsid w:val="009A4A6D"/>
    <w:rsid w:val="009A5661"/>
    <w:rsid w:val="009A5E8D"/>
    <w:rsid w:val="009C1115"/>
    <w:rsid w:val="009D0FD2"/>
    <w:rsid w:val="00A00FC9"/>
    <w:rsid w:val="00A13265"/>
    <w:rsid w:val="00A5285A"/>
    <w:rsid w:val="00A561D1"/>
    <w:rsid w:val="00A60D45"/>
    <w:rsid w:val="00A71136"/>
    <w:rsid w:val="00A750CC"/>
    <w:rsid w:val="00A76334"/>
    <w:rsid w:val="00AA474C"/>
    <w:rsid w:val="00AB0295"/>
    <w:rsid w:val="00AB03A6"/>
    <w:rsid w:val="00AD7B2C"/>
    <w:rsid w:val="00AD7E5F"/>
    <w:rsid w:val="00AF513D"/>
    <w:rsid w:val="00B015CB"/>
    <w:rsid w:val="00B01AA1"/>
    <w:rsid w:val="00B222D5"/>
    <w:rsid w:val="00B30C81"/>
    <w:rsid w:val="00B4513F"/>
    <w:rsid w:val="00B46BBC"/>
    <w:rsid w:val="00B4793B"/>
    <w:rsid w:val="00B74433"/>
    <w:rsid w:val="00B839F0"/>
    <w:rsid w:val="00B9207F"/>
    <w:rsid w:val="00BB22C3"/>
    <w:rsid w:val="00BB44F8"/>
    <w:rsid w:val="00BC52D9"/>
    <w:rsid w:val="00BF20AB"/>
    <w:rsid w:val="00C1511A"/>
    <w:rsid w:val="00C15633"/>
    <w:rsid w:val="00C15799"/>
    <w:rsid w:val="00C22ECB"/>
    <w:rsid w:val="00C357AD"/>
    <w:rsid w:val="00C4190E"/>
    <w:rsid w:val="00C424E6"/>
    <w:rsid w:val="00C6069C"/>
    <w:rsid w:val="00C74ADE"/>
    <w:rsid w:val="00C85119"/>
    <w:rsid w:val="00CA151A"/>
    <w:rsid w:val="00CA270A"/>
    <w:rsid w:val="00CB08B7"/>
    <w:rsid w:val="00CB632C"/>
    <w:rsid w:val="00CB77B8"/>
    <w:rsid w:val="00CD2560"/>
    <w:rsid w:val="00CD5431"/>
    <w:rsid w:val="00CF2491"/>
    <w:rsid w:val="00D0026F"/>
    <w:rsid w:val="00D06006"/>
    <w:rsid w:val="00D1252E"/>
    <w:rsid w:val="00D2523A"/>
    <w:rsid w:val="00D423FA"/>
    <w:rsid w:val="00D47541"/>
    <w:rsid w:val="00D503E1"/>
    <w:rsid w:val="00D57772"/>
    <w:rsid w:val="00D70722"/>
    <w:rsid w:val="00D72AE3"/>
    <w:rsid w:val="00D75A4D"/>
    <w:rsid w:val="00D8478B"/>
    <w:rsid w:val="00D86151"/>
    <w:rsid w:val="00D94A37"/>
    <w:rsid w:val="00DA500C"/>
    <w:rsid w:val="00DA7595"/>
    <w:rsid w:val="00DB0A68"/>
    <w:rsid w:val="00DC43A3"/>
    <w:rsid w:val="00DC7A51"/>
    <w:rsid w:val="00DD7C09"/>
    <w:rsid w:val="00E0124F"/>
    <w:rsid w:val="00E04932"/>
    <w:rsid w:val="00E275A3"/>
    <w:rsid w:val="00E27DD2"/>
    <w:rsid w:val="00E31949"/>
    <w:rsid w:val="00E45575"/>
    <w:rsid w:val="00E549BD"/>
    <w:rsid w:val="00E66C21"/>
    <w:rsid w:val="00E674D3"/>
    <w:rsid w:val="00E70FD0"/>
    <w:rsid w:val="00E846A2"/>
    <w:rsid w:val="00E87355"/>
    <w:rsid w:val="00EA04B8"/>
    <w:rsid w:val="00EB7E2E"/>
    <w:rsid w:val="00F1717E"/>
    <w:rsid w:val="00F1741C"/>
    <w:rsid w:val="00F17B0A"/>
    <w:rsid w:val="00F626DC"/>
    <w:rsid w:val="00F74C35"/>
    <w:rsid w:val="00F84067"/>
    <w:rsid w:val="00F92B65"/>
    <w:rsid w:val="00FB0BDC"/>
    <w:rsid w:val="00FC4D28"/>
    <w:rsid w:val="00FE3DE5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F2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92F7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B76C3"/>
    <w:pPr>
      <w:keepNext/>
      <w:ind w:leftChars="400" w:left="400"/>
      <w:outlineLvl w:val="3"/>
    </w:pPr>
    <w:rPr>
      <w:b/>
      <w:bCs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link w:val="EquationChar"/>
    <w:qFormat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character" w:styleId="Hyperlink">
    <w:name w:val="Hyperlink"/>
    <w:basedOn w:val="DefaultParagraphFont"/>
    <w:unhideWhenUsed/>
    <w:rsid w:val="00192F7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192F7C"/>
    <w:rPr>
      <w:rFonts w:asciiTheme="majorHAnsi" w:eastAsiaTheme="majorEastAsia" w:hAnsiTheme="majorHAns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8B46D4"/>
    <w:pPr>
      <w:ind w:leftChars="400" w:left="840"/>
    </w:pPr>
  </w:style>
  <w:style w:type="paragraph" w:customStyle="1" w:styleId="Tabletext">
    <w:name w:val="Table_text"/>
    <w:basedOn w:val="Normal"/>
    <w:link w:val="TabletextChar"/>
    <w:qFormat/>
    <w:rsid w:val="003D43F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  <w:sz w:val="20"/>
      <w:szCs w:val="20"/>
      <w:lang w:val="en-GB"/>
    </w:rPr>
  </w:style>
  <w:style w:type="paragraph" w:customStyle="1" w:styleId="Tablehead">
    <w:name w:val="Table_head"/>
    <w:basedOn w:val="Normal"/>
    <w:link w:val="TableheadChar"/>
    <w:qFormat/>
    <w:rsid w:val="003D43F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  <w:sz w:val="20"/>
      <w:szCs w:val="20"/>
      <w:lang w:val="en-GB"/>
    </w:rPr>
  </w:style>
  <w:style w:type="paragraph" w:customStyle="1" w:styleId="TableNo">
    <w:name w:val="Table_No"/>
    <w:basedOn w:val="Normal"/>
    <w:next w:val="Normal"/>
    <w:link w:val="TableNoChar"/>
    <w:qFormat/>
    <w:rsid w:val="003D43F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"/>
    <w:link w:val="TabletitleChar"/>
    <w:qFormat/>
    <w:rsid w:val="003D43F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  <w:sz w:val="20"/>
      <w:szCs w:val="20"/>
      <w:lang w:val="en-GB"/>
    </w:rPr>
  </w:style>
  <w:style w:type="character" w:customStyle="1" w:styleId="TabletextChar">
    <w:name w:val="Table_text Char"/>
    <w:basedOn w:val="DefaultParagraphFont"/>
    <w:link w:val="Tabletext"/>
    <w:qFormat/>
    <w:rsid w:val="003D43F8"/>
    <w:rPr>
      <w:rFonts w:eastAsia="MS Mincho"/>
      <w:lang w:val="en-GB"/>
    </w:rPr>
  </w:style>
  <w:style w:type="character" w:customStyle="1" w:styleId="TableheadChar">
    <w:name w:val="Table_head Char"/>
    <w:basedOn w:val="DefaultParagraphFont"/>
    <w:link w:val="Tablehead"/>
    <w:qFormat/>
    <w:locked/>
    <w:rsid w:val="003D43F8"/>
    <w:rPr>
      <w:rFonts w:ascii="Times New Roman Bold" w:eastAsia="MS Mincho" w:hAnsi="Times New Roman Bold" w:cs="Times New Roman Bold"/>
      <w:b/>
      <w:lang w:val="en-GB"/>
    </w:rPr>
  </w:style>
  <w:style w:type="character" w:customStyle="1" w:styleId="TableNoChar">
    <w:name w:val="Table_No Char"/>
    <w:link w:val="TableNo"/>
    <w:locked/>
    <w:rsid w:val="003D43F8"/>
    <w:rPr>
      <w:rFonts w:eastAsia="MS Mincho"/>
      <w:caps/>
      <w:lang w:val="en-GB"/>
    </w:rPr>
  </w:style>
  <w:style w:type="character" w:customStyle="1" w:styleId="TabletitleChar">
    <w:name w:val="Table_title Char"/>
    <w:basedOn w:val="DefaultParagraphFont"/>
    <w:link w:val="Tabletitle"/>
    <w:qFormat/>
    <w:locked/>
    <w:rsid w:val="003D43F8"/>
    <w:rPr>
      <w:rFonts w:ascii="Times New Roman Bold" w:eastAsia="MS Mincho" w:hAnsi="Times New Roman Bold"/>
      <w:b/>
      <w:lang w:val="en-GB"/>
    </w:rPr>
  </w:style>
  <w:style w:type="character" w:styleId="CommentReference">
    <w:name w:val="annotation reference"/>
    <w:basedOn w:val="DefaultParagraphFont"/>
    <w:semiHidden/>
    <w:unhideWhenUsed/>
    <w:rsid w:val="001804F1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1804F1"/>
  </w:style>
  <w:style w:type="character" w:customStyle="1" w:styleId="CommentTextChar">
    <w:name w:val="Comment Text Char"/>
    <w:basedOn w:val="DefaultParagraphFont"/>
    <w:link w:val="CommentText"/>
    <w:rsid w:val="001804F1"/>
    <w:rPr>
      <w:rFonts w:eastAsia="BatangChe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04F1"/>
    <w:rPr>
      <w:rFonts w:eastAsia="BatangChe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1804F1"/>
    <w:rPr>
      <w:rFonts w:eastAsia="BatangChe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80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04F1"/>
    <w:rPr>
      <w:rFonts w:asciiTheme="majorHAnsi" w:eastAsiaTheme="majorEastAsia" w:hAnsiTheme="majorHAnsi" w:cstheme="majorBidi"/>
      <w:sz w:val="18"/>
      <w:szCs w:val="18"/>
    </w:rPr>
  </w:style>
  <w:style w:type="paragraph" w:customStyle="1" w:styleId="Equationlegend">
    <w:name w:val="Equation_legend"/>
    <w:basedOn w:val="NormalIndent"/>
    <w:link w:val="EquationlegendChar"/>
    <w:qFormat/>
    <w:rsid w:val="007B527A"/>
    <w:pPr>
      <w:widowControl/>
      <w:tabs>
        <w:tab w:val="right" w:pos="1871"/>
        <w:tab w:val="left" w:pos="2041"/>
      </w:tabs>
      <w:wordWrap/>
      <w:overflowPunct w:val="0"/>
      <w:autoSpaceDE w:val="0"/>
      <w:autoSpaceDN w:val="0"/>
      <w:adjustRightInd w:val="0"/>
      <w:spacing w:before="80"/>
      <w:ind w:left="2041" w:hanging="2041"/>
      <w:jc w:val="left"/>
      <w:textAlignment w:val="baseline"/>
    </w:pPr>
    <w:rPr>
      <w:rFonts w:eastAsia="MS Mincho"/>
      <w:kern w:val="0"/>
      <w:sz w:val="24"/>
      <w:lang w:val="en-GB" w:eastAsia="en-US"/>
    </w:rPr>
  </w:style>
  <w:style w:type="paragraph" w:customStyle="1" w:styleId="Tablelegend">
    <w:name w:val="Table_legend"/>
    <w:basedOn w:val="Normal"/>
    <w:rsid w:val="007B527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 w:val="20"/>
      <w:szCs w:val="20"/>
      <w:lang w:val="en-GB"/>
    </w:rPr>
  </w:style>
  <w:style w:type="paragraph" w:customStyle="1" w:styleId="Headingb">
    <w:name w:val="Heading_b"/>
    <w:basedOn w:val="Normal"/>
    <w:next w:val="Normal"/>
    <w:link w:val="HeadingbChar"/>
    <w:qFormat/>
    <w:rsid w:val="007B527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eastAsia="MS Mincho" w:hAnsi="Times New Roman Bold" w:cs="Times New Roman Bold"/>
      <w:b/>
      <w:szCs w:val="20"/>
      <w:lang w:val="fr-CH"/>
    </w:rPr>
  </w:style>
  <w:style w:type="paragraph" w:customStyle="1" w:styleId="Figure">
    <w:name w:val="Figure"/>
    <w:basedOn w:val="Normal"/>
    <w:next w:val="Normal"/>
    <w:rsid w:val="007B527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eastAsia="MS Mincho"/>
      <w:szCs w:val="20"/>
      <w:lang w:val="en-GB"/>
    </w:rPr>
  </w:style>
  <w:style w:type="paragraph" w:customStyle="1" w:styleId="Figuretitle">
    <w:name w:val="Figure_title"/>
    <w:basedOn w:val="Normal"/>
    <w:next w:val="Normal"/>
    <w:link w:val="FiguretitleChar"/>
    <w:rsid w:val="007B527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  <w:sz w:val="20"/>
      <w:szCs w:val="20"/>
      <w:lang w:val="en-GB"/>
    </w:rPr>
  </w:style>
  <w:style w:type="paragraph" w:customStyle="1" w:styleId="FigureNo">
    <w:name w:val="Figure_No"/>
    <w:basedOn w:val="Normal"/>
    <w:next w:val="Normal"/>
    <w:link w:val="FigureNoChar"/>
    <w:qFormat/>
    <w:rsid w:val="007B527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MS Mincho"/>
      <w:caps/>
      <w:sz w:val="20"/>
      <w:szCs w:val="20"/>
      <w:lang w:val="en-GB"/>
    </w:rPr>
  </w:style>
  <w:style w:type="paragraph" w:customStyle="1" w:styleId="AnnexNo">
    <w:name w:val="Annex_No"/>
    <w:basedOn w:val="Normal"/>
    <w:next w:val="Normal"/>
    <w:rsid w:val="007B527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7B527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S Mincho" w:hAnsi="Times New Roman Bold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7B527A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Cs w:val="20"/>
      <w:lang w:val="en-GB"/>
    </w:rPr>
  </w:style>
  <w:style w:type="character" w:customStyle="1" w:styleId="HeadingbChar">
    <w:name w:val="Heading_b Char"/>
    <w:link w:val="Headingb"/>
    <w:locked/>
    <w:rsid w:val="007B527A"/>
    <w:rPr>
      <w:rFonts w:ascii="Times New Roman Bold" w:eastAsia="MS Mincho" w:hAnsi="Times New Roman Bold" w:cs="Times New Roman Bold"/>
      <w:b/>
      <w:sz w:val="24"/>
      <w:lang w:val="fr-CH"/>
    </w:rPr>
  </w:style>
  <w:style w:type="table" w:styleId="TableGrid">
    <w:name w:val="Table Grid"/>
    <w:basedOn w:val="TableNormal"/>
    <w:uiPriority w:val="59"/>
    <w:rsid w:val="007B527A"/>
    <w:rPr>
      <w:rFonts w:asciiTheme="minorHAnsi" w:eastAsiaTheme="minorHAnsi" w:hAnsiTheme="minorHAnsi" w:cstheme="minorBid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7B527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eastAsia="SimSun"/>
      <w:i/>
      <w:sz w:val="20"/>
      <w:szCs w:val="20"/>
      <w:lang w:eastAsia="ja-JP"/>
    </w:rPr>
  </w:style>
  <w:style w:type="character" w:customStyle="1" w:styleId="EquationChar">
    <w:name w:val="Equation Char"/>
    <w:link w:val="Equation"/>
    <w:qFormat/>
    <w:rsid w:val="007B527A"/>
    <w:rPr>
      <w:rFonts w:eastAsia="MS Mincho"/>
      <w:sz w:val="24"/>
      <w:szCs w:val="22"/>
      <w:lang w:val="en-GB"/>
    </w:rPr>
  </w:style>
  <w:style w:type="character" w:customStyle="1" w:styleId="EquationlegendChar">
    <w:name w:val="Equation_legend Char"/>
    <w:link w:val="Equationlegend"/>
    <w:qFormat/>
    <w:locked/>
    <w:rsid w:val="007B527A"/>
    <w:rPr>
      <w:rFonts w:eastAsia="MS Mincho"/>
      <w:sz w:val="24"/>
      <w:lang w:val="en-GB"/>
    </w:rPr>
  </w:style>
  <w:style w:type="character" w:customStyle="1" w:styleId="FigureNoChar">
    <w:name w:val="Figure_No Char"/>
    <w:basedOn w:val="DefaultParagraphFont"/>
    <w:link w:val="FigureNo"/>
    <w:qFormat/>
    <w:locked/>
    <w:rsid w:val="007B527A"/>
    <w:rPr>
      <w:rFonts w:eastAsia="MS Mincho"/>
      <w:caps/>
      <w:lang w:val="en-GB"/>
    </w:rPr>
  </w:style>
  <w:style w:type="character" w:customStyle="1" w:styleId="FiguretitleChar">
    <w:name w:val="Figure_title Char"/>
    <w:basedOn w:val="DefaultParagraphFont"/>
    <w:link w:val="Figuretitle"/>
    <w:locked/>
    <w:rsid w:val="007B527A"/>
    <w:rPr>
      <w:rFonts w:ascii="Times New Roman Bold" w:eastAsia="MS Mincho" w:hAnsi="Times New Roman Bold"/>
      <w:b/>
      <w:lang w:val="en-GB"/>
    </w:rPr>
  </w:style>
  <w:style w:type="character" w:styleId="PlaceholderText">
    <w:name w:val="Placeholder Text"/>
    <w:basedOn w:val="DefaultParagraphFont"/>
    <w:uiPriority w:val="99"/>
    <w:semiHidden/>
    <w:rsid w:val="008071D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B76C3"/>
    <w:rPr>
      <w:rFonts w:eastAsia="BatangChe"/>
      <w:b/>
      <w:bCs/>
      <w:sz w:val="24"/>
      <w:szCs w:val="24"/>
    </w:rPr>
  </w:style>
  <w:style w:type="paragraph" w:customStyle="1" w:styleId="Title1">
    <w:name w:val="Title 1"/>
    <w:basedOn w:val="Normal"/>
    <w:next w:val="Normal"/>
    <w:rsid w:val="006B76C3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6B76C3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R15-CPM19.02-C-0001/en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TG5.1-C-0478/en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CPM19.02-C-0001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5-CPM19.02-C-0001/en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tu.int/md/R15-CPM19.02-C-0001/en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www.itu.int/md/R15-TG5.1-C-0478/en" TargetMode="External"/><Relationship Id="rId14" Type="http://schemas.openxmlformats.org/officeDocument/2006/relationships/hyperlink" Target="https://www.itu.int/md/R15-CPM19.02-C-0001/en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a-imata@kddi.com" TargetMode="External"/><Relationship Id="rId1" Type="http://schemas.openxmlformats.org/officeDocument/2006/relationships/hyperlink" Target="mailto:y-yokoyama@sptvjsa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346BC-FE21-4489-85BB-C7557BA1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4059</Words>
  <Characters>23137</Characters>
  <Application>Microsoft Office Word</Application>
  <DocSecurity>0</DocSecurity>
  <Lines>192</Lines>
  <Paragraphs>54</Paragraphs>
  <ScaleCrop>false</ScaleCrop>
  <Company/>
  <LinksUpToDate>false</LinksUpToDate>
  <CharactersWithSpaces>27142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2018-12-04T09:33:00Z</dcterms:created>
  <dcterms:modified xsi:type="dcterms:W3CDTF">2018-12-28T13:17:00Z</dcterms:modified>
</cp:coreProperties>
</file>