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19" w:type="dxa"/>
        <w:tblBorders>
          <w:bottom w:val="single" w:sz="12" w:space="0" w:color="auto"/>
        </w:tblBorders>
        <w:tblLayout w:type="fixed"/>
        <w:tblCellMar>
          <w:left w:w="99" w:type="dxa"/>
          <w:right w:w="99" w:type="dxa"/>
        </w:tblCellMar>
        <w:tblLook w:val="0000" w:firstRow="0" w:lastRow="0" w:firstColumn="0" w:lastColumn="0" w:noHBand="0" w:noVBand="0"/>
      </w:tblPr>
      <w:tblGrid>
        <w:gridCol w:w="1399"/>
        <w:gridCol w:w="5720"/>
        <w:gridCol w:w="2700"/>
      </w:tblGrid>
      <w:tr w:rsidR="001A25A5" w:rsidRPr="00441526" w:rsidTr="008B1A16">
        <w:trPr>
          <w:cantSplit/>
        </w:trPr>
        <w:tc>
          <w:tcPr>
            <w:tcW w:w="1399" w:type="dxa"/>
            <w:vMerge w:val="restart"/>
          </w:tcPr>
          <w:p w:rsidR="001A25A5" w:rsidRPr="00441526" w:rsidRDefault="00B873AA" w:rsidP="008B1A16">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extent cx="758825" cy="716280"/>
                  <wp:effectExtent l="19050" t="0" r="3175" b="0"/>
                  <wp:docPr id="1" name="Picture 1"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logogreen3"/>
                          <pic:cNvPicPr>
                            <a:picLocks noChangeAspect="1" noChangeArrowheads="1"/>
                          </pic:cNvPicPr>
                        </pic:nvPicPr>
                        <pic:blipFill>
                          <a:blip r:embed="rId7" cstate="print"/>
                          <a:srcRect/>
                          <a:stretch>
                            <a:fillRect/>
                          </a:stretch>
                        </pic:blipFill>
                        <pic:spPr bwMode="auto">
                          <a:xfrm>
                            <a:off x="0" y="0"/>
                            <a:ext cx="758825" cy="716280"/>
                          </a:xfrm>
                          <a:prstGeom prst="rect">
                            <a:avLst/>
                          </a:prstGeom>
                          <a:noFill/>
                          <a:ln w="9525">
                            <a:noFill/>
                            <a:miter lim="800000"/>
                            <a:headEnd/>
                            <a:tailEnd/>
                          </a:ln>
                        </pic:spPr>
                      </pic:pic>
                    </a:graphicData>
                  </a:graphic>
                </wp:inline>
              </w:drawing>
            </w:r>
          </w:p>
        </w:tc>
        <w:tc>
          <w:tcPr>
            <w:tcW w:w="5720" w:type="dxa"/>
          </w:tcPr>
          <w:p w:rsidR="001A25A5" w:rsidRPr="00441526" w:rsidRDefault="001A25A5" w:rsidP="008B1A16">
            <w:r w:rsidRPr="00441526">
              <w:t>ASIA-PACIFIC TELECOMMUNITY</w:t>
            </w:r>
          </w:p>
        </w:tc>
        <w:tc>
          <w:tcPr>
            <w:tcW w:w="2700" w:type="dxa"/>
          </w:tcPr>
          <w:p w:rsidR="001A25A5" w:rsidRPr="00441526" w:rsidRDefault="001A25A5" w:rsidP="008B1A16">
            <w:pPr>
              <w:rPr>
                <w:b/>
                <w:bCs/>
                <w:lang w:val="fr-FR"/>
              </w:rPr>
            </w:pPr>
            <w:r w:rsidRPr="00441526">
              <w:rPr>
                <w:b/>
                <w:lang w:val="fr-FR"/>
              </w:rPr>
              <w:t>Document</w:t>
            </w:r>
            <w:r>
              <w:rPr>
                <w:b/>
                <w:lang w:val="fr-FR"/>
              </w:rPr>
              <w:t xml:space="preserve"> No</w:t>
            </w:r>
            <w:r w:rsidRPr="00441526">
              <w:rPr>
                <w:b/>
                <w:lang w:val="fr-FR"/>
              </w:rPr>
              <w:t xml:space="preserve">: </w:t>
            </w:r>
          </w:p>
        </w:tc>
      </w:tr>
      <w:tr w:rsidR="001A25A5" w:rsidRPr="00441526" w:rsidTr="008B1A16">
        <w:trPr>
          <w:cantSplit/>
        </w:trPr>
        <w:tc>
          <w:tcPr>
            <w:tcW w:w="1399" w:type="dxa"/>
            <w:vMerge/>
          </w:tcPr>
          <w:p w:rsidR="001A25A5" w:rsidRPr="00441526" w:rsidRDefault="001A25A5" w:rsidP="008B1A16"/>
        </w:tc>
        <w:tc>
          <w:tcPr>
            <w:tcW w:w="5720" w:type="dxa"/>
          </w:tcPr>
          <w:p w:rsidR="001A25A5" w:rsidRPr="00441526" w:rsidRDefault="001A25A5" w:rsidP="008B1A16">
            <w:pPr>
              <w:spacing w:line="0" w:lineRule="atLeast"/>
            </w:pPr>
            <w:r w:rsidRPr="00441526">
              <w:rPr>
                <w:b/>
              </w:rPr>
              <w:t xml:space="preserve">The </w:t>
            </w:r>
            <w:r>
              <w:rPr>
                <w:b/>
              </w:rPr>
              <w:t xml:space="preserve">4th </w:t>
            </w:r>
            <w:r w:rsidRPr="00441526">
              <w:rPr>
                <w:b/>
              </w:rPr>
              <w:t>Meeting of the APT Conference Preparatory  Group for WRC-19 (APG19-</w:t>
            </w:r>
            <w:r>
              <w:rPr>
                <w:b/>
              </w:rPr>
              <w:t>4</w:t>
            </w:r>
            <w:r w:rsidRPr="00441526">
              <w:rPr>
                <w:b/>
              </w:rPr>
              <w:t>)</w:t>
            </w:r>
          </w:p>
        </w:tc>
        <w:tc>
          <w:tcPr>
            <w:tcW w:w="2700" w:type="dxa"/>
          </w:tcPr>
          <w:p w:rsidR="001A25A5" w:rsidRPr="00441526" w:rsidRDefault="001A25A5" w:rsidP="0087704D">
            <w:pPr>
              <w:rPr>
                <w:b/>
                <w:bCs/>
                <w:lang w:val="fr-FR"/>
              </w:rPr>
            </w:pPr>
            <w:r w:rsidRPr="00441526">
              <w:rPr>
                <w:b/>
                <w:bCs/>
                <w:lang w:val="fr-FR"/>
              </w:rPr>
              <w:t>APG19-</w:t>
            </w:r>
            <w:r>
              <w:rPr>
                <w:b/>
                <w:bCs/>
                <w:lang w:val="fr-FR"/>
              </w:rPr>
              <w:t>4</w:t>
            </w:r>
            <w:r w:rsidRPr="00441526">
              <w:rPr>
                <w:b/>
                <w:bCs/>
                <w:lang w:val="fr-FR"/>
              </w:rPr>
              <w:t>/</w:t>
            </w:r>
            <w:r>
              <w:rPr>
                <w:b/>
                <w:bCs/>
                <w:lang w:val="fr-FR"/>
              </w:rPr>
              <w:t>INP</w:t>
            </w:r>
            <w:r w:rsidR="0087704D">
              <w:rPr>
                <w:b/>
                <w:bCs/>
                <w:lang w:val="fr-FR"/>
              </w:rPr>
              <w:t>-84</w:t>
            </w:r>
          </w:p>
        </w:tc>
      </w:tr>
      <w:tr w:rsidR="001A25A5" w:rsidRPr="00441526" w:rsidTr="008B1A16">
        <w:trPr>
          <w:cantSplit/>
          <w:trHeight w:val="219"/>
        </w:trPr>
        <w:tc>
          <w:tcPr>
            <w:tcW w:w="1399" w:type="dxa"/>
            <w:vMerge/>
          </w:tcPr>
          <w:p w:rsidR="001A25A5" w:rsidRPr="00441526" w:rsidRDefault="001A25A5" w:rsidP="008B1A16">
            <w:pPr>
              <w:rPr>
                <w:lang w:val="fr-FR"/>
              </w:rPr>
            </w:pPr>
          </w:p>
        </w:tc>
        <w:tc>
          <w:tcPr>
            <w:tcW w:w="5720" w:type="dxa"/>
          </w:tcPr>
          <w:p w:rsidR="001A25A5" w:rsidRPr="00441526" w:rsidRDefault="001A25A5" w:rsidP="008B1A16">
            <w:r>
              <w:t>7</w:t>
            </w:r>
            <w:r w:rsidRPr="00441526">
              <w:t xml:space="preserve"> – 1</w:t>
            </w:r>
            <w:r>
              <w:t>2</w:t>
            </w:r>
            <w:r w:rsidR="009051C3">
              <w:t xml:space="preserve"> </w:t>
            </w:r>
            <w:r>
              <w:t xml:space="preserve">January </w:t>
            </w:r>
            <w:r w:rsidR="00156B2D">
              <w:t>2019</w:t>
            </w:r>
            <w:bookmarkStart w:id="0" w:name="_GoBack"/>
            <w:bookmarkEnd w:id="0"/>
            <w:r w:rsidRPr="00441526">
              <w:t xml:space="preserve">, </w:t>
            </w:r>
            <w:r>
              <w:t>Busan</w:t>
            </w:r>
            <w:r w:rsidRPr="00441526">
              <w:t xml:space="preserve">, </w:t>
            </w:r>
            <w:r>
              <w:t>Republic of Korea</w:t>
            </w:r>
          </w:p>
        </w:tc>
        <w:tc>
          <w:tcPr>
            <w:tcW w:w="2700" w:type="dxa"/>
          </w:tcPr>
          <w:p w:rsidR="001A25A5" w:rsidRPr="00441526" w:rsidRDefault="009051C3" w:rsidP="008B1A16">
            <w:pPr>
              <w:rPr>
                <w:b/>
              </w:rPr>
            </w:pPr>
            <w:r>
              <w:rPr>
                <w:b/>
              </w:rPr>
              <w:t>31</w:t>
            </w:r>
            <w:r w:rsidR="001A25A5" w:rsidRPr="00441526">
              <w:rPr>
                <w:b/>
              </w:rPr>
              <w:t xml:space="preserve"> </w:t>
            </w:r>
            <w:r w:rsidR="001A25A5">
              <w:rPr>
                <w:b/>
              </w:rPr>
              <w:t xml:space="preserve">December </w:t>
            </w:r>
            <w:r w:rsidR="001A25A5" w:rsidRPr="00441526">
              <w:rPr>
                <w:b/>
              </w:rPr>
              <w:t>2018</w:t>
            </w:r>
          </w:p>
        </w:tc>
      </w:tr>
    </w:tbl>
    <w:p w:rsidR="00DA7595" w:rsidRPr="001A25A5" w:rsidRDefault="00DA7595" w:rsidP="00DA7595">
      <w:pPr>
        <w:rPr>
          <w:sz w:val="26"/>
          <w:szCs w:val="26"/>
          <w:lang w:eastAsia="ko-KR"/>
        </w:rPr>
      </w:pPr>
    </w:p>
    <w:p w:rsidR="009454A7" w:rsidRPr="00620BFE" w:rsidRDefault="009454A7" w:rsidP="009454A7">
      <w:pPr>
        <w:jc w:val="center"/>
        <w:rPr>
          <w:lang w:eastAsia="ko-KR"/>
        </w:rPr>
      </w:pPr>
      <w:r w:rsidRPr="00620BFE">
        <w:rPr>
          <w:lang w:eastAsia="ko-KR"/>
        </w:rPr>
        <w:t>Iran (Islamic Republic of)</w:t>
      </w:r>
    </w:p>
    <w:p w:rsidR="00FE3DE5" w:rsidRPr="001A25A5" w:rsidRDefault="00FE3DE5" w:rsidP="0063062B">
      <w:pPr>
        <w:jc w:val="center"/>
        <w:rPr>
          <w:bCs/>
          <w:caps/>
          <w:sz w:val="26"/>
          <w:szCs w:val="26"/>
        </w:rPr>
      </w:pPr>
    </w:p>
    <w:p w:rsidR="00C357AD" w:rsidRPr="001A25A5" w:rsidRDefault="00FE3DE5" w:rsidP="00FF58B4">
      <w:pPr>
        <w:jc w:val="center"/>
        <w:rPr>
          <w:b/>
          <w:bCs/>
          <w:caps/>
        </w:rPr>
      </w:pPr>
      <w:r w:rsidRPr="001A25A5">
        <w:rPr>
          <w:b/>
          <w:bCs/>
          <w:caps/>
        </w:rPr>
        <w:t xml:space="preserve">preliminary views on </w:t>
      </w:r>
      <w:r w:rsidR="00FF58B4">
        <w:rPr>
          <w:b/>
          <w:bCs/>
          <w:caps/>
        </w:rPr>
        <w:br/>
      </w:r>
      <w:r w:rsidRPr="001A25A5">
        <w:rPr>
          <w:b/>
          <w:bCs/>
          <w:caps/>
        </w:rPr>
        <w:t>WRC-1</w:t>
      </w:r>
      <w:r w:rsidR="000476FF">
        <w:rPr>
          <w:b/>
          <w:bCs/>
          <w:caps/>
        </w:rPr>
        <w:t>9</w:t>
      </w:r>
      <w:r w:rsidR="00D1252E" w:rsidRPr="001A25A5">
        <w:rPr>
          <w:b/>
          <w:bCs/>
          <w:caps/>
        </w:rPr>
        <w:t xml:space="preserve"> agenda items </w:t>
      </w:r>
      <w:r w:rsidR="00FF58B4">
        <w:rPr>
          <w:b/>
          <w:bCs/>
          <w:caps/>
        </w:rPr>
        <w:t>1.13</w:t>
      </w:r>
      <w:r w:rsidR="00D1252E" w:rsidRPr="001A25A5">
        <w:rPr>
          <w:b/>
          <w:bCs/>
          <w:caps/>
        </w:rPr>
        <w:t xml:space="preserve">, </w:t>
      </w:r>
      <w:r w:rsidR="00FF58B4">
        <w:rPr>
          <w:b/>
          <w:bCs/>
          <w:caps/>
        </w:rPr>
        <w:t>1.16</w:t>
      </w:r>
      <w:r w:rsidR="00D1252E" w:rsidRPr="001A25A5">
        <w:rPr>
          <w:b/>
          <w:bCs/>
          <w:caps/>
        </w:rPr>
        <w:t xml:space="preserve">, </w:t>
      </w:r>
      <w:r w:rsidR="00FF58B4" w:rsidRPr="00FF58B4">
        <w:rPr>
          <w:b/>
          <w:bCs/>
          <w:caps/>
        </w:rPr>
        <w:t>9.1 (issues 9.1.1, 9.1.5, 9.1.8)</w:t>
      </w:r>
    </w:p>
    <w:p w:rsidR="00DB0A68" w:rsidRDefault="00DB0A68" w:rsidP="00C357AD">
      <w:pPr>
        <w:jc w:val="center"/>
      </w:pPr>
    </w:p>
    <w:p w:rsidR="00C357AD" w:rsidRDefault="00C357AD" w:rsidP="00C357AD">
      <w:pPr>
        <w:jc w:val="center"/>
        <w:rPr>
          <w:b/>
        </w:rPr>
      </w:pPr>
    </w:p>
    <w:p w:rsidR="00C357AD" w:rsidRDefault="00C357AD" w:rsidP="00C357AD">
      <w:pPr>
        <w:jc w:val="both"/>
        <w:rPr>
          <w:b/>
        </w:rPr>
      </w:pPr>
    </w:p>
    <w:p w:rsidR="007073BB" w:rsidRDefault="007073BB" w:rsidP="007073BB">
      <w:pPr>
        <w:rPr>
          <w:color w:val="000000"/>
        </w:rPr>
      </w:pPr>
      <w:r>
        <w:rPr>
          <w:color w:val="000000"/>
        </w:rPr>
        <w:t xml:space="preserve">This document </w:t>
      </w:r>
      <w:r>
        <w:rPr>
          <w:rFonts w:eastAsia="Times New Roman"/>
          <w:color w:val="000000"/>
          <w:szCs w:val="20"/>
          <w:lang w:val="en-GB"/>
        </w:rPr>
        <w:t xml:space="preserve">provides the preliminary views </w:t>
      </w:r>
      <w:r>
        <w:rPr>
          <w:color w:val="000000"/>
        </w:rPr>
        <w:t xml:space="preserve">of the Islamic </w:t>
      </w:r>
      <w:r w:rsidRPr="000142D6">
        <w:rPr>
          <w:color w:val="000000"/>
        </w:rPr>
        <w:t>Republic of Iran on agenda item</w:t>
      </w:r>
      <w:r>
        <w:rPr>
          <w:color w:val="000000"/>
        </w:rPr>
        <w:t xml:space="preserve">s </w:t>
      </w:r>
      <w:r w:rsidRPr="007073BB">
        <w:rPr>
          <w:color w:val="000000"/>
        </w:rPr>
        <w:t>1.13, 1.16, 9.1 (issues 9.1.1, 9.1.5, 9.1.8)</w:t>
      </w:r>
      <w:r>
        <w:rPr>
          <w:color w:val="000000"/>
        </w:rPr>
        <w:t xml:space="preserve"> </w:t>
      </w:r>
      <w:r w:rsidRPr="000142D6">
        <w:rPr>
          <w:color w:val="000000"/>
        </w:rPr>
        <w:t>of</w:t>
      </w:r>
      <w:r>
        <w:rPr>
          <w:color w:val="000000"/>
        </w:rPr>
        <w:t xml:space="preserve"> </w:t>
      </w:r>
      <w:r w:rsidRPr="000142D6">
        <w:rPr>
          <w:color w:val="000000"/>
        </w:rPr>
        <w:t xml:space="preserve"> WRC-1</w:t>
      </w:r>
      <w:r>
        <w:rPr>
          <w:color w:val="000000"/>
        </w:rPr>
        <w:t>9 for discussion at the four</w:t>
      </w:r>
      <w:r w:rsidRPr="000142D6">
        <w:rPr>
          <w:color w:val="000000"/>
        </w:rPr>
        <w:t>th meeting</w:t>
      </w:r>
      <w:r w:rsidRPr="00630967">
        <w:t xml:space="preserve"> of the APT Preparatory Group for WRC-201</w:t>
      </w:r>
      <w:r>
        <w:t>9</w:t>
      </w:r>
      <w:r w:rsidRPr="00630967">
        <w:t xml:space="preserve"> (APG1</w:t>
      </w:r>
      <w:r>
        <w:t>9</w:t>
      </w:r>
      <w:r w:rsidRPr="00630967">
        <w:t>-</w:t>
      </w:r>
      <w:r>
        <w:t>4</w:t>
      </w:r>
      <w:r w:rsidRPr="00630967">
        <w:t xml:space="preserve">), </w:t>
      </w:r>
      <w:r w:rsidR="00AB1ECF">
        <w:t>0</w:t>
      </w:r>
      <w:r>
        <w:t>7</w:t>
      </w:r>
      <w:r w:rsidRPr="00441526">
        <w:t xml:space="preserve"> – 1</w:t>
      </w:r>
      <w:r>
        <w:t xml:space="preserve">2 January </w:t>
      </w:r>
      <w:r w:rsidRPr="00441526">
        <w:t xml:space="preserve">2018, </w:t>
      </w:r>
      <w:r>
        <w:t>Busan</w:t>
      </w:r>
      <w:r w:rsidRPr="00441526">
        <w:t xml:space="preserve">, </w:t>
      </w:r>
      <w:r>
        <w:t>Republic of Korea</w:t>
      </w:r>
      <w:r>
        <w:rPr>
          <w:color w:val="000000"/>
        </w:rPr>
        <w:t>.</w:t>
      </w:r>
    </w:p>
    <w:p w:rsidR="007073BB" w:rsidRPr="00D622DA" w:rsidRDefault="007073BB" w:rsidP="007073BB">
      <w:pPr>
        <w:tabs>
          <w:tab w:val="left" w:pos="1134"/>
          <w:tab w:val="left" w:pos="1871"/>
          <w:tab w:val="left" w:pos="2268"/>
          <w:tab w:val="left" w:pos="8640"/>
        </w:tabs>
        <w:overflowPunct w:val="0"/>
        <w:autoSpaceDE w:val="0"/>
        <w:autoSpaceDN w:val="0"/>
        <w:adjustRightInd w:val="0"/>
        <w:spacing w:before="120" w:after="100"/>
        <w:jc w:val="both"/>
        <w:rPr>
          <w:rFonts w:eastAsia="Times New Roman"/>
          <w:color w:val="000000"/>
          <w:szCs w:val="20"/>
          <w:lang w:val="en-GB"/>
        </w:rPr>
      </w:pPr>
      <w:r>
        <w:rPr>
          <w:rFonts w:eastAsia="Times New Roman"/>
          <w:color w:val="000000"/>
          <w:szCs w:val="20"/>
          <w:lang w:val="en-GB"/>
        </w:rPr>
        <w:t>These preliminary views are provisional and subject to any consideration until the final meeting of the APT Conference Preparatory Group to be held before WRC-19.</w:t>
      </w:r>
    </w:p>
    <w:p w:rsidR="008319BF" w:rsidRDefault="000A5418" w:rsidP="00FF58B4">
      <w:pPr>
        <w:jc w:val="both"/>
      </w:pPr>
      <w:r>
        <w:rPr>
          <w:b/>
        </w:rPr>
        <w:t xml:space="preserve">Agenda Item </w:t>
      </w:r>
      <w:r w:rsidR="00FF58B4">
        <w:rPr>
          <w:b/>
        </w:rPr>
        <w:t>1</w:t>
      </w:r>
      <w:r>
        <w:rPr>
          <w:b/>
        </w:rPr>
        <w:t>.1</w:t>
      </w:r>
      <w:r w:rsidR="00FF58B4">
        <w:rPr>
          <w:b/>
        </w:rPr>
        <w:t>3</w:t>
      </w:r>
      <w:r>
        <w:rPr>
          <w:b/>
        </w:rPr>
        <w:t xml:space="preserve">: </w:t>
      </w:r>
    </w:p>
    <w:p w:rsidR="000A5418" w:rsidRPr="000A5418" w:rsidRDefault="006A6268" w:rsidP="006A6268">
      <w:pPr>
        <w:jc w:val="both"/>
        <w:rPr>
          <w:i/>
        </w:rPr>
      </w:pPr>
      <w:r w:rsidRPr="0093759B">
        <w:rPr>
          <w:i/>
          <w:lang w:val="en-GB"/>
        </w:rPr>
        <w:t>to consider identification of frequency bands for the future development of International Mobile Telecommunications (IMT), including possible additional allocations to the mobile service on a primary basis, in accordance with Resolution </w:t>
      </w:r>
      <w:r w:rsidRPr="0093759B">
        <w:rPr>
          <w:b/>
          <w:i/>
          <w:lang w:val="en-GB"/>
        </w:rPr>
        <w:t>238</w:t>
      </w:r>
      <w:r w:rsidRPr="0093759B">
        <w:rPr>
          <w:b/>
          <w:bCs/>
          <w:i/>
          <w:lang w:val="en-GB"/>
        </w:rPr>
        <w:t xml:space="preserve"> (WRC</w:t>
      </w:r>
      <w:r w:rsidRPr="0093759B">
        <w:rPr>
          <w:b/>
          <w:bCs/>
          <w:i/>
          <w:lang w:val="en-GB"/>
        </w:rPr>
        <w:noBreakHyphen/>
        <w:t>15)</w:t>
      </w:r>
      <w:r w:rsidRPr="0093759B">
        <w:rPr>
          <w:i/>
          <w:lang w:val="en-GB"/>
        </w:rPr>
        <w:t>;</w:t>
      </w:r>
    </w:p>
    <w:p w:rsidR="000A5418" w:rsidRDefault="000A5418" w:rsidP="00C357AD">
      <w:pPr>
        <w:jc w:val="both"/>
      </w:pPr>
    </w:p>
    <w:p w:rsidR="000A5418" w:rsidRPr="00A30FA5" w:rsidRDefault="000A5418" w:rsidP="000A5418">
      <w:pPr>
        <w:spacing w:after="120"/>
        <w:jc w:val="both"/>
        <w:rPr>
          <w:b/>
          <w:lang w:eastAsia="ko-KR"/>
        </w:rPr>
      </w:pPr>
      <w:r w:rsidRPr="00A30FA5">
        <w:rPr>
          <w:rFonts w:hint="eastAsia"/>
          <w:b/>
          <w:lang w:eastAsia="ko-KR"/>
        </w:rPr>
        <w:t>1. Background</w:t>
      </w:r>
    </w:p>
    <w:p w:rsidR="00973D2D" w:rsidRDefault="00973D2D" w:rsidP="00973D2D">
      <w:pPr>
        <w:jc w:val="both"/>
        <w:rPr>
          <w:rFonts w:eastAsia="MS Mincho"/>
          <w:lang w:eastAsia="ja-JP"/>
        </w:rPr>
      </w:pPr>
      <w:r>
        <w:t xml:space="preserve">IMT systems are now being evolved to provide diverse usage scenarios and applications such as enhanced mobile broadband (eMBB), massive machine-type (mMTC) and ultra-reliable and low-latency communications (URLLC) requiring larger contiguous blocks of spectrum than currently available bandwidth to realize those applications, as described in Recommendation ITU-R </w:t>
      </w:r>
      <w:r w:rsidRPr="009E1892">
        <w:rPr>
          <w:b/>
          <w:bCs/>
        </w:rPr>
        <w:t>M.2083</w:t>
      </w:r>
      <w:r>
        <w:t>.</w:t>
      </w:r>
    </w:p>
    <w:p w:rsidR="00973D2D" w:rsidRPr="00566D38" w:rsidRDefault="00973D2D" w:rsidP="00973D2D">
      <w:pPr>
        <w:jc w:val="both"/>
        <w:rPr>
          <w:rFonts w:eastAsia="MS Mincho"/>
          <w:lang w:eastAsia="ja-JP"/>
        </w:rPr>
      </w:pPr>
    </w:p>
    <w:p w:rsidR="00973D2D" w:rsidRPr="00566D38" w:rsidRDefault="00973D2D" w:rsidP="00973D2D">
      <w:pPr>
        <w:jc w:val="both"/>
      </w:pPr>
      <w:r w:rsidRPr="00566D38">
        <w:t>Adequate and timely availability of spectrum with appropriate regulatory provisions, as well as improved technologies, are essential to support the future growth of IMT. Harmonized worldwide frequency bands and harmonized frequency arrangements for these systems are highly desirable in order to facilitate global roaming and the benefits of economies of scale.</w:t>
      </w:r>
    </w:p>
    <w:p w:rsidR="00973D2D" w:rsidRDefault="00973D2D" w:rsidP="00973D2D">
      <w:pPr>
        <w:jc w:val="both"/>
        <w:rPr>
          <w:rFonts w:eastAsia="MS Mincho"/>
          <w:lang w:eastAsia="ja-JP"/>
        </w:rPr>
      </w:pPr>
    </w:p>
    <w:p w:rsidR="00973D2D" w:rsidRPr="00566D38" w:rsidRDefault="00973D2D" w:rsidP="009E1892">
      <w:pPr>
        <w:jc w:val="both"/>
      </w:pPr>
      <w:r w:rsidRPr="00566D38">
        <w:rPr>
          <w:rFonts w:hint="eastAsia"/>
        </w:rPr>
        <w:t xml:space="preserve">Regarding </w:t>
      </w:r>
      <w:r w:rsidRPr="009E1892">
        <w:rPr>
          <w:rFonts w:hint="eastAsia"/>
          <w:b/>
          <w:bCs/>
        </w:rPr>
        <w:t>WRC-19</w:t>
      </w:r>
      <w:r w:rsidRPr="00566D38">
        <w:rPr>
          <w:rFonts w:hint="eastAsia"/>
        </w:rPr>
        <w:t xml:space="preserve"> agenda item </w:t>
      </w:r>
      <w:r w:rsidRPr="009E1892">
        <w:rPr>
          <w:rFonts w:hint="eastAsia"/>
          <w:b/>
          <w:bCs/>
        </w:rPr>
        <w:t>1.13</w:t>
      </w:r>
      <w:r w:rsidRPr="00566D38">
        <w:rPr>
          <w:rFonts w:hint="eastAsia"/>
        </w:rPr>
        <w:t xml:space="preserve">, </w:t>
      </w:r>
      <w:r w:rsidRPr="00566D38">
        <w:t xml:space="preserve">Resolution </w:t>
      </w:r>
      <w:r w:rsidRPr="00566D38">
        <w:rPr>
          <w:b/>
        </w:rPr>
        <w:t>238 (WRC-15)</w:t>
      </w:r>
      <w:r w:rsidRPr="00566D38">
        <w:t xml:space="preserve"> calls for studies to determine the spectrum needs for the terrestrial component of IMT in the frequency range between 24.25</w:t>
      </w:r>
      <w:r w:rsidR="009E1892">
        <w:t> </w:t>
      </w:r>
      <w:r w:rsidRPr="00566D38">
        <w:t>GHz and 86 GHz, as well as sharing and compatibility studies, taking into account the protection of services to which the band is allocated on a primary basis, for the frequency bands:</w:t>
      </w:r>
    </w:p>
    <w:p w:rsidR="00973D2D" w:rsidRPr="0093759B" w:rsidRDefault="00973D2D" w:rsidP="00973D2D">
      <w:pPr>
        <w:pStyle w:val="enumlev1"/>
      </w:pPr>
      <w:r w:rsidRPr="0093759B">
        <w:t>–</w:t>
      </w:r>
      <w:r w:rsidRPr="0093759B">
        <w:tab/>
        <w:t>24.25-27.5 GHz</w:t>
      </w:r>
      <w:r w:rsidRPr="0093759B">
        <w:rPr>
          <w:rStyle w:val="FootnoteReference"/>
        </w:rPr>
        <w:footnoteReference w:id="1"/>
      </w:r>
      <w:r w:rsidRPr="0093759B">
        <w:t>, 37-40.5 GHz, 42.5-43.5 GHz, 45.5-47 GHz, 47.2-50.2 GHz, 50.4</w:t>
      </w:r>
      <w:r w:rsidRPr="0093759B">
        <w:noBreakHyphen/>
        <w:t>52.6 GHz, 66-76 GHz and 81-86 GHz, which have allocations to the mobile service on a primary basis; and</w:t>
      </w:r>
    </w:p>
    <w:p w:rsidR="00973D2D" w:rsidRPr="0093759B" w:rsidRDefault="00973D2D" w:rsidP="00973D2D">
      <w:pPr>
        <w:pStyle w:val="enumlev1"/>
      </w:pPr>
      <w:r w:rsidRPr="0093759B">
        <w:t>–</w:t>
      </w:r>
      <w:r w:rsidRPr="0093759B">
        <w:tab/>
        <w:t>31.8-33.4 GHz, 40.5-42.5 GHz and 47-47.2 GHz, which may require additional allocations to the mobile service on a primary basis.</w:t>
      </w:r>
    </w:p>
    <w:p w:rsidR="00973D2D" w:rsidRDefault="00973D2D" w:rsidP="00973D2D">
      <w:pPr>
        <w:jc w:val="both"/>
        <w:rPr>
          <w:rFonts w:eastAsia="MS Mincho"/>
          <w:lang w:eastAsia="ja-JP"/>
        </w:rPr>
      </w:pPr>
    </w:p>
    <w:p w:rsidR="00F3345E" w:rsidRDefault="00F3345E" w:rsidP="00F3345E">
      <w:pPr>
        <w:jc w:val="both"/>
      </w:pPr>
      <w:r w:rsidRPr="00E62790">
        <w:t xml:space="preserve">The draft CPM Report has been prepared on the basis of draft CPM texts developed by the responsible </w:t>
      </w:r>
      <w:r>
        <w:t>ITU</w:t>
      </w:r>
      <w:r>
        <w:noBreakHyphen/>
      </w:r>
      <w:r w:rsidRPr="00E62790">
        <w:t xml:space="preserve">R groups involved in the preparation for </w:t>
      </w:r>
      <w:r w:rsidRPr="009E1892">
        <w:rPr>
          <w:b/>
          <w:bCs/>
        </w:rPr>
        <w:t>WRC</w:t>
      </w:r>
      <w:r w:rsidRPr="009E1892">
        <w:rPr>
          <w:b/>
          <w:bCs/>
        </w:rPr>
        <w:noBreakHyphen/>
        <w:t>19</w:t>
      </w:r>
      <w:r w:rsidRPr="00E62790">
        <w:t>,</w:t>
      </w:r>
      <w:r w:rsidR="003A0DCA">
        <w:t xml:space="preserve"> </w:t>
      </w:r>
      <w:r w:rsidRPr="00E62790">
        <w:t>during the second session of the 201</w:t>
      </w:r>
      <w:r>
        <w:t>9</w:t>
      </w:r>
      <w:r w:rsidRPr="00E62790">
        <w:t xml:space="preserve"> Conference Preparatory Meeting (CPM1</w:t>
      </w:r>
      <w:r>
        <w:t>9</w:t>
      </w:r>
      <w:r w:rsidRPr="00E62790">
        <w:t>-2) in Geneva</w:t>
      </w:r>
      <w:r>
        <w:t>.</w:t>
      </w:r>
      <w:r w:rsidRPr="00265951">
        <w:rPr>
          <w:lang w:eastAsia="ko-KR"/>
        </w:rPr>
        <w:t xml:space="preserve"> It is to be noted that the methods to satisfy the agenda item </w:t>
      </w:r>
      <w:r>
        <w:rPr>
          <w:lang w:eastAsia="ko-KR"/>
        </w:rPr>
        <w:t xml:space="preserve">1.13 </w:t>
      </w:r>
      <w:r w:rsidRPr="00265951">
        <w:rPr>
          <w:lang w:eastAsia="ko-KR"/>
        </w:rPr>
        <w:t xml:space="preserve">are included in Section 2/1.13/4 </w:t>
      </w:r>
      <w:r>
        <w:rPr>
          <w:lang w:eastAsia="ko-KR"/>
        </w:rPr>
        <w:t xml:space="preserve">of draft CPM19-2 Report </w:t>
      </w:r>
      <w:r w:rsidRPr="00265951">
        <w:rPr>
          <w:lang w:eastAsia="ko-KR"/>
        </w:rPr>
        <w:t xml:space="preserve">and have been </w:t>
      </w:r>
      <w:r w:rsidRPr="00265951">
        <w:t>organized by frequency bands, as follows: Item A (24.25-27.5 GHz), Item B (31.8</w:t>
      </w:r>
      <w:r w:rsidRPr="00265951">
        <w:noBreakHyphen/>
        <w:t>33.4 GHz), Item C (37-40.5 GHz), Item D (40.5-42.5 GHz), Item E (42.5-43.5 GHz), Item F (45.5-47 GHz), Item G (47-47.2 GHz), Item H (47.2-50.2 GHz), Item I (50.4-52.6 GHz), Item J (66-71 GHz), Item K (71-76 GHz), and Item L (81-86 GHz).</w:t>
      </w:r>
    </w:p>
    <w:p w:rsidR="00F3345E" w:rsidRDefault="00F3345E" w:rsidP="00973D2D">
      <w:pPr>
        <w:jc w:val="both"/>
      </w:pPr>
    </w:p>
    <w:p w:rsidR="00C57355" w:rsidRDefault="00C57355" w:rsidP="000142D2">
      <w:pPr>
        <w:jc w:val="both"/>
      </w:pPr>
      <w:r>
        <w:t xml:space="preserve">The </w:t>
      </w:r>
      <w:r w:rsidR="002B131C">
        <w:t xml:space="preserve">compatibility and sharing </w:t>
      </w:r>
      <w:r>
        <w:t xml:space="preserve">scenarios that are studied </w:t>
      </w:r>
      <w:r w:rsidR="000142D2">
        <w:t>within</w:t>
      </w:r>
      <w:r>
        <w:t xml:space="preserve"> ITU-R and reflected within CPM19-2 Report </w:t>
      </w:r>
      <w:r w:rsidR="003650D3">
        <w:t>are summarized in following table:</w:t>
      </w:r>
    </w:p>
    <w:p w:rsidR="00C57355" w:rsidRDefault="00C57355" w:rsidP="00C57355">
      <w:pPr>
        <w:jc w:val="both"/>
      </w:pPr>
    </w:p>
    <w:p w:rsidR="00A23974" w:rsidRDefault="00A23974" w:rsidP="00A23974">
      <w:pPr>
        <w:spacing w:after="120"/>
        <w:jc w:val="center"/>
      </w:pPr>
      <w:r>
        <w:t xml:space="preserve">Table 1. Compatibility and sharing scenarios </w:t>
      </w:r>
      <w:r>
        <w:br/>
        <w:t>that are studied within ITU-R and reflected within CPM19-2 Report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2127"/>
        <w:gridCol w:w="2268"/>
        <w:gridCol w:w="1559"/>
        <w:gridCol w:w="1559"/>
      </w:tblGrid>
      <w:tr w:rsidR="0044697B" w:rsidTr="00D63DAB">
        <w:trPr>
          <w:trHeight w:val="240"/>
          <w:jc w:val="center"/>
        </w:trPr>
        <w:tc>
          <w:tcPr>
            <w:tcW w:w="1809" w:type="dxa"/>
            <w:vMerge w:val="restart"/>
            <w:tcBorders>
              <w:right w:val="single" w:sz="4" w:space="0" w:color="auto"/>
            </w:tcBorders>
          </w:tcPr>
          <w:p w:rsidR="0044697B" w:rsidRDefault="0044697B" w:rsidP="00D63DAB">
            <w:pPr>
              <w:jc w:val="center"/>
            </w:pPr>
            <w:r>
              <w:t xml:space="preserve">Frequency band </w:t>
            </w:r>
            <w:r>
              <w:br/>
              <w:t>(GHz)</w:t>
            </w:r>
          </w:p>
        </w:tc>
        <w:tc>
          <w:tcPr>
            <w:tcW w:w="4395" w:type="dxa"/>
            <w:gridSpan w:val="2"/>
            <w:tcBorders>
              <w:left w:val="single" w:sz="4" w:space="0" w:color="auto"/>
              <w:bottom w:val="single" w:sz="4" w:space="0" w:color="auto"/>
            </w:tcBorders>
          </w:tcPr>
          <w:p w:rsidR="0044697B" w:rsidRDefault="0044697B" w:rsidP="00D63DAB">
            <w:pPr>
              <w:jc w:val="center"/>
            </w:pPr>
            <w:r>
              <w:t>Concerned services</w:t>
            </w:r>
          </w:p>
        </w:tc>
        <w:tc>
          <w:tcPr>
            <w:tcW w:w="1559" w:type="dxa"/>
            <w:vMerge w:val="restart"/>
          </w:tcPr>
          <w:p w:rsidR="0044697B" w:rsidRDefault="0044697B" w:rsidP="00D63DAB">
            <w:pPr>
              <w:jc w:val="center"/>
            </w:pPr>
            <w:r>
              <w:t>Protecting IMT from</w:t>
            </w:r>
          </w:p>
        </w:tc>
        <w:tc>
          <w:tcPr>
            <w:tcW w:w="1559" w:type="dxa"/>
            <w:vMerge w:val="restart"/>
            <w:vAlign w:val="center"/>
          </w:tcPr>
          <w:p w:rsidR="0044697B" w:rsidRDefault="0044697B" w:rsidP="00D63DAB">
            <w:pPr>
              <w:jc w:val="center"/>
            </w:pPr>
            <w:r>
              <w:t>Studies left</w:t>
            </w:r>
          </w:p>
        </w:tc>
      </w:tr>
      <w:tr w:rsidR="0044697B" w:rsidTr="00D63DAB">
        <w:trPr>
          <w:trHeight w:val="300"/>
          <w:jc w:val="center"/>
        </w:trPr>
        <w:tc>
          <w:tcPr>
            <w:tcW w:w="1809" w:type="dxa"/>
            <w:vMerge/>
            <w:tcBorders>
              <w:right w:val="single" w:sz="4" w:space="0" w:color="auto"/>
            </w:tcBorders>
          </w:tcPr>
          <w:p w:rsidR="0044697B" w:rsidRDefault="0044697B" w:rsidP="00D63DAB">
            <w:pPr>
              <w:jc w:val="center"/>
            </w:pPr>
          </w:p>
        </w:tc>
        <w:tc>
          <w:tcPr>
            <w:tcW w:w="2127" w:type="dxa"/>
            <w:tcBorders>
              <w:top w:val="single" w:sz="4" w:space="0" w:color="auto"/>
              <w:left w:val="single" w:sz="4" w:space="0" w:color="auto"/>
              <w:right w:val="single" w:sz="4" w:space="0" w:color="auto"/>
            </w:tcBorders>
          </w:tcPr>
          <w:p w:rsidR="0044697B" w:rsidRPr="00D63DAB" w:rsidRDefault="0044697B" w:rsidP="00D63DAB">
            <w:pPr>
              <w:jc w:val="center"/>
              <w:rPr>
                <w:vertAlign w:val="superscript"/>
              </w:rPr>
            </w:pPr>
            <w:r>
              <w:t>In-band</w:t>
            </w:r>
            <w:r w:rsidR="002B131C" w:rsidRPr="00D63DAB">
              <w:rPr>
                <w:vertAlign w:val="superscript"/>
              </w:rPr>
              <w:t>*</w:t>
            </w:r>
          </w:p>
        </w:tc>
        <w:tc>
          <w:tcPr>
            <w:tcW w:w="2268" w:type="dxa"/>
            <w:tcBorders>
              <w:top w:val="single" w:sz="4" w:space="0" w:color="auto"/>
              <w:left w:val="single" w:sz="4" w:space="0" w:color="auto"/>
            </w:tcBorders>
          </w:tcPr>
          <w:p w:rsidR="0044697B" w:rsidRDefault="0044697B" w:rsidP="00D63DAB">
            <w:pPr>
              <w:jc w:val="center"/>
            </w:pPr>
            <w:r>
              <w:t>Adjacent band</w:t>
            </w:r>
          </w:p>
        </w:tc>
        <w:tc>
          <w:tcPr>
            <w:tcW w:w="1559" w:type="dxa"/>
            <w:vMerge/>
          </w:tcPr>
          <w:p w:rsidR="0044697B" w:rsidRDefault="0044697B" w:rsidP="00D63DAB">
            <w:pPr>
              <w:jc w:val="center"/>
            </w:pPr>
          </w:p>
        </w:tc>
        <w:tc>
          <w:tcPr>
            <w:tcW w:w="1559" w:type="dxa"/>
            <w:vMerge/>
          </w:tcPr>
          <w:p w:rsidR="0044697B" w:rsidRDefault="0044697B" w:rsidP="00D63DAB">
            <w:pPr>
              <w:jc w:val="center"/>
            </w:pPr>
          </w:p>
        </w:tc>
      </w:tr>
      <w:tr w:rsidR="0044697B" w:rsidTr="00D63DAB">
        <w:trPr>
          <w:trHeight w:val="233"/>
          <w:jc w:val="center"/>
        </w:trPr>
        <w:tc>
          <w:tcPr>
            <w:tcW w:w="1809" w:type="dxa"/>
            <w:tcBorders>
              <w:right w:val="single" w:sz="4" w:space="0" w:color="auto"/>
            </w:tcBorders>
          </w:tcPr>
          <w:p w:rsidR="0044697B" w:rsidRDefault="00CE480B" w:rsidP="006748D2">
            <w:r>
              <w:rPr>
                <w:lang w:eastAsia="ja-JP"/>
              </w:rPr>
              <w:t xml:space="preserve">A: </w:t>
            </w:r>
            <w:r w:rsidR="0044697B" w:rsidRPr="00265951">
              <w:rPr>
                <w:lang w:eastAsia="ja-JP"/>
              </w:rPr>
              <w:t>24.25-27.5</w:t>
            </w:r>
          </w:p>
        </w:tc>
        <w:tc>
          <w:tcPr>
            <w:tcW w:w="2127" w:type="dxa"/>
            <w:tcBorders>
              <w:left w:val="single" w:sz="4" w:space="0" w:color="auto"/>
              <w:right w:val="single" w:sz="4" w:space="0" w:color="auto"/>
            </w:tcBorders>
          </w:tcPr>
          <w:p w:rsidR="0044697B" w:rsidRDefault="0044697B" w:rsidP="00D63DAB">
            <w:pPr>
              <w:jc w:val="center"/>
            </w:pPr>
            <w:r>
              <w:t>FS, MS, RNS, ISS, FSS↑, RLSS↓, EESS↓, SRS↓</w:t>
            </w:r>
          </w:p>
        </w:tc>
        <w:tc>
          <w:tcPr>
            <w:tcW w:w="2268" w:type="dxa"/>
            <w:tcBorders>
              <w:left w:val="single" w:sz="4" w:space="0" w:color="auto"/>
            </w:tcBorders>
          </w:tcPr>
          <w:p w:rsidR="0044697B" w:rsidRDefault="0044697B" w:rsidP="00D63DAB">
            <w:pPr>
              <w:jc w:val="center"/>
            </w:pPr>
            <w:r w:rsidRPr="00265951">
              <w:t>EESS (passive)</w:t>
            </w:r>
            <w:r>
              <w:t xml:space="preserve">, </w:t>
            </w:r>
            <w:r w:rsidRPr="00265951">
              <w:rPr>
                <w:lang w:eastAsia="ja-JP"/>
              </w:rPr>
              <w:t>RAS</w:t>
            </w:r>
          </w:p>
        </w:tc>
        <w:tc>
          <w:tcPr>
            <w:tcW w:w="1559" w:type="dxa"/>
          </w:tcPr>
          <w:p w:rsidR="0044697B" w:rsidRDefault="0044697B" w:rsidP="00D63DAB">
            <w:pPr>
              <w:jc w:val="center"/>
            </w:pPr>
            <w:r>
              <w:t>FSS</w:t>
            </w:r>
          </w:p>
        </w:tc>
        <w:tc>
          <w:tcPr>
            <w:tcW w:w="1559" w:type="dxa"/>
          </w:tcPr>
          <w:p w:rsidR="0044697B" w:rsidRDefault="0044697B" w:rsidP="00D63DAB">
            <w:pPr>
              <w:jc w:val="center"/>
            </w:pPr>
            <w:r>
              <w:t>RLS, RLSS↓, RNS</w:t>
            </w:r>
          </w:p>
        </w:tc>
      </w:tr>
      <w:tr w:rsidR="0044697B" w:rsidTr="00D63DAB">
        <w:trPr>
          <w:jc w:val="center"/>
        </w:trPr>
        <w:tc>
          <w:tcPr>
            <w:tcW w:w="1809" w:type="dxa"/>
            <w:tcBorders>
              <w:right w:val="single" w:sz="4" w:space="0" w:color="auto"/>
            </w:tcBorders>
          </w:tcPr>
          <w:p w:rsidR="0044697B" w:rsidRPr="00265951" w:rsidRDefault="00CE480B" w:rsidP="006748D2">
            <w:pPr>
              <w:rPr>
                <w:lang w:eastAsia="ja-JP"/>
              </w:rPr>
            </w:pPr>
            <w:r>
              <w:rPr>
                <w:lang w:eastAsia="ja-JP"/>
              </w:rPr>
              <w:t xml:space="preserve">B: </w:t>
            </w:r>
            <w:r w:rsidRPr="00265951">
              <w:rPr>
                <w:lang w:eastAsia="ja-JP"/>
              </w:rPr>
              <w:t>31.8-33.4</w:t>
            </w:r>
          </w:p>
        </w:tc>
        <w:tc>
          <w:tcPr>
            <w:tcW w:w="2127" w:type="dxa"/>
            <w:tcBorders>
              <w:left w:val="single" w:sz="4" w:space="0" w:color="auto"/>
              <w:right w:val="single" w:sz="4" w:space="0" w:color="auto"/>
            </w:tcBorders>
          </w:tcPr>
          <w:p w:rsidR="0044697B" w:rsidRDefault="00CE480B" w:rsidP="00D63DAB">
            <w:pPr>
              <w:jc w:val="center"/>
            </w:pPr>
            <w:r>
              <w:t>FS, RNS, SRS↓, ISS</w:t>
            </w:r>
          </w:p>
        </w:tc>
        <w:tc>
          <w:tcPr>
            <w:tcW w:w="2268" w:type="dxa"/>
            <w:tcBorders>
              <w:left w:val="single" w:sz="4" w:space="0" w:color="auto"/>
            </w:tcBorders>
          </w:tcPr>
          <w:p w:rsidR="0044697B" w:rsidRPr="00D63DAB" w:rsidRDefault="006109B6" w:rsidP="00D63DAB">
            <w:pPr>
              <w:jc w:val="center"/>
              <w:rPr>
                <w:lang w:val="fr-CH"/>
              </w:rPr>
            </w:pPr>
            <w:r w:rsidRPr="00D63DAB">
              <w:rPr>
                <w:lang w:val="fr-CH" w:eastAsia="ja-JP"/>
              </w:rPr>
              <w:t>EESS (passive), RAS, SRS (passive)</w:t>
            </w:r>
          </w:p>
        </w:tc>
        <w:tc>
          <w:tcPr>
            <w:tcW w:w="1559" w:type="dxa"/>
          </w:tcPr>
          <w:p w:rsidR="0044697B" w:rsidRDefault="00BE34EA" w:rsidP="00D63DAB">
            <w:pPr>
              <w:jc w:val="center"/>
            </w:pPr>
            <w:r>
              <w:t>-</w:t>
            </w:r>
          </w:p>
        </w:tc>
        <w:tc>
          <w:tcPr>
            <w:tcW w:w="1559" w:type="dxa"/>
          </w:tcPr>
          <w:p w:rsidR="0044697B" w:rsidRDefault="0091439E" w:rsidP="00D63DAB">
            <w:pPr>
              <w:jc w:val="center"/>
            </w:pPr>
            <w:r>
              <w:t>ISS</w:t>
            </w:r>
          </w:p>
        </w:tc>
      </w:tr>
      <w:tr w:rsidR="00A07024" w:rsidTr="00D63DAB">
        <w:trPr>
          <w:jc w:val="center"/>
        </w:trPr>
        <w:tc>
          <w:tcPr>
            <w:tcW w:w="1809" w:type="dxa"/>
            <w:tcBorders>
              <w:right w:val="single" w:sz="4" w:space="0" w:color="auto"/>
            </w:tcBorders>
          </w:tcPr>
          <w:p w:rsidR="00A07024" w:rsidRDefault="00A07024" w:rsidP="006748D2">
            <w:r>
              <w:t xml:space="preserve">C: </w:t>
            </w:r>
            <w:r w:rsidRPr="00265951">
              <w:t xml:space="preserve">37-40.5  </w:t>
            </w:r>
          </w:p>
        </w:tc>
        <w:tc>
          <w:tcPr>
            <w:tcW w:w="2127" w:type="dxa"/>
            <w:tcBorders>
              <w:left w:val="single" w:sz="4" w:space="0" w:color="auto"/>
              <w:right w:val="single" w:sz="4" w:space="0" w:color="auto"/>
            </w:tcBorders>
          </w:tcPr>
          <w:p w:rsidR="00A07024" w:rsidRDefault="00A07024" w:rsidP="00D63DAB">
            <w:pPr>
              <w:jc w:val="center"/>
            </w:pPr>
            <w:r w:rsidRPr="00265951">
              <w:rPr>
                <w:lang w:eastAsia="ja-JP"/>
              </w:rPr>
              <w:t>FS, FSS</w:t>
            </w:r>
            <w:r w:rsidR="006748D2">
              <w:t>↓</w:t>
            </w:r>
            <w:r w:rsidRPr="00265951">
              <w:rPr>
                <w:lang w:eastAsia="ja-JP"/>
              </w:rPr>
              <w:t>, MS,</w:t>
            </w:r>
            <w:r w:rsidR="006748D2" w:rsidRPr="00265951">
              <w:rPr>
                <w:lang w:eastAsia="ja-JP"/>
              </w:rPr>
              <w:t xml:space="preserve"> EESS</w:t>
            </w:r>
            <w:r w:rsidR="006748D2">
              <w:t>↑</w:t>
            </w:r>
            <w:r w:rsidR="006748D2" w:rsidRPr="00265951">
              <w:rPr>
                <w:lang w:eastAsia="ja-JP"/>
              </w:rPr>
              <w:t>,</w:t>
            </w:r>
            <w:r w:rsidRPr="00265951">
              <w:rPr>
                <w:lang w:eastAsia="ja-JP"/>
              </w:rPr>
              <w:t xml:space="preserve"> MSS</w:t>
            </w:r>
            <w:r w:rsidR="006748D2">
              <w:t>↓</w:t>
            </w:r>
            <w:r w:rsidRPr="00265951">
              <w:rPr>
                <w:lang w:eastAsia="ja-JP"/>
              </w:rPr>
              <w:t>, RAS</w:t>
            </w:r>
            <w:r>
              <w:rPr>
                <w:lang w:eastAsia="ja-JP"/>
              </w:rPr>
              <w:t>,</w:t>
            </w:r>
            <w:r w:rsidRPr="00265951">
              <w:rPr>
                <w:lang w:eastAsia="ja-JP"/>
              </w:rPr>
              <w:t xml:space="preserve"> SRS</w:t>
            </w:r>
            <w:r w:rsidR="006748D2">
              <w:t xml:space="preserve">↓, </w:t>
            </w:r>
            <w:r w:rsidR="006748D2" w:rsidRPr="00265951">
              <w:rPr>
                <w:lang w:eastAsia="ja-JP"/>
              </w:rPr>
              <w:t>SRS</w:t>
            </w:r>
            <w:r w:rsidR="006748D2">
              <w:t>↑</w:t>
            </w:r>
          </w:p>
        </w:tc>
        <w:tc>
          <w:tcPr>
            <w:tcW w:w="2268" w:type="dxa"/>
            <w:tcBorders>
              <w:left w:val="single" w:sz="4" w:space="0" w:color="auto"/>
            </w:tcBorders>
          </w:tcPr>
          <w:p w:rsidR="00A07024" w:rsidRPr="00265951" w:rsidRDefault="00321ACA" w:rsidP="00D63DAB">
            <w:pPr>
              <w:jc w:val="center"/>
              <w:rPr>
                <w:lang w:eastAsia="ja-JP"/>
              </w:rPr>
            </w:pPr>
            <w:r w:rsidRPr="00265951">
              <w:rPr>
                <w:lang w:eastAsia="ja-JP"/>
              </w:rPr>
              <w:t>EESS (passive)</w:t>
            </w:r>
            <w:r>
              <w:rPr>
                <w:lang w:eastAsia="ja-JP"/>
              </w:rPr>
              <w:t>,</w:t>
            </w:r>
            <w:r w:rsidRPr="00265951">
              <w:rPr>
                <w:lang w:eastAsia="ja-JP"/>
              </w:rPr>
              <w:t xml:space="preserve">  SRS (passive)</w:t>
            </w:r>
          </w:p>
        </w:tc>
        <w:tc>
          <w:tcPr>
            <w:tcW w:w="1559" w:type="dxa"/>
          </w:tcPr>
          <w:p w:rsidR="00A07024" w:rsidRDefault="00BE34EA" w:rsidP="00D63DAB">
            <w:pPr>
              <w:jc w:val="center"/>
            </w:pPr>
            <w:r>
              <w:t>-</w:t>
            </w:r>
          </w:p>
        </w:tc>
        <w:tc>
          <w:tcPr>
            <w:tcW w:w="1559" w:type="dxa"/>
          </w:tcPr>
          <w:p w:rsidR="00A07024" w:rsidRDefault="00BE34EA" w:rsidP="00D63DAB">
            <w:pPr>
              <w:jc w:val="center"/>
            </w:pPr>
            <w:r>
              <w:t>-</w:t>
            </w:r>
          </w:p>
        </w:tc>
      </w:tr>
      <w:tr w:rsidR="006748D2" w:rsidTr="00D63DAB">
        <w:trPr>
          <w:jc w:val="center"/>
        </w:trPr>
        <w:tc>
          <w:tcPr>
            <w:tcW w:w="1809" w:type="dxa"/>
            <w:tcBorders>
              <w:right w:val="single" w:sz="4" w:space="0" w:color="auto"/>
            </w:tcBorders>
          </w:tcPr>
          <w:p w:rsidR="006748D2" w:rsidRDefault="006748D2" w:rsidP="006748D2">
            <w:r>
              <w:t xml:space="preserve">D: </w:t>
            </w:r>
            <w:r w:rsidRPr="00265951">
              <w:t>40.5-42.5</w:t>
            </w:r>
          </w:p>
        </w:tc>
        <w:tc>
          <w:tcPr>
            <w:tcW w:w="2127" w:type="dxa"/>
            <w:tcBorders>
              <w:left w:val="single" w:sz="4" w:space="0" w:color="auto"/>
              <w:right w:val="single" w:sz="4" w:space="0" w:color="auto"/>
            </w:tcBorders>
          </w:tcPr>
          <w:p w:rsidR="006748D2" w:rsidRDefault="006748D2" w:rsidP="00D63DAB">
            <w:pPr>
              <w:jc w:val="center"/>
              <w:rPr>
                <w:lang w:eastAsia="ja-JP"/>
              </w:rPr>
            </w:pPr>
            <w:r w:rsidRPr="00265951">
              <w:rPr>
                <w:lang w:eastAsia="ja-JP"/>
              </w:rPr>
              <w:t>FS, FSS</w:t>
            </w:r>
            <w:r>
              <w:t>↓,</w:t>
            </w:r>
            <w:r>
              <w:rPr>
                <w:lang w:eastAsia="ja-JP"/>
              </w:rPr>
              <w:t xml:space="preserve">BS, </w:t>
            </w:r>
            <w:r w:rsidRPr="00265951">
              <w:rPr>
                <w:lang w:eastAsia="ja-JP"/>
              </w:rPr>
              <w:t>BSS</w:t>
            </w:r>
          </w:p>
        </w:tc>
        <w:tc>
          <w:tcPr>
            <w:tcW w:w="2268" w:type="dxa"/>
            <w:tcBorders>
              <w:left w:val="single" w:sz="4" w:space="0" w:color="auto"/>
            </w:tcBorders>
          </w:tcPr>
          <w:p w:rsidR="006748D2" w:rsidRPr="00265951" w:rsidRDefault="004232B4" w:rsidP="00D63DAB">
            <w:pPr>
              <w:jc w:val="center"/>
              <w:rPr>
                <w:lang w:eastAsia="ja-JP"/>
              </w:rPr>
            </w:pPr>
            <w:r w:rsidRPr="00265951">
              <w:rPr>
                <w:lang w:eastAsia="ja-JP"/>
              </w:rPr>
              <w:t>EESS</w:t>
            </w:r>
            <w:r>
              <w:t>↑</w:t>
            </w:r>
            <w:r w:rsidR="0046555D">
              <w:t>, RAS</w:t>
            </w:r>
          </w:p>
        </w:tc>
        <w:tc>
          <w:tcPr>
            <w:tcW w:w="1559" w:type="dxa"/>
          </w:tcPr>
          <w:p w:rsidR="006748D2" w:rsidRDefault="00BE34EA" w:rsidP="00D63DAB">
            <w:pPr>
              <w:jc w:val="center"/>
            </w:pPr>
            <w:r>
              <w:t>-</w:t>
            </w:r>
          </w:p>
        </w:tc>
        <w:tc>
          <w:tcPr>
            <w:tcW w:w="1559" w:type="dxa"/>
          </w:tcPr>
          <w:p w:rsidR="006748D2" w:rsidRDefault="00BE34EA" w:rsidP="00D63DAB">
            <w:pPr>
              <w:jc w:val="center"/>
            </w:pPr>
            <w:r>
              <w:t>BS</w:t>
            </w:r>
          </w:p>
        </w:tc>
      </w:tr>
      <w:tr w:rsidR="00BE34EA" w:rsidTr="00D63DAB">
        <w:trPr>
          <w:jc w:val="center"/>
        </w:trPr>
        <w:tc>
          <w:tcPr>
            <w:tcW w:w="1809" w:type="dxa"/>
            <w:tcBorders>
              <w:right w:val="single" w:sz="4" w:space="0" w:color="auto"/>
            </w:tcBorders>
          </w:tcPr>
          <w:p w:rsidR="00BE34EA" w:rsidRDefault="00BE34EA" w:rsidP="006748D2">
            <w:r>
              <w:t xml:space="preserve">E: </w:t>
            </w:r>
            <w:r w:rsidRPr="00265951">
              <w:t>42.5-43.5</w:t>
            </w:r>
          </w:p>
        </w:tc>
        <w:tc>
          <w:tcPr>
            <w:tcW w:w="2127" w:type="dxa"/>
            <w:tcBorders>
              <w:left w:val="single" w:sz="4" w:space="0" w:color="auto"/>
              <w:right w:val="single" w:sz="4" w:space="0" w:color="auto"/>
            </w:tcBorders>
          </w:tcPr>
          <w:p w:rsidR="00BE34EA" w:rsidRPr="00265951" w:rsidRDefault="00BE34EA" w:rsidP="00D63DAB">
            <w:pPr>
              <w:jc w:val="center"/>
              <w:rPr>
                <w:lang w:eastAsia="ja-JP"/>
              </w:rPr>
            </w:pPr>
            <w:r w:rsidRPr="00265951">
              <w:rPr>
                <w:lang w:eastAsia="ja-JP"/>
              </w:rPr>
              <w:t>FS, FSS</w:t>
            </w:r>
            <w:r>
              <w:t>↑</w:t>
            </w:r>
            <w:r w:rsidRPr="00265951">
              <w:rPr>
                <w:lang w:eastAsia="ja-JP"/>
              </w:rPr>
              <w:t>, MS</w:t>
            </w:r>
            <w:r>
              <w:rPr>
                <w:lang w:eastAsia="ja-JP"/>
              </w:rPr>
              <w:t>,</w:t>
            </w:r>
            <w:r w:rsidRPr="00265951">
              <w:rPr>
                <w:lang w:eastAsia="ja-JP"/>
              </w:rPr>
              <w:t xml:space="preserve"> RAS</w:t>
            </w:r>
          </w:p>
        </w:tc>
        <w:tc>
          <w:tcPr>
            <w:tcW w:w="2268" w:type="dxa"/>
            <w:tcBorders>
              <w:left w:val="single" w:sz="4" w:space="0" w:color="auto"/>
            </w:tcBorders>
          </w:tcPr>
          <w:p w:rsidR="00BE34EA" w:rsidRPr="00265951" w:rsidRDefault="00341476" w:rsidP="00D63DAB">
            <w:pPr>
              <w:jc w:val="center"/>
              <w:rPr>
                <w:lang w:eastAsia="ja-JP"/>
              </w:rPr>
            </w:pPr>
            <w:r>
              <w:rPr>
                <w:lang w:eastAsia="ja-JP"/>
              </w:rPr>
              <w:t>-</w:t>
            </w:r>
          </w:p>
        </w:tc>
        <w:tc>
          <w:tcPr>
            <w:tcW w:w="1559" w:type="dxa"/>
          </w:tcPr>
          <w:p w:rsidR="00BE34EA" w:rsidRDefault="00341476" w:rsidP="00D63DAB">
            <w:pPr>
              <w:jc w:val="center"/>
            </w:pPr>
            <w:r>
              <w:t>FSS</w:t>
            </w:r>
          </w:p>
        </w:tc>
        <w:tc>
          <w:tcPr>
            <w:tcW w:w="1559" w:type="dxa"/>
          </w:tcPr>
          <w:p w:rsidR="00BE34EA" w:rsidRDefault="00095418" w:rsidP="00D63DAB">
            <w:pPr>
              <w:jc w:val="center"/>
            </w:pPr>
            <w:r>
              <w:t>-</w:t>
            </w:r>
          </w:p>
        </w:tc>
      </w:tr>
      <w:tr w:rsidR="00341476" w:rsidTr="00D63DAB">
        <w:trPr>
          <w:jc w:val="center"/>
        </w:trPr>
        <w:tc>
          <w:tcPr>
            <w:tcW w:w="1809" w:type="dxa"/>
            <w:tcBorders>
              <w:right w:val="single" w:sz="4" w:space="0" w:color="auto"/>
            </w:tcBorders>
          </w:tcPr>
          <w:p w:rsidR="00341476" w:rsidRDefault="00341476" w:rsidP="006748D2">
            <w:r>
              <w:t xml:space="preserve">F: </w:t>
            </w:r>
            <w:r w:rsidRPr="00265951">
              <w:t>45.5-47</w:t>
            </w:r>
          </w:p>
        </w:tc>
        <w:tc>
          <w:tcPr>
            <w:tcW w:w="2127" w:type="dxa"/>
            <w:tcBorders>
              <w:left w:val="single" w:sz="4" w:space="0" w:color="auto"/>
              <w:right w:val="single" w:sz="4" w:space="0" w:color="auto"/>
            </w:tcBorders>
          </w:tcPr>
          <w:p w:rsidR="00341476" w:rsidRPr="00265951" w:rsidRDefault="00341476" w:rsidP="00D63DAB">
            <w:pPr>
              <w:jc w:val="center"/>
              <w:rPr>
                <w:lang w:eastAsia="ja-JP"/>
              </w:rPr>
            </w:pPr>
            <w:r w:rsidRPr="00265951">
              <w:rPr>
                <w:lang w:eastAsia="ja-JP"/>
              </w:rPr>
              <w:t>MS, MSS, RNS</w:t>
            </w:r>
            <w:r>
              <w:rPr>
                <w:lang w:eastAsia="ja-JP"/>
              </w:rPr>
              <w:t xml:space="preserve">, </w:t>
            </w:r>
            <w:r w:rsidRPr="00265951">
              <w:rPr>
                <w:lang w:eastAsia="ja-JP"/>
              </w:rPr>
              <w:t>RNSS</w:t>
            </w:r>
          </w:p>
        </w:tc>
        <w:tc>
          <w:tcPr>
            <w:tcW w:w="2268" w:type="dxa"/>
            <w:tcBorders>
              <w:left w:val="single" w:sz="4" w:space="0" w:color="auto"/>
            </w:tcBorders>
          </w:tcPr>
          <w:p w:rsidR="00341476" w:rsidRDefault="00341476" w:rsidP="00D63DAB">
            <w:pPr>
              <w:jc w:val="center"/>
              <w:rPr>
                <w:lang w:eastAsia="ja-JP"/>
              </w:rPr>
            </w:pPr>
            <w:r w:rsidRPr="00265951">
              <w:rPr>
                <w:lang w:eastAsia="ja-JP"/>
              </w:rPr>
              <w:t>ARS</w:t>
            </w:r>
            <w:r>
              <w:rPr>
                <w:lang w:eastAsia="ja-JP"/>
              </w:rPr>
              <w:t>,</w:t>
            </w:r>
            <w:r w:rsidRPr="00265951">
              <w:rPr>
                <w:lang w:eastAsia="ja-JP"/>
              </w:rPr>
              <w:t xml:space="preserve"> ARSS</w:t>
            </w:r>
          </w:p>
        </w:tc>
        <w:tc>
          <w:tcPr>
            <w:tcW w:w="3118" w:type="dxa"/>
            <w:gridSpan w:val="2"/>
          </w:tcPr>
          <w:p w:rsidR="00341476" w:rsidRDefault="00341476" w:rsidP="00D63DAB">
            <w:pPr>
              <w:jc w:val="center"/>
            </w:pPr>
            <w:r w:rsidRPr="00265951">
              <w:rPr>
                <w:lang w:eastAsia="ja-JP"/>
              </w:rPr>
              <w:t xml:space="preserve">No studies </w:t>
            </w:r>
            <w:r>
              <w:rPr>
                <w:lang w:eastAsia="ja-JP"/>
              </w:rPr>
              <w:t>w</w:t>
            </w:r>
            <w:r w:rsidRPr="00265951">
              <w:rPr>
                <w:lang w:eastAsia="ja-JP"/>
              </w:rPr>
              <w:t>ere performed</w:t>
            </w:r>
            <w:r>
              <w:rPr>
                <w:lang w:eastAsia="ja-JP"/>
              </w:rPr>
              <w:br/>
              <w:t>for this frequency band</w:t>
            </w:r>
          </w:p>
        </w:tc>
      </w:tr>
      <w:tr w:rsidR="000E54F5" w:rsidTr="00D63DAB">
        <w:trPr>
          <w:jc w:val="center"/>
        </w:trPr>
        <w:tc>
          <w:tcPr>
            <w:tcW w:w="1809" w:type="dxa"/>
            <w:tcBorders>
              <w:right w:val="single" w:sz="4" w:space="0" w:color="auto"/>
            </w:tcBorders>
          </w:tcPr>
          <w:p w:rsidR="000E54F5" w:rsidRDefault="000E54F5" w:rsidP="006748D2">
            <w:r>
              <w:t xml:space="preserve">G: </w:t>
            </w:r>
            <w:r w:rsidRPr="00265951">
              <w:t>47-47.2</w:t>
            </w:r>
          </w:p>
        </w:tc>
        <w:tc>
          <w:tcPr>
            <w:tcW w:w="2127" w:type="dxa"/>
            <w:tcBorders>
              <w:left w:val="single" w:sz="4" w:space="0" w:color="auto"/>
              <w:right w:val="single" w:sz="4" w:space="0" w:color="auto"/>
            </w:tcBorders>
          </w:tcPr>
          <w:p w:rsidR="000E54F5" w:rsidRPr="00265951" w:rsidRDefault="000E54F5" w:rsidP="00D63DAB">
            <w:pPr>
              <w:jc w:val="center"/>
              <w:rPr>
                <w:lang w:eastAsia="ja-JP"/>
              </w:rPr>
            </w:pPr>
            <w:r w:rsidRPr="00265951">
              <w:rPr>
                <w:lang w:eastAsia="ja-JP"/>
              </w:rPr>
              <w:t>ARS</w:t>
            </w:r>
            <w:r>
              <w:rPr>
                <w:lang w:eastAsia="ja-JP"/>
              </w:rPr>
              <w:t>,</w:t>
            </w:r>
            <w:r w:rsidRPr="00265951">
              <w:rPr>
                <w:lang w:eastAsia="ja-JP"/>
              </w:rPr>
              <w:t xml:space="preserve"> ARSS</w:t>
            </w:r>
          </w:p>
        </w:tc>
        <w:tc>
          <w:tcPr>
            <w:tcW w:w="2268" w:type="dxa"/>
            <w:tcBorders>
              <w:left w:val="single" w:sz="4" w:space="0" w:color="auto"/>
            </w:tcBorders>
          </w:tcPr>
          <w:p w:rsidR="000E54F5" w:rsidRDefault="000E54F5" w:rsidP="00D63DAB">
            <w:pPr>
              <w:jc w:val="center"/>
              <w:rPr>
                <w:lang w:eastAsia="ja-JP"/>
              </w:rPr>
            </w:pPr>
            <w:r>
              <w:rPr>
                <w:lang w:eastAsia="ja-JP"/>
              </w:rPr>
              <w:t>-</w:t>
            </w:r>
          </w:p>
        </w:tc>
        <w:tc>
          <w:tcPr>
            <w:tcW w:w="3118" w:type="dxa"/>
            <w:gridSpan w:val="2"/>
          </w:tcPr>
          <w:p w:rsidR="000E54F5" w:rsidRDefault="000E54F5" w:rsidP="00D63DAB">
            <w:pPr>
              <w:jc w:val="center"/>
            </w:pPr>
            <w:r w:rsidRPr="00265951">
              <w:rPr>
                <w:lang w:eastAsia="ja-JP"/>
              </w:rPr>
              <w:t xml:space="preserve">No studies </w:t>
            </w:r>
            <w:r>
              <w:rPr>
                <w:lang w:eastAsia="ja-JP"/>
              </w:rPr>
              <w:t>w</w:t>
            </w:r>
            <w:r w:rsidRPr="00265951">
              <w:rPr>
                <w:lang w:eastAsia="ja-JP"/>
              </w:rPr>
              <w:t>ere performed</w:t>
            </w:r>
            <w:r>
              <w:rPr>
                <w:lang w:eastAsia="ja-JP"/>
              </w:rPr>
              <w:br/>
              <w:t>for this frequency band</w:t>
            </w:r>
          </w:p>
        </w:tc>
      </w:tr>
      <w:tr w:rsidR="000E54F5" w:rsidTr="00D63DAB">
        <w:trPr>
          <w:jc w:val="center"/>
        </w:trPr>
        <w:tc>
          <w:tcPr>
            <w:tcW w:w="1809" w:type="dxa"/>
            <w:tcBorders>
              <w:right w:val="single" w:sz="4" w:space="0" w:color="auto"/>
            </w:tcBorders>
          </w:tcPr>
          <w:p w:rsidR="000E54F5" w:rsidRDefault="00F07951" w:rsidP="006748D2">
            <w:r>
              <w:t xml:space="preserve">H: </w:t>
            </w:r>
            <w:r w:rsidRPr="00265951">
              <w:t>47.2-50.2</w:t>
            </w:r>
          </w:p>
        </w:tc>
        <w:tc>
          <w:tcPr>
            <w:tcW w:w="2127" w:type="dxa"/>
            <w:tcBorders>
              <w:left w:val="single" w:sz="4" w:space="0" w:color="auto"/>
              <w:right w:val="single" w:sz="4" w:space="0" w:color="auto"/>
            </w:tcBorders>
          </w:tcPr>
          <w:p w:rsidR="000E54F5" w:rsidRPr="00265951" w:rsidRDefault="003F140F" w:rsidP="00D63DAB">
            <w:pPr>
              <w:jc w:val="center"/>
              <w:rPr>
                <w:lang w:eastAsia="ja-JP"/>
              </w:rPr>
            </w:pPr>
            <w:r w:rsidRPr="00265951">
              <w:rPr>
                <w:lang w:eastAsia="ja-JP"/>
              </w:rPr>
              <w:t>FS, FSS</w:t>
            </w:r>
            <w:r>
              <w:t>↑</w:t>
            </w:r>
            <w:r>
              <w:rPr>
                <w:lang w:eastAsia="ja-JP"/>
              </w:rPr>
              <w:t>,</w:t>
            </w:r>
            <w:r w:rsidRPr="00265951">
              <w:rPr>
                <w:lang w:eastAsia="ja-JP"/>
              </w:rPr>
              <w:t xml:space="preserve"> MS</w:t>
            </w:r>
          </w:p>
        </w:tc>
        <w:tc>
          <w:tcPr>
            <w:tcW w:w="2268" w:type="dxa"/>
            <w:tcBorders>
              <w:left w:val="single" w:sz="4" w:space="0" w:color="auto"/>
            </w:tcBorders>
          </w:tcPr>
          <w:p w:rsidR="000E54F5" w:rsidRDefault="00874664" w:rsidP="00D63DAB">
            <w:pPr>
              <w:jc w:val="center"/>
              <w:rPr>
                <w:lang w:eastAsia="ja-JP"/>
              </w:rPr>
            </w:pPr>
            <w:r w:rsidRPr="00265951">
              <w:rPr>
                <w:lang w:eastAsia="ja-JP"/>
              </w:rPr>
              <w:t>EESS (passive)</w:t>
            </w:r>
            <w:r>
              <w:rPr>
                <w:lang w:eastAsia="ja-JP"/>
              </w:rPr>
              <w:t>,</w:t>
            </w:r>
            <w:r w:rsidRPr="00265951">
              <w:rPr>
                <w:lang w:eastAsia="ja-JP"/>
              </w:rPr>
              <w:t xml:space="preserve"> SRS (passive)</w:t>
            </w:r>
          </w:p>
        </w:tc>
        <w:tc>
          <w:tcPr>
            <w:tcW w:w="1559" w:type="dxa"/>
          </w:tcPr>
          <w:p w:rsidR="000E54F5" w:rsidRDefault="008644C5" w:rsidP="00D63DAB">
            <w:pPr>
              <w:jc w:val="center"/>
            </w:pPr>
            <w:r>
              <w:t>FSS</w:t>
            </w:r>
          </w:p>
        </w:tc>
        <w:tc>
          <w:tcPr>
            <w:tcW w:w="1559" w:type="dxa"/>
          </w:tcPr>
          <w:p w:rsidR="000E54F5" w:rsidRDefault="00095418" w:rsidP="00D63DAB">
            <w:pPr>
              <w:jc w:val="center"/>
            </w:pPr>
            <w:r>
              <w:t>-</w:t>
            </w:r>
          </w:p>
        </w:tc>
      </w:tr>
      <w:tr w:rsidR="008644C5" w:rsidTr="00D63DAB">
        <w:trPr>
          <w:jc w:val="center"/>
        </w:trPr>
        <w:tc>
          <w:tcPr>
            <w:tcW w:w="1809" w:type="dxa"/>
            <w:tcBorders>
              <w:right w:val="single" w:sz="4" w:space="0" w:color="auto"/>
            </w:tcBorders>
          </w:tcPr>
          <w:p w:rsidR="008644C5" w:rsidRDefault="008644C5" w:rsidP="006748D2">
            <w:r>
              <w:t>I:</w:t>
            </w:r>
            <w:r w:rsidRPr="00265951">
              <w:t xml:space="preserve"> 50.4-52.6</w:t>
            </w:r>
          </w:p>
        </w:tc>
        <w:tc>
          <w:tcPr>
            <w:tcW w:w="2127" w:type="dxa"/>
            <w:tcBorders>
              <w:left w:val="single" w:sz="4" w:space="0" w:color="auto"/>
              <w:right w:val="single" w:sz="4" w:space="0" w:color="auto"/>
            </w:tcBorders>
          </w:tcPr>
          <w:p w:rsidR="008644C5" w:rsidRPr="00265951" w:rsidRDefault="008644C5" w:rsidP="00D63DAB">
            <w:pPr>
              <w:jc w:val="center"/>
              <w:rPr>
                <w:lang w:eastAsia="ja-JP"/>
              </w:rPr>
            </w:pPr>
            <w:r w:rsidRPr="00265951">
              <w:rPr>
                <w:lang w:eastAsia="ja-JP"/>
              </w:rPr>
              <w:t>FS, FSS</w:t>
            </w:r>
            <w:r w:rsidR="00906725">
              <w:t>↑,</w:t>
            </w:r>
            <w:r w:rsidRPr="00265951">
              <w:rPr>
                <w:lang w:eastAsia="ja-JP"/>
              </w:rPr>
              <w:t xml:space="preserve"> MS</w:t>
            </w:r>
          </w:p>
        </w:tc>
        <w:tc>
          <w:tcPr>
            <w:tcW w:w="2268" w:type="dxa"/>
            <w:tcBorders>
              <w:left w:val="single" w:sz="4" w:space="0" w:color="auto"/>
            </w:tcBorders>
          </w:tcPr>
          <w:p w:rsidR="008644C5" w:rsidRDefault="008644C5" w:rsidP="00D63DAB">
            <w:pPr>
              <w:jc w:val="center"/>
              <w:rPr>
                <w:lang w:eastAsia="ja-JP"/>
              </w:rPr>
            </w:pPr>
            <w:r w:rsidRPr="00265951">
              <w:rPr>
                <w:lang w:eastAsia="ja-JP"/>
              </w:rPr>
              <w:t>EESS (passive)</w:t>
            </w:r>
            <w:r>
              <w:rPr>
                <w:lang w:eastAsia="ja-JP"/>
              </w:rPr>
              <w:t>,</w:t>
            </w:r>
            <w:r w:rsidRPr="00265951">
              <w:rPr>
                <w:lang w:eastAsia="ja-JP"/>
              </w:rPr>
              <w:t xml:space="preserve"> SRS (passive)</w:t>
            </w:r>
          </w:p>
        </w:tc>
        <w:tc>
          <w:tcPr>
            <w:tcW w:w="1559" w:type="dxa"/>
          </w:tcPr>
          <w:p w:rsidR="008644C5" w:rsidRDefault="00906725" w:rsidP="00D63DAB">
            <w:pPr>
              <w:jc w:val="center"/>
            </w:pPr>
            <w:r>
              <w:t>FSS</w:t>
            </w:r>
          </w:p>
        </w:tc>
        <w:tc>
          <w:tcPr>
            <w:tcW w:w="1559" w:type="dxa"/>
          </w:tcPr>
          <w:p w:rsidR="008644C5" w:rsidRDefault="00095418" w:rsidP="00D63DAB">
            <w:pPr>
              <w:jc w:val="center"/>
            </w:pPr>
            <w:r>
              <w:t>-</w:t>
            </w:r>
          </w:p>
        </w:tc>
      </w:tr>
      <w:tr w:rsidR="008644C5" w:rsidTr="00D63DAB">
        <w:trPr>
          <w:jc w:val="center"/>
        </w:trPr>
        <w:tc>
          <w:tcPr>
            <w:tcW w:w="1809" w:type="dxa"/>
            <w:tcBorders>
              <w:right w:val="single" w:sz="4" w:space="0" w:color="auto"/>
            </w:tcBorders>
          </w:tcPr>
          <w:p w:rsidR="008644C5" w:rsidRDefault="008644C5" w:rsidP="006748D2">
            <w:r>
              <w:t>J:</w:t>
            </w:r>
            <w:r w:rsidRPr="00265951">
              <w:t xml:space="preserve"> 66-71</w:t>
            </w:r>
          </w:p>
        </w:tc>
        <w:tc>
          <w:tcPr>
            <w:tcW w:w="2127" w:type="dxa"/>
            <w:tcBorders>
              <w:left w:val="single" w:sz="4" w:space="0" w:color="auto"/>
              <w:right w:val="single" w:sz="4" w:space="0" w:color="auto"/>
            </w:tcBorders>
          </w:tcPr>
          <w:p w:rsidR="008644C5" w:rsidRPr="00265951" w:rsidRDefault="00095418" w:rsidP="00D63DAB">
            <w:pPr>
              <w:jc w:val="center"/>
              <w:rPr>
                <w:lang w:eastAsia="ja-JP"/>
              </w:rPr>
            </w:pPr>
            <w:r w:rsidRPr="00265951">
              <w:rPr>
                <w:lang w:eastAsia="ja-JP"/>
              </w:rPr>
              <w:t>ISS, MS, MSS, RNS</w:t>
            </w:r>
            <w:r>
              <w:rPr>
                <w:lang w:eastAsia="ja-JP"/>
              </w:rPr>
              <w:t>,</w:t>
            </w:r>
            <w:r w:rsidRPr="00265951">
              <w:rPr>
                <w:lang w:eastAsia="ja-JP"/>
              </w:rPr>
              <w:t xml:space="preserve"> RNSS</w:t>
            </w:r>
          </w:p>
        </w:tc>
        <w:tc>
          <w:tcPr>
            <w:tcW w:w="2268" w:type="dxa"/>
            <w:tcBorders>
              <w:left w:val="single" w:sz="4" w:space="0" w:color="auto"/>
            </w:tcBorders>
          </w:tcPr>
          <w:p w:rsidR="008644C5" w:rsidRDefault="00BC30C2" w:rsidP="00D63DAB">
            <w:pPr>
              <w:jc w:val="center"/>
              <w:rPr>
                <w:lang w:eastAsia="ja-JP"/>
              </w:rPr>
            </w:pPr>
            <w:r>
              <w:rPr>
                <w:lang w:eastAsia="ja-JP"/>
              </w:rPr>
              <w:t>-</w:t>
            </w:r>
          </w:p>
        </w:tc>
        <w:tc>
          <w:tcPr>
            <w:tcW w:w="1559" w:type="dxa"/>
          </w:tcPr>
          <w:p w:rsidR="008644C5" w:rsidRDefault="00BC30C2" w:rsidP="00D63DAB">
            <w:pPr>
              <w:jc w:val="center"/>
            </w:pPr>
            <w:r>
              <w:t>-</w:t>
            </w:r>
          </w:p>
        </w:tc>
        <w:tc>
          <w:tcPr>
            <w:tcW w:w="1559" w:type="dxa"/>
          </w:tcPr>
          <w:p w:rsidR="008644C5" w:rsidRDefault="00095418" w:rsidP="00D63DAB">
            <w:pPr>
              <w:jc w:val="center"/>
            </w:pPr>
            <w:r w:rsidRPr="00265951">
              <w:rPr>
                <w:lang w:eastAsia="ja-JP"/>
              </w:rPr>
              <w:t>RNS</w:t>
            </w:r>
            <w:r>
              <w:rPr>
                <w:lang w:eastAsia="ja-JP"/>
              </w:rPr>
              <w:t>,</w:t>
            </w:r>
            <w:r w:rsidRPr="00265951">
              <w:rPr>
                <w:lang w:eastAsia="ja-JP"/>
              </w:rPr>
              <w:t xml:space="preserve"> RNSS</w:t>
            </w:r>
            <w:r w:rsidR="00836204">
              <w:rPr>
                <w:lang w:eastAsia="ja-JP"/>
              </w:rPr>
              <w:t>, MSS</w:t>
            </w:r>
            <w:r w:rsidR="00836204">
              <w:t>↓</w:t>
            </w:r>
          </w:p>
        </w:tc>
      </w:tr>
      <w:tr w:rsidR="008644C5" w:rsidTr="00D63DAB">
        <w:trPr>
          <w:jc w:val="center"/>
        </w:trPr>
        <w:tc>
          <w:tcPr>
            <w:tcW w:w="1809" w:type="dxa"/>
            <w:tcBorders>
              <w:right w:val="single" w:sz="4" w:space="0" w:color="auto"/>
            </w:tcBorders>
          </w:tcPr>
          <w:p w:rsidR="008644C5" w:rsidRDefault="008644C5" w:rsidP="006748D2">
            <w:r>
              <w:t>K:</w:t>
            </w:r>
            <w:r w:rsidRPr="00265951">
              <w:t xml:space="preserve"> 71-76</w:t>
            </w:r>
          </w:p>
        </w:tc>
        <w:tc>
          <w:tcPr>
            <w:tcW w:w="2127" w:type="dxa"/>
            <w:tcBorders>
              <w:left w:val="single" w:sz="4" w:space="0" w:color="auto"/>
              <w:right w:val="single" w:sz="4" w:space="0" w:color="auto"/>
            </w:tcBorders>
          </w:tcPr>
          <w:p w:rsidR="008644C5" w:rsidRPr="00265951" w:rsidRDefault="007E4DD7" w:rsidP="00D63DAB">
            <w:pPr>
              <w:jc w:val="center"/>
              <w:rPr>
                <w:lang w:eastAsia="ja-JP"/>
              </w:rPr>
            </w:pPr>
            <w:r>
              <w:rPr>
                <w:lang w:eastAsia="ja-JP"/>
              </w:rPr>
              <w:t xml:space="preserve">BS, </w:t>
            </w:r>
            <w:r w:rsidRPr="00265951">
              <w:rPr>
                <w:lang w:eastAsia="ja-JP"/>
              </w:rPr>
              <w:t>BSS, FS, FSS</w:t>
            </w:r>
            <w:r>
              <w:t>↓</w:t>
            </w:r>
            <w:r w:rsidRPr="00265951">
              <w:rPr>
                <w:lang w:eastAsia="ja-JP"/>
              </w:rPr>
              <w:t>, MS</w:t>
            </w:r>
            <w:r>
              <w:rPr>
                <w:lang w:eastAsia="ja-JP"/>
              </w:rPr>
              <w:t>,</w:t>
            </w:r>
            <w:r w:rsidRPr="00265951">
              <w:rPr>
                <w:lang w:eastAsia="ja-JP"/>
              </w:rPr>
              <w:t xml:space="preserve"> MSS</w:t>
            </w:r>
            <w:r>
              <w:t>↓</w:t>
            </w:r>
          </w:p>
        </w:tc>
        <w:tc>
          <w:tcPr>
            <w:tcW w:w="2268" w:type="dxa"/>
            <w:tcBorders>
              <w:left w:val="single" w:sz="4" w:space="0" w:color="auto"/>
            </w:tcBorders>
          </w:tcPr>
          <w:p w:rsidR="008644C5" w:rsidRDefault="00835A62" w:rsidP="00D63DAB">
            <w:pPr>
              <w:jc w:val="center"/>
              <w:rPr>
                <w:lang w:eastAsia="ja-JP"/>
              </w:rPr>
            </w:pPr>
            <w:r w:rsidRPr="00265951">
              <w:rPr>
                <w:lang w:eastAsia="ja-JP"/>
              </w:rPr>
              <w:t>ARS, ARSS, RAS</w:t>
            </w:r>
            <w:r>
              <w:rPr>
                <w:lang w:eastAsia="ja-JP"/>
              </w:rPr>
              <w:t>,</w:t>
            </w:r>
            <w:r w:rsidRPr="00265951">
              <w:rPr>
                <w:lang w:eastAsia="ja-JP"/>
              </w:rPr>
              <w:t xml:space="preserve"> RLS</w:t>
            </w:r>
          </w:p>
        </w:tc>
        <w:tc>
          <w:tcPr>
            <w:tcW w:w="1559" w:type="dxa"/>
          </w:tcPr>
          <w:p w:rsidR="008644C5" w:rsidRDefault="003F016E" w:rsidP="00D63DAB">
            <w:pPr>
              <w:jc w:val="center"/>
            </w:pPr>
            <w:r>
              <w:t>-</w:t>
            </w:r>
          </w:p>
        </w:tc>
        <w:tc>
          <w:tcPr>
            <w:tcW w:w="1559" w:type="dxa"/>
          </w:tcPr>
          <w:p w:rsidR="008644C5" w:rsidRDefault="00C46A9D" w:rsidP="00D63DAB">
            <w:pPr>
              <w:jc w:val="center"/>
            </w:pPr>
            <w:r>
              <w:rPr>
                <w:lang w:eastAsia="ja-JP"/>
              </w:rPr>
              <w:t>RAS, BS, BSS, MSS</w:t>
            </w:r>
            <w:r>
              <w:t xml:space="preserve">↓, </w:t>
            </w:r>
            <w:r w:rsidRPr="00265951">
              <w:rPr>
                <w:lang w:eastAsia="ja-JP"/>
              </w:rPr>
              <w:t>ARS</w:t>
            </w:r>
            <w:r>
              <w:rPr>
                <w:lang w:eastAsia="ja-JP"/>
              </w:rPr>
              <w:t>,</w:t>
            </w:r>
            <w:r w:rsidRPr="00265951">
              <w:rPr>
                <w:lang w:eastAsia="ja-JP"/>
              </w:rPr>
              <w:t xml:space="preserve"> ARSS</w:t>
            </w:r>
          </w:p>
        </w:tc>
      </w:tr>
      <w:tr w:rsidR="008644C5" w:rsidTr="00D63DAB">
        <w:trPr>
          <w:jc w:val="center"/>
        </w:trPr>
        <w:tc>
          <w:tcPr>
            <w:tcW w:w="1809" w:type="dxa"/>
            <w:tcBorders>
              <w:right w:val="single" w:sz="4" w:space="0" w:color="auto"/>
            </w:tcBorders>
          </w:tcPr>
          <w:p w:rsidR="008644C5" w:rsidRDefault="008644C5" w:rsidP="006748D2">
            <w:r>
              <w:t>L:</w:t>
            </w:r>
            <w:r w:rsidRPr="00265951">
              <w:t xml:space="preserve"> 81-86</w:t>
            </w:r>
          </w:p>
        </w:tc>
        <w:tc>
          <w:tcPr>
            <w:tcW w:w="2127" w:type="dxa"/>
            <w:tcBorders>
              <w:left w:val="single" w:sz="4" w:space="0" w:color="auto"/>
              <w:right w:val="single" w:sz="4" w:space="0" w:color="auto"/>
            </w:tcBorders>
          </w:tcPr>
          <w:p w:rsidR="008644C5" w:rsidRPr="00D63DAB" w:rsidRDefault="003F016E" w:rsidP="00D63DAB">
            <w:pPr>
              <w:jc w:val="center"/>
              <w:rPr>
                <w:lang w:val="fr-CH" w:eastAsia="ja-JP"/>
              </w:rPr>
            </w:pPr>
            <w:r w:rsidRPr="00D63DAB">
              <w:rPr>
                <w:lang w:val="fr-CH" w:eastAsia="ja-JP"/>
              </w:rPr>
              <w:t>FS, FSS</w:t>
            </w:r>
            <w:r w:rsidRPr="00D63DAB">
              <w:rPr>
                <w:lang w:val="fr-CH"/>
              </w:rPr>
              <w:t>↑</w:t>
            </w:r>
            <w:r w:rsidRPr="00D63DAB">
              <w:rPr>
                <w:lang w:val="fr-CH" w:eastAsia="ja-JP"/>
              </w:rPr>
              <w:t>, MS, MSS</w:t>
            </w:r>
            <w:r w:rsidRPr="00D63DAB">
              <w:rPr>
                <w:lang w:val="fr-CH"/>
              </w:rPr>
              <w:t>↑</w:t>
            </w:r>
            <w:r w:rsidRPr="00D63DAB">
              <w:rPr>
                <w:lang w:val="fr-CH" w:eastAsia="ja-JP"/>
              </w:rPr>
              <w:t>, RAS</w:t>
            </w:r>
          </w:p>
        </w:tc>
        <w:tc>
          <w:tcPr>
            <w:tcW w:w="2268" w:type="dxa"/>
            <w:tcBorders>
              <w:left w:val="single" w:sz="4" w:space="0" w:color="auto"/>
            </w:tcBorders>
          </w:tcPr>
          <w:p w:rsidR="008644C5" w:rsidRDefault="00F97F50" w:rsidP="00D63DAB">
            <w:pPr>
              <w:jc w:val="center"/>
              <w:rPr>
                <w:lang w:eastAsia="ja-JP"/>
              </w:rPr>
            </w:pPr>
            <w:r w:rsidRPr="00265951">
              <w:rPr>
                <w:lang w:eastAsia="ja-JP"/>
              </w:rPr>
              <w:t>ARS, ARSS, EESS (passive), RAS, RLS</w:t>
            </w:r>
            <w:r>
              <w:rPr>
                <w:lang w:eastAsia="ja-JP"/>
              </w:rPr>
              <w:t xml:space="preserve">, </w:t>
            </w:r>
            <w:r w:rsidRPr="00265951">
              <w:rPr>
                <w:lang w:eastAsia="ja-JP"/>
              </w:rPr>
              <w:t>SRS (passive)</w:t>
            </w:r>
          </w:p>
        </w:tc>
        <w:tc>
          <w:tcPr>
            <w:tcW w:w="1559" w:type="dxa"/>
          </w:tcPr>
          <w:p w:rsidR="008644C5" w:rsidRDefault="00AE238A" w:rsidP="00D63DAB">
            <w:pPr>
              <w:jc w:val="center"/>
            </w:pPr>
            <w:r>
              <w:t>-</w:t>
            </w:r>
          </w:p>
        </w:tc>
        <w:tc>
          <w:tcPr>
            <w:tcW w:w="1559" w:type="dxa"/>
          </w:tcPr>
          <w:p w:rsidR="008644C5" w:rsidRDefault="00833C92" w:rsidP="00D63DAB">
            <w:pPr>
              <w:jc w:val="center"/>
            </w:pPr>
            <w:r w:rsidRPr="00265951">
              <w:rPr>
                <w:lang w:eastAsia="ja-JP"/>
              </w:rPr>
              <w:t>ARS</w:t>
            </w:r>
            <w:r>
              <w:rPr>
                <w:lang w:eastAsia="ja-JP"/>
              </w:rPr>
              <w:t>,</w:t>
            </w:r>
            <w:r w:rsidRPr="00265951">
              <w:rPr>
                <w:lang w:eastAsia="ja-JP"/>
              </w:rPr>
              <w:t xml:space="preserve"> ARSS</w:t>
            </w:r>
            <w:r>
              <w:rPr>
                <w:lang w:eastAsia="ja-JP"/>
              </w:rPr>
              <w:t>, MSS</w:t>
            </w:r>
          </w:p>
        </w:tc>
      </w:tr>
    </w:tbl>
    <w:p w:rsidR="002B131C" w:rsidRDefault="002B131C" w:rsidP="002B131C">
      <w:pPr>
        <w:jc w:val="both"/>
      </w:pPr>
      <w:r w:rsidRPr="002B131C">
        <w:rPr>
          <w:vertAlign w:val="superscript"/>
        </w:rPr>
        <w:t>*</w:t>
      </w:r>
      <w:r>
        <w:t>: '↓' and '↑' denotes downlink and uplink respectively.</w:t>
      </w:r>
    </w:p>
    <w:p w:rsidR="002B131C" w:rsidRDefault="002B131C" w:rsidP="00C57355">
      <w:pPr>
        <w:jc w:val="both"/>
      </w:pPr>
    </w:p>
    <w:p w:rsidR="002B131C" w:rsidRDefault="002B131C" w:rsidP="00C57355">
      <w:pPr>
        <w:jc w:val="both"/>
      </w:pPr>
    </w:p>
    <w:p w:rsidR="00C57355" w:rsidRDefault="0045514F" w:rsidP="00D73CC4">
      <w:pPr>
        <w:jc w:val="both"/>
      </w:pPr>
      <w:r>
        <w:t xml:space="preserve">Based on </w:t>
      </w:r>
      <w:r w:rsidR="00D73CC4">
        <w:t xml:space="preserve">the </w:t>
      </w:r>
      <w:r>
        <w:t xml:space="preserve">conducted studies, following </w:t>
      </w:r>
      <w:r w:rsidR="00A23974">
        <w:t>M</w:t>
      </w:r>
      <w:r>
        <w:t xml:space="preserve">ethods </w:t>
      </w:r>
      <w:r w:rsidR="00D73CC4">
        <w:t>outlined</w:t>
      </w:r>
      <w:r w:rsidR="00083B77">
        <w:t xml:space="preserve"> </w:t>
      </w:r>
      <w:r w:rsidRPr="00265951">
        <w:t>to satisfy the agenda item</w:t>
      </w:r>
      <w:r w:rsidR="002B131C" w:rsidRPr="009E1892">
        <w:rPr>
          <w:b/>
          <w:bCs/>
        </w:rPr>
        <w:t>1.13</w:t>
      </w:r>
      <w:r>
        <w:t>:</w:t>
      </w:r>
    </w:p>
    <w:p w:rsidR="0004448D" w:rsidRDefault="0004448D" w:rsidP="00D73CC4">
      <w:pPr>
        <w:jc w:val="both"/>
      </w:pPr>
    </w:p>
    <w:p w:rsidR="0004448D" w:rsidRDefault="0004448D" w:rsidP="00D73CC4">
      <w:pPr>
        <w:jc w:val="both"/>
      </w:pPr>
    </w:p>
    <w:p w:rsidR="0045514F" w:rsidRDefault="0045514F" w:rsidP="00C57355">
      <w:pPr>
        <w:jc w:val="both"/>
      </w:pPr>
    </w:p>
    <w:p w:rsidR="00A23974" w:rsidRDefault="00A23974" w:rsidP="00A23974">
      <w:pPr>
        <w:spacing w:after="120"/>
        <w:jc w:val="center"/>
      </w:pPr>
      <w:r>
        <w:lastRenderedPageBreak/>
        <w:t xml:space="preserve">Table 2. Methods adopted in CPM19-2 Report </w:t>
      </w:r>
      <w:r w:rsidRPr="00265951">
        <w:t>to satisfy the agenda item</w:t>
      </w:r>
      <w:r w:rsidRPr="009E1892">
        <w:rPr>
          <w:b/>
          <w:bCs/>
        </w:rPr>
        <w:t>1.13</w:t>
      </w:r>
    </w:p>
    <w:tbl>
      <w:tblPr>
        <w:tblW w:w="9309" w:type="dxa"/>
        <w:jc w:val="center"/>
        <w:tblCellMar>
          <w:left w:w="0" w:type="dxa"/>
          <w:right w:w="0" w:type="dxa"/>
        </w:tblCellMar>
        <w:tblLook w:val="04A0" w:firstRow="1" w:lastRow="0" w:firstColumn="1" w:lastColumn="0" w:noHBand="0" w:noVBand="1"/>
      </w:tblPr>
      <w:tblGrid>
        <w:gridCol w:w="1718"/>
        <w:gridCol w:w="984"/>
        <w:gridCol w:w="2462"/>
        <w:gridCol w:w="1415"/>
        <w:gridCol w:w="1318"/>
        <w:gridCol w:w="1412"/>
      </w:tblGrid>
      <w:tr w:rsidR="00B9488B" w:rsidRPr="00856FA4" w:rsidTr="00482854">
        <w:trPr>
          <w:trHeight w:val="591"/>
          <w:jc w:val="center"/>
        </w:trPr>
        <w:tc>
          <w:tcPr>
            <w:tcW w:w="1726" w:type="dxa"/>
            <w:tcBorders>
              <w:top w:val="single" w:sz="8" w:space="0" w:color="000000"/>
              <w:left w:val="single" w:sz="8" w:space="0" w:color="000000"/>
              <w:right w:val="single" w:sz="8" w:space="0" w:color="000000"/>
              <w:tl2br w:val="single" w:sz="4" w:space="0" w:color="auto"/>
            </w:tcBorders>
            <w:shd w:val="clear" w:color="auto" w:fill="auto"/>
            <w:tcMar>
              <w:top w:w="15" w:type="dxa"/>
              <w:left w:w="152" w:type="dxa"/>
              <w:bottom w:w="0" w:type="dxa"/>
              <w:right w:w="152" w:type="dxa"/>
            </w:tcMar>
            <w:hideMark/>
          </w:tcPr>
          <w:p w:rsidR="00B9488B" w:rsidRPr="00856FA4" w:rsidRDefault="00B9488B" w:rsidP="00B9488B">
            <w:r>
              <w:rPr>
                <w:lang w:val="en-GB"/>
              </w:rPr>
              <w:t xml:space="preserve">        Methods</w:t>
            </w:r>
            <w:r>
              <w:rPr>
                <w:lang w:val="en-GB"/>
              </w:rPr>
              <w:br/>
            </w:r>
            <w:r w:rsidRPr="00856FA4">
              <w:rPr>
                <w:lang w:val="en-GB"/>
              </w:rPr>
              <w:t>Freq</w:t>
            </w:r>
            <w:r>
              <w:rPr>
                <w:lang w:val="en-GB"/>
              </w:rPr>
              <w:t>.</w:t>
            </w:r>
            <w:r>
              <w:rPr>
                <w:lang w:val="en-GB"/>
              </w:rPr>
              <w:br/>
            </w:r>
            <w:r w:rsidRPr="00856FA4">
              <w:rPr>
                <w:lang w:val="en-GB"/>
              </w:rPr>
              <w:t>Band (GHz)</w:t>
            </w:r>
          </w:p>
        </w:tc>
        <w:tc>
          <w:tcPr>
            <w:tcW w:w="964" w:type="dxa"/>
            <w:tcBorders>
              <w:top w:val="single" w:sz="8" w:space="0" w:color="000000"/>
              <w:left w:val="single" w:sz="8" w:space="0" w:color="000000"/>
              <w:right w:val="single" w:sz="8" w:space="0" w:color="000000"/>
            </w:tcBorders>
            <w:shd w:val="clear" w:color="auto" w:fill="auto"/>
            <w:tcMar>
              <w:top w:w="15" w:type="dxa"/>
              <w:left w:w="152" w:type="dxa"/>
              <w:bottom w:w="0" w:type="dxa"/>
              <w:right w:w="152" w:type="dxa"/>
            </w:tcMar>
            <w:vAlign w:val="center"/>
            <w:hideMark/>
          </w:tcPr>
          <w:p w:rsidR="00B9488B" w:rsidRPr="00856FA4" w:rsidRDefault="00B9488B" w:rsidP="005479D1">
            <w:pPr>
              <w:jc w:val="center"/>
            </w:pPr>
            <w:r w:rsidRPr="00856FA4">
              <w:rPr>
                <w:lang w:val="en-GB"/>
              </w:rPr>
              <w:t>No</w:t>
            </w:r>
            <w:r>
              <w:rPr>
                <w:lang w:val="en-GB"/>
              </w:rPr>
              <w:t xml:space="preserve"> change to RR</w:t>
            </w:r>
          </w:p>
        </w:tc>
        <w:tc>
          <w:tcPr>
            <w:tcW w:w="2473" w:type="dxa"/>
            <w:tcBorders>
              <w:top w:val="single" w:sz="8" w:space="0" w:color="000000"/>
              <w:left w:val="single" w:sz="8" w:space="0" w:color="000000"/>
              <w:right w:val="single" w:sz="8" w:space="0" w:color="000000"/>
            </w:tcBorders>
            <w:shd w:val="clear" w:color="auto" w:fill="auto"/>
            <w:tcMar>
              <w:top w:w="15" w:type="dxa"/>
              <w:left w:w="152" w:type="dxa"/>
              <w:bottom w:w="0" w:type="dxa"/>
              <w:right w:w="152" w:type="dxa"/>
            </w:tcMar>
            <w:vAlign w:val="center"/>
            <w:hideMark/>
          </w:tcPr>
          <w:p w:rsidR="00B9488B" w:rsidRPr="00856FA4" w:rsidRDefault="00B9488B" w:rsidP="00B9488B">
            <w:pPr>
              <w:jc w:val="center"/>
            </w:pPr>
            <w:r w:rsidRPr="00856FA4">
              <w:rPr>
                <w:lang w:val="en-GB"/>
              </w:rPr>
              <w:t>I</w:t>
            </w:r>
            <w:r>
              <w:rPr>
                <w:lang w:val="en-GB"/>
              </w:rPr>
              <w:t>dentification for IMT (two alternatives under LMS or MS)</w:t>
            </w:r>
          </w:p>
        </w:tc>
        <w:tc>
          <w:tcPr>
            <w:tcW w:w="1416" w:type="dxa"/>
            <w:tcBorders>
              <w:top w:val="single" w:sz="8" w:space="0" w:color="000000"/>
              <w:left w:val="single" w:sz="8" w:space="0" w:color="000000"/>
              <w:right w:val="single" w:sz="8" w:space="0" w:color="000000"/>
            </w:tcBorders>
            <w:shd w:val="clear" w:color="auto" w:fill="auto"/>
            <w:tcMar>
              <w:top w:w="15" w:type="dxa"/>
              <w:left w:w="152" w:type="dxa"/>
              <w:bottom w:w="0" w:type="dxa"/>
              <w:right w:w="152" w:type="dxa"/>
            </w:tcMar>
            <w:vAlign w:val="center"/>
            <w:hideMark/>
          </w:tcPr>
          <w:p w:rsidR="00B9488B" w:rsidRPr="00856FA4" w:rsidRDefault="00B9488B" w:rsidP="00856FA4">
            <w:pPr>
              <w:jc w:val="center"/>
            </w:pPr>
            <w:r>
              <w:rPr>
                <w:lang w:val="en-GB"/>
              </w:rPr>
              <w:t>Upgrading to primary MS</w:t>
            </w:r>
          </w:p>
        </w:tc>
        <w:tc>
          <w:tcPr>
            <w:tcW w:w="1318" w:type="dxa"/>
            <w:tcBorders>
              <w:top w:val="single" w:sz="8" w:space="0" w:color="000000"/>
              <w:left w:val="single" w:sz="8" w:space="0" w:color="000000"/>
              <w:right w:val="single" w:sz="8" w:space="0" w:color="000000"/>
            </w:tcBorders>
            <w:shd w:val="clear" w:color="auto" w:fill="auto"/>
            <w:tcMar>
              <w:top w:w="15" w:type="dxa"/>
              <w:left w:w="152" w:type="dxa"/>
              <w:bottom w:w="0" w:type="dxa"/>
              <w:right w:w="152" w:type="dxa"/>
            </w:tcMar>
            <w:vAlign w:val="center"/>
            <w:hideMark/>
          </w:tcPr>
          <w:p w:rsidR="00B9488B" w:rsidRPr="00856FA4" w:rsidRDefault="00B9488B" w:rsidP="0007257D">
            <w:pPr>
              <w:jc w:val="center"/>
            </w:pPr>
            <w:r w:rsidRPr="00856FA4">
              <w:rPr>
                <w:lang w:val="en-GB"/>
              </w:rPr>
              <w:t>A</w:t>
            </w:r>
            <w:r>
              <w:rPr>
                <w:lang w:val="en-GB"/>
              </w:rPr>
              <w:t>llocation to primary MS</w:t>
            </w:r>
          </w:p>
        </w:tc>
        <w:tc>
          <w:tcPr>
            <w:tcW w:w="1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52" w:type="dxa"/>
              <w:bottom w:w="0" w:type="dxa"/>
              <w:right w:w="152" w:type="dxa"/>
            </w:tcMar>
            <w:vAlign w:val="center"/>
            <w:hideMark/>
          </w:tcPr>
          <w:p w:rsidR="00B9488B" w:rsidRPr="00856FA4" w:rsidRDefault="00B9488B" w:rsidP="00856FA4">
            <w:pPr>
              <w:jc w:val="center"/>
            </w:pPr>
            <w:r w:rsidRPr="00856FA4">
              <w:rPr>
                <w:lang w:val="en-GB"/>
              </w:rPr>
              <w:t>Section in CPM</w:t>
            </w:r>
            <w:r w:rsidR="00A23974">
              <w:rPr>
                <w:lang w:val="en-GB"/>
              </w:rPr>
              <w:t>19-2</w:t>
            </w:r>
            <w:r w:rsidRPr="00856FA4">
              <w:rPr>
                <w:lang w:val="en-GB"/>
              </w:rPr>
              <w:t xml:space="preserve"> Report</w:t>
            </w:r>
          </w:p>
        </w:tc>
      </w:tr>
      <w:tr w:rsidR="00B9488B" w:rsidRPr="00856FA4" w:rsidTr="00482854">
        <w:trPr>
          <w:trHeight w:val="35"/>
          <w:jc w:val="center"/>
        </w:trPr>
        <w:tc>
          <w:tcPr>
            <w:tcW w:w="1726" w:type="dxa"/>
            <w:tcBorders>
              <w:top w:val="single" w:sz="8" w:space="0" w:color="000000"/>
              <w:left w:val="single" w:sz="8" w:space="0" w:color="000000"/>
              <w:bottom w:val="single" w:sz="8" w:space="0" w:color="000000"/>
              <w:right w:val="single" w:sz="8" w:space="0" w:color="000000"/>
            </w:tcBorders>
            <w:shd w:val="clear" w:color="auto" w:fill="auto"/>
            <w:tcMar>
              <w:top w:w="15" w:type="dxa"/>
              <w:left w:w="152" w:type="dxa"/>
              <w:bottom w:w="0" w:type="dxa"/>
              <w:right w:w="152" w:type="dxa"/>
            </w:tcMar>
            <w:vAlign w:val="center"/>
            <w:hideMark/>
          </w:tcPr>
          <w:p w:rsidR="00B97ACE" w:rsidRPr="00856FA4" w:rsidRDefault="00856FA4" w:rsidP="00201ACC">
            <w:r w:rsidRPr="00856FA4">
              <w:rPr>
                <w:lang w:val="en-GB"/>
              </w:rPr>
              <w:t>A: 24.25-27.5</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52" w:type="dxa"/>
              <w:bottom w:w="0" w:type="dxa"/>
              <w:right w:w="152" w:type="dxa"/>
            </w:tcMar>
            <w:vAlign w:val="center"/>
            <w:hideMark/>
          </w:tcPr>
          <w:p w:rsidR="00B97ACE" w:rsidRPr="00856FA4" w:rsidRDefault="0007257D" w:rsidP="00856FA4">
            <w:pPr>
              <w:jc w:val="center"/>
            </w:pPr>
            <w:r>
              <w:rPr>
                <w:lang w:val="en-GB"/>
              </w:rPr>
              <w:t>A1</w:t>
            </w:r>
          </w:p>
        </w:tc>
        <w:tc>
          <w:tcPr>
            <w:tcW w:w="2473" w:type="dxa"/>
            <w:tcBorders>
              <w:top w:val="single" w:sz="8" w:space="0" w:color="000000"/>
              <w:left w:val="single" w:sz="8" w:space="0" w:color="000000"/>
              <w:bottom w:val="single" w:sz="8" w:space="0" w:color="000000"/>
              <w:right w:val="single" w:sz="8" w:space="0" w:color="000000"/>
            </w:tcBorders>
            <w:shd w:val="clear" w:color="auto" w:fill="auto"/>
            <w:tcMar>
              <w:top w:w="15" w:type="dxa"/>
              <w:left w:w="152" w:type="dxa"/>
              <w:bottom w:w="0" w:type="dxa"/>
              <w:right w:w="152" w:type="dxa"/>
            </w:tcMar>
            <w:vAlign w:val="center"/>
            <w:hideMark/>
          </w:tcPr>
          <w:p w:rsidR="00B97ACE" w:rsidRPr="00856FA4" w:rsidRDefault="0007257D" w:rsidP="00856FA4">
            <w:pPr>
              <w:jc w:val="center"/>
            </w:pPr>
            <w:r>
              <w:rPr>
                <w:lang w:val="en-GB"/>
              </w:rPr>
              <w:t>A2</w:t>
            </w:r>
          </w:p>
        </w:tc>
        <w:tc>
          <w:tcPr>
            <w:tcW w:w="1416" w:type="dxa"/>
            <w:tcBorders>
              <w:top w:val="single" w:sz="8" w:space="0" w:color="000000"/>
              <w:left w:val="single" w:sz="8" w:space="0" w:color="000000"/>
              <w:bottom w:val="single" w:sz="8" w:space="0" w:color="000000"/>
              <w:right w:val="single" w:sz="8" w:space="0" w:color="000000"/>
            </w:tcBorders>
            <w:shd w:val="clear" w:color="auto" w:fill="auto"/>
            <w:tcMar>
              <w:top w:w="15" w:type="dxa"/>
              <w:left w:w="152" w:type="dxa"/>
              <w:bottom w:w="0" w:type="dxa"/>
              <w:right w:w="152" w:type="dxa"/>
            </w:tcMar>
            <w:vAlign w:val="center"/>
            <w:hideMark/>
          </w:tcPr>
          <w:p w:rsidR="00B97ACE" w:rsidRPr="00856FA4" w:rsidRDefault="00B97ACE" w:rsidP="00856FA4">
            <w:pPr>
              <w:jc w:val="center"/>
            </w:pPr>
          </w:p>
        </w:tc>
        <w:tc>
          <w:tcPr>
            <w:tcW w:w="13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2" w:type="dxa"/>
              <w:bottom w:w="0" w:type="dxa"/>
              <w:right w:w="152" w:type="dxa"/>
            </w:tcMar>
            <w:vAlign w:val="center"/>
            <w:hideMark/>
          </w:tcPr>
          <w:p w:rsidR="00B97ACE" w:rsidRPr="00856FA4" w:rsidRDefault="0007257D" w:rsidP="00856FA4">
            <w:pPr>
              <w:jc w:val="center"/>
            </w:pPr>
            <w:r>
              <w:rPr>
                <w:lang w:val="en-GB"/>
              </w:rPr>
              <w:t>A2</w:t>
            </w:r>
          </w:p>
        </w:tc>
        <w:tc>
          <w:tcPr>
            <w:tcW w:w="1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52" w:type="dxa"/>
              <w:bottom w:w="0" w:type="dxa"/>
              <w:right w:w="152" w:type="dxa"/>
            </w:tcMar>
            <w:vAlign w:val="center"/>
            <w:hideMark/>
          </w:tcPr>
          <w:p w:rsidR="00B97ACE" w:rsidRPr="00856FA4" w:rsidRDefault="00856FA4" w:rsidP="00856FA4">
            <w:pPr>
              <w:jc w:val="center"/>
            </w:pPr>
            <w:r w:rsidRPr="00856FA4">
              <w:rPr>
                <w:lang w:val="en-GB"/>
              </w:rPr>
              <w:t>2/1.13/4.1</w:t>
            </w:r>
          </w:p>
        </w:tc>
      </w:tr>
      <w:tr w:rsidR="00B9488B" w:rsidRPr="00856FA4" w:rsidTr="00482854">
        <w:trPr>
          <w:trHeight w:val="261"/>
          <w:jc w:val="center"/>
        </w:trPr>
        <w:tc>
          <w:tcPr>
            <w:tcW w:w="1726" w:type="dxa"/>
            <w:tcBorders>
              <w:top w:val="single" w:sz="8" w:space="0" w:color="000000"/>
              <w:left w:val="single" w:sz="8" w:space="0" w:color="000000"/>
              <w:bottom w:val="single" w:sz="8" w:space="0" w:color="000000"/>
              <w:right w:val="single" w:sz="8" w:space="0" w:color="000000"/>
            </w:tcBorders>
            <w:shd w:val="clear" w:color="auto" w:fill="auto"/>
            <w:tcMar>
              <w:top w:w="15" w:type="dxa"/>
              <w:left w:w="152" w:type="dxa"/>
              <w:bottom w:w="0" w:type="dxa"/>
              <w:right w:w="152" w:type="dxa"/>
            </w:tcMar>
            <w:vAlign w:val="center"/>
            <w:hideMark/>
          </w:tcPr>
          <w:p w:rsidR="00B97ACE" w:rsidRPr="00856FA4" w:rsidRDefault="00856FA4" w:rsidP="00201ACC">
            <w:r w:rsidRPr="00856FA4">
              <w:rPr>
                <w:lang w:val="en-GB"/>
              </w:rPr>
              <w:t xml:space="preserve">B: 31.8-33.4 </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52" w:type="dxa"/>
              <w:bottom w:w="0" w:type="dxa"/>
              <w:right w:w="152" w:type="dxa"/>
            </w:tcMar>
            <w:vAlign w:val="center"/>
            <w:hideMark/>
          </w:tcPr>
          <w:p w:rsidR="00B97ACE" w:rsidRPr="00856FA4" w:rsidRDefault="006711D1" w:rsidP="00856FA4">
            <w:pPr>
              <w:jc w:val="center"/>
            </w:pPr>
            <w:r>
              <w:rPr>
                <w:lang w:val="en-GB"/>
              </w:rPr>
              <w:t>B1</w:t>
            </w:r>
          </w:p>
        </w:tc>
        <w:tc>
          <w:tcPr>
            <w:tcW w:w="2473" w:type="dxa"/>
            <w:tcBorders>
              <w:top w:val="single" w:sz="8" w:space="0" w:color="000000"/>
              <w:left w:val="single" w:sz="8" w:space="0" w:color="000000"/>
              <w:bottom w:val="single" w:sz="8" w:space="0" w:color="000000"/>
              <w:right w:val="single" w:sz="8" w:space="0" w:color="000000"/>
            </w:tcBorders>
            <w:shd w:val="clear" w:color="auto" w:fill="auto"/>
            <w:tcMar>
              <w:top w:w="15" w:type="dxa"/>
              <w:left w:w="152" w:type="dxa"/>
              <w:bottom w:w="0" w:type="dxa"/>
              <w:right w:w="152" w:type="dxa"/>
            </w:tcMar>
            <w:vAlign w:val="center"/>
            <w:hideMark/>
          </w:tcPr>
          <w:p w:rsidR="00B97ACE" w:rsidRPr="00856FA4" w:rsidRDefault="00B97ACE" w:rsidP="00856FA4">
            <w:pPr>
              <w:jc w:val="center"/>
            </w:pPr>
          </w:p>
        </w:tc>
        <w:tc>
          <w:tcPr>
            <w:tcW w:w="1416" w:type="dxa"/>
            <w:tcBorders>
              <w:top w:val="single" w:sz="8" w:space="0" w:color="000000"/>
              <w:left w:val="single" w:sz="8" w:space="0" w:color="000000"/>
              <w:bottom w:val="single" w:sz="8" w:space="0" w:color="000000"/>
              <w:right w:val="single" w:sz="8" w:space="0" w:color="000000"/>
            </w:tcBorders>
            <w:shd w:val="clear" w:color="auto" w:fill="auto"/>
            <w:tcMar>
              <w:top w:w="15" w:type="dxa"/>
              <w:left w:w="152" w:type="dxa"/>
              <w:bottom w:w="0" w:type="dxa"/>
              <w:right w:w="152" w:type="dxa"/>
            </w:tcMar>
            <w:vAlign w:val="center"/>
            <w:hideMark/>
          </w:tcPr>
          <w:p w:rsidR="00B97ACE" w:rsidRPr="00856FA4" w:rsidRDefault="00B97ACE" w:rsidP="00856FA4">
            <w:pPr>
              <w:jc w:val="center"/>
            </w:pPr>
          </w:p>
        </w:tc>
        <w:tc>
          <w:tcPr>
            <w:tcW w:w="13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2" w:type="dxa"/>
              <w:bottom w:w="0" w:type="dxa"/>
              <w:right w:w="152" w:type="dxa"/>
            </w:tcMar>
            <w:vAlign w:val="center"/>
            <w:hideMark/>
          </w:tcPr>
          <w:p w:rsidR="00B97ACE" w:rsidRPr="00856FA4" w:rsidRDefault="00B97ACE" w:rsidP="00856FA4">
            <w:pPr>
              <w:jc w:val="center"/>
            </w:pPr>
          </w:p>
        </w:tc>
        <w:tc>
          <w:tcPr>
            <w:tcW w:w="1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52" w:type="dxa"/>
              <w:bottom w:w="0" w:type="dxa"/>
              <w:right w:w="152" w:type="dxa"/>
            </w:tcMar>
            <w:vAlign w:val="center"/>
            <w:hideMark/>
          </w:tcPr>
          <w:p w:rsidR="00B97ACE" w:rsidRPr="00856FA4" w:rsidRDefault="00856FA4" w:rsidP="00856FA4">
            <w:pPr>
              <w:jc w:val="center"/>
            </w:pPr>
            <w:r w:rsidRPr="00856FA4">
              <w:rPr>
                <w:lang w:val="en-GB"/>
              </w:rPr>
              <w:t>2/1.13/4.2</w:t>
            </w:r>
          </w:p>
        </w:tc>
      </w:tr>
      <w:tr w:rsidR="00B9488B" w:rsidRPr="00856FA4" w:rsidTr="00482854">
        <w:trPr>
          <w:trHeight w:val="35"/>
          <w:jc w:val="center"/>
        </w:trPr>
        <w:tc>
          <w:tcPr>
            <w:tcW w:w="1726" w:type="dxa"/>
            <w:tcBorders>
              <w:top w:val="single" w:sz="8" w:space="0" w:color="000000"/>
              <w:left w:val="single" w:sz="8" w:space="0" w:color="000000"/>
              <w:bottom w:val="single" w:sz="8" w:space="0" w:color="000000"/>
              <w:right w:val="single" w:sz="8" w:space="0" w:color="000000"/>
            </w:tcBorders>
            <w:shd w:val="clear" w:color="auto" w:fill="auto"/>
            <w:tcMar>
              <w:top w:w="15" w:type="dxa"/>
              <w:left w:w="152" w:type="dxa"/>
              <w:bottom w:w="0" w:type="dxa"/>
              <w:right w:w="152" w:type="dxa"/>
            </w:tcMar>
            <w:vAlign w:val="center"/>
            <w:hideMark/>
          </w:tcPr>
          <w:p w:rsidR="00201ACC" w:rsidRPr="00856FA4" w:rsidRDefault="00201ACC" w:rsidP="00201ACC">
            <w:r w:rsidRPr="00856FA4">
              <w:rPr>
                <w:lang w:val="en-GB"/>
              </w:rPr>
              <w:t>C: 37-40.5</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52" w:type="dxa"/>
              <w:bottom w:w="0" w:type="dxa"/>
              <w:right w:w="152" w:type="dxa"/>
            </w:tcMar>
            <w:vAlign w:val="center"/>
            <w:hideMark/>
          </w:tcPr>
          <w:p w:rsidR="00201ACC" w:rsidRPr="00856FA4" w:rsidRDefault="00201ACC" w:rsidP="00856FA4">
            <w:pPr>
              <w:jc w:val="center"/>
            </w:pPr>
            <w:r>
              <w:rPr>
                <w:lang w:val="en-GB"/>
              </w:rPr>
              <w:t>C1</w:t>
            </w:r>
          </w:p>
        </w:tc>
        <w:tc>
          <w:tcPr>
            <w:tcW w:w="2473" w:type="dxa"/>
            <w:tcBorders>
              <w:top w:val="single" w:sz="8" w:space="0" w:color="000000"/>
              <w:left w:val="single" w:sz="8" w:space="0" w:color="000000"/>
              <w:bottom w:val="single" w:sz="8" w:space="0" w:color="000000"/>
              <w:right w:val="single" w:sz="8" w:space="0" w:color="000000"/>
            </w:tcBorders>
            <w:shd w:val="clear" w:color="auto" w:fill="auto"/>
            <w:tcMar>
              <w:top w:w="15" w:type="dxa"/>
              <w:left w:w="152" w:type="dxa"/>
              <w:bottom w:w="0" w:type="dxa"/>
              <w:right w:w="152" w:type="dxa"/>
            </w:tcMar>
            <w:vAlign w:val="center"/>
            <w:hideMark/>
          </w:tcPr>
          <w:p w:rsidR="00201ACC" w:rsidRPr="00856FA4" w:rsidRDefault="00201ACC" w:rsidP="008B1A16">
            <w:pPr>
              <w:jc w:val="center"/>
            </w:pPr>
            <w:r>
              <w:t>C2</w:t>
            </w:r>
          </w:p>
        </w:tc>
        <w:tc>
          <w:tcPr>
            <w:tcW w:w="1416" w:type="dxa"/>
            <w:tcBorders>
              <w:top w:val="single" w:sz="8" w:space="0" w:color="000000"/>
              <w:left w:val="single" w:sz="8" w:space="0" w:color="000000"/>
              <w:bottom w:val="single" w:sz="8" w:space="0" w:color="000000"/>
              <w:right w:val="single" w:sz="8" w:space="0" w:color="000000"/>
            </w:tcBorders>
            <w:shd w:val="clear" w:color="auto" w:fill="auto"/>
            <w:tcMar>
              <w:top w:w="15" w:type="dxa"/>
              <w:left w:w="152" w:type="dxa"/>
              <w:bottom w:w="0" w:type="dxa"/>
              <w:right w:w="152" w:type="dxa"/>
            </w:tcMar>
            <w:vAlign w:val="center"/>
            <w:hideMark/>
          </w:tcPr>
          <w:p w:rsidR="00201ACC" w:rsidRPr="00856FA4" w:rsidRDefault="00201ACC" w:rsidP="00856FA4">
            <w:pPr>
              <w:jc w:val="center"/>
            </w:pPr>
          </w:p>
        </w:tc>
        <w:tc>
          <w:tcPr>
            <w:tcW w:w="13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2" w:type="dxa"/>
              <w:bottom w:w="0" w:type="dxa"/>
              <w:right w:w="152" w:type="dxa"/>
            </w:tcMar>
            <w:vAlign w:val="center"/>
            <w:hideMark/>
          </w:tcPr>
          <w:p w:rsidR="00201ACC" w:rsidRPr="00856FA4" w:rsidRDefault="00201ACC" w:rsidP="00856FA4">
            <w:pPr>
              <w:jc w:val="center"/>
            </w:pPr>
          </w:p>
        </w:tc>
        <w:tc>
          <w:tcPr>
            <w:tcW w:w="1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52" w:type="dxa"/>
              <w:bottom w:w="0" w:type="dxa"/>
              <w:right w:w="152" w:type="dxa"/>
            </w:tcMar>
            <w:vAlign w:val="center"/>
            <w:hideMark/>
          </w:tcPr>
          <w:p w:rsidR="00201ACC" w:rsidRPr="00856FA4" w:rsidRDefault="00201ACC" w:rsidP="00856FA4">
            <w:pPr>
              <w:jc w:val="center"/>
            </w:pPr>
            <w:r w:rsidRPr="00856FA4">
              <w:rPr>
                <w:lang w:val="en-GB"/>
              </w:rPr>
              <w:t>2/1.13/4.3</w:t>
            </w:r>
          </w:p>
        </w:tc>
      </w:tr>
      <w:tr w:rsidR="00B9488B" w:rsidRPr="00856FA4" w:rsidTr="00482854">
        <w:trPr>
          <w:trHeight w:val="35"/>
          <w:jc w:val="center"/>
        </w:trPr>
        <w:tc>
          <w:tcPr>
            <w:tcW w:w="1726" w:type="dxa"/>
            <w:tcBorders>
              <w:top w:val="single" w:sz="8" w:space="0" w:color="000000"/>
              <w:left w:val="single" w:sz="8" w:space="0" w:color="000000"/>
              <w:bottom w:val="single" w:sz="8" w:space="0" w:color="000000"/>
              <w:right w:val="single" w:sz="8" w:space="0" w:color="000000"/>
            </w:tcBorders>
            <w:shd w:val="clear" w:color="auto" w:fill="auto"/>
            <w:tcMar>
              <w:top w:w="15" w:type="dxa"/>
              <w:left w:w="152" w:type="dxa"/>
              <w:bottom w:w="0" w:type="dxa"/>
              <w:right w:w="152" w:type="dxa"/>
            </w:tcMar>
            <w:vAlign w:val="center"/>
            <w:hideMark/>
          </w:tcPr>
          <w:p w:rsidR="00201ACC" w:rsidRPr="00856FA4" w:rsidRDefault="00201ACC" w:rsidP="00201ACC">
            <w:r w:rsidRPr="00856FA4">
              <w:rPr>
                <w:lang w:val="en-GB"/>
              </w:rPr>
              <w:t>D: 40.5-42.5</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52" w:type="dxa"/>
              <w:bottom w:w="0" w:type="dxa"/>
              <w:right w:w="152" w:type="dxa"/>
            </w:tcMar>
            <w:vAlign w:val="center"/>
            <w:hideMark/>
          </w:tcPr>
          <w:p w:rsidR="00201ACC" w:rsidRPr="00856FA4" w:rsidRDefault="00252255" w:rsidP="00856FA4">
            <w:pPr>
              <w:jc w:val="center"/>
            </w:pPr>
            <w:r>
              <w:rPr>
                <w:lang w:val="en-GB"/>
              </w:rPr>
              <w:t>D1</w:t>
            </w:r>
          </w:p>
        </w:tc>
        <w:tc>
          <w:tcPr>
            <w:tcW w:w="2473" w:type="dxa"/>
            <w:tcBorders>
              <w:top w:val="single" w:sz="8" w:space="0" w:color="000000"/>
              <w:left w:val="single" w:sz="8" w:space="0" w:color="000000"/>
              <w:bottom w:val="single" w:sz="8" w:space="0" w:color="000000"/>
              <w:right w:val="single" w:sz="8" w:space="0" w:color="000000"/>
            </w:tcBorders>
            <w:shd w:val="clear" w:color="auto" w:fill="auto"/>
            <w:tcMar>
              <w:top w:w="15" w:type="dxa"/>
              <w:left w:w="152" w:type="dxa"/>
              <w:bottom w:w="0" w:type="dxa"/>
              <w:right w:w="152" w:type="dxa"/>
            </w:tcMar>
            <w:vAlign w:val="center"/>
            <w:hideMark/>
          </w:tcPr>
          <w:p w:rsidR="00201ACC" w:rsidRPr="00856FA4" w:rsidRDefault="00B14F02" w:rsidP="00856FA4">
            <w:pPr>
              <w:jc w:val="center"/>
            </w:pPr>
            <w:r>
              <w:rPr>
                <w:lang w:val="en-GB"/>
              </w:rPr>
              <w:t>D2</w:t>
            </w:r>
          </w:p>
        </w:tc>
        <w:tc>
          <w:tcPr>
            <w:tcW w:w="1416" w:type="dxa"/>
            <w:tcBorders>
              <w:top w:val="single" w:sz="8" w:space="0" w:color="000000"/>
              <w:left w:val="single" w:sz="8" w:space="0" w:color="000000"/>
              <w:bottom w:val="single" w:sz="8" w:space="0" w:color="000000"/>
              <w:right w:val="single" w:sz="8" w:space="0" w:color="000000"/>
            </w:tcBorders>
            <w:shd w:val="clear" w:color="auto" w:fill="auto"/>
            <w:tcMar>
              <w:top w:w="15" w:type="dxa"/>
              <w:left w:w="152" w:type="dxa"/>
              <w:bottom w:w="0" w:type="dxa"/>
              <w:right w:w="152" w:type="dxa"/>
            </w:tcMar>
            <w:vAlign w:val="center"/>
            <w:hideMark/>
          </w:tcPr>
          <w:p w:rsidR="00201ACC" w:rsidRPr="00856FA4" w:rsidRDefault="00661FA9" w:rsidP="00856FA4">
            <w:pPr>
              <w:jc w:val="center"/>
            </w:pPr>
            <w:r>
              <w:rPr>
                <w:lang w:val="en-GB"/>
              </w:rPr>
              <w:t>D2</w:t>
            </w:r>
          </w:p>
        </w:tc>
        <w:tc>
          <w:tcPr>
            <w:tcW w:w="13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2" w:type="dxa"/>
              <w:bottom w:w="0" w:type="dxa"/>
              <w:right w:w="152" w:type="dxa"/>
            </w:tcMar>
            <w:vAlign w:val="center"/>
            <w:hideMark/>
          </w:tcPr>
          <w:p w:rsidR="00201ACC" w:rsidRPr="00856FA4" w:rsidRDefault="00201ACC" w:rsidP="00856FA4">
            <w:pPr>
              <w:jc w:val="center"/>
            </w:pPr>
          </w:p>
        </w:tc>
        <w:tc>
          <w:tcPr>
            <w:tcW w:w="1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52" w:type="dxa"/>
              <w:bottom w:w="0" w:type="dxa"/>
              <w:right w:w="152" w:type="dxa"/>
            </w:tcMar>
            <w:vAlign w:val="center"/>
            <w:hideMark/>
          </w:tcPr>
          <w:p w:rsidR="00201ACC" w:rsidRPr="00856FA4" w:rsidRDefault="00201ACC" w:rsidP="00856FA4">
            <w:pPr>
              <w:jc w:val="center"/>
            </w:pPr>
            <w:r w:rsidRPr="00856FA4">
              <w:rPr>
                <w:lang w:val="en-GB"/>
              </w:rPr>
              <w:t>2/1.13/4.4</w:t>
            </w:r>
          </w:p>
        </w:tc>
      </w:tr>
      <w:tr w:rsidR="00B9488B" w:rsidRPr="00856FA4" w:rsidTr="00482854">
        <w:trPr>
          <w:trHeight w:val="35"/>
          <w:jc w:val="center"/>
        </w:trPr>
        <w:tc>
          <w:tcPr>
            <w:tcW w:w="1726" w:type="dxa"/>
            <w:tcBorders>
              <w:top w:val="single" w:sz="8" w:space="0" w:color="000000"/>
              <w:left w:val="single" w:sz="8" w:space="0" w:color="000000"/>
              <w:bottom w:val="single" w:sz="8" w:space="0" w:color="000000"/>
              <w:right w:val="single" w:sz="8" w:space="0" w:color="000000"/>
            </w:tcBorders>
            <w:shd w:val="clear" w:color="auto" w:fill="auto"/>
            <w:tcMar>
              <w:top w:w="15" w:type="dxa"/>
              <w:left w:w="152" w:type="dxa"/>
              <w:bottom w:w="0" w:type="dxa"/>
              <w:right w:w="152" w:type="dxa"/>
            </w:tcMar>
            <w:vAlign w:val="center"/>
            <w:hideMark/>
          </w:tcPr>
          <w:p w:rsidR="00201ACC" w:rsidRPr="00856FA4" w:rsidRDefault="00201ACC" w:rsidP="00201ACC">
            <w:r w:rsidRPr="00856FA4">
              <w:rPr>
                <w:lang w:val="en-GB"/>
              </w:rPr>
              <w:t>E: 42.5-43.5</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52" w:type="dxa"/>
              <w:bottom w:w="0" w:type="dxa"/>
              <w:right w:w="152" w:type="dxa"/>
            </w:tcMar>
            <w:vAlign w:val="center"/>
            <w:hideMark/>
          </w:tcPr>
          <w:p w:rsidR="00201ACC" w:rsidRPr="00856FA4" w:rsidRDefault="00015A48" w:rsidP="00856FA4">
            <w:pPr>
              <w:jc w:val="center"/>
            </w:pPr>
            <w:r>
              <w:rPr>
                <w:lang w:val="en-GB"/>
              </w:rPr>
              <w:t>E1</w:t>
            </w:r>
          </w:p>
        </w:tc>
        <w:tc>
          <w:tcPr>
            <w:tcW w:w="2473" w:type="dxa"/>
            <w:tcBorders>
              <w:top w:val="single" w:sz="8" w:space="0" w:color="000000"/>
              <w:left w:val="single" w:sz="8" w:space="0" w:color="000000"/>
              <w:bottom w:val="single" w:sz="8" w:space="0" w:color="000000"/>
              <w:right w:val="single" w:sz="8" w:space="0" w:color="000000"/>
            </w:tcBorders>
            <w:shd w:val="clear" w:color="auto" w:fill="auto"/>
            <w:tcMar>
              <w:top w:w="15" w:type="dxa"/>
              <w:left w:w="152" w:type="dxa"/>
              <w:bottom w:w="0" w:type="dxa"/>
              <w:right w:w="152" w:type="dxa"/>
            </w:tcMar>
            <w:vAlign w:val="center"/>
            <w:hideMark/>
          </w:tcPr>
          <w:p w:rsidR="00201ACC" w:rsidRPr="00856FA4" w:rsidRDefault="00661FA9" w:rsidP="00856FA4">
            <w:pPr>
              <w:jc w:val="center"/>
            </w:pPr>
            <w:r>
              <w:rPr>
                <w:lang w:val="en-GB"/>
              </w:rPr>
              <w:t>E2</w:t>
            </w:r>
          </w:p>
        </w:tc>
        <w:tc>
          <w:tcPr>
            <w:tcW w:w="1416" w:type="dxa"/>
            <w:tcBorders>
              <w:top w:val="single" w:sz="8" w:space="0" w:color="000000"/>
              <w:left w:val="single" w:sz="8" w:space="0" w:color="000000"/>
              <w:bottom w:val="single" w:sz="8" w:space="0" w:color="000000"/>
              <w:right w:val="single" w:sz="8" w:space="0" w:color="000000"/>
            </w:tcBorders>
            <w:shd w:val="clear" w:color="auto" w:fill="auto"/>
            <w:tcMar>
              <w:top w:w="15" w:type="dxa"/>
              <w:left w:w="152" w:type="dxa"/>
              <w:bottom w:w="0" w:type="dxa"/>
              <w:right w:w="152" w:type="dxa"/>
            </w:tcMar>
            <w:vAlign w:val="center"/>
            <w:hideMark/>
          </w:tcPr>
          <w:p w:rsidR="00201ACC" w:rsidRPr="00856FA4" w:rsidRDefault="00201ACC" w:rsidP="00856FA4">
            <w:pPr>
              <w:jc w:val="center"/>
            </w:pPr>
          </w:p>
        </w:tc>
        <w:tc>
          <w:tcPr>
            <w:tcW w:w="13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2" w:type="dxa"/>
              <w:bottom w:w="0" w:type="dxa"/>
              <w:right w:w="152" w:type="dxa"/>
            </w:tcMar>
            <w:vAlign w:val="center"/>
            <w:hideMark/>
          </w:tcPr>
          <w:p w:rsidR="00201ACC" w:rsidRPr="00856FA4" w:rsidRDefault="00201ACC" w:rsidP="00856FA4">
            <w:pPr>
              <w:jc w:val="center"/>
            </w:pPr>
          </w:p>
        </w:tc>
        <w:tc>
          <w:tcPr>
            <w:tcW w:w="1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52" w:type="dxa"/>
              <w:bottom w:w="0" w:type="dxa"/>
              <w:right w:w="152" w:type="dxa"/>
            </w:tcMar>
            <w:vAlign w:val="center"/>
            <w:hideMark/>
          </w:tcPr>
          <w:p w:rsidR="00201ACC" w:rsidRPr="00856FA4" w:rsidRDefault="00201ACC" w:rsidP="00856FA4">
            <w:pPr>
              <w:jc w:val="center"/>
            </w:pPr>
            <w:r w:rsidRPr="00856FA4">
              <w:rPr>
                <w:lang w:val="en-GB"/>
              </w:rPr>
              <w:t>2/1.13/4.5</w:t>
            </w:r>
          </w:p>
        </w:tc>
      </w:tr>
      <w:tr w:rsidR="00B9488B" w:rsidRPr="00856FA4" w:rsidTr="00482854">
        <w:trPr>
          <w:trHeight w:val="35"/>
          <w:jc w:val="center"/>
        </w:trPr>
        <w:tc>
          <w:tcPr>
            <w:tcW w:w="1726" w:type="dxa"/>
            <w:tcBorders>
              <w:top w:val="single" w:sz="8" w:space="0" w:color="000000"/>
              <w:left w:val="single" w:sz="8" w:space="0" w:color="000000"/>
              <w:bottom w:val="single" w:sz="8" w:space="0" w:color="000000"/>
              <w:right w:val="single" w:sz="8" w:space="0" w:color="000000"/>
            </w:tcBorders>
            <w:shd w:val="clear" w:color="auto" w:fill="auto"/>
            <w:tcMar>
              <w:top w:w="15" w:type="dxa"/>
              <w:left w:w="152" w:type="dxa"/>
              <w:bottom w:w="0" w:type="dxa"/>
              <w:right w:w="152" w:type="dxa"/>
            </w:tcMar>
            <w:vAlign w:val="center"/>
            <w:hideMark/>
          </w:tcPr>
          <w:p w:rsidR="00201ACC" w:rsidRPr="00856FA4" w:rsidRDefault="00201ACC" w:rsidP="00201ACC">
            <w:r w:rsidRPr="00856FA4">
              <w:rPr>
                <w:lang w:val="en-GB"/>
              </w:rPr>
              <w:t>F</w:t>
            </w:r>
            <w:r w:rsidR="00F61EE2" w:rsidRPr="00F61EE2">
              <w:rPr>
                <w:vertAlign w:val="superscript"/>
                <w:lang w:val="en-GB"/>
              </w:rPr>
              <w:t>*</w:t>
            </w:r>
            <w:r w:rsidRPr="00856FA4">
              <w:rPr>
                <w:lang w:val="en-GB"/>
              </w:rPr>
              <w:t>: 45.5-47</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52" w:type="dxa"/>
              <w:bottom w:w="0" w:type="dxa"/>
              <w:right w:w="152" w:type="dxa"/>
            </w:tcMar>
            <w:vAlign w:val="center"/>
            <w:hideMark/>
          </w:tcPr>
          <w:p w:rsidR="00201ACC" w:rsidRPr="00856FA4" w:rsidRDefault="005D0D80" w:rsidP="00856FA4">
            <w:pPr>
              <w:jc w:val="center"/>
            </w:pPr>
            <w:r>
              <w:rPr>
                <w:lang w:val="en-GB"/>
              </w:rPr>
              <w:t>F1</w:t>
            </w:r>
          </w:p>
        </w:tc>
        <w:tc>
          <w:tcPr>
            <w:tcW w:w="2473" w:type="dxa"/>
            <w:tcBorders>
              <w:top w:val="single" w:sz="8" w:space="0" w:color="000000"/>
              <w:left w:val="single" w:sz="8" w:space="0" w:color="000000"/>
              <w:bottom w:val="single" w:sz="8" w:space="0" w:color="000000"/>
              <w:right w:val="single" w:sz="8" w:space="0" w:color="000000"/>
            </w:tcBorders>
            <w:shd w:val="clear" w:color="auto" w:fill="auto"/>
            <w:tcMar>
              <w:top w:w="15" w:type="dxa"/>
              <w:left w:w="152" w:type="dxa"/>
              <w:bottom w:w="0" w:type="dxa"/>
              <w:right w:w="152" w:type="dxa"/>
            </w:tcMar>
            <w:vAlign w:val="center"/>
            <w:hideMark/>
          </w:tcPr>
          <w:p w:rsidR="00201ACC" w:rsidRPr="00856FA4" w:rsidRDefault="0007348F" w:rsidP="00856FA4">
            <w:pPr>
              <w:jc w:val="center"/>
            </w:pPr>
            <w:r>
              <w:rPr>
                <w:lang w:val="en-GB"/>
              </w:rPr>
              <w:t>F2</w:t>
            </w:r>
          </w:p>
        </w:tc>
        <w:tc>
          <w:tcPr>
            <w:tcW w:w="1416" w:type="dxa"/>
            <w:tcBorders>
              <w:top w:val="single" w:sz="8" w:space="0" w:color="000000"/>
              <w:left w:val="single" w:sz="8" w:space="0" w:color="000000"/>
              <w:bottom w:val="single" w:sz="8" w:space="0" w:color="000000"/>
              <w:right w:val="single" w:sz="8" w:space="0" w:color="000000"/>
            </w:tcBorders>
            <w:shd w:val="clear" w:color="auto" w:fill="auto"/>
            <w:tcMar>
              <w:top w:w="15" w:type="dxa"/>
              <w:left w:w="152" w:type="dxa"/>
              <w:bottom w:w="0" w:type="dxa"/>
              <w:right w:w="152" w:type="dxa"/>
            </w:tcMar>
            <w:vAlign w:val="center"/>
            <w:hideMark/>
          </w:tcPr>
          <w:p w:rsidR="00201ACC" w:rsidRPr="00856FA4" w:rsidRDefault="00201ACC" w:rsidP="00856FA4">
            <w:pPr>
              <w:jc w:val="center"/>
            </w:pPr>
          </w:p>
        </w:tc>
        <w:tc>
          <w:tcPr>
            <w:tcW w:w="13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2" w:type="dxa"/>
              <w:bottom w:w="0" w:type="dxa"/>
              <w:right w:w="152" w:type="dxa"/>
            </w:tcMar>
            <w:vAlign w:val="center"/>
            <w:hideMark/>
          </w:tcPr>
          <w:p w:rsidR="00201ACC" w:rsidRPr="00856FA4" w:rsidRDefault="00201ACC" w:rsidP="00856FA4">
            <w:pPr>
              <w:jc w:val="center"/>
            </w:pPr>
          </w:p>
        </w:tc>
        <w:tc>
          <w:tcPr>
            <w:tcW w:w="1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52" w:type="dxa"/>
              <w:bottom w:w="0" w:type="dxa"/>
              <w:right w:w="152" w:type="dxa"/>
            </w:tcMar>
            <w:vAlign w:val="center"/>
            <w:hideMark/>
          </w:tcPr>
          <w:p w:rsidR="00201ACC" w:rsidRPr="00856FA4" w:rsidRDefault="00201ACC" w:rsidP="00856FA4">
            <w:pPr>
              <w:jc w:val="center"/>
            </w:pPr>
            <w:r w:rsidRPr="00856FA4">
              <w:rPr>
                <w:lang w:val="en-GB"/>
              </w:rPr>
              <w:t>2/1.13/4.6</w:t>
            </w:r>
          </w:p>
        </w:tc>
      </w:tr>
      <w:tr w:rsidR="00B9488B" w:rsidRPr="00856FA4" w:rsidTr="00482854">
        <w:trPr>
          <w:trHeight w:val="35"/>
          <w:jc w:val="center"/>
        </w:trPr>
        <w:tc>
          <w:tcPr>
            <w:tcW w:w="1726" w:type="dxa"/>
            <w:tcBorders>
              <w:top w:val="single" w:sz="8" w:space="0" w:color="000000"/>
              <w:left w:val="single" w:sz="8" w:space="0" w:color="000000"/>
              <w:bottom w:val="single" w:sz="8" w:space="0" w:color="000000"/>
              <w:right w:val="single" w:sz="8" w:space="0" w:color="000000"/>
            </w:tcBorders>
            <w:shd w:val="clear" w:color="auto" w:fill="auto"/>
            <w:tcMar>
              <w:top w:w="15" w:type="dxa"/>
              <w:left w:w="152" w:type="dxa"/>
              <w:bottom w:w="0" w:type="dxa"/>
              <w:right w:w="152" w:type="dxa"/>
            </w:tcMar>
            <w:vAlign w:val="center"/>
            <w:hideMark/>
          </w:tcPr>
          <w:p w:rsidR="00201ACC" w:rsidRPr="00856FA4" w:rsidRDefault="00201ACC" w:rsidP="00201ACC">
            <w:r w:rsidRPr="00856FA4">
              <w:rPr>
                <w:lang w:val="en-GB"/>
              </w:rPr>
              <w:t>G</w:t>
            </w:r>
            <w:r w:rsidR="00F61EE2" w:rsidRPr="00F61EE2">
              <w:rPr>
                <w:vertAlign w:val="superscript"/>
                <w:lang w:val="en-GB"/>
              </w:rPr>
              <w:t>*</w:t>
            </w:r>
            <w:r w:rsidRPr="00856FA4">
              <w:rPr>
                <w:lang w:val="en-GB"/>
              </w:rPr>
              <w:t>: 47-47.2</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52" w:type="dxa"/>
              <w:bottom w:w="0" w:type="dxa"/>
              <w:right w:w="152" w:type="dxa"/>
            </w:tcMar>
            <w:vAlign w:val="center"/>
            <w:hideMark/>
          </w:tcPr>
          <w:p w:rsidR="00201ACC" w:rsidRPr="00856FA4" w:rsidRDefault="0007348F" w:rsidP="00856FA4">
            <w:pPr>
              <w:jc w:val="center"/>
            </w:pPr>
            <w:r>
              <w:rPr>
                <w:lang w:val="en-GB"/>
              </w:rPr>
              <w:t>G1</w:t>
            </w:r>
          </w:p>
        </w:tc>
        <w:tc>
          <w:tcPr>
            <w:tcW w:w="2473" w:type="dxa"/>
            <w:tcBorders>
              <w:top w:val="single" w:sz="8" w:space="0" w:color="000000"/>
              <w:left w:val="single" w:sz="8" w:space="0" w:color="000000"/>
              <w:bottom w:val="single" w:sz="8" w:space="0" w:color="000000"/>
              <w:right w:val="single" w:sz="8" w:space="0" w:color="000000"/>
            </w:tcBorders>
            <w:shd w:val="clear" w:color="auto" w:fill="auto"/>
            <w:tcMar>
              <w:top w:w="15" w:type="dxa"/>
              <w:left w:w="152" w:type="dxa"/>
              <w:bottom w:w="0" w:type="dxa"/>
              <w:right w:w="152" w:type="dxa"/>
            </w:tcMar>
            <w:vAlign w:val="center"/>
            <w:hideMark/>
          </w:tcPr>
          <w:p w:rsidR="00201ACC" w:rsidRPr="00856FA4" w:rsidRDefault="0007348F" w:rsidP="00856FA4">
            <w:pPr>
              <w:jc w:val="center"/>
            </w:pPr>
            <w:r>
              <w:rPr>
                <w:lang w:val="en-GB"/>
              </w:rPr>
              <w:t>G2</w:t>
            </w:r>
          </w:p>
        </w:tc>
        <w:tc>
          <w:tcPr>
            <w:tcW w:w="1416" w:type="dxa"/>
            <w:tcBorders>
              <w:top w:val="single" w:sz="8" w:space="0" w:color="000000"/>
              <w:left w:val="single" w:sz="8" w:space="0" w:color="000000"/>
              <w:bottom w:val="single" w:sz="8" w:space="0" w:color="000000"/>
              <w:right w:val="single" w:sz="8" w:space="0" w:color="000000"/>
            </w:tcBorders>
            <w:shd w:val="clear" w:color="auto" w:fill="auto"/>
            <w:tcMar>
              <w:top w:w="15" w:type="dxa"/>
              <w:left w:w="152" w:type="dxa"/>
              <w:bottom w:w="0" w:type="dxa"/>
              <w:right w:w="152" w:type="dxa"/>
            </w:tcMar>
            <w:vAlign w:val="center"/>
            <w:hideMark/>
          </w:tcPr>
          <w:p w:rsidR="00201ACC" w:rsidRPr="00856FA4" w:rsidRDefault="00201ACC" w:rsidP="00856FA4">
            <w:pPr>
              <w:jc w:val="center"/>
            </w:pPr>
          </w:p>
        </w:tc>
        <w:tc>
          <w:tcPr>
            <w:tcW w:w="13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2" w:type="dxa"/>
              <w:bottom w:w="0" w:type="dxa"/>
              <w:right w:w="152" w:type="dxa"/>
            </w:tcMar>
            <w:vAlign w:val="center"/>
            <w:hideMark/>
          </w:tcPr>
          <w:p w:rsidR="00201ACC" w:rsidRPr="00856FA4" w:rsidRDefault="00F61EE2" w:rsidP="00856FA4">
            <w:pPr>
              <w:jc w:val="center"/>
            </w:pPr>
            <w:r>
              <w:rPr>
                <w:lang w:val="en-GB"/>
              </w:rPr>
              <w:t>G2</w:t>
            </w:r>
          </w:p>
        </w:tc>
        <w:tc>
          <w:tcPr>
            <w:tcW w:w="1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52" w:type="dxa"/>
              <w:bottom w:w="0" w:type="dxa"/>
              <w:right w:w="152" w:type="dxa"/>
            </w:tcMar>
            <w:vAlign w:val="center"/>
            <w:hideMark/>
          </w:tcPr>
          <w:p w:rsidR="00201ACC" w:rsidRPr="00856FA4" w:rsidRDefault="00201ACC" w:rsidP="00856FA4">
            <w:pPr>
              <w:jc w:val="center"/>
            </w:pPr>
            <w:r w:rsidRPr="00856FA4">
              <w:rPr>
                <w:lang w:val="en-GB"/>
              </w:rPr>
              <w:t>2/1.13/4.7</w:t>
            </w:r>
          </w:p>
        </w:tc>
      </w:tr>
      <w:tr w:rsidR="00B9488B" w:rsidRPr="00856FA4" w:rsidTr="00482854">
        <w:trPr>
          <w:trHeight w:val="35"/>
          <w:jc w:val="center"/>
        </w:trPr>
        <w:tc>
          <w:tcPr>
            <w:tcW w:w="1726" w:type="dxa"/>
            <w:tcBorders>
              <w:top w:val="single" w:sz="8" w:space="0" w:color="000000"/>
              <w:left w:val="single" w:sz="8" w:space="0" w:color="000000"/>
              <w:bottom w:val="single" w:sz="8" w:space="0" w:color="000000"/>
              <w:right w:val="single" w:sz="8" w:space="0" w:color="000000"/>
            </w:tcBorders>
            <w:shd w:val="clear" w:color="auto" w:fill="auto"/>
            <w:tcMar>
              <w:top w:w="15" w:type="dxa"/>
              <w:left w:w="152" w:type="dxa"/>
              <w:bottom w:w="0" w:type="dxa"/>
              <w:right w:w="152" w:type="dxa"/>
            </w:tcMar>
            <w:vAlign w:val="center"/>
            <w:hideMark/>
          </w:tcPr>
          <w:p w:rsidR="00201ACC" w:rsidRPr="00856FA4" w:rsidRDefault="00201ACC" w:rsidP="00201ACC">
            <w:r w:rsidRPr="00856FA4">
              <w:rPr>
                <w:lang w:val="en-GB"/>
              </w:rPr>
              <w:t>H: 47.2-50.2</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52" w:type="dxa"/>
              <w:bottom w:w="0" w:type="dxa"/>
              <w:right w:w="152" w:type="dxa"/>
            </w:tcMar>
            <w:vAlign w:val="center"/>
            <w:hideMark/>
          </w:tcPr>
          <w:p w:rsidR="00201ACC" w:rsidRPr="00856FA4" w:rsidRDefault="00C12C5E" w:rsidP="00856FA4">
            <w:pPr>
              <w:jc w:val="center"/>
            </w:pPr>
            <w:r>
              <w:rPr>
                <w:lang w:val="en-GB"/>
              </w:rPr>
              <w:t>H1</w:t>
            </w:r>
          </w:p>
        </w:tc>
        <w:tc>
          <w:tcPr>
            <w:tcW w:w="2473" w:type="dxa"/>
            <w:tcBorders>
              <w:top w:val="single" w:sz="8" w:space="0" w:color="000000"/>
              <w:left w:val="single" w:sz="8" w:space="0" w:color="000000"/>
              <w:bottom w:val="single" w:sz="8" w:space="0" w:color="000000"/>
              <w:right w:val="single" w:sz="8" w:space="0" w:color="000000"/>
            </w:tcBorders>
            <w:shd w:val="clear" w:color="auto" w:fill="auto"/>
            <w:tcMar>
              <w:top w:w="15" w:type="dxa"/>
              <w:left w:w="152" w:type="dxa"/>
              <w:bottom w:w="0" w:type="dxa"/>
              <w:right w:w="152" w:type="dxa"/>
            </w:tcMar>
            <w:vAlign w:val="center"/>
            <w:hideMark/>
          </w:tcPr>
          <w:p w:rsidR="00201ACC" w:rsidRPr="00856FA4" w:rsidRDefault="00C12C5E" w:rsidP="00856FA4">
            <w:pPr>
              <w:jc w:val="center"/>
            </w:pPr>
            <w:r>
              <w:rPr>
                <w:lang w:val="en-GB"/>
              </w:rPr>
              <w:t>H2</w:t>
            </w:r>
          </w:p>
        </w:tc>
        <w:tc>
          <w:tcPr>
            <w:tcW w:w="1416" w:type="dxa"/>
            <w:tcBorders>
              <w:top w:val="single" w:sz="8" w:space="0" w:color="000000"/>
              <w:left w:val="single" w:sz="8" w:space="0" w:color="000000"/>
              <w:bottom w:val="single" w:sz="8" w:space="0" w:color="000000"/>
              <w:right w:val="single" w:sz="8" w:space="0" w:color="000000"/>
            </w:tcBorders>
            <w:shd w:val="clear" w:color="auto" w:fill="auto"/>
            <w:tcMar>
              <w:top w:w="15" w:type="dxa"/>
              <w:left w:w="152" w:type="dxa"/>
              <w:bottom w:w="0" w:type="dxa"/>
              <w:right w:w="152" w:type="dxa"/>
            </w:tcMar>
            <w:vAlign w:val="center"/>
            <w:hideMark/>
          </w:tcPr>
          <w:p w:rsidR="00201ACC" w:rsidRPr="00856FA4" w:rsidRDefault="00201ACC" w:rsidP="00856FA4">
            <w:pPr>
              <w:jc w:val="center"/>
            </w:pPr>
          </w:p>
        </w:tc>
        <w:tc>
          <w:tcPr>
            <w:tcW w:w="13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2" w:type="dxa"/>
              <w:bottom w:w="0" w:type="dxa"/>
              <w:right w:w="152" w:type="dxa"/>
            </w:tcMar>
            <w:vAlign w:val="center"/>
            <w:hideMark/>
          </w:tcPr>
          <w:p w:rsidR="00201ACC" w:rsidRPr="00856FA4" w:rsidRDefault="00201ACC" w:rsidP="00856FA4">
            <w:pPr>
              <w:jc w:val="center"/>
            </w:pPr>
          </w:p>
        </w:tc>
        <w:tc>
          <w:tcPr>
            <w:tcW w:w="1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52" w:type="dxa"/>
              <w:bottom w:w="0" w:type="dxa"/>
              <w:right w:w="152" w:type="dxa"/>
            </w:tcMar>
            <w:vAlign w:val="center"/>
            <w:hideMark/>
          </w:tcPr>
          <w:p w:rsidR="00201ACC" w:rsidRPr="00856FA4" w:rsidRDefault="00201ACC" w:rsidP="00856FA4">
            <w:pPr>
              <w:jc w:val="center"/>
            </w:pPr>
            <w:r w:rsidRPr="00856FA4">
              <w:rPr>
                <w:lang w:val="en-GB"/>
              </w:rPr>
              <w:t>2/1.13/4.8</w:t>
            </w:r>
          </w:p>
        </w:tc>
      </w:tr>
      <w:tr w:rsidR="00B9488B" w:rsidRPr="00856FA4" w:rsidTr="00482854">
        <w:trPr>
          <w:trHeight w:val="35"/>
          <w:jc w:val="center"/>
        </w:trPr>
        <w:tc>
          <w:tcPr>
            <w:tcW w:w="1726" w:type="dxa"/>
            <w:tcBorders>
              <w:top w:val="single" w:sz="8" w:space="0" w:color="000000"/>
              <w:left w:val="single" w:sz="8" w:space="0" w:color="000000"/>
              <w:bottom w:val="single" w:sz="8" w:space="0" w:color="000000"/>
              <w:right w:val="single" w:sz="8" w:space="0" w:color="000000"/>
            </w:tcBorders>
            <w:shd w:val="clear" w:color="auto" w:fill="auto"/>
            <w:tcMar>
              <w:top w:w="15" w:type="dxa"/>
              <w:left w:w="152" w:type="dxa"/>
              <w:bottom w:w="0" w:type="dxa"/>
              <w:right w:w="152" w:type="dxa"/>
            </w:tcMar>
            <w:vAlign w:val="center"/>
            <w:hideMark/>
          </w:tcPr>
          <w:p w:rsidR="00201ACC" w:rsidRPr="00856FA4" w:rsidRDefault="00201ACC" w:rsidP="00201ACC">
            <w:r w:rsidRPr="00856FA4">
              <w:rPr>
                <w:lang w:val="en-GB"/>
              </w:rPr>
              <w:t>I: 50.4-52.6</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52" w:type="dxa"/>
              <w:bottom w:w="0" w:type="dxa"/>
              <w:right w:w="152" w:type="dxa"/>
            </w:tcMar>
            <w:vAlign w:val="center"/>
            <w:hideMark/>
          </w:tcPr>
          <w:p w:rsidR="00201ACC" w:rsidRPr="00D00E2D" w:rsidRDefault="00D00E2D" w:rsidP="00856FA4">
            <w:pPr>
              <w:jc w:val="center"/>
            </w:pPr>
            <w:r>
              <w:t>I1</w:t>
            </w:r>
          </w:p>
        </w:tc>
        <w:tc>
          <w:tcPr>
            <w:tcW w:w="2473" w:type="dxa"/>
            <w:tcBorders>
              <w:top w:val="single" w:sz="8" w:space="0" w:color="000000"/>
              <w:left w:val="single" w:sz="8" w:space="0" w:color="000000"/>
              <w:bottom w:val="single" w:sz="8" w:space="0" w:color="000000"/>
              <w:right w:val="single" w:sz="8" w:space="0" w:color="000000"/>
            </w:tcBorders>
            <w:shd w:val="clear" w:color="auto" w:fill="auto"/>
            <w:tcMar>
              <w:top w:w="15" w:type="dxa"/>
              <w:left w:w="152" w:type="dxa"/>
              <w:bottom w:w="0" w:type="dxa"/>
              <w:right w:w="152" w:type="dxa"/>
            </w:tcMar>
            <w:vAlign w:val="center"/>
            <w:hideMark/>
          </w:tcPr>
          <w:p w:rsidR="00201ACC" w:rsidRPr="00856FA4" w:rsidRDefault="00D00E2D" w:rsidP="00856FA4">
            <w:pPr>
              <w:jc w:val="center"/>
            </w:pPr>
            <w:r>
              <w:rPr>
                <w:lang w:val="en-GB"/>
              </w:rPr>
              <w:t>I2</w:t>
            </w:r>
          </w:p>
        </w:tc>
        <w:tc>
          <w:tcPr>
            <w:tcW w:w="1416" w:type="dxa"/>
            <w:tcBorders>
              <w:top w:val="single" w:sz="8" w:space="0" w:color="000000"/>
              <w:left w:val="single" w:sz="8" w:space="0" w:color="000000"/>
              <w:bottom w:val="single" w:sz="8" w:space="0" w:color="000000"/>
              <w:right w:val="single" w:sz="8" w:space="0" w:color="000000"/>
            </w:tcBorders>
            <w:shd w:val="clear" w:color="auto" w:fill="auto"/>
            <w:tcMar>
              <w:top w:w="15" w:type="dxa"/>
              <w:left w:w="152" w:type="dxa"/>
              <w:bottom w:w="0" w:type="dxa"/>
              <w:right w:w="152" w:type="dxa"/>
            </w:tcMar>
            <w:vAlign w:val="center"/>
            <w:hideMark/>
          </w:tcPr>
          <w:p w:rsidR="00201ACC" w:rsidRPr="00856FA4" w:rsidRDefault="00201ACC" w:rsidP="00856FA4">
            <w:pPr>
              <w:jc w:val="center"/>
            </w:pPr>
          </w:p>
        </w:tc>
        <w:tc>
          <w:tcPr>
            <w:tcW w:w="13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2" w:type="dxa"/>
              <w:bottom w:w="0" w:type="dxa"/>
              <w:right w:w="152" w:type="dxa"/>
            </w:tcMar>
            <w:vAlign w:val="center"/>
            <w:hideMark/>
          </w:tcPr>
          <w:p w:rsidR="00201ACC" w:rsidRPr="00856FA4" w:rsidRDefault="00201ACC" w:rsidP="00856FA4">
            <w:pPr>
              <w:jc w:val="center"/>
            </w:pPr>
          </w:p>
        </w:tc>
        <w:tc>
          <w:tcPr>
            <w:tcW w:w="1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52" w:type="dxa"/>
              <w:bottom w:w="0" w:type="dxa"/>
              <w:right w:w="152" w:type="dxa"/>
            </w:tcMar>
            <w:vAlign w:val="center"/>
            <w:hideMark/>
          </w:tcPr>
          <w:p w:rsidR="00201ACC" w:rsidRPr="00856FA4" w:rsidRDefault="00201ACC" w:rsidP="00856FA4">
            <w:pPr>
              <w:jc w:val="center"/>
            </w:pPr>
            <w:r w:rsidRPr="00856FA4">
              <w:rPr>
                <w:lang w:val="en-GB"/>
              </w:rPr>
              <w:t>2/1.13/4.9</w:t>
            </w:r>
          </w:p>
        </w:tc>
      </w:tr>
      <w:tr w:rsidR="00B9488B" w:rsidRPr="00856FA4" w:rsidTr="00482854">
        <w:trPr>
          <w:trHeight w:val="35"/>
          <w:jc w:val="center"/>
        </w:trPr>
        <w:tc>
          <w:tcPr>
            <w:tcW w:w="1726" w:type="dxa"/>
            <w:tcBorders>
              <w:top w:val="single" w:sz="8" w:space="0" w:color="000000"/>
              <w:left w:val="single" w:sz="8" w:space="0" w:color="000000"/>
              <w:bottom w:val="single" w:sz="8" w:space="0" w:color="000000"/>
              <w:right w:val="single" w:sz="8" w:space="0" w:color="000000"/>
            </w:tcBorders>
            <w:shd w:val="clear" w:color="auto" w:fill="auto"/>
            <w:tcMar>
              <w:top w:w="15" w:type="dxa"/>
              <w:left w:w="152" w:type="dxa"/>
              <w:bottom w:w="0" w:type="dxa"/>
              <w:right w:w="152" w:type="dxa"/>
            </w:tcMar>
            <w:vAlign w:val="center"/>
            <w:hideMark/>
          </w:tcPr>
          <w:p w:rsidR="00201ACC" w:rsidRPr="00856FA4" w:rsidRDefault="00201ACC" w:rsidP="00201ACC">
            <w:r w:rsidRPr="00856FA4">
              <w:rPr>
                <w:lang w:val="en-GB"/>
              </w:rPr>
              <w:t>J</w:t>
            </w:r>
            <w:r w:rsidR="00B92A7E">
              <w:rPr>
                <w:vertAlign w:val="superscript"/>
                <w:lang w:val="en-GB"/>
              </w:rPr>
              <w:t>**</w:t>
            </w:r>
            <w:r w:rsidRPr="00856FA4">
              <w:rPr>
                <w:lang w:val="en-GB"/>
              </w:rPr>
              <w:t>: 66-71</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52" w:type="dxa"/>
              <w:bottom w:w="0" w:type="dxa"/>
              <w:right w:w="152" w:type="dxa"/>
            </w:tcMar>
            <w:vAlign w:val="center"/>
            <w:hideMark/>
          </w:tcPr>
          <w:p w:rsidR="00201ACC" w:rsidRPr="00856FA4" w:rsidRDefault="00A23018" w:rsidP="00856FA4">
            <w:pPr>
              <w:jc w:val="center"/>
            </w:pPr>
            <w:r>
              <w:rPr>
                <w:lang w:val="en-GB"/>
              </w:rPr>
              <w:t>J1</w:t>
            </w:r>
          </w:p>
        </w:tc>
        <w:tc>
          <w:tcPr>
            <w:tcW w:w="2473" w:type="dxa"/>
            <w:tcBorders>
              <w:top w:val="single" w:sz="8" w:space="0" w:color="000000"/>
              <w:left w:val="single" w:sz="8" w:space="0" w:color="000000"/>
              <w:bottom w:val="single" w:sz="8" w:space="0" w:color="000000"/>
              <w:right w:val="single" w:sz="8" w:space="0" w:color="000000"/>
            </w:tcBorders>
            <w:shd w:val="clear" w:color="auto" w:fill="auto"/>
            <w:tcMar>
              <w:top w:w="15" w:type="dxa"/>
              <w:left w:w="152" w:type="dxa"/>
              <w:bottom w:w="0" w:type="dxa"/>
              <w:right w:w="152" w:type="dxa"/>
            </w:tcMar>
            <w:vAlign w:val="center"/>
            <w:hideMark/>
          </w:tcPr>
          <w:p w:rsidR="00201ACC" w:rsidRPr="00856FA4" w:rsidRDefault="00A23018" w:rsidP="00856FA4">
            <w:pPr>
              <w:jc w:val="center"/>
            </w:pPr>
            <w:r>
              <w:rPr>
                <w:lang w:val="en-GB"/>
              </w:rPr>
              <w:t>J2</w:t>
            </w:r>
          </w:p>
        </w:tc>
        <w:tc>
          <w:tcPr>
            <w:tcW w:w="1416" w:type="dxa"/>
            <w:tcBorders>
              <w:top w:val="single" w:sz="8" w:space="0" w:color="000000"/>
              <w:left w:val="single" w:sz="8" w:space="0" w:color="000000"/>
              <w:bottom w:val="single" w:sz="8" w:space="0" w:color="000000"/>
              <w:right w:val="single" w:sz="8" w:space="0" w:color="000000"/>
            </w:tcBorders>
            <w:shd w:val="clear" w:color="auto" w:fill="auto"/>
            <w:tcMar>
              <w:top w:w="15" w:type="dxa"/>
              <w:left w:w="152" w:type="dxa"/>
              <w:bottom w:w="0" w:type="dxa"/>
              <w:right w:w="152" w:type="dxa"/>
            </w:tcMar>
            <w:vAlign w:val="center"/>
            <w:hideMark/>
          </w:tcPr>
          <w:p w:rsidR="00201ACC" w:rsidRPr="00856FA4" w:rsidRDefault="00201ACC" w:rsidP="00856FA4">
            <w:pPr>
              <w:jc w:val="center"/>
            </w:pPr>
          </w:p>
        </w:tc>
        <w:tc>
          <w:tcPr>
            <w:tcW w:w="13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2" w:type="dxa"/>
              <w:bottom w:w="0" w:type="dxa"/>
              <w:right w:w="152" w:type="dxa"/>
            </w:tcMar>
            <w:vAlign w:val="center"/>
            <w:hideMark/>
          </w:tcPr>
          <w:p w:rsidR="00201ACC" w:rsidRPr="00856FA4" w:rsidRDefault="00201ACC" w:rsidP="00856FA4">
            <w:pPr>
              <w:jc w:val="center"/>
            </w:pPr>
          </w:p>
        </w:tc>
        <w:tc>
          <w:tcPr>
            <w:tcW w:w="1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52" w:type="dxa"/>
              <w:bottom w:w="0" w:type="dxa"/>
              <w:right w:w="152" w:type="dxa"/>
            </w:tcMar>
            <w:vAlign w:val="center"/>
            <w:hideMark/>
          </w:tcPr>
          <w:p w:rsidR="00201ACC" w:rsidRPr="00856FA4" w:rsidRDefault="00201ACC" w:rsidP="00856FA4">
            <w:pPr>
              <w:jc w:val="center"/>
            </w:pPr>
            <w:r w:rsidRPr="00856FA4">
              <w:rPr>
                <w:lang w:val="en-GB"/>
              </w:rPr>
              <w:t>2/1.13/4.10</w:t>
            </w:r>
          </w:p>
        </w:tc>
      </w:tr>
      <w:tr w:rsidR="00B9488B" w:rsidRPr="00856FA4" w:rsidTr="00482854">
        <w:trPr>
          <w:trHeight w:val="35"/>
          <w:jc w:val="center"/>
        </w:trPr>
        <w:tc>
          <w:tcPr>
            <w:tcW w:w="1726" w:type="dxa"/>
            <w:tcBorders>
              <w:top w:val="single" w:sz="8" w:space="0" w:color="000000"/>
              <w:left w:val="single" w:sz="8" w:space="0" w:color="000000"/>
              <w:bottom w:val="single" w:sz="8" w:space="0" w:color="000000"/>
              <w:right w:val="single" w:sz="8" w:space="0" w:color="000000"/>
            </w:tcBorders>
            <w:shd w:val="clear" w:color="auto" w:fill="auto"/>
            <w:tcMar>
              <w:top w:w="15" w:type="dxa"/>
              <w:left w:w="152" w:type="dxa"/>
              <w:bottom w:w="0" w:type="dxa"/>
              <w:right w:w="152" w:type="dxa"/>
            </w:tcMar>
            <w:vAlign w:val="center"/>
            <w:hideMark/>
          </w:tcPr>
          <w:p w:rsidR="00201ACC" w:rsidRPr="00856FA4" w:rsidRDefault="00201ACC" w:rsidP="00201ACC">
            <w:r w:rsidRPr="00856FA4">
              <w:rPr>
                <w:lang w:val="en-GB"/>
              </w:rPr>
              <w:t>K: 71-76</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52" w:type="dxa"/>
              <w:bottom w:w="0" w:type="dxa"/>
              <w:right w:w="152" w:type="dxa"/>
            </w:tcMar>
            <w:vAlign w:val="center"/>
            <w:hideMark/>
          </w:tcPr>
          <w:p w:rsidR="00201ACC" w:rsidRPr="00856FA4" w:rsidRDefault="00A36CA9" w:rsidP="00856FA4">
            <w:pPr>
              <w:jc w:val="center"/>
            </w:pPr>
            <w:r>
              <w:rPr>
                <w:lang w:val="en-GB"/>
              </w:rPr>
              <w:t>K1</w:t>
            </w:r>
          </w:p>
        </w:tc>
        <w:tc>
          <w:tcPr>
            <w:tcW w:w="2473" w:type="dxa"/>
            <w:tcBorders>
              <w:top w:val="single" w:sz="8" w:space="0" w:color="000000"/>
              <w:left w:val="single" w:sz="8" w:space="0" w:color="000000"/>
              <w:bottom w:val="single" w:sz="8" w:space="0" w:color="000000"/>
              <w:right w:val="single" w:sz="8" w:space="0" w:color="000000"/>
            </w:tcBorders>
            <w:shd w:val="clear" w:color="auto" w:fill="auto"/>
            <w:tcMar>
              <w:top w:w="15" w:type="dxa"/>
              <w:left w:w="152" w:type="dxa"/>
              <w:bottom w:w="0" w:type="dxa"/>
              <w:right w:w="152" w:type="dxa"/>
            </w:tcMar>
            <w:vAlign w:val="center"/>
            <w:hideMark/>
          </w:tcPr>
          <w:p w:rsidR="00201ACC" w:rsidRPr="00856FA4" w:rsidRDefault="00A36CA9" w:rsidP="00856FA4">
            <w:pPr>
              <w:jc w:val="center"/>
            </w:pPr>
            <w:r>
              <w:rPr>
                <w:lang w:val="en-GB"/>
              </w:rPr>
              <w:t>K2</w:t>
            </w:r>
          </w:p>
        </w:tc>
        <w:tc>
          <w:tcPr>
            <w:tcW w:w="1416" w:type="dxa"/>
            <w:tcBorders>
              <w:top w:val="single" w:sz="8" w:space="0" w:color="000000"/>
              <w:left w:val="single" w:sz="8" w:space="0" w:color="000000"/>
              <w:bottom w:val="single" w:sz="8" w:space="0" w:color="000000"/>
              <w:right w:val="single" w:sz="8" w:space="0" w:color="000000"/>
            </w:tcBorders>
            <w:shd w:val="clear" w:color="auto" w:fill="auto"/>
            <w:tcMar>
              <w:top w:w="15" w:type="dxa"/>
              <w:left w:w="152" w:type="dxa"/>
              <w:bottom w:w="0" w:type="dxa"/>
              <w:right w:w="152" w:type="dxa"/>
            </w:tcMar>
            <w:vAlign w:val="center"/>
            <w:hideMark/>
          </w:tcPr>
          <w:p w:rsidR="00201ACC" w:rsidRPr="00856FA4" w:rsidRDefault="00201ACC" w:rsidP="00856FA4">
            <w:pPr>
              <w:jc w:val="center"/>
            </w:pPr>
          </w:p>
        </w:tc>
        <w:tc>
          <w:tcPr>
            <w:tcW w:w="13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2" w:type="dxa"/>
              <w:bottom w:w="0" w:type="dxa"/>
              <w:right w:w="152" w:type="dxa"/>
            </w:tcMar>
            <w:vAlign w:val="center"/>
            <w:hideMark/>
          </w:tcPr>
          <w:p w:rsidR="00201ACC" w:rsidRPr="00856FA4" w:rsidRDefault="00201ACC" w:rsidP="00856FA4">
            <w:pPr>
              <w:jc w:val="center"/>
            </w:pPr>
          </w:p>
        </w:tc>
        <w:tc>
          <w:tcPr>
            <w:tcW w:w="1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52" w:type="dxa"/>
              <w:bottom w:w="0" w:type="dxa"/>
              <w:right w:w="152" w:type="dxa"/>
            </w:tcMar>
            <w:vAlign w:val="center"/>
            <w:hideMark/>
          </w:tcPr>
          <w:p w:rsidR="00201ACC" w:rsidRPr="00856FA4" w:rsidRDefault="00201ACC" w:rsidP="00856FA4">
            <w:pPr>
              <w:jc w:val="center"/>
            </w:pPr>
            <w:r w:rsidRPr="00856FA4">
              <w:rPr>
                <w:lang w:val="en-GB"/>
              </w:rPr>
              <w:t>2/1.13/4.11</w:t>
            </w:r>
          </w:p>
        </w:tc>
      </w:tr>
      <w:tr w:rsidR="00B9488B" w:rsidRPr="00856FA4" w:rsidTr="00482854">
        <w:trPr>
          <w:trHeight w:val="35"/>
          <w:jc w:val="center"/>
        </w:trPr>
        <w:tc>
          <w:tcPr>
            <w:tcW w:w="1726" w:type="dxa"/>
            <w:tcBorders>
              <w:top w:val="single" w:sz="8" w:space="0" w:color="000000"/>
              <w:left w:val="single" w:sz="8" w:space="0" w:color="000000"/>
              <w:bottom w:val="single" w:sz="8" w:space="0" w:color="000000"/>
              <w:right w:val="single" w:sz="8" w:space="0" w:color="000000"/>
            </w:tcBorders>
            <w:shd w:val="clear" w:color="auto" w:fill="auto"/>
            <w:tcMar>
              <w:top w:w="15" w:type="dxa"/>
              <w:left w:w="152" w:type="dxa"/>
              <w:bottom w:w="0" w:type="dxa"/>
              <w:right w:w="152" w:type="dxa"/>
            </w:tcMar>
            <w:vAlign w:val="center"/>
            <w:hideMark/>
          </w:tcPr>
          <w:p w:rsidR="00201ACC" w:rsidRPr="00856FA4" w:rsidRDefault="00201ACC" w:rsidP="00201ACC">
            <w:r w:rsidRPr="00856FA4">
              <w:rPr>
                <w:lang w:val="en-GB"/>
              </w:rPr>
              <w:t>L: 81-86</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52" w:type="dxa"/>
              <w:bottom w:w="0" w:type="dxa"/>
              <w:right w:w="152" w:type="dxa"/>
            </w:tcMar>
            <w:vAlign w:val="center"/>
            <w:hideMark/>
          </w:tcPr>
          <w:p w:rsidR="00201ACC" w:rsidRPr="00856FA4" w:rsidRDefault="00A36CA9" w:rsidP="00856FA4">
            <w:pPr>
              <w:jc w:val="center"/>
            </w:pPr>
            <w:r>
              <w:rPr>
                <w:lang w:val="en-GB"/>
              </w:rPr>
              <w:t>L1</w:t>
            </w:r>
          </w:p>
        </w:tc>
        <w:tc>
          <w:tcPr>
            <w:tcW w:w="2473" w:type="dxa"/>
            <w:tcBorders>
              <w:top w:val="single" w:sz="8" w:space="0" w:color="000000"/>
              <w:left w:val="single" w:sz="8" w:space="0" w:color="000000"/>
              <w:bottom w:val="single" w:sz="8" w:space="0" w:color="000000"/>
              <w:right w:val="single" w:sz="8" w:space="0" w:color="000000"/>
            </w:tcBorders>
            <w:shd w:val="clear" w:color="auto" w:fill="auto"/>
            <w:tcMar>
              <w:top w:w="15" w:type="dxa"/>
              <w:left w:w="152" w:type="dxa"/>
              <w:bottom w:w="0" w:type="dxa"/>
              <w:right w:w="152" w:type="dxa"/>
            </w:tcMar>
            <w:vAlign w:val="center"/>
            <w:hideMark/>
          </w:tcPr>
          <w:p w:rsidR="00201ACC" w:rsidRPr="00856FA4" w:rsidRDefault="00A36CA9" w:rsidP="00856FA4">
            <w:pPr>
              <w:jc w:val="center"/>
            </w:pPr>
            <w:r>
              <w:rPr>
                <w:lang w:val="en-GB"/>
              </w:rPr>
              <w:t>L2</w:t>
            </w:r>
          </w:p>
        </w:tc>
        <w:tc>
          <w:tcPr>
            <w:tcW w:w="1416" w:type="dxa"/>
            <w:tcBorders>
              <w:top w:val="single" w:sz="8" w:space="0" w:color="000000"/>
              <w:left w:val="single" w:sz="8" w:space="0" w:color="000000"/>
              <w:bottom w:val="single" w:sz="8" w:space="0" w:color="000000"/>
              <w:right w:val="single" w:sz="8" w:space="0" w:color="000000"/>
            </w:tcBorders>
            <w:shd w:val="clear" w:color="auto" w:fill="auto"/>
            <w:tcMar>
              <w:top w:w="15" w:type="dxa"/>
              <w:left w:w="152" w:type="dxa"/>
              <w:bottom w:w="0" w:type="dxa"/>
              <w:right w:w="152" w:type="dxa"/>
            </w:tcMar>
            <w:vAlign w:val="center"/>
            <w:hideMark/>
          </w:tcPr>
          <w:p w:rsidR="00201ACC" w:rsidRPr="00856FA4" w:rsidRDefault="00201ACC" w:rsidP="00856FA4">
            <w:pPr>
              <w:jc w:val="center"/>
            </w:pPr>
          </w:p>
        </w:tc>
        <w:tc>
          <w:tcPr>
            <w:tcW w:w="13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2" w:type="dxa"/>
              <w:bottom w:w="0" w:type="dxa"/>
              <w:right w:w="152" w:type="dxa"/>
            </w:tcMar>
            <w:vAlign w:val="center"/>
            <w:hideMark/>
          </w:tcPr>
          <w:p w:rsidR="00201ACC" w:rsidRPr="00856FA4" w:rsidRDefault="00201ACC" w:rsidP="00856FA4">
            <w:pPr>
              <w:jc w:val="center"/>
            </w:pPr>
          </w:p>
        </w:tc>
        <w:tc>
          <w:tcPr>
            <w:tcW w:w="1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52" w:type="dxa"/>
              <w:bottom w:w="0" w:type="dxa"/>
              <w:right w:w="152" w:type="dxa"/>
            </w:tcMar>
            <w:vAlign w:val="center"/>
            <w:hideMark/>
          </w:tcPr>
          <w:p w:rsidR="00201ACC" w:rsidRPr="00856FA4" w:rsidRDefault="00201ACC" w:rsidP="00856FA4">
            <w:pPr>
              <w:jc w:val="center"/>
            </w:pPr>
            <w:r w:rsidRPr="00856FA4">
              <w:rPr>
                <w:lang w:val="en-GB"/>
              </w:rPr>
              <w:t>2/1.13/4.12</w:t>
            </w:r>
          </w:p>
        </w:tc>
      </w:tr>
    </w:tbl>
    <w:p w:rsidR="0045514F" w:rsidRDefault="00F61EE2" w:rsidP="00F61EE2">
      <w:pPr>
        <w:jc w:val="both"/>
      </w:pPr>
      <w:r w:rsidRPr="00F61EE2">
        <w:rPr>
          <w:vertAlign w:val="superscript"/>
          <w:lang w:val="en-GB"/>
        </w:rPr>
        <w:t>*</w:t>
      </w:r>
      <w:r w:rsidRPr="00F61EE2">
        <w:t>:  For the frequency bands F and G</w:t>
      </w:r>
      <w:r>
        <w:t xml:space="preserve"> in the Table</w:t>
      </w:r>
      <w:r w:rsidRPr="00F61EE2">
        <w:t>, no studies have been carried out</w:t>
      </w:r>
      <w:r>
        <w:t xml:space="preserve"> therefore</w:t>
      </w:r>
      <w:r w:rsidRPr="00F61EE2">
        <w:t xml:space="preserve"> no identification of the frequency band for the terrestrial component of IMT </w:t>
      </w:r>
      <w:r>
        <w:t>was proposed in the CPM Report</w:t>
      </w:r>
    </w:p>
    <w:p w:rsidR="00B92A7E" w:rsidRDefault="00B92A7E" w:rsidP="001F75D3">
      <w:pPr>
        <w:jc w:val="both"/>
      </w:pPr>
      <w:r w:rsidRPr="00B92A7E">
        <w:rPr>
          <w:vertAlign w:val="superscript"/>
        </w:rPr>
        <w:t>**</w:t>
      </w:r>
      <w:r>
        <w:t>: For the frequency band J a Method J3 proposed to continue studies with an associated WRC Resolution</w:t>
      </w:r>
    </w:p>
    <w:p w:rsidR="00F61EE2" w:rsidRDefault="00F61EE2" w:rsidP="00C57355">
      <w:pPr>
        <w:jc w:val="both"/>
      </w:pPr>
    </w:p>
    <w:p w:rsidR="00C43CDC" w:rsidRDefault="00C43CDC" w:rsidP="008B1A16">
      <w:pPr>
        <w:jc w:val="both"/>
      </w:pPr>
      <w:r>
        <w:t>Moreover, sharing and compatibility studies were conducted by other Working Parties</w:t>
      </w:r>
      <w:r w:rsidR="00C62701">
        <w:t xml:space="preserve"> (WP)</w:t>
      </w:r>
      <w:r>
        <w:t xml:space="preserve"> for overlapping agenda item </w:t>
      </w:r>
      <w:r w:rsidRPr="009E1892">
        <w:rPr>
          <w:b/>
          <w:bCs/>
        </w:rPr>
        <w:t>1.14</w:t>
      </w:r>
      <w:r>
        <w:t xml:space="preserve"> in </w:t>
      </w:r>
      <w:r>
        <w:rPr>
          <w:rFonts w:eastAsia="MS Mincho"/>
          <w:lang w:val="en-GB" w:eastAsia="ja-JP"/>
        </w:rPr>
        <w:t xml:space="preserve">band A, agenda item </w:t>
      </w:r>
      <w:r w:rsidRPr="009E1892">
        <w:rPr>
          <w:rFonts w:eastAsia="MS Mincho"/>
          <w:b/>
          <w:bCs/>
          <w:lang w:val="en-GB" w:eastAsia="ja-JP"/>
        </w:rPr>
        <w:t>1.6</w:t>
      </w:r>
      <w:r>
        <w:rPr>
          <w:rFonts w:eastAsia="MS Mincho"/>
          <w:lang w:val="en-GB" w:eastAsia="ja-JP"/>
        </w:rPr>
        <w:t xml:space="preserve"> in bands C, D, H and I and agenda item </w:t>
      </w:r>
      <w:r w:rsidRPr="009E1892">
        <w:rPr>
          <w:rFonts w:eastAsia="MS Mincho"/>
          <w:b/>
          <w:bCs/>
          <w:lang w:val="en-GB" w:eastAsia="ja-JP"/>
        </w:rPr>
        <w:t>9.1</w:t>
      </w:r>
      <w:r>
        <w:rPr>
          <w:rFonts w:eastAsia="MS Mincho"/>
          <w:lang w:val="en-GB" w:eastAsia="ja-JP"/>
        </w:rPr>
        <w:t xml:space="preserve"> (issue </w:t>
      </w:r>
      <w:r w:rsidRPr="009E1892">
        <w:rPr>
          <w:rFonts w:eastAsia="MS Mincho"/>
          <w:b/>
          <w:bCs/>
          <w:lang w:val="en-GB" w:eastAsia="ja-JP"/>
        </w:rPr>
        <w:t>9.1.9</w:t>
      </w:r>
      <w:r>
        <w:rPr>
          <w:rFonts w:eastAsia="MS Mincho"/>
          <w:lang w:val="en-GB" w:eastAsia="ja-JP"/>
        </w:rPr>
        <w:t>) in band I.</w:t>
      </w:r>
      <w:r w:rsidR="00960BFC">
        <w:rPr>
          <w:rFonts w:eastAsia="MS Mincho"/>
          <w:lang w:val="en-GB" w:eastAsia="ja-JP"/>
        </w:rPr>
        <w:t xml:space="preserve"> In case of AI </w:t>
      </w:r>
      <w:r w:rsidR="00960BFC" w:rsidRPr="009E1892">
        <w:rPr>
          <w:rFonts w:eastAsia="MS Mincho"/>
          <w:b/>
          <w:bCs/>
          <w:lang w:val="en-GB" w:eastAsia="ja-JP"/>
        </w:rPr>
        <w:t>1.14</w:t>
      </w:r>
      <w:r w:rsidR="00960BFC">
        <w:rPr>
          <w:rFonts w:eastAsia="MS Mincho"/>
          <w:lang w:val="en-GB" w:eastAsia="ja-JP"/>
        </w:rPr>
        <w:t xml:space="preserve"> study was not completed and for the time being a separation distance of 55 km is required from </w:t>
      </w:r>
      <w:r w:rsidR="00960BFC" w:rsidRPr="00960BFC">
        <w:rPr>
          <w:rFonts w:eastAsia="Times New Roman"/>
          <w:lang w:eastAsia="zh-CN"/>
        </w:rPr>
        <w:t>HAPS nadir to protect IMT stations</w:t>
      </w:r>
      <w:r w:rsidR="00960BFC">
        <w:rPr>
          <w:rFonts w:eastAsia="Times New Roman"/>
          <w:lang w:eastAsia="zh-CN"/>
        </w:rPr>
        <w:t>.</w:t>
      </w:r>
      <w:r w:rsidR="003A0DCA">
        <w:rPr>
          <w:rFonts w:eastAsia="Times New Roman"/>
          <w:b/>
          <w:bCs/>
          <w:lang w:eastAsia="zh-CN"/>
        </w:rPr>
        <w:t xml:space="preserve"> </w:t>
      </w:r>
      <w:r w:rsidR="00C62701" w:rsidRPr="009E1892">
        <w:rPr>
          <w:rFonts w:eastAsia="Times New Roman"/>
          <w:b/>
          <w:bCs/>
          <w:lang w:eastAsia="zh-CN"/>
        </w:rPr>
        <w:t>WP 4A</w:t>
      </w:r>
      <w:r w:rsidR="00C62701">
        <w:rPr>
          <w:rFonts w:eastAsia="Times New Roman"/>
          <w:lang w:eastAsia="zh-CN"/>
        </w:rPr>
        <w:t xml:space="preserve"> has conducted no study on protection of IMT stations from non-GSO FSS, however, </w:t>
      </w:r>
      <w:r w:rsidR="00C62701" w:rsidRPr="009E1892">
        <w:rPr>
          <w:rFonts w:eastAsia="Times New Roman"/>
          <w:b/>
          <w:bCs/>
          <w:lang w:eastAsia="zh-CN"/>
        </w:rPr>
        <w:t>TG5/1</w:t>
      </w:r>
      <w:r w:rsidR="00C62701">
        <w:rPr>
          <w:rFonts w:eastAsia="Times New Roman"/>
          <w:lang w:eastAsia="zh-CN"/>
        </w:rPr>
        <w:t xml:space="preserve"> has studied FSS </w:t>
      </w:r>
      <w:r w:rsidR="00A90ED1">
        <w:rPr>
          <w:rFonts w:eastAsia="Times New Roman"/>
          <w:lang w:eastAsia="zh-CN"/>
        </w:rPr>
        <w:t xml:space="preserve">interference </w:t>
      </w:r>
      <w:r w:rsidR="00C62701">
        <w:rPr>
          <w:rFonts w:eastAsia="Times New Roman"/>
          <w:lang w:eastAsia="zh-CN"/>
        </w:rPr>
        <w:t xml:space="preserve">on IMT for bands H and I. </w:t>
      </w:r>
      <w:r w:rsidR="005669E8" w:rsidRPr="009E1892">
        <w:rPr>
          <w:rFonts w:eastAsia="Times New Roman"/>
          <w:b/>
          <w:bCs/>
          <w:lang w:eastAsia="zh-CN"/>
        </w:rPr>
        <w:t>WP 4A</w:t>
      </w:r>
      <w:r w:rsidR="005669E8">
        <w:rPr>
          <w:rFonts w:eastAsia="Times New Roman"/>
          <w:lang w:eastAsia="zh-CN"/>
        </w:rPr>
        <w:t xml:space="preserve"> also, for AI </w:t>
      </w:r>
      <w:r w:rsidR="005669E8" w:rsidRPr="009E1892">
        <w:rPr>
          <w:rFonts w:eastAsia="Times New Roman"/>
          <w:b/>
          <w:bCs/>
          <w:lang w:eastAsia="zh-CN"/>
        </w:rPr>
        <w:t>9.1</w:t>
      </w:r>
      <w:r w:rsidR="005669E8">
        <w:rPr>
          <w:rFonts w:eastAsia="Times New Roman"/>
          <w:lang w:eastAsia="zh-CN"/>
        </w:rPr>
        <w:t xml:space="preserve"> (issue </w:t>
      </w:r>
      <w:r w:rsidR="005669E8" w:rsidRPr="009E1892">
        <w:rPr>
          <w:rFonts w:eastAsia="Times New Roman"/>
          <w:b/>
          <w:bCs/>
          <w:lang w:eastAsia="zh-CN"/>
        </w:rPr>
        <w:t>9.1.9</w:t>
      </w:r>
      <w:r w:rsidR="005669E8">
        <w:rPr>
          <w:rFonts w:eastAsia="Times New Roman"/>
          <w:lang w:eastAsia="zh-CN"/>
        </w:rPr>
        <w:t xml:space="preserve">), </w:t>
      </w:r>
      <w:r w:rsidR="00A90ED1">
        <w:rPr>
          <w:rFonts w:eastAsia="Times New Roman"/>
          <w:lang w:eastAsia="zh-CN"/>
        </w:rPr>
        <w:t>h</w:t>
      </w:r>
      <w:r w:rsidR="005669E8">
        <w:rPr>
          <w:rFonts w:eastAsia="Times New Roman"/>
          <w:lang w:eastAsia="zh-CN"/>
        </w:rPr>
        <w:t xml:space="preserve">as </w:t>
      </w:r>
      <w:r w:rsidR="00A90ED1">
        <w:rPr>
          <w:rFonts w:eastAsia="Times New Roman"/>
          <w:lang w:eastAsia="zh-CN"/>
        </w:rPr>
        <w:t xml:space="preserve">conducted studies for addition of FSS uplink in the band 51.4-52.6 GHz. The study shows that a separation distance of </w:t>
      </w:r>
      <w:r w:rsidR="00A90ED1" w:rsidRPr="00A90ED1">
        <w:rPr>
          <w:lang w:eastAsia="zh-CN"/>
        </w:rPr>
        <w:t>260 and 330 meters</w:t>
      </w:r>
      <w:r w:rsidR="00A90ED1">
        <w:rPr>
          <w:lang w:eastAsia="zh-CN"/>
        </w:rPr>
        <w:t xml:space="preserve"> is enough to protect IMT stations.</w:t>
      </w:r>
    </w:p>
    <w:p w:rsidR="000A5418" w:rsidRDefault="000A5418" w:rsidP="00C357AD">
      <w:pPr>
        <w:jc w:val="both"/>
      </w:pPr>
    </w:p>
    <w:p w:rsidR="000A5418" w:rsidRPr="000A5418" w:rsidRDefault="000A5418" w:rsidP="00B74049">
      <w:pPr>
        <w:spacing w:after="120"/>
        <w:jc w:val="both"/>
        <w:rPr>
          <w:b/>
        </w:rPr>
      </w:pPr>
      <w:r w:rsidRPr="000A5418">
        <w:rPr>
          <w:b/>
        </w:rPr>
        <w:t>2. Preliminary Views</w:t>
      </w:r>
      <w:r w:rsidR="0058044E">
        <w:rPr>
          <w:b/>
        </w:rPr>
        <w:t xml:space="preserve"> of I.R. of Iran</w:t>
      </w:r>
    </w:p>
    <w:p w:rsidR="002B131C" w:rsidRDefault="009E1892" w:rsidP="009E1892">
      <w:pPr>
        <w:jc w:val="both"/>
        <w:rPr>
          <w:rFonts w:eastAsia="MS Mincho"/>
          <w:lang w:val="en-NZ" w:eastAsia="ja-JP"/>
        </w:rPr>
      </w:pPr>
      <w:r>
        <w:rPr>
          <w:rFonts w:eastAsia="MS Mincho"/>
          <w:lang w:val="en-NZ" w:eastAsia="ja-JP"/>
        </w:rPr>
        <w:t>In line</w:t>
      </w:r>
      <w:r w:rsidR="000F0B4B">
        <w:rPr>
          <w:rFonts w:eastAsia="MS Mincho"/>
          <w:lang w:val="en-NZ" w:eastAsia="ja-JP"/>
        </w:rPr>
        <w:t xml:space="preserve"> </w:t>
      </w:r>
      <w:r>
        <w:rPr>
          <w:rFonts w:eastAsia="MS Mincho"/>
          <w:lang w:val="en-NZ" w:eastAsia="ja-JP"/>
        </w:rPr>
        <w:t>with the outcome of</w:t>
      </w:r>
      <w:r w:rsidR="002B131C">
        <w:rPr>
          <w:rFonts w:eastAsia="MS Mincho"/>
          <w:lang w:val="en-NZ" w:eastAsia="ja-JP"/>
        </w:rPr>
        <w:t xml:space="preserve"> APG19-3</w:t>
      </w:r>
      <w:r w:rsidR="003A0DCA">
        <w:rPr>
          <w:rFonts w:eastAsia="MS Mincho"/>
          <w:lang w:val="en-NZ" w:eastAsia="ja-JP"/>
        </w:rPr>
        <w:t xml:space="preserve"> </w:t>
      </w:r>
      <w:r w:rsidR="00482854">
        <w:rPr>
          <w:rFonts w:eastAsia="MS Mincho"/>
          <w:lang w:val="en-NZ" w:eastAsia="ja-JP"/>
        </w:rPr>
        <w:t xml:space="preserve">for the agenda item </w:t>
      </w:r>
      <w:r w:rsidR="00482854" w:rsidRPr="009E1892">
        <w:rPr>
          <w:rFonts w:eastAsia="MS Mincho"/>
          <w:b/>
          <w:bCs/>
          <w:lang w:val="en-NZ" w:eastAsia="ja-JP"/>
        </w:rPr>
        <w:t>1.13</w:t>
      </w:r>
      <w:r w:rsidR="002B131C">
        <w:rPr>
          <w:rFonts w:eastAsia="MS Mincho"/>
          <w:lang w:val="en-NZ" w:eastAsia="ja-JP"/>
        </w:rPr>
        <w:t xml:space="preserve">, this administration continues to </w:t>
      </w:r>
      <w:r w:rsidR="002B131C" w:rsidRPr="00566D38">
        <w:rPr>
          <w:rFonts w:eastAsia="MS Mincho"/>
          <w:lang w:val="en-NZ" w:eastAsia="ja-JP"/>
        </w:rPr>
        <w:t xml:space="preserve">support the consideration of additional frequency bands for International Mobile Telecommunications (IMT), including possible additional mobile allocations on a primary basis, in accordance with Resolution </w:t>
      </w:r>
      <w:r w:rsidR="002B131C" w:rsidRPr="00566D38">
        <w:rPr>
          <w:rFonts w:eastAsia="MS Mincho"/>
          <w:b/>
          <w:lang w:val="en-NZ" w:eastAsia="ja-JP"/>
        </w:rPr>
        <w:t>238 (WRC-15)</w:t>
      </w:r>
      <w:r w:rsidR="002B131C" w:rsidRPr="00566D38">
        <w:rPr>
          <w:rFonts w:eastAsia="MS Mincho"/>
          <w:lang w:val="en-NZ" w:eastAsia="ja-JP"/>
        </w:rPr>
        <w:t>.</w:t>
      </w:r>
    </w:p>
    <w:p w:rsidR="002B131C" w:rsidRPr="00566D38" w:rsidRDefault="002B131C" w:rsidP="002B131C">
      <w:pPr>
        <w:rPr>
          <w:rFonts w:eastAsia="MS Mincho"/>
          <w:lang w:val="en-NZ" w:eastAsia="ja-JP"/>
        </w:rPr>
      </w:pPr>
    </w:p>
    <w:p w:rsidR="002B131C" w:rsidRDefault="008B1A16" w:rsidP="003A0DCA">
      <w:pPr>
        <w:jc w:val="both"/>
        <w:rPr>
          <w:rFonts w:eastAsia="MS Mincho"/>
          <w:lang w:val="en-NZ" w:eastAsia="ja-JP"/>
        </w:rPr>
      </w:pPr>
      <w:r>
        <w:rPr>
          <w:rFonts w:eastAsia="MS Mincho"/>
          <w:lang w:val="en-NZ" w:eastAsia="ja-JP"/>
        </w:rPr>
        <w:t xml:space="preserve">This </w:t>
      </w:r>
      <w:r w:rsidR="003A0DCA">
        <w:rPr>
          <w:rFonts w:eastAsia="MS Mincho"/>
          <w:lang w:val="en-NZ" w:eastAsia="ja-JP"/>
        </w:rPr>
        <w:t>A</w:t>
      </w:r>
      <w:r>
        <w:rPr>
          <w:rFonts w:eastAsia="MS Mincho"/>
          <w:lang w:val="en-NZ" w:eastAsia="ja-JP"/>
        </w:rPr>
        <w:t xml:space="preserve">dministration </w:t>
      </w:r>
      <w:r w:rsidR="002B131C" w:rsidRPr="00566D38">
        <w:rPr>
          <w:rFonts w:eastAsia="MS Mincho"/>
          <w:lang w:val="en-NZ" w:eastAsia="ja-JP"/>
        </w:rPr>
        <w:t>also support</w:t>
      </w:r>
      <w:r w:rsidR="000F0B4B">
        <w:rPr>
          <w:rFonts w:eastAsia="MS Mincho"/>
          <w:lang w:val="en-NZ" w:eastAsia="ja-JP"/>
        </w:rPr>
        <w:t xml:space="preserve"> </w:t>
      </w:r>
      <w:r>
        <w:rPr>
          <w:rFonts w:eastAsia="MS Mincho"/>
          <w:lang w:val="en-NZ" w:eastAsia="ja-JP"/>
        </w:rPr>
        <w:t xml:space="preserve">continuation </w:t>
      </w:r>
      <w:r w:rsidR="002B131C" w:rsidRPr="00566D38">
        <w:rPr>
          <w:rFonts w:eastAsia="MS Mincho"/>
          <w:lang w:val="en-NZ" w:eastAsia="ja-JP"/>
        </w:rPr>
        <w:t xml:space="preserve">ITU-R studies on </w:t>
      </w:r>
      <w:r>
        <w:rPr>
          <w:rFonts w:eastAsia="MS Mincho"/>
          <w:lang w:val="en-NZ" w:eastAsia="ja-JP"/>
        </w:rPr>
        <w:t xml:space="preserve">remaining items of </w:t>
      </w:r>
      <w:r w:rsidR="002B131C" w:rsidRPr="00566D38">
        <w:rPr>
          <w:rFonts w:eastAsia="MS Mincho"/>
          <w:lang w:val="en-NZ" w:eastAsia="ja-JP"/>
        </w:rPr>
        <w:t xml:space="preserve">sharing and compatibility studies in accordance with Resolution </w:t>
      </w:r>
      <w:r w:rsidR="002B131C" w:rsidRPr="00566D38">
        <w:rPr>
          <w:rFonts w:eastAsia="MS Mincho"/>
          <w:b/>
          <w:lang w:val="en-NZ" w:eastAsia="ja-JP"/>
        </w:rPr>
        <w:t>238 (WRC-15)</w:t>
      </w:r>
      <w:r w:rsidR="002B131C" w:rsidRPr="00566D38">
        <w:rPr>
          <w:rFonts w:eastAsia="MS Mincho"/>
          <w:lang w:val="en-NZ" w:eastAsia="ja-JP"/>
        </w:rPr>
        <w:t>. It is important for these sharing and compatibility studies to take into account protection of services to which the band is allocated on a primary basis.</w:t>
      </w:r>
    </w:p>
    <w:p w:rsidR="002B131C" w:rsidRPr="00566D38" w:rsidRDefault="002B131C" w:rsidP="002B131C">
      <w:pPr>
        <w:rPr>
          <w:rFonts w:eastAsia="MS Mincho"/>
          <w:lang w:val="en-NZ" w:eastAsia="ja-JP"/>
        </w:rPr>
      </w:pPr>
    </w:p>
    <w:p w:rsidR="002B131C" w:rsidRDefault="009E1892" w:rsidP="009E1892">
      <w:pPr>
        <w:jc w:val="both"/>
        <w:rPr>
          <w:rFonts w:eastAsia="MS Mincho"/>
          <w:lang w:val="en-NZ" w:eastAsia="ja-JP"/>
        </w:rPr>
      </w:pPr>
      <w:r>
        <w:rPr>
          <w:rFonts w:eastAsia="MS Mincho"/>
          <w:lang w:val="en-NZ" w:eastAsia="ja-JP"/>
        </w:rPr>
        <w:t>T</w:t>
      </w:r>
      <w:r w:rsidR="008B1A16">
        <w:rPr>
          <w:rFonts w:eastAsia="MS Mincho"/>
          <w:lang w:val="en-NZ" w:eastAsia="ja-JP"/>
        </w:rPr>
        <w:t>his</w:t>
      </w:r>
      <w:r w:rsidR="000F0B4B">
        <w:rPr>
          <w:rFonts w:eastAsia="MS Mincho"/>
          <w:lang w:val="en-NZ" w:eastAsia="ja-JP"/>
        </w:rPr>
        <w:t xml:space="preserve"> </w:t>
      </w:r>
      <w:r w:rsidR="008B1A16">
        <w:rPr>
          <w:rFonts w:eastAsia="MS Mincho"/>
          <w:lang w:val="en-NZ" w:eastAsia="ja-JP"/>
        </w:rPr>
        <w:t>administration</w:t>
      </w:r>
      <w:r w:rsidR="002B131C" w:rsidRPr="00566D38">
        <w:rPr>
          <w:rFonts w:eastAsia="MS Mincho"/>
          <w:lang w:val="en-NZ" w:eastAsia="ja-JP"/>
        </w:rPr>
        <w:t xml:space="preserve"> ha</w:t>
      </w:r>
      <w:r>
        <w:rPr>
          <w:rFonts w:eastAsia="MS Mincho"/>
          <w:lang w:val="en-NZ" w:eastAsia="ja-JP"/>
        </w:rPr>
        <w:t>s</w:t>
      </w:r>
      <w:r w:rsidR="002B131C" w:rsidRPr="00566D38">
        <w:rPr>
          <w:rFonts w:eastAsia="MS Mincho"/>
          <w:lang w:val="en-NZ" w:eastAsia="ja-JP"/>
        </w:rPr>
        <w:t xml:space="preserve"> a preference in </w:t>
      </w:r>
      <w:r w:rsidR="002B131C" w:rsidRPr="00566D38">
        <w:rPr>
          <w:rFonts w:eastAsia="MS Mincho" w:hint="eastAsia"/>
          <w:lang w:val="en-NZ" w:eastAsia="ja-JP"/>
        </w:rPr>
        <w:t xml:space="preserve">prioritizing considerations </w:t>
      </w:r>
      <w:r w:rsidR="002B131C" w:rsidRPr="00566D38">
        <w:rPr>
          <w:rFonts w:eastAsia="MS Mincho"/>
          <w:lang w:val="en-NZ" w:eastAsia="ja-JP"/>
        </w:rPr>
        <w:t>for IMT identification in the 24.25-27.5 GHz frequency band or</w:t>
      </w:r>
      <w:r w:rsidR="000F0B4B">
        <w:rPr>
          <w:rFonts w:eastAsia="MS Mincho"/>
          <w:lang w:val="en-NZ" w:eastAsia="ja-JP"/>
        </w:rPr>
        <w:t xml:space="preserve"> </w:t>
      </w:r>
      <w:r w:rsidR="002B131C" w:rsidRPr="00566D38">
        <w:rPr>
          <w:rFonts w:eastAsia="MS Mincho"/>
          <w:lang w:val="en-NZ" w:eastAsia="ja-JP"/>
        </w:rPr>
        <w:t>portions</w:t>
      </w:r>
      <w:r w:rsidR="000F0B4B">
        <w:rPr>
          <w:rFonts w:eastAsia="MS Mincho"/>
          <w:lang w:val="en-NZ" w:eastAsia="ja-JP"/>
        </w:rPr>
        <w:t xml:space="preserve"> </w:t>
      </w:r>
      <w:r w:rsidR="002B131C" w:rsidRPr="00566D38">
        <w:rPr>
          <w:rFonts w:eastAsia="MS Mincho" w:hint="eastAsia"/>
          <w:lang w:val="en-NZ" w:eastAsia="ja-JP"/>
        </w:rPr>
        <w:t>there</w:t>
      </w:r>
      <w:r w:rsidR="002B131C" w:rsidRPr="00566D38">
        <w:rPr>
          <w:rFonts w:eastAsia="MS Mincho"/>
          <w:lang w:val="en-NZ" w:eastAsia="ja-JP"/>
        </w:rPr>
        <w:t>of.</w:t>
      </w:r>
    </w:p>
    <w:p w:rsidR="008B1A16" w:rsidRDefault="008B1A16" w:rsidP="008B1A16">
      <w:pPr>
        <w:rPr>
          <w:rFonts w:eastAsia="MS Mincho"/>
          <w:lang w:val="en-NZ" w:eastAsia="ja-JP"/>
        </w:rPr>
      </w:pPr>
    </w:p>
    <w:p w:rsidR="00D16774" w:rsidRDefault="00214A15" w:rsidP="003A0DCA">
      <w:pPr>
        <w:jc w:val="both"/>
        <w:rPr>
          <w:b/>
        </w:rPr>
      </w:pPr>
      <w:r>
        <w:t xml:space="preserve">As </w:t>
      </w:r>
      <w:r w:rsidR="0058044E">
        <w:t xml:space="preserve">a </w:t>
      </w:r>
      <w:r>
        <w:t xml:space="preserve">matter of principal of not constraining existing services, this </w:t>
      </w:r>
      <w:r w:rsidR="003A0DCA">
        <w:t>A</w:t>
      </w:r>
      <w:r w:rsidR="0051419B" w:rsidRPr="00265951">
        <w:t xml:space="preserve">dministrations take into account potential constraints to IMT in the frequency band, because of the potential deployment of </w:t>
      </w:r>
      <w:r w:rsidR="00201ACC" w:rsidRPr="00265951">
        <w:rPr>
          <w:lang w:eastAsia="de-DE"/>
        </w:rPr>
        <w:t>ubiquitous</w:t>
      </w:r>
      <w:r w:rsidR="000F0B4B">
        <w:rPr>
          <w:lang w:eastAsia="de-DE"/>
        </w:rPr>
        <w:t xml:space="preserve"> </w:t>
      </w:r>
      <w:r w:rsidR="0051419B" w:rsidRPr="00265951">
        <w:t xml:space="preserve">high-density applications in the FSS in the frequency band 39.5-42 GHz </w:t>
      </w:r>
      <w:r w:rsidR="00E2225C">
        <w:t>(40-40.5</w:t>
      </w:r>
      <w:r w:rsidR="009E1892">
        <w:t> </w:t>
      </w:r>
      <w:r w:rsidR="00E2225C">
        <w:t xml:space="preserve">GHz for Region 3) </w:t>
      </w:r>
      <w:r w:rsidR="0051419B" w:rsidRPr="00265951">
        <w:t xml:space="preserve">as per RR No. </w:t>
      </w:r>
      <w:r w:rsidR="0051419B" w:rsidRPr="00265951">
        <w:rPr>
          <w:b/>
        </w:rPr>
        <w:t>5.516B</w:t>
      </w:r>
      <w:r w:rsidR="000A29C2">
        <w:rPr>
          <w:b/>
        </w:rPr>
        <w:t xml:space="preserve">. </w:t>
      </w:r>
    </w:p>
    <w:p w:rsidR="00D16774" w:rsidRDefault="00D16774" w:rsidP="009D386F">
      <w:pPr>
        <w:jc w:val="both"/>
        <w:rPr>
          <w:b/>
        </w:rPr>
      </w:pPr>
    </w:p>
    <w:p w:rsidR="000A5418" w:rsidRPr="000A29C2" w:rsidRDefault="00110255" w:rsidP="009E1892">
      <w:pPr>
        <w:jc w:val="both"/>
        <w:rPr>
          <w:bCs/>
        </w:rPr>
      </w:pPr>
      <w:r>
        <w:rPr>
          <w:bCs/>
        </w:rPr>
        <w:t xml:space="preserve">This Administration </w:t>
      </w:r>
      <w:r w:rsidR="009E1892">
        <w:rPr>
          <w:bCs/>
        </w:rPr>
        <w:t>is of</w:t>
      </w:r>
      <w:r w:rsidR="000F0B4B">
        <w:rPr>
          <w:bCs/>
        </w:rPr>
        <w:t xml:space="preserve"> </w:t>
      </w:r>
      <w:r w:rsidR="009E1892">
        <w:rPr>
          <w:bCs/>
        </w:rPr>
        <w:t xml:space="preserve">the </w:t>
      </w:r>
      <w:r>
        <w:rPr>
          <w:bCs/>
        </w:rPr>
        <w:t xml:space="preserve">view that </w:t>
      </w:r>
      <w:r w:rsidR="000A29C2">
        <w:rPr>
          <w:bCs/>
        </w:rPr>
        <w:t>Region 3 countries neighbor</w:t>
      </w:r>
      <w:r w:rsidR="0058044E">
        <w:rPr>
          <w:bCs/>
        </w:rPr>
        <w:t>ing</w:t>
      </w:r>
      <w:r w:rsidR="000A29C2">
        <w:rPr>
          <w:bCs/>
        </w:rPr>
        <w:t xml:space="preserve"> to Region 1</w:t>
      </w:r>
      <w:r w:rsidR="00D16774">
        <w:rPr>
          <w:bCs/>
        </w:rPr>
        <w:t>,</w:t>
      </w:r>
      <w:r w:rsidR="000A29C2">
        <w:rPr>
          <w:bCs/>
        </w:rPr>
        <w:t xml:space="preserve"> need to </w:t>
      </w:r>
      <w:r w:rsidR="009D386F">
        <w:rPr>
          <w:bCs/>
        </w:rPr>
        <w:t xml:space="preserve">carefully </w:t>
      </w:r>
      <w:r w:rsidR="008165CA" w:rsidRPr="00265951">
        <w:t xml:space="preserve">take into account potential constraints </w:t>
      </w:r>
      <w:r w:rsidR="000A29C2">
        <w:rPr>
          <w:bCs/>
        </w:rPr>
        <w:t xml:space="preserve">that Region 1 countries might </w:t>
      </w:r>
      <w:r w:rsidR="0058044E">
        <w:rPr>
          <w:bCs/>
        </w:rPr>
        <w:t>impose</w:t>
      </w:r>
      <w:r w:rsidR="000F0B4B">
        <w:rPr>
          <w:bCs/>
        </w:rPr>
        <w:t xml:space="preserve"> </w:t>
      </w:r>
      <w:r w:rsidR="0058044E">
        <w:rPr>
          <w:bCs/>
        </w:rPr>
        <w:t>to</w:t>
      </w:r>
      <w:r w:rsidR="000F0B4B">
        <w:rPr>
          <w:bCs/>
        </w:rPr>
        <w:t xml:space="preserve"> </w:t>
      </w:r>
      <w:r w:rsidR="008165CA">
        <w:rPr>
          <w:bCs/>
        </w:rPr>
        <w:t xml:space="preserve">Region 3 </w:t>
      </w:r>
      <w:r w:rsidR="009D386F">
        <w:rPr>
          <w:bCs/>
        </w:rPr>
        <w:t xml:space="preserve">IMT </w:t>
      </w:r>
      <w:r w:rsidR="000A29C2">
        <w:rPr>
          <w:bCs/>
        </w:rPr>
        <w:t xml:space="preserve">identification </w:t>
      </w:r>
      <w:r w:rsidR="009D386F">
        <w:rPr>
          <w:bCs/>
        </w:rPr>
        <w:t>in the</w:t>
      </w:r>
      <w:r w:rsidR="000A29C2">
        <w:rPr>
          <w:bCs/>
        </w:rPr>
        <w:t xml:space="preserve"> frequency bands allocated to</w:t>
      </w:r>
      <w:r w:rsidR="000F0B4B">
        <w:rPr>
          <w:bCs/>
        </w:rPr>
        <w:t xml:space="preserve"> </w:t>
      </w:r>
      <w:r w:rsidR="008165CA">
        <w:rPr>
          <w:bCs/>
        </w:rPr>
        <w:t>exclusive-</w:t>
      </w:r>
      <w:r w:rsidR="006E7531">
        <w:rPr>
          <w:bCs/>
        </w:rPr>
        <w:t xml:space="preserve">Region 1 </w:t>
      </w:r>
      <w:r w:rsidR="000A29C2">
        <w:rPr>
          <w:bCs/>
        </w:rPr>
        <w:t xml:space="preserve">HFDSS </w:t>
      </w:r>
      <w:r w:rsidR="00582BB8">
        <w:rPr>
          <w:bCs/>
        </w:rPr>
        <w:t>(</w:t>
      </w:r>
      <w:r w:rsidR="00D16774">
        <w:rPr>
          <w:bCs/>
        </w:rPr>
        <w:t>bands C and H</w:t>
      </w:r>
      <w:r w:rsidR="00582BB8">
        <w:rPr>
          <w:bCs/>
        </w:rPr>
        <w:t>)</w:t>
      </w:r>
      <w:r w:rsidR="008165CA">
        <w:rPr>
          <w:bCs/>
        </w:rPr>
        <w:t>,</w:t>
      </w:r>
      <w:r w:rsidR="000A29C2">
        <w:rPr>
          <w:bCs/>
        </w:rPr>
        <w:t xml:space="preserve">in accordance with </w:t>
      </w:r>
      <w:r w:rsidR="000A29C2" w:rsidRPr="00265951">
        <w:t xml:space="preserve">RR No. </w:t>
      </w:r>
      <w:r w:rsidR="000A29C2" w:rsidRPr="00265951">
        <w:rPr>
          <w:b/>
        </w:rPr>
        <w:t>5.516B</w:t>
      </w:r>
      <w:r w:rsidR="000A29C2">
        <w:rPr>
          <w:b/>
        </w:rPr>
        <w:t>.</w:t>
      </w:r>
    </w:p>
    <w:p w:rsidR="000A5418" w:rsidRDefault="000A5418" w:rsidP="00C357AD">
      <w:pPr>
        <w:jc w:val="both"/>
      </w:pPr>
    </w:p>
    <w:p w:rsidR="0007348F" w:rsidRDefault="0007348F" w:rsidP="0058044E">
      <w:pPr>
        <w:jc w:val="both"/>
      </w:pPr>
      <w:r>
        <w:t>This Administration is not in favor of IMT identification in the frequency bands F and G that are not studi</w:t>
      </w:r>
      <w:r w:rsidR="0058044E">
        <w:t>ed</w:t>
      </w:r>
      <w:r>
        <w:t xml:space="preserve"> within ITU-R.</w:t>
      </w:r>
    </w:p>
    <w:p w:rsidR="0040136E" w:rsidRDefault="0040136E" w:rsidP="0040136E">
      <w:pPr>
        <w:jc w:val="both"/>
      </w:pPr>
    </w:p>
    <w:p w:rsidR="000A5418" w:rsidRDefault="0058044E" w:rsidP="00095CA5">
      <w:pPr>
        <w:jc w:val="both"/>
        <w:rPr>
          <w:rFonts w:eastAsia="MS Mincho"/>
        </w:rPr>
      </w:pPr>
      <w:r>
        <w:t>Moreover, t</w:t>
      </w:r>
      <w:r w:rsidR="0040136E">
        <w:t xml:space="preserve">his </w:t>
      </w:r>
      <w:r w:rsidR="00095CA5">
        <w:t>A</w:t>
      </w:r>
      <w:r w:rsidR="0040136E">
        <w:t xml:space="preserve">dministration </w:t>
      </w:r>
      <w:r>
        <w:t xml:space="preserve">propose </w:t>
      </w:r>
      <w:r w:rsidR="0040136E">
        <w:t>not to support non-implementable conditions for achieving compatibility</w:t>
      </w:r>
      <w:r w:rsidR="000338A1">
        <w:t xml:space="preserve"> that are proposed under several </w:t>
      </w:r>
      <w:r>
        <w:t>O</w:t>
      </w:r>
      <w:r w:rsidR="000338A1">
        <w:t>ptions of Methods of this agenda item</w:t>
      </w:r>
      <w:r>
        <w:t xml:space="preserve"> in </w:t>
      </w:r>
      <w:r w:rsidR="009E1892">
        <w:t xml:space="preserve">draft </w:t>
      </w:r>
      <w:r>
        <w:t>CPM19-2 Report</w:t>
      </w:r>
      <w:r w:rsidR="0040136E">
        <w:t xml:space="preserve">, such as </w:t>
      </w:r>
      <w:r>
        <w:t xml:space="preserve">imposing </w:t>
      </w:r>
      <w:r w:rsidR="0040136E">
        <w:t xml:space="preserve">condition on </w:t>
      </w:r>
      <w:r w:rsidR="0040136E" w:rsidRPr="00265951">
        <w:rPr>
          <w:rFonts w:eastAsia="MS Mincho"/>
        </w:rPr>
        <w:t xml:space="preserve">elevation angle of the antenna main beam of IMT </w:t>
      </w:r>
      <w:r>
        <w:rPr>
          <w:rFonts w:eastAsia="MS Mincho"/>
        </w:rPr>
        <w:t>base station</w:t>
      </w:r>
      <w:r w:rsidR="0040136E" w:rsidRPr="00265951">
        <w:rPr>
          <w:rFonts w:eastAsia="MS Mincho"/>
        </w:rPr>
        <w:t>s</w:t>
      </w:r>
      <w:r>
        <w:rPr>
          <w:rFonts w:eastAsia="MS Mincho"/>
        </w:rPr>
        <w:t>.</w:t>
      </w:r>
    </w:p>
    <w:p w:rsidR="00990D04" w:rsidRPr="00566D38" w:rsidRDefault="00990D04" w:rsidP="00990D04">
      <w:pPr>
        <w:rPr>
          <w:rFonts w:eastAsia="MS Mincho"/>
          <w:lang w:val="en-NZ" w:eastAsia="ja-JP"/>
        </w:rPr>
      </w:pPr>
    </w:p>
    <w:p w:rsidR="00990D04" w:rsidRDefault="00990D04" w:rsidP="005017F8">
      <w:pPr>
        <w:jc w:val="both"/>
        <w:rPr>
          <w:rFonts w:eastAsia="MS Mincho"/>
          <w:lang w:val="en-NZ" w:eastAsia="ja-JP"/>
        </w:rPr>
      </w:pPr>
      <w:r w:rsidRPr="00566D38">
        <w:rPr>
          <w:rFonts w:eastAsia="MS Mincho" w:hint="eastAsia"/>
          <w:lang w:val="en-NZ" w:eastAsia="ja-JP"/>
        </w:rPr>
        <w:t xml:space="preserve">Regarding </w:t>
      </w:r>
      <w:r w:rsidRPr="00566D38">
        <w:rPr>
          <w:rFonts w:eastAsia="MS Mincho"/>
          <w:lang w:val="en-NZ" w:eastAsia="ja-JP"/>
        </w:rPr>
        <w:t>the</w:t>
      </w:r>
      <w:r w:rsidRPr="00566D38">
        <w:rPr>
          <w:rFonts w:eastAsia="MS Mincho" w:hint="eastAsia"/>
          <w:lang w:val="en-NZ" w:eastAsia="ja-JP"/>
        </w:rPr>
        <w:t xml:space="preserve"> overlapping issue of the </w:t>
      </w:r>
      <w:r w:rsidRPr="00566D38">
        <w:rPr>
          <w:rFonts w:eastAsia="MS Mincho"/>
          <w:lang w:val="en-NZ" w:eastAsia="ja-JP"/>
        </w:rPr>
        <w:t xml:space="preserve">frequency bands </w:t>
      </w:r>
      <w:r w:rsidRPr="00566D38">
        <w:rPr>
          <w:rFonts w:eastAsia="MS Mincho" w:hint="eastAsia"/>
          <w:lang w:val="en-NZ" w:eastAsia="ja-JP"/>
        </w:rPr>
        <w:t>within the scope of a</w:t>
      </w:r>
      <w:r w:rsidRPr="00566D38">
        <w:rPr>
          <w:rFonts w:eastAsia="MS Mincho"/>
          <w:lang w:val="en-NZ" w:eastAsia="ja-JP"/>
        </w:rPr>
        <w:t xml:space="preserve">genda item </w:t>
      </w:r>
      <w:r w:rsidRPr="009E1892">
        <w:rPr>
          <w:rFonts w:eastAsia="MS Mincho"/>
          <w:b/>
          <w:bCs/>
          <w:lang w:val="en-NZ" w:eastAsia="ja-JP"/>
        </w:rPr>
        <w:t>1.13</w:t>
      </w:r>
      <w:r w:rsidR="00095CA5">
        <w:rPr>
          <w:rFonts w:eastAsia="MS Mincho"/>
          <w:lang w:val="en-NZ" w:eastAsia="ja-JP"/>
        </w:rPr>
        <w:t xml:space="preserve"> </w:t>
      </w:r>
      <w:r w:rsidRPr="00566D38">
        <w:rPr>
          <w:rFonts w:eastAsia="MS Mincho" w:hint="eastAsia"/>
          <w:lang w:val="en-NZ" w:eastAsia="ja-JP"/>
        </w:rPr>
        <w:t xml:space="preserve">associated with Resolution </w:t>
      </w:r>
      <w:r w:rsidRPr="00566D38">
        <w:rPr>
          <w:rFonts w:eastAsia="MS Mincho" w:hint="eastAsia"/>
          <w:b/>
          <w:lang w:val="en-NZ" w:eastAsia="ja-JP"/>
        </w:rPr>
        <w:t>238 (WRC-15)</w:t>
      </w:r>
      <w:r w:rsidRPr="00566D38">
        <w:rPr>
          <w:rFonts w:eastAsia="MS Mincho" w:hint="eastAsia"/>
          <w:lang w:val="en-NZ" w:eastAsia="ja-JP"/>
        </w:rPr>
        <w:t xml:space="preserve"> and </w:t>
      </w:r>
      <w:r w:rsidRPr="00566D38">
        <w:rPr>
          <w:rFonts w:eastAsia="MS Mincho"/>
          <w:lang w:val="en-NZ" w:eastAsia="ja-JP"/>
        </w:rPr>
        <w:t xml:space="preserve">those </w:t>
      </w:r>
      <w:r w:rsidRPr="00566D38">
        <w:rPr>
          <w:rFonts w:eastAsia="MS Mincho" w:hint="eastAsia"/>
          <w:lang w:val="en-NZ" w:eastAsia="ja-JP"/>
        </w:rPr>
        <w:t>within the scope of a</w:t>
      </w:r>
      <w:r w:rsidRPr="00566D38">
        <w:rPr>
          <w:rFonts w:eastAsia="MS Mincho"/>
          <w:lang w:val="en-NZ" w:eastAsia="ja-JP"/>
        </w:rPr>
        <w:t xml:space="preserve">genda items </w:t>
      </w:r>
      <w:r w:rsidRPr="009E1892">
        <w:rPr>
          <w:rFonts w:eastAsia="MS Mincho"/>
          <w:b/>
          <w:bCs/>
          <w:lang w:val="en-NZ" w:eastAsia="ja-JP"/>
        </w:rPr>
        <w:t>1.6</w:t>
      </w:r>
      <w:r w:rsidRPr="00566D38">
        <w:rPr>
          <w:rFonts w:eastAsia="MS Mincho"/>
          <w:lang w:val="en-NZ" w:eastAsia="ja-JP"/>
        </w:rPr>
        <w:t xml:space="preserve">, </w:t>
      </w:r>
      <w:r w:rsidRPr="009E1892">
        <w:rPr>
          <w:rFonts w:eastAsia="MS Mincho"/>
          <w:b/>
          <w:bCs/>
          <w:lang w:val="en-NZ" w:eastAsia="ja-JP"/>
        </w:rPr>
        <w:t>1.14</w:t>
      </w:r>
      <w:r w:rsidRPr="00566D38">
        <w:rPr>
          <w:rFonts w:eastAsia="MS Mincho"/>
          <w:lang w:val="en-NZ" w:eastAsia="ja-JP"/>
        </w:rPr>
        <w:t xml:space="preserve"> and </w:t>
      </w:r>
      <w:r w:rsidRPr="009E1892">
        <w:rPr>
          <w:rFonts w:eastAsia="MS Mincho"/>
          <w:b/>
          <w:bCs/>
          <w:lang w:val="en-NZ" w:eastAsia="ja-JP"/>
        </w:rPr>
        <w:t>9.1</w:t>
      </w:r>
      <w:r w:rsidRPr="00566D38">
        <w:rPr>
          <w:rFonts w:eastAsia="MS Mincho"/>
          <w:lang w:val="en-NZ" w:eastAsia="ja-JP"/>
        </w:rPr>
        <w:t xml:space="preserve"> (issue </w:t>
      </w:r>
      <w:r w:rsidRPr="009E1892">
        <w:rPr>
          <w:rFonts w:eastAsia="MS Mincho"/>
          <w:b/>
          <w:bCs/>
          <w:lang w:val="en-NZ" w:eastAsia="ja-JP"/>
        </w:rPr>
        <w:t>9.1.9</w:t>
      </w:r>
      <w:r w:rsidRPr="00566D38">
        <w:rPr>
          <w:rFonts w:eastAsia="MS Mincho"/>
          <w:lang w:val="en-NZ" w:eastAsia="ja-JP"/>
        </w:rPr>
        <w:t>)</w:t>
      </w:r>
      <w:r w:rsidRPr="00566D38">
        <w:rPr>
          <w:rFonts w:eastAsia="MS Mincho" w:hint="eastAsia"/>
          <w:lang w:val="en-NZ" w:eastAsia="ja-JP"/>
        </w:rPr>
        <w:t xml:space="preserve">, </w:t>
      </w:r>
      <w:r w:rsidR="00DD3254">
        <w:rPr>
          <w:rFonts w:eastAsia="MS Mincho"/>
          <w:lang w:val="en-NZ" w:eastAsia="ja-JP"/>
        </w:rPr>
        <w:t>this Administration</w:t>
      </w:r>
      <w:r w:rsidR="000F0B4B">
        <w:rPr>
          <w:rFonts w:eastAsia="MS Mincho"/>
          <w:lang w:val="en-NZ" w:eastAsia="ja-JP"/>
        </w:rPr>
        <w:t xml:space="preserve"> </w:t>
      </w:r>
      <w:r w:rsidR="00DD3254">
        <w:rPr>
          <w:rFonts w:eastAsia="MS Mincho"/>
          <w:lang w:val="en-NZ" w:eastAsia="ja-JP"/>
        </w:rPr>
        <w:t>is</w:t>
      </w:r>
      <w:r w:rsidRPr="00566D38">
        <w:rPr>
          <w:rFonts w:eastAsia="MS Mincho"/>
          <w:lang w:val="en-NZ" w:eastAsia="ja-JP"/>
        </w:rPr>
        <w:t xml:space="preserve"> of the view that</w:t>
      </w:r>
      <w:r w:rsidR="000F0B4B">
        <w:rPr>
          <w:rFonts w:eastAsia="MS Mincho"/>
          <w:lang w:val="en-NZ" w:eastAsia="ja-JP"/>
        </w:rPr>
        <w:t xml:space="preserve"> </w:t>
      </w:r>
      <w:r w:rsidR="00DD3254">
        <w:rPr>
          <w:rFonts w:eastAsia="MS Mincho"/>
          <w:lang w:val="en-NZ" w:eastAsia="ja-JP"/>
        </w:rPr>
        <w:t xml:space="preserve">the remained studies should be conducted and finalized before </w:t>
      </w:r>
      <w:r w:rsidR="00DD3254" w:rsidRPr="009E1892">
        <w:rPr>
          <w:rFonts w:eastAsia="MS Mincho"/>
          <w:b/>
          <w:bCs/>
          <w:lang w:val="en-NZ" w:eastAsia="ja-JP"/>
        </w:rPr>
        <w:t>WRC19</w:t>
      </w:r>
      <w:r w:rsidR="00DD3254">
        <w:rPr>
          <w:rFonts w:eastAsia="MS Mincho"/>
          <w:lang w:val="en-NZ" w:eastAsia="ja-JP"/>
        </w:rPr>
        <w:t>.</w:t>
      </w:r>
    </w:p>
    <w:p w:rsidR="00D76E50" w:rsidRDefault="00D76E50" w:rsidP="005017F8">
      <w:pPr>
        <w:jc w:val="both"/>
        <w:rPr>
          <w:rFonts w:eastAsia="MS Mincho"/>
          <w:rtl/>
          <w:lang w:val="en-NZ" w:eastAsia="ja-JP"/>
        </w:rPr>
      </w:pPr>
    </w:p>
    <w:p w:rsidR="007713F0" w:rsidRDefault="00DC79E3" w:rsidP="00095CA5">
      <w:pPr>
        <w:jc w:val="both"/>
        <w:rPr>
          <w:rFonts w:eastAsia="MS Mincho"/>
          <w:lang w:val="en-NZ" w:eastAsia="ja-JP"/>
        </w:rPr>
      </w:pPr>
      <w:r>
        <w:rPr>
          <w:rFonts w:eastAsia="MS Mincho"/>
          <w:lang w:val="en-NZ" w:eastAsia="ja-JP"/>
        </w:rPr>
        <w:t xml:space="preserve">This </w:t>
      </w:r>
      <w:r w:rsidR="00095CA5">
        <w:rPr>
          <w:rFonts w:eastAsia="MS Mincho"/>
          <w:lang w:val="en-NZ" w:eastAsia="ja-JP"/>
        </w:rPr>
        <w:t>A</w:t>
      </w:r>
      <w:r>
        <w:rPr>
          <w:rFonts w:eastAsia="MS Mincho"/>
          <w:lang w:val="en-NZ" w:eastAsia="ja-JP"/>
        </w:rPr>
        <w:t xml:space="preserve">dministration wishes </w:t>
      </w:r>
      <w:r w:rsidR="00D76E50">
        <w:rPr>
          <w:rFonts w:eastAsia="MS Mincho"/>
          <w:lang w:eastAsia="ja-JP"/>
        </w:rPr>
        <w:t xml:space="preserve">also </w:t>
      </w:r>
      <w:r>
        <w:rPr>
          <w:rFonts w:eastAsia="MS Mincho"/>
          <w:lang w:val="en-NZ" w:eastAsia="ja-JP"/>
        </w:rPr>
        <w:t>to emphasize that</w:t>
      </w:r>
      <w:r w:rsidR="00060B25">
        <w:rPr>
          <w:rFonts w:eastAsia="MS Mincho"/>
          <w:lang w:val="en-NZ" w:eastAsia="ja-JP"/>
        </w:rPr>
        <w:t xml:space="preserve"> </w:t>
      </w:r>
      <w:r w:rsidR="007713F0">
        <w:rPr>
          <w:rFonts w:eastAsia="MS Mincho"/>
          <w:lang w:val="en-NZ" w:eastAsia="ja-JP"/>
        </w:rPr>
        <w:t>t</w:t>
      </w:r>
      <w:r w:rsidR="00B67707" w:rsidRPr="00B67707">
        <w:rPr>
          <w:rFonts w:eastAsia="MS Mincho"/>
          <w:lang w:val="en-NZ" w:eastAsia="ja-JP"/>
        </w:rPr>
        <w:t>he protection of the services to which the frequency band subject to this agenda item is mandatory and shall be dealt with by the Conference.</w:t>
      </w:r>
      <w:r w:rsidR="00D76E50">
        <w:rPr>
          <w:rFonts w:eastAsia="MS Mincho"/>
          <w:lang w:val="en-NZ" w:eastAsia="ja-JP"/>
        </w:rPr>
        <w:t xml:space="preserve"> </w:t>
      </w:r>
      <w:r w:rsidR="00B67707" w:rsidRPr="00B67707">
        <w:rPr>
          <w:rFonts w:eastAsia="MS Mincho"/>
          <w:lang w:val="en-NZ" w:eastAsia="ja-JP"/>
        </w:rPr>
        <w:t>Consequently</w:t>
      </w:r>
      <w:r w:rsidR="00D76E50">
        <w:rPr>
          <w:rFonts w:eastAsia="MS Mincho"/>
          <w:lang w:val="en-NZ" w:eastAsia="ja-JP"/>
        </w:rPr>
        <w:t>,</w:t>
      </w:r>
      <w:r w:rsidR="00B67707" w:rsidRPr="00B67707">
        <w:rPr>
          <w:rFonts w:eastAsia="MS Mincho"/>
          <w:lang w:val="en-NZ" w:eastAsia="ja-JP"/>
        </w:rPr>
        <w:t xml:space="preserve"> this </w:t>
      </w:r>
      <w:r w:rsidR="00095CA5">
        <w:rPr>
          <w:rFonts w:eastAsia="MS Mincho"/>
          <w:lang w:val="en-NZ" w:eastAsia="ja-JP"/>
        </w:rPr>
        <w:t>A</w:t>
      </w:r>
      <w:r w:rsidR="00B67707" w:rsidRPr="00B67707">
        <w:rPr>
          <w:rFonts w:eastAsia="MS Mincho"/>
          <w:lang w:val="en-NZ" w:eastAsia="ja-JP"/>
        </w:rPr>
        <w:t xml:space="preserve">dministration </w:t>
      </w:r>
      <w:r w:rsidR="00D76E50" w:rsidRPr="00B67707">
        <w:rPr>
          <w:rFonts w:eastAsia="MS Mincho"/>
          <w:lang w:val="en-NZ" w:eastAsia="ja-JP"/>
        </w:rPr>
        <w:t>categorically</w:t>
      </w:r>
      <w:r w:rsidR="00B67707" w:rsidRPr="00B67707">
        <w:rPr>
          <w:rFonts w:eastAsia="MS Mincho"/>
          <w:lang w:val="en-NZ" w:eastAsia="ja-JP"/>
        </w:rPr>
        <w:t xml:space="preserve"> rejects</w:t>
      </w:r>
      <w:r w:rsidR="00D76E50">
        <w:rPr>
          <w:rFonts w:eastAsia="MS Mincho"/>
          <w:lang w:val="en-NZ" w:eastAsia="ja-JP"/>
        </w:rPr>
        <w:t xml:space="preserve"> </w:t>
      </w:r>
      <w:r w:rsidR="00B67707" w:rsidRPr="00B67707">
        <w:rPr>
          <w:rFonts w:eastAsia="MS Mincho"/>
          <w:lang w:val="en-NZ" w:eastAsia="ja-JP"/>
        </w:rPr>
        <w:t xml:space="preserve">notion of “No Condition for </w:t>
      </w:r>
      <w:r w:rsidR="00060B25" w:rsidRPr="00B67707">
        <w:rPr>
          <w:rFonts w:eastAsia="MS Mincho"/>
          <w:lang w:val="en-NZ" w:eastAsia="ja-JP"/>
        </w:rPr>
        <w:t>protection</w:t>
      </w:r>
      <w:r w:rsidR="00060B25">
        <w:rPr>
          <w:rFonts w:eastAsia="MS Mincho"/>
          <w:lang w:val="en-NZ" w:eastAsia="ja-JP"/>
        </w:rPr>
        <w:t>”</w:t>
      </w:r>
      <w:r w:rsidR="00B67707" w:rsidRPr="00B67707">
        <w:rPr>
          <w:rFonts w:eastAsia="MS Mincho"/>
          <w:lang w:val="en-NZ" w:eastAsia="ja-JP"/>
        </w:rPr>
        <w:t xml:space="preserve"> or option of “non-mandatory</w:t>
      </w:r>
      <w:r w:rsidR="00060B25">
        <w:rPr>
          <w:rFonts w:eastAsia="MS Mincho"/>
          <w:lang w:val="en-NZ" w:eastAsia="ja-JP"/>
        </w:rPr>
        <w:t>/</w:t>
      </w:r>
      <w:r w:rsidR="00B67707" w:rsidRPr="00B67707">
        <w:rPr>
          <w:rFonts w:eastAsia="MS Mincho"/>
          <w:lang w:val="en-NZ" w:eastAsia="ja-JP"/>
        </w:rPr>
        <w:t>optional” protection of the incumbent services.</w:t>
      </w:r>
      <w:r w:rsidR="00060B25">
        <w:rPr>
          <w:rFonts w:eastAsia="MS Mincho"/>
          <w:lang w:val="en-NZ" w:eastAsia="ja-JP"/>
        </w:rPr>
        <w:t xml:space="preserve"> </w:t>
      </w:r>
      <w:r>
        <w:rPr>
          <w:rFonts w:eastAsia="MS Mincho"/>
          <w:lang w:val="en-NZ" w:eastAsia="ja-JP"/>
        </w:rPr>
        <w:t xml:space="preserve">In addition, it is worth </w:t>
      </w:r>
      <w:r w:rsidR="007713F0">
        <w:rPr>
          <w:rFonts w:eastAsia="MS Mincho"/>
          <w:lang w:val="en-NZ" w:eastAsia="ja-JP"/>
        </w:rPr>
        <w:t>to mention</w:t>
      </w:r>
      <w:r>
        <w:rPr>
          <w:rFonts w:eastAsia="MS Mincho"/>
          <w:lang w:val="en-NZ" w:eastAsia="ja-JP"/>
        </w:rPr>
        <w:t xml:space="preserve"> that</w:t>
      </w:r>
      <w:r w:rsidR="00060B25">
        <w:rPr>
          <w:rFonts w:eastAsia="MS Mincho"/>
          <w:lang w:val="en-NZ" w:eastAsia="ja-JP"/>
        </w:rPr>
        <w:t>:</w:t>
      </w:r>
    </w:p>
    <w:p w:rsidR="00EC79C0" w:rsidRDefault="00944480" w:rsidP="00060B25">
      <w:pPr>
        <w:pStyle w:val="ListParagraph"/>
        <w:numPr>
          <w:ilvl w:val="0"/>
          <w:numId w:val="14"/>
        </w:numPr>
        <w:spacing w:before="120"/>
        <w:ind w:left="709" w:hanging="709"/>
        <w:contextualSpacing w:val="0"/>
        <w:jc w:val="both"/>
        <w:rPr>
          <w:rFonts w:eastAsia="MS Mincho"/>
          <w:lang w:val="en-NZ" w:eastAsia="ja-JP"/>
        </w:rPr>
      </w:pPr>
      <w:r>
        <w:rPr>
          <w:rFonts w:eastAsia="MS Mincho"/>
          <w:lang w:val="en-NZ" w:eastAsia="ja-JP"/>
        </w:rPr>
        <w:t>I</w:t>
      </w:r>
      <w:r w:rsidR="00B67707" w:rsidRPr="00B67707">
        <w:rPr>
          <w:rFonts w:eastAsia="MS Mincho"/>
          <w:lang w:val="en-NZ" w:eastAsia="ja-JP"/>
        </w:rPr>
        <w:t xml:space="preserve">t has been a long agreed practice in ITU that, whenever, there is not adequate criteria </w:t>
      </w:r>
      <w:r w:rsidR="007713F0">
        <w:rPr>
          <w:rFonts w:eastAsia="MS Mincho"/>
          <w:lang w:val="en-NZ" w:eastAsia="ja-JP"/>
        </w:rPr>
        <w:t xml:space="preserve"> or </w:t>
      </w:r>
      <w:r w:rsidR="00060B25">
        <w:rPr>
          <w:rFonts w:eastAsia="MS Mincho"/>
          <w:lang w:val="en-NZ" w:eastAsia="ja-JP"/>
        </w:rPr>
        <w:t xml:space="preserve">uncertainty </w:t>
      </w:r>
      <w:r w:rsidR="00B67707" w:rsidRPr="00B67707">
        <w:rPr>
          <w:rFonts w:eastAsia="MS Mincho"/>
          <w:lang w:val="en-NZ" w:eastAsia="ja-JP"/>
        </w:rPr>
        <w:t xml:space="preserve">to protect </w:t>
      </w:r>
      <w:r w:rsidR="00060B25">
        <w:rPr>
          <w:rFonts w:eastAsia="MS Mincho"/>
          <w:lang w:val="en-NZ" w:eastAsia="ja-JP"/>
        </w:rPr>
        <w:t xml:space="preserve">an </w:t>
      </w:r>
      <w:r w:rsidR="00B67707" w:rsidRPr="00B67707">
        <w:rPr>
          <w:rFonts w:eastAsia="MS Mincho"/>
          <w:lang w:val="en-NZ" w:eastAsia="ja-JP"/>
        </w:rPr>
        <w:t>incumbent service the concept of</w:t>
      </w:r>
      <w:r w:rsidR="00060B25">
        <w:rPr>
          <w:rFonts w:eastAsia="MS Mincho"/>
          <w:lang w:val="en-NZ" w:eastAsia="ja-JP"/>
        </w:rPr>
        <w:t xml:space="preserve"> </w:t>
      </w:r>
      <w:r w:rsidR="00B67707" w:rsidRPr="00B67707">
        <w:rPr>
          <w:rFonts w:eastAsia="MS Mincho"/>
          <w:lang w:val="en-NZ" w:eastAsia="ja-JP"/>
        </w:rPr>
        <w:t>“use of the inc</w:t>
      </w:r>
      <w:r w:rsidR="007713F0">
        <w:rPr>
          <w:rFonts w:eastAsia="MS Mincho"/>
          <w:lang w:val="en-NZ" w:eastAsia="ja-JP"/>
        </w:rPr>
        <w:t>oming</w:t>
      </w:r>
      <w:r w:rsidR="00060B25">
        <w:rPr>
          <w:rFonts w:eastAsia="MS Mincho"/>
          <w:lang w:val="en-NZ" w:eastAsia="ja-JP"/>
        </w:rPr>
        <w:t xml:space="preserve"> </w:t>
      </w:r>
      <w:r w:rsidR="00B67707" w:rsidRPr="00B67707">
        <w:rPr>
          <w:rFonts w:eastAsia="MS Mincho"/>
          <w:lang w:val="en-NZ" w:eastAsia="ja-JP"/>
        </w:rPr>
        <w:t>servi</w:t>
      </w:r>
      <w:r w:rsidR="00060B25">
        <w:rPr>
          <w:rFonts w:eastAsia="MS Mincho"/>
          <w:lang w:val="en-NZ" w:eastAsia="ja-JP"/>
        </w:rPr>
        <w:t>c</w:t>
      </w:r>
      <w:r w:rsidR="00B67707" w:rsidRPr="00B67707">
        <w:rPr>
          <w:rFonts w:eastAsia="MS Mincho"/>
          <w:lang w:val="en-NZ" w:eastAsia="ja-JP"/>
        </w:rPr>
        <w:t>e</w:t>
      </w:r>
      <w:r w:rsidR="007713F0">
        <w:rPr>
          <w:rFonts w:eastAsia="MS Mincho"/>
          <w:lang w:val="en-NZ" w:eastAsia="ja-JP"/>
        </w:rPr>
        <w:t xml:space="preserve"> in the frequency band in question </w:t>
      </w:r>
      <w:r w:rsidR="00B67707" w:rsidRPr="00B67707">
        <w:rPr>
          <w:rFonts w:eastAsia="MS Mincho"/>
          <w:lang w:val="en-NZ" w:eastAsia="ja-JP"/>
        </w:rPr>
        <w:t>is subject to the agreement to be obtained from the concerned administrations</w:t>
      </w:r>
      <w:r w:rsidR="00060B25">
        <w:rPr>
          <w:rFonts w:eastAsia="MS Mincho"/>
          <w:lang w:val="en-NZ" w:eastAsia="ja-JP"/>
        </w:rPr>
        <w:t>”</w:t>
      </w:r>
      <w:r w:rsidR="00B67707" w:rsidRPr="00B67707">
        <w:rPr>
          <w:rFonts w:eastAsia="MS Mincho"/>
          <w:lang w:val="en-NZ" w:eastAsia="ja-JP"/>
        </w:rPr>
        <w:t xml:space="preserve"> or </w:t>
      </w:r>
      <w:r w:rsidR="007713F0">
        <w:rPr>
          <w:rFonts w:eastAsia="MS Mincho"/>
          <w:lang w:val="en-NZ" w:eastAsia="ja-JP"/>
        </w:rPr>
        <w:t xml:space="preserve"> subject  to </w:t>
      </w:r>
      <w:r w:rsidR="00B67707" w:rsidRPr="00B67707">
        <w:rPr>
          <w:rFonts w:eastAsia="MS Mincho"/>
          <w:lang w:val="en-NZ" w:eastAsia="ja-JP"/>
        </w:rPr>
        <w:t xml:space="preserve">application of RR </w:t>
      </w:r>
      <w:r w:rsidR="00060B25">
        <w:rPr>
          <w:rFonts w:eastAsia="MS Mincho"/>
          <w:lang w:val="en-NZ" w:eastAsia="ja-JP"/>
        </w:rPr>
        <w:t xml:space="preserve">No. </w:t>
      </w:r>
      <w:r w:rsidR="00B67707" w:rsidRPr="00B67707">
        <w:rPr>
          <w:rFonts w:eastAsia="MS Mincho"/>
          <w:lang w:val="en-NZ" w:eastAsia="ja-JP"/>
        </w:rPr>
        <w:t>9.21</w:t>
      </w:r>
      <w:r w:rsidR="007713F0">
        <w:rPr>
          <w:rFonts w:eastAsia="MS Mincho"/>
          <w:lang w:val="en-NZ" w:eastAsia="ja-JP"/>
        </w:rPr>
        <w:t>.</w:t>
      </w:r>
    </w:p>
    <w:p w:rsidR="00060B25" w:rsidRDefault="007713F0" w:rsidP="00060B25">
      <w:pPr>
        <w:pStyle w:val="ListParagraph"/>
        <w:numPr>
          <w:ilvl w:val="0"/>
          <w:numId w:val="14"/>
        </w:numPr>
        <w:spacing w:before="120"/>
        <w:ind w:left="709" w:hanging="709"/>
        <w:contextualSpacing w:val="0"/>
        <w:jc w:val="both"/>
        <w:rPr>
          <w:rFonts w:eastAsia="MS Mincho"/>
          <w:lang w:val="en-NZ" w:eastAsia="ja-JP"/>
        </w:rPr>
      </w:pPr>
      <w:r>
        <w:rPr>
          <w:rFonts w:eastAsia="MS Mincho"/>
          <w:lang w:val="en-NZ" w:eastAsia="ja-JP"/>
        </w:rPr>
        <w:t>The protection of incumbent service</w:t>
      </w:r>
      <w:r w:rsidR="00060B25">
        <w:rPr>
          <w:rFonts w:eastAsia="MS Mincho"/>
          <w:lang w:val="en-NZ" w:eastAsia="ja-JP"/>
        </w:rPr>
        <w:t>s</w:t>
      </w:r>
      <w:r>
        <w:rPr>
          <w:rFonts w:eastAsia="MS Mincho"/>
          <w:lang w:val="en-NZ" w:eastAsia="ja-JP"/>
        </w:rPr>
        <w:t xml:space="preserve"> shall be subject to ITU-R Recommendations yet to be prepared and agreed upon due to the fact that </w:t>
      </w:r>
      <w:r w:rsidR="00095CA5">
        <w:rPr>
          <w:rFonts w:eastAsia="MS Mincho"/>
          <w:lang w:val="en-NZ" w:eastAsia="ja-JP"/>
        </w:rPr>
        <w:t>:</w:t>
      </w:r>
    </w:p>
    <w:p w:rsidR="00060B25" w:rsidRPr="00060B25" w:rsidRDefault="007713F0" w:rsidP="00060B25">
      <w:pPr>
        <w:spacing w:before="120"/>
        <w:ind w:left="1418" w:hanging="338"/>
        <w:jc w:val="both"/>
        <w:rPr>
          <w:rFonts w:eastAsia="MS Mincho"/>
          <w:lang w:val="en-NZ" w:eastAsia="ja-JP"/>
        </w:rPr>
      </w:pPr>
      <w:r w:rsidRPr="00060B25">
        <w:rPr>
          <w:rFonts w:eastAsia="MS Mincho"/>
          <w:lang w:val="en-NZ" w:eastAsia="ja-JP"/>
        </w:rPr>
        <w:t>a) ITU-</w:t>
      </w:r>
      <w:r w:rsidR="00060B25" w:rsidRPr="00060B25">
        <w:rPr>
          <w:rFonts w:eastAsia="MS Mincho"/>
          <w:lang w:val="en-NZ" w:eastAsia="ja-JP"/>
        </w:rPr>
        <w:t>R</w:t>
      </w:r>
      <w:r w:rsidRPr="00060B25">
        <w:rPr>
          <w:rFonts w:eastAsia="MS Mincho"/>
          <w:lang w:val="en-NZ" w:eastAsia="ja-JP"/>
        </w:rPr>
        <w:t xml:space="preserve"> Recommendations, unless is incorporated by reference, </w:t>
      </w:r>
      <w:r w:rsidR="004D508A" w:rsidRPr="00060B25">
        <w:rPr>
          <w:rFonts w:eastAsia="MS Mincho"/>
          <w:lang w:val="en-NZ" w:eastAsia="ja-JP"/>
        </w:rPr>
        <w:t xml:space="preserve">have non mandatory nature and </w:t>
      </w:r>
    </w:p>
    <w:p w:rsidR="00EC79C0" w:rsidRDefault="004D508A" w:rsidP="00060B25">
      <w:pPr>
        <w:spacing w:before="120"/>
        <w:ind w:left="1418" w:hanging="338"/>
        <w:jc w:val="both"/>
        <w:rPr>
          <w:rFonts w:eastAsia="MS Mincho"/>
          <w:lang w:val="en-NZ" w:eastAsia="ja-JP"/>
        </w:rPr>
      </w:pPr>
      <w:r>
        <w:rPr>
          <w:rFonts w:eastAsia="MS Mincho"/>
          <w:lang w:val="en-NZ" w:eastAsia="ja-JP"/>
        </w:rPr>
        <w:t>b) ANY SUCH INTENDED ITU-R Recommendation(s)</w:t>
      </w:r>
      <w:r w:rsidR="00060B25">
        <w:rPr>
          <w:rFonts w:eastAsia="MS Mincho"/>
          <w:lang w:val="en-NZ" w:eastAsia="ja-JP"/>
        </w:rPr>
        <w:t xml:space="preserve"> </w:t>
      </w:r>
      <w:r>
        <w:rPr>
          <w:rFonts w:eastAsia="MS Mincho"/>
          <w:lang w:val="en-NZ" w:eastAsia="ja-JP"/>
        </w:rPr>
        <w:t>may never be approved due to the fact that one State Member could object to its adoption</w:t>
      </w:r>
      <w:r w:rsidR="00060B25">
        <w:rPr>
          <w:rFonts w:eastAsia="MS Mincho"/>
          <w:lang w:val="en-NZ" w:eastAsia="ja-JP"/>
        </w:rPr>
        <w:t>.</w:t>
      </w:r>
    </w:p>
    <w:p w:rsidR="009E1892" w:rsidRDefault="009E1892">
      <w:r>
        <w:br w:type="page"/>
      </w:r>
    </w:p>
    <w:p w:rsidR="000A5418" w:rsidRDefault="000A5418" w:rsidP="00CD4978">
      <w:pPr>
        <w:jc w:val="both"/>
      </w:pPr>
      <w:r>
        <w:rPr>
          <w:b/>
        </w:rPr>
        <w:lastRenderedPageBreak/>
        <w:t xml:space="preserve">Agenda Item </w:t>
      </w:r>
      <w:r w:rsidR="00CD4978">
        <w:rPr>
          <w:b/>
        </w:rPr>
        <w:t>1</w:t>
      </w:r>
      <w:r>
        <w:rPr>
          <w:b/>
        </w:rPr>
        <w:t>.</w:t>
      </w:r>
      <w:r w:rsidR="00CD4978">
        <w:rPr>
          <w:b/>
        </w:rPr>
        <w:t>16</w:t>
      </w:r>
      <w:r>
        <w:rPr>
          <w:b/>
        </w:rPr>
        <w:t xml:space="preserve">: </w:t>
      </w:r>
    </w:p>
    <w:p w:rsidR="00CD4978" w:rsidRPr="00710333" w:rsidRDefault="00CD4978" w:rsidP="00CD4978">
      <w:pPr>
        <w:jc w:val="both"/>
        <w:rPr>
          <w:i/>
          <w:lang w:val="en-NZ"/>
        </w:rPr>
      </w:pPr>
      <w:r>
        <w:rPr>
          <w:rFonts w:eastAsia="SimSun"/>
          <w:bCs/>
          <w:i/>
          <w:iCs/>
          <w:lang w:eastAsia="zh-CN"/>
        </w:rPr>
        <w:t>to consider issues related to wireless access systems, including radio local area networks(WAS/RLAN), in the frequency bands between 5 150 MHz and 5 925 MHz, and take the appropriate</w:t>
      </w:r>
      <w:r w:rsidR="000F0B4B">
        <w:rPr>
          <w:rFonts w:eastAsia="SimSun"/>
          <w:bCs/>
          <w:i/>
          <w:iCs/>
          <w:lang w:eastAsia="zh-CN"/>
        </w:rPr>
        <w:t xml:space="preserve"> </w:t>
      </w:r>
      <w:r>
        <w:rPr>
          <w:rFonts w:eastAsia="SimSun"/>
          <w:bCs/>
          <w:i/>
          <w:iCs/>
          <w:lang w:eastAsia="zh-CN"/>
        </w:rPr>
        <w:t>regulatory actions, including additional spectrum allocations to the mobile service, in accordance with</w:t>
      </w:r>
      <w:r w:rsidR="000F0B4B">
        <w:rPr>
          <w:rFonts w:eastAsia="SimSun"/>
          <w:bCs/>
          <w:i/>
          <w:iCs/>
          <w:lang w:eastAsia="zh-CN"/>
        </w:rPr>
        <w:t xml:space="preserve"> </w:t>
      </w:r>
      <w:r>
        <w:rPr>
          <w:rFonts w:eastAsia="SimSun"/>
          <w:bCs/>
          <w:i/>
          <w:iCs/>
          <w:lang w:eastAsia="zh-CN"/>
        </w:rPr>
        <w:t xml:space="preserve">Resolution </w:t>
      </w:r>
      <w:r>
        <w:rPr>
          <w:rFonts w:eastAsia="SimSun"/>
          <w:b/>
          <w:i/>
          <w:iCs/>
          <w:lang w:eastAsia="zh-CN"/>
        </w:rPr>
        <w:t>239 (WRC-15)</w:t>
      </w:r>
      <w:r>
        <w:rPr>
          <w:rFonts w:eastAsia="SimSun" w:hint="eastAsia"/>
          <w:bCs/>
          <w:i/>
          <w:iCs/>
          <w:lang w:eastAsia="zh-CN"/>
        </w:rPr>
        <w:t>.</w:t>
      </w:r>
    </w:p>
    <w:p w:rsidR="000A5418" w:rsidRDefault="000A5418" w:rsidP="000A5418">
      <w:pPr>
        <w:jc w:val="both"/>
      </w:pPr>
    </w:p>
    <w:p w:rsidR="000A5418" w:rsidRPr="00A30FA5" w:rsidRDefault="000A5418" w:rsidP="000A5418">
      <w:pPr>
        <w:spacing w:after="120"/>
        <w:jc w:val="both"/>
        <w:rPr>
          <w:b/>
          <w:lang w:eastAsia="ko-KR"/>
        </w:rPr>
      </w:pPr>
      <w:r w:rsidRPr="00A30FA5">
        <w:rPr>
          <w:rFonts w:hint="eastAsia"/>
          <w:b/>
          <w:lang w:eastAsia="ko-KR"/>
        </w:rPr>
        <w:t>1. Background</w:t>
      </w:r>
    </w:p>
    <w:p w:rsidR="00997002" w:rsidRPr="00265951" w:rsidRDefault="00997002" w:rsidP="00AA1617">
      <w:pPr>
        <w:jc w:val="both"/>
      </w:pPr>
      <w:r w:rsidRPr="00265951">
        <w:t xml:space="preserve">RR No. </w:t>
      </w:r>
      <w:r w:rsidRPr="00265951">
        <w:rPr>
          <w:rStyle w:val="Artref"/>
          <w:b/>
          <w:bCs/>
        </w:rPr>
        <w:t>5.446A</w:t>
      </w:r>
      <w:r w:rsidRPr="00265951">
        <w:t xml:space="preserve"> specifies that the use of the bands 5 150-5 350 MHz and 5 470-5 725 MHz by the stations in the mobile, except aeronautical mobile, service shall be in accordance with Resolution </w:t>
      </w:r>
      <w:r w:rsidRPr="00265951">
        <w:rPr>
          <w:b/>
        </w:rPr>
        <w:t>229 (Rev.WRC-12)</w:t>
      </w:r>
      <w:r w:rsidRPr="00265951">
        <w:t>.</w:t>
      </w:r>
    </w:p>
    <w:p w:rsidR="00997002" w:rsidRPr="00265951" w:rsidRDefault="00997002" w:rsidP="00AA1617">
      <w:pPr>
        <w:jc w:val="both"/>
      </w:pPr>
      <w:r w:rsidRPr="00265951">
        <w:t xml:space="preserve">Since </w:t>
      </w:r>
      <w:r w:rsidRPr="009E1892">
        <w:rPr>
          <w:b/>
          <w:bCs/>
        </w:rPr>
        <w:t>WRC-03</w:t>
      </w:r>
      <w:r w:rsidRPr="00265951">
        <w:t xml:space="preserve">, the demand for mobile broadband applications especially for WAS/RLANs has been growing rapidly. Resolution </w:t>
      </w:r>
      <w:r w:rsidRPr="00265951">
        <w:rPr>
          <w:b/>
        </w:rPr>
        <w:t>239 (WRC-15)</w:t>
      </w:r>
      <w:r w:rsidRPr="00265951">
        <w:t xml:space="preserve"> states “that the results of ITU-R studies indicate that the minimum spectrum need for WAS/RLAN in the 5 GHz frequency range in the year 2018 is estimated at 880 MHz; this figure includes 455-580 MHz already utilized by non-IMT mobile broadband applications operating within the 5 GHz range resulting in 300-425 MHz additional spectrum being required”.</w:t>
      </w:r>
    </w:p>
    <w:p w:rsidR="00997002" w:rsidRPr="00265951" w:rsidRDefault="00997002" w:rsidP="009E1892">
      <w:pPr>
        <w:jc w:val="both"/>
      </w:pPr>
      <w:r w:rsidRPr="00265951">
        <w:t xml:space="preserve">One issue </w:t>
      </w:r>
      <w:r w:rsidRPr="009E1892">
        <w:rPr>
          <w:b/>
          <w:bCs/>
        </w:rPr>
        <w:t>WRC-15</w:t>
      </w:r>
      <w:r w:rsidRPr="00265951">
        <w:t xml:space="preserve"> examined was the possibility of additional global allocations to the mobile service (MS) for terrestrial mobile broadband applications, including in the 5 GHz range, to facilitate contiguous spectrum for WAS/RLAN. This is to enable the use of wider channel bandwidths to support higher data throughput. The studies performed by ITU-R in preparation for </w:t>
      </w:r>
      <w:r w:rsidRPr="009E1892">
        <w:rPr>
          <w:b/>
          <w:bCs/>
        </w:rPr>
        <w:t>WRC-15</w:t>
      </w:r>
      <w:r w:rsidRPr="00265951">
        <w:t xml:space="preserve"> indicated that if the WAS/RLAN mitigation measures were limited to the regulatory provisions of Resolution </w:t>
      </w:r>
      <w:r w:rsidRPr="00265951">
        <w:rPr>
          <w:b/>
          <w:bCs/>
        </w:rPr>
        <w:t>229 (Rev.WRC-12)</w:t>
      </w:r>
      <w:r w:rsidRPr="00265951">
        <w:t xml:space="preserve">, </w:t>
      </w:r>
      <w:r w:rsidRPr="00AA1617">
        <w:t>sharing between WAS/RLAN and the Earth exploration-satellite service (EESS) (active) systems in the frequency band 5 350 to 5 470</w:t>
      </w:r>
      <w:r w:rsidR="009E1892">
        <w:t> </w:t>
      </w:r>
      <w:r w:rsidRPr="00AA1617">
        <w:t>MHz</w:t>
      </w:r>
      <w:r w:rsidRPr="00265951">
        <w:t xml:space="preserve"> may not be feasible, as well as being insufficient to ensure protection of certain radar types in this frequency band. For these cases, sharing may only be feasible if additional WAS/RLAN mitigation measures are implemented. </w:t>
      </w:r>
      <w:r w:rsidRPr="00AA1617">
        <w:t>However, no agreement was reached on the applicability of any additional WAS/RLAN mitigation techniques</w:t>
      </w:r>
      <w:r w:rsidRPr="00265951">
        <w:t xml:space="preserve"> (see section 1/1.1/3.2.11 of the </w:t>
      </w:r>
      <w:hyperlink r:id="rId8" w:history="1">
        <w:r w:rsidRPr="00265951">
          <w:rPr>
            <w:rStyle w:val="Hyperlink"/>
          </w:rPr>
          <w:t xml:space="preserve">Report of the CPM to </w:t>
        </w:r>
        <w:r w:rsidRPr="00143C4A">
          <w:rPr>
            <w:rStyle w:val="Hyperlink"/>
            <w:b/>
            <w:bCs/>
          </w:rPr>
          <w:t>WRC-15</w:t>
        </w:r>
      </w:hyperlink>
      <w:r w:rsidRPr="00265951">
        <w:t>).</w:t>
      </w:r>
    </w:p>
    <w:p w:rsidR="00997002" w:rsidRPr="00265951" w:rsidRDefault="00997002" w:rsidP="00AA1617">
      <w:pPr>
        <w:jc w:val="both"/>
      </w:pPr>
      <w:r w:rsidRPr="00AA1617">
        <w:t>No agreement was reached on the conclusions of the studies for the frequency band 5 725</w:t>
      </w:r>
      <w:r w:rsidRPr="00AA1617">
        <w:noBreakHyphen/>
        <w:t>5 850 MHz</w:t>
      </w:r>
      <w:r w:rsidRPr="00265951">
        <w:t xml:space="preserve"> (see section 1/1.1/3.2.12 of the </w:t>
      </w:r>
      <w:hyperlink r:id="rId9" w:history="1">
        <w:r w:rsidRPr="00265951">
          <w:rPr>
            <w:rStyle w:val="Hyperlink"/>
          </w:rPr>
          <w:t xml:space="preserve">Report of the CPM to </w:t>
        </w:r>
        <w:r w:rsidRPr="00143C4A">
          <w:rPr>
            <w:rStyle w:val="Hyperlink"/>
            <w:b/>
            <w:bCs/>
          </w:rPr>
          <w:t>WRC-15</w:t>
        </w:r>
      </w:hyperlink>
      <w:r w:rsidRPr="00265951">
        <w:t xml:space="preserve">). As such, </w:t>
      </w:r>
      <w:r w:rsidRPr="009E1892">
        <w:rPr>
          <w:b/>
          <w:bCs/>
        </w:rPr>
        <w:t>WRC</w:t>
      </w:r>
      <w:r w:rsidRPr="009E1892">
        <w:rPr>
          <w:b/>
          <w:bCs/>
        </w:rPr>
        <w:noBreakHyphen/>
        <w:t>15</w:t>
      </w:r>
      <w:r w:rsidRPr="00265951">
        <w:t xml:space="preserve"> concluded no change (NOC) for these frequency bands and established a </w:t>
      </w:r>
      <w:r w:rsidRPr="009E1892">
        <w:rPr>
          <w:b/>
          <w:bCs/>
        </w:rPr>
        <w:t>WRC-19</w:t>
      </w:r>
      <w:r w:rsidRPr="00265951">
        <w:t xml:space="preserve"> agenda item to continue the work.</w:t>
      </w:r>
    </w:p>
    <w:p w:rsidR="00997002" w:rsidRPr="00265951" w:rsidRDefault="00997002" w:rsidP="00997002">
      <w:r w:rsidRPr="00265951">
        <w:t xml:space="preserve">Resolution </w:t>
      </w:r>
      <w:r w:rsidRPr="00265951">
        <w:rPr>
          <w:b/>
          <w:bCs/>
        </w:rPr>
        <w:t>239 (WRC</w:t>
      </w:r>
      <w:r w:rsidRPr="00265951">
        <w:rPr>
          <w:b/>
          <w:bCs/>
        </w:rPr>
        <w:noBreakHyphen/>
        <w:t>15)</w:t>
      </w:r>
      <w:r w:rsidRPr="00265951">
        <w:t>, calls for ITU-R to:</w:t>
      </w:r>
    </w:p>
    <w:p w:rsidR="00997002" w:rsidRPr="00265951" w:rsidRDefault="00997002" w:rsidP="00E86844">
      <w:pPr>
        <w:pStyle w:val="enumlev1"/>
        <w:rPr>
          <w:bCs/>
          <w:lang w:val="en-US"/>
        </w:rPr>
      </w:pPr>
      <w:r w:rsidRPr="00265951">
        <w:rPr>
          <w:lang w:val="en-US"/>
        </w:rPr>
        <w:t>–</w:t>
      </w:r>
      <w:r w:rsidRPr="00265951">
        <w:rPr>
          <w:lang w:val="en-US"/>
        </w:rPr>
        <w:tab/>
      </w:r>
      <w:r w:rsidR="00E86844">
        <w:rPr>
          <w:lang w:val="en-US"/>
        </w:rPr>
        <w:t>s</w:t>
      </w:r>
      <w:r w:rsidR="00E86844" w:rsidRPr="00265951">
        <w:rPr>
          <w:lang w:val="en-US"/>
        </w:rPr>
        <w:t>tudy</w:t>
      </w:r>
      <w:r w:rsidR="00E86844">
        <w:rPr>
          <w:rFonts w:eastAsia="Calibri"/>
          <w:lang w:val="en-US"/>
        </w:rPr>
        <w:t xml:space="preserve"> </w:t>
      </w:r>
      <w:r w:rsidRPr="00265951">
        <w:rPr>
          <w:rFonts w:eastAsia="Calibri"/>
          <w:lang w:val="en-US"/>
        </w:rPr>
        <w:t>WAS/RLAN technical characteristics and operational requirements in the 5 GHz frequency range;</w:t>
      </w:r>
    </w:p>
    <w:p w:rsidR="00997002" w:rsidRPr="00265951" w:rsidRDefault="00997002" w:rsidP="00997002">
      <w:pPr>
        <w:pStyle w:val="enumlev1"/>
        <w:rPr>
          <w:bCs/>
          <w:lang w:val="en-US"/>
        </w:rPr>
      </w:pPr>
      <w:r w:rsidRPr="00265951">
        <w:rPr>
          <w:lang w:val="en-US"/>
        </w:rPr>
        <w:t>–</w:t>
      </w:r>
      <w:r w:rsidRPr="00265951">
        <w:rPr>
          <w:lang w:val="en-US"/>
        </w:rPr>
        <w:tab/>
      </w:r>
      <w:r w:rsidRPr="00265951">
        <w:rPr>
          <w:bCs/>
          <w:lang w:val="en-US"/>
        </w:rPr>
        <w:t>perform</w:t>
      </w:r>
      <w:r w:rsidR="000F0B4B">
        <w:rPr>
          <w:lang w:val="en-US"/>
        </w:rPr>
        <w:t xml:space="preserve"> </w:t>
      </w:r>
      <w:r w:rsidRPr="00265951">
        <w:rPr>
          <w:lang w:val="en-US"/>
        </w:rPr>
        <w:t>sharing and compatibility studies</w:t>
      </w:r>
      <w:r w:rsidR="000F0B4B">
        <w:rPr>
          <w:lang w:val="en-US" w:eastAsia="fr-FR"/>
        </w:rPr>
        <w:t xml:space="preserve"> </w:t>
      </w:r>
      <w:r w:rsidRPr="00265951">
        <w:rPr>
          <w:lang w:val="en-US" w:eastAsia="fr-FR"/>
        </w:rPr>
        <w:t xml:space="preserve">between WAS/RLAN applications and incumbent services </w:t>
      </w:r>
      <w:r w:rsidRPr="00265951">
        <w:rPr>
          <w:lang w:val="en-US"/>
        </w:rPr>
        <w:t xml:space="preserve">in the </w:t>
      </w:r>
      <w:r w:rsidRPr="00265951">
        <w:rPr>
          <w:rFonts w:eastAsia="Calibri"/>
          <w:lang w:val="en-US"/>
        </w:rPr>
        <w:t>frequency bands</w:t>
      </w:r>
      <w:r w:rsidRPr="00265951">
        <w:rPr>
          <w:lang w:val="en-US"/>
        </w:rPr>
        <w:t xml:space="preserve"> 5 150-5 350 MHz, 5 350-5 470 MHz, 5 725</w:t>
      </w:r>
      <w:r w:rsidRPr="00265951">
        <w:rPr>
          <w:lang w:val="en-US"/>
        </w:rPr>
        <w:noBreakHyphen/>
        <w:t>5 850 MHz and 5 850-5 925 MHz while ensuring the protection of incumbent services including their current and planned use;</w:t>
      </w:r>
    </w:p>
    <w:p w:rsidR="00997002" w:rsidRPr="00265951" w:rsidRDefault="00997002" w:rsidP="00997002">
      <w:pPr>
        <w:pStyle w:val="enumlev1"/>
        <w:rPr>
          <w:bCs/>
          <w:lang w:val="en-US"/>
        </w:rPr>
      </w:pPr>
      <w:r w:rsidRPr="00265951">
        <w:rPr>
          <w:lang w:val="en-US"/>
        </w:rPr>
        <w:t>–</w:t>
      </w:r>
      <w:r w:rsidRPr="00265951">
        <w:rPr>
          <w:lang w:val="en-US"/>
        </w:rPr>
        <w:tab/>
        <w:t xml:space="preserve">consider enabling </w:t>
      </w:r>
      <w:r w:rsidRPr="00265951">
        <w:rPr>
          <w:bCs/>
          <w:lang w:val="en-US"/>
        </w:rPr>
        <w:t>outdoor WAS/RLAN operations</w:t>
      </w:r>
      <w:r w:rsidRPr="00265951">
        <w:rPr>
          <w:lang w:val="en-US"/>
        </w:rPr>
        <w:t xml:space="preserve"> in the frequency </w:t>
      </w:r>
      <w:r w:rsidRPr="00265951">
        <w:rPr>
          <w:spacing w:val="-2"/>
          <w:lang w:val="en-US"/>
        </w:rPr>
        <w:t xml:space="preserve">band </w:t>
      </w:r>
      <w:r w:rsidRPr="00265951">
        <w:rPr>
          <w:lang w:val="en-US"/>
        </w:rPr>
        <w:t>5 150-5 350 MHz;</w:t>
      </w:r>
    </w:p>
    <w:p w:rsidR="00997002" w:rsidRPr="00265951" w:rsidRDefault="00997002" w:rsidP="00997002">
      <w:pPr>
        <w:pStyle w:val="enumlev1"/>
        <w:rPr>
          <w:bCs/>
          <w:lang w:val="en-US"/>
        </w:rPr>
      </w:pPr>
      <w:r w:rsidRPr="00265951">
        <w:rPr>
          <w:lang w:val="en-US"/>
        </w:rPr>
        <w:t>–</w:t>
      </w:r>
      <w:r w:rsidRPr="00265951">
        <w:rPr>
          <w:lang w:val="en-US"/>
        </w:rPr>
        <w:tab/>
        <w:t>consider potential MS allocations to accommodate WAS/RLAN operations in the 5 350</w:t>
      </w:r>
      <w:r w:rsidRPr="00265951">
        <w:rPr>
          <w:lang w:val="en-US"/>
        </w:rPr>
        <w:noBreakHyphen/>
        <w:t>5 470 MHz and 5 725</w:t>
      </w:r>
      <w:r w:rsidRPr="00265951">
        <w:rPr>
          <w:lang w:val="en-US"/>
        </w:rPr>
        <w:noBreakHyphen/>
        <w:t>5 850 MHz frequency bands; and</w:t>
      </w:r>
    </w:p>
    <w:p w:rsidR="00997002" w:rsidRPr="00265951" w:rsidRDefault="00997002" w:rsidP="00997002">
      <w:pPr>
        <w:pStyle w:val="enumlev1"/>
        <w:rPr>
          <w:bCs/>
          <w:lang w:val="en-US"/>
        </w:rPr>
      </w:pPr>
      <w:r w:rsidRPr="00265951">
        <w:rPr>
          <w:lang w:val="en-US"/>
        </w:rPr>
        <w:t>–</w:t>
      </w:r>
      <w:r w:rsidRPr="00265951">
        <w:rPr>
          <w:lang w:val="en-US"/>
        </w:rPr>
        <w:tab/>
        <w:t>identify potential WAS/RLAN use in 5 850</w:t>
      </w:r>
      <w:r w:rsidRPr="00265951">
        <w:rPr>
          <w:lang w:val="en-US"/>
        </w:rPr>
        <w:noBreakHyphen/>
        <w:t>5 925 MHz frequency band.</w:t>
      </w:r>
    </w:p>
    <w:p w:rsidR="000A5418" w:rsidRDefault="000A5418" w:rsidP="000A5418">
      <w:pPr>
        <w:jc w:val="both"/>
      </w:pPr>
    </w:p>
    <w:p w:rsidR="0064464A" w:rsidRDefault="0064464A" w:rsidP="00E86844">
      <w:pPr>
        <w:jc w:val="both"/>
      </w:pPr>
      <w:r>
        <w:t xml:space="preserve">ITU-R studies of the agenda item </w:t>
      </w:r>
      <w:r w:rsidRPr="009E1892">
        <w:rPr>
          <w:b/>
          <w:bCs/>
        </w:rPr>
        <w:t>1.16</w:t>
      </w:r>
      <w:r w:rsidR="00E86844">
        <w:t xml:space="preserve"> </w:t>
      </w:r>
      <w:r w:rsidR="009E1892">
        <w:t>were</w:t>
      </w:r>
      <w:r>
        <w:t xml:space="preserve"> completed and results </w:t>
      </w:r>
      <w:r w:rsidR="009E1892">
        <w:t xml:space="preserve">were </w:t>
      </w:r>
      <w:r>
        <w:t xml:space="preserve">summarized in draft CPM19-2 Report. Studies show that no consensus achieved in case of frequency band </w:t>
      </w:r>
      <w:r w:rsidRPr="005365B0">
        <w:rPr>
          <w:lang w:val="en-GB"/>
        </w:rPr>
        <w:t>5 150-5</w:t>
      </w:r>
      <w:r w:rsidR="009E1892">
        <w:rPr>
          <w:lang w:val="en-GB"/>
        </w:rPr>
        <w:t> </w:t>
      </w:r>
      <w:r w:rsidRPr="005365B0">
        <w:rPr>
          <w:lang w:val="en-GB"/>
        </w:rPr>
        <w:t>250</w:t>
      </w:r>
      <w:r w:rsidR="009E1892">
        <w:rPr>
          <w:lang w:val="en-GB"/>
        </w:rPr>
        <w:t> </w:t>
      </w:r>
      <w:r>
        <w:rPr>
          <w:lang w:val="en-GB"/>
        </w:rPr>
        <w:t>MHz.</w:t>
      </w:r>
      <w:r w:rsidR="00E86844">
        <w:rPr>
          <w:lang w:val="en-GB"/>
        </w:rPr>
        <w:t xml:space="preserve"> </w:t>
      </w:r>
      <w:r>
        <w:t>I</w:t>
      </w:r>
      <w:r w:rsidRPr="00265951">
        <w:t xml:space="preserve">t was confirmed that </w:t>
      </w:r>
      <w:r w:rsidRPr="0064464A">
        <w:t>the current WAS/RLAN operating conditions in the 5</w:t>
      </w:r>
      <w:r w:rsidR="009E1892">
        <w:t> </w:t>
      </w:r>
      <w:r w:rsidRPr="0064464A">
        <w:t>250</w:t>
      </w:r>
      <w:r w:rsidRPr="0064464A">
        <w:noBreakHyphen/>
        <w:t>5</w:t>
      </w:r>
      <w:r w:rsidR="009E1892">
        <w:t> </w:t>
      </w:r>
      <w:r w:rsidRPr="0064464A">
        <w:t>350MHz frequency band are sufficient for the operating needs of WAS/RLAN users</w:t>
      </w:r>
      <w:r>
        <w:t xml:space="preserve">. For the frequency band </w:t>
      </w:r>
      <w:r w:rsidRPr="005365B0">
        <w:rPr>
          <w:lang w:val="en-GB"/>
        </w:rPr>
        <w:t>5</w:t>
      </w:r>
      <w:r w:rsidR="009E1892">
        <w:rPr>
          <w:lang w:val="en-GB"/>
        </w:rPr>
        <w:t> </w:t>
      </w:r>
      <w:r w:rsidRPr="005365B0">
        <w:rPr>
          <w:lang w:val="en-GB"/>
        </w:rPr>
        <w:t>350-5</w:t>
      </w:r>
      <w:r w:rsidR="009E1892">
        <w:rPr>
          <w:lang w:val="en-GB"/>
        </w:rPr>
        <w:t> </w:t>
      </w:r>
      <w:r w:rsidRPr="005365B0">
        <w:rPr>
          <w:lang w:val="en-GB"/>
        </w:rPr>
        <w:t>470</w:t>
      </w:r>
      <w:r w:rsidR="009E1892">
        <w:rPr>
          <w:lang w:val="en-GB"/>
        </w:rPr>
        <w:t> </w:t>
      </w:r>
      <w:r>
        <w:rPr>
          <w:lang w:val="en-GB"/>
        </w:rPr>
        <w:t>MHz</w:t>
      </w:r>
      <w:r w:rsidR="00E86844">
        <w:rPr>
          <w:lang w:val="en-GB"/>
        </w:rPr>
        <w:t>,</w:t>
      </w:r>
      <w:r>
        <w:rPr>
          <w:lang w:val="en-GB"/>
        </w:rPr>
        <w:t xml:space="preserve"> it was concluded </w:t>
      </w:r>
      <w:r w:rsidRPr="0064464A">
        <w:rPr>
          <w:lang w:eastAsia="ja-JP"/>
        </w:rPr>
        <w:t xml:space="preserve">that there are no feasible mitigation </w:t>
      </w:r>
      <w:r w:rsidRPr="0064464A">
        <w:rPr>
          <w:lang w:eastAsia="ja-JP"/>
        </w:rPr>
        <w:lastRenderedPageBreak/>
        <w:t xml:space="preserve">techniques to facilitate sharing </w:t>
      </w:r>
      <w:r>
        <w:rPr>
          <w:lang w:eastAsia="ja-JP"/>
        </w:rPr>
        <w:t xml:space="preserve">of this frequency band by </w:t>
      </w:r>
      <w:r w:rsidRPr="0064464A">
        <w:rPr>
          <w:lang w:eastAsia="ja-JP"/>
        </w:rPr>
        <w:t xml:space="preserve">RLAN </w:t>
      </w:r>
      <w:r>
        <w:rPr>
          <w:lang w:eastAsia="ja-JP"/>
        </w:rPr>
        <w:t xml:space="preserve">with </w:t>
      </w:r>
      <w:r w:rsidRPr="0064464A">
        <w:rPr>
          <w:lang w:eastAsia="ja-JP"/>
        </w:rPr>
        <w:t xml:space="preserve">EESS (active) </w:t>
      </w:r>
      <w:r>
        <w:rPr>
          <w:lang w:eastAsia="ja-JP"/>
        </w:rPr>
        <w:t xml:space="preserve">and different radar systems. Therefore </w:t>
      </w:r>
      <w:r>
        <w:t xml:space="preserve">the frequency band </w:t>
      </w:r>
      <w:r w:rsidRPr="005365B0">
        <w:rPr>
          <w:lang w:val="en-GB"/>
        </w:rPr>
        <w:t>5</w:t>
      </w:r>
      <w:r w:rsidR="009E1892">
        <w:rPr>
          <w:lang w:val="en-GB"/>
        </w:rPr>
        <w:t> </w:t>
      </w:r>
      <w:r w:rsidRPr="005365B0">
        <w:rPr>
          <w:lang w:val="en-GB"/>
        </w:rPr>
        <w:t>350-5</w:t>
      </w:r>
      <w:r w:rsidR="009E1892">
        <w:rPr>
          <w:lang w:val="en-GB"/>
        </w:rPr>
        <w:t> </w:t>
      </w:r>
      <w:r w:rsidRPr="005365B0">
        <w:rPr>
          <w:lang w:val="en-GB"/>
        </w:rPr>
        <w:t>470</w:t>
      </w:r>
      <w:r w:rsidR="009E1892">
        <w:rPr>
          <w:lang w:val="en-GB"/>
        </w:rPr>
        <w:t> </w:t>
      </w:r>
      <w:r>
        <w:rPr>
          <w:lang w:val="en-GB"/>
        </w:rPr>
        <w:t>MHz would not be allocated to MS.</w:t>
      </w:r>
      <w:r w:rsidR="00AD7B73">
        <w:rPr>
          <w:lang w:val="en-GB"/>
        </w:rPr>
        <w:t xml:space="preserve"> The </w:t>
      </w:r>
      <w:r w:rsidR="005C7F47">
        <w:rPr>
          <w:lang w:val="en-GB"/>
        </w:rPr>
        <w:t>insufficiency situation o</w:t>
      </w:r>
      <w:r w:rsidR="005C7F47" w:rsidRPr="005C7F47">
        <w:rPr>
          <w:lang w:val="en-GB"/>
        </w:rPr>
        <w:t>f</w:t>
      </w:r>
      <w:r w:rsidR="000D0D4B" w:rsidRPr="005C7F47">
        <w:t xml:space="preserve"> current DFS techniques</w:t>
      </w:r>
      <w:r w:rsidR="00E86844">
        <w:t xml:space="preserve"> </w:t>
      </w:r>
      <w:r w:rsidR="005C7F47" w:rsidRPr="005C7F47">
        <w:rPr>
          <w:lang w:val="en-GB"/>
        </w:rPr>
        <w:t xml:space="preserve">and </w:t>
      </w:r>
      <w:r w:rsidR="00AD7B73" w:rsidRPr="005C7F47">
        <w:rPr>
          <w:lang w:val="en-GB"/>
        </w:rPr>
        <w:t>result of conducted studies is not in favour of new MS allocation in the frequency band 5</w:t>
      </w:r>
      <w:r w:rsidR="009E1892">
        <w:rPr>
          <w:lang w:val="en-GB"/>
        </w:rPr>
        <w:t> </w:t>
      </w:r>
      <w:r w:rsidR="00AD7B73" w:rsidRPr="005C7F47">
        <w:rPr>
          <w:lang w:val="en-GB"/>
        </w:rPr>
        <w:t>725-</w:t>
      </w:r>
      <w:r w:rsidR="00AD7B73" w:rsidRPr="005365B0">
        <w:rPr>
          <w:lang w:val="en-GB"/>
        </w:rPr>
        <w:t>5</w:t>
      </w:r>
      <w:r w:rsidR="009E1892">
        <w:rPr>
          <w:lang w:val="en-GB"/>
        </w:rPr>
        <w:t> </w:t>
      </w:r>
      <w:r w:rsidR="00AD7B73" w:rsidRPr="005365B0">
        <w:rPr>
          <w:lang w:val="en-GB"/>
        </w:rPr>
        <w:t>850</w:t>
      </w:r>
      <w:r w:rsidR="009E1892">
        <w:rPr>
          <w:lang w:val="en-GB"/>
        </w:rPr>
        <w:t> </w:t>
      </w:r>
      <w:r w:rsidR="00AD7B73">
        <w:rPr>
          <w:lang w:val="en-GB"/>
        </w:rPr>
        <w:t>MHz.</w:t>
      </w:r>
      <w:r w:rsidR="00E86844">
        <w:rPr>
          <w:lang w:val="en-GB"/>
        </w:rPr>
        <w:t xml:space="preserve"> Finally</w:t>
      </w:r>
      <w:r w:rsidR="00ED39B1" w:rsidRPr="00ED39B1">
        <w:t>, Based upon the results of studies for the band 5</w:t>
      </w:r>
      <w:r w:rsidR="009E1892">
        <w:t> </w:t>
      </w:r>
      <w:r w:rsidR="00ED39B1" w:rsidRPr="00ED39B1">
        <w:t>850-5925</w:t>
      </w:r>
      <w:r w:rsidR="009E1892">
        <w:t> </w:t>
      </w:r>
      <w:r w:rsidR="00ED39B1" w:rsidRPr="00ED39B1">
        <w:t>MHz, conclusions could not be reached.</w:t>
      </w:r>
    </w:p>
    <w:p w:rsidR="0064464A" w:rsidRDefault="0064464A" w:rsidP="0064464A">
      <w:pPr>
        <w:jc w:val="both"/>
      </w:pPr>
    </w:p>
    <w:p w:rsidR="00D73CC4" w:rsidRDefault="00D73CC4" w:rsidP="00D73CC4">
      <w:pPr>
        <w:jc w:val="both"/>
      </w:pPr>
      <w:r>
        <w:t xml:space="preserve">Based on the compatibility and sharing scenarios that are summarized within </w:t>
      </w:r>
      <w:r w:rsidR="0064464A">
        <w:t xml:space="preserve">draft </w:t>
      </w:r>
      <w:r>
        <w:t>CPM19-2 Report following Methods</w:t>
      </w:r>
      <w:r w:rsidR="000F0B4B">
        <w:t xml:space="preserve"> </w:t>
      </w:r>
      <w:r>
        <w:t xml:space="preserve">outlined </w:t>
      </w:r>
      <w:r w:rsidRPr="00265951">
        <w:t>to satisfy the agenda item</w:t>
      </w:r>
      <w:r w:rsidRPr="009E1892">
        <w:rPr>
          <w:b/>
          <w:bCs/>
        </w:rPr>
        <w:t>1.16</w:t>
      </w:r>
      <w:r>
        <w:t>:</w:t>
      </w:r>
    </w:p>
    <w:p w:rsidR="00D73CC4" w:rsidRDefault="00D73CC4" w:rsidP="000A5418">
      <w:pPr>
        <w:jc w:val="both"/>
      </w:pPr>
    </w:p>
    <w:tbl>
      <w:tblPr>
        <w:tblW w:w="89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8"/>
        <w:gridCol w:w="7172"/>
      </w:tblGrid>
      <w:tr w:rsidR="005365B0" w:rsidRPr="005365B0" w:rsidTr="00D63DAB">
        <w:trPr>
          <w:trHeight w:val="532"/>
          <w:jc w:val="center"/>
        </w:trPr>
        <w:tc>
          <w:tcPr>
            <w:tcW w:w="1778" w:type="dxa"/>
            <w:hideMark/>
          </w:tcPr>
          <w:p w:rsidR="005365B0" w:rsidRPr="005365B0" w:rsidRDefault="005365B0" w:rsidP="00D63DAB">
            <w:pPr>
              <w:spacing w:before="40" w:after="40"/>
              <w:jc w:val="center"/>
            </w:pPr>
            <w:r w:rsidRPr="00D63DAB">
              <w:rPr>
                <w:lang w:val="en-GB"/>
              </w:rPr>
              <w:t xml:space="preserve">Frequency band </w:t>
            </w:r>
            <w:r w:rsidRPr="00D63DAB">
              <w:rPr>
                <w:lang w:val="en-GB"/>
              </w:rPr>
              <w:br/>
              <w:t>(MHz)</w:t>
            </w:r>
          </w:p>
        </w:tc>
        <w:tc>
          <w:tcPr>
            <w:tcW w:w="7172" w:type="dxa"/>
            <w:hideMark/>
          </w:tcPr>
          <w:p w:rsidR="005365B0" w:rsidRPr="005365B0" w:rsidRDefault="005365B0" w:rsidP="00D63DAB">
            <w:pPr>
              <w:spacing w:before="40" w:after="40"/>
              <w:jc w:val="center"/>
            </w:pPr>
            <w:r w:rsidRPr="00D63DAB">
              <w:rPr>
                <w:lang w:val="en-GB"/>
              </w:rPr>
              <w:t>Methods</w:t>
            </w:r>
          </w:p>
        </w:tc>
      </w:tr>
      <w:tr w:rsidR="005365B0" w:rsidRPr="005365B0" w:rsidTr="00D63DAB">
        <w:trPr>
          <w:trHeight w:val="532"/>
          <w:jc w:val="center"/>
        </w:trPr>
        <w:tc>
          <w:tcPr>
            <w:tcW w:w="1778" w:type="dxa"/>
            <w:hideMark/>
          </w:tcPr>
          <w:p w:rsidR="005365B0" w:rsidRPr="005365B0" w:rsidRDefault="005365B0" w:rsidP="00D63DAB">
            <w:pPr>
              <w:spacing w:before="40" w:after="40"/>
              <w:jc w:val="both"/>
            </w:pPr>
            <w:r w:rsidRPr="00D63DAB">
              <w:rPr>
                <w:lang w:val="en-GB"/>
              </w:rPr>
              <w:t>A: 5 150-5 250</w:t>
            </w:r>
          </w:p>
        </w:tc>
        <w:tc>
          <w:tcPr>
            <w:tcW w:w="7172" w:type="dxa"/>
            <w:hideMark/>
          </w:tcPr>
          <w:p w:rsidR="005365B0" w:rsidRDefault="005365B0" w:rsidP="00D63DAB">
            <w:pPr>
              <w:spacing w:before="40" w:after="40"/>
            </w:pPr>
            <w:r w:rsidRPr="00D63DAB">
              <w:rPr>
                <w:lang w:val="en-GB"/>
              </w:rPr>
              <w:t>A1: N</w:t>
            </w:r>
            <w:r w:rsidR="00B74049" w:rsidRPr="00D63DAB">
              <w:rPr>
                <w:lang w:val="en-GB"/>
              </w:rPr>
              <w:t>O</w:t>
            </w:r>
            <w:r w:rsidRPr="00D63DAB">
              <w:rPr>
                <w:lang w:val="en-GB"/>
              </w:rPr>
              <w:t>C</w:t>
            </w:r>
            <w:r>
              <w:t>to the Radio Regulations</w:t>
            </w:r>
          </w:p>
          <w:p w:rsidR="005365B0" w:rsidRDefault="005365B0" w:rsidP="00D63DAB">
            <w:pPr>
              <w:spacing w:before="40" w:after="40"/>
            </w:pPr>
            <w:r w:rsidRPr="005365B0">
              <w:t>A2: Rev</w:t>
            </w:r>
            <w:r w:rsidR="009B6262">
              <w:t>ision of</w:t>
            </w:r>
            <w:r w:rsidRPr="005365B0">
              <w:t xml:space="preserve"> Res</w:t>
            </w:r>
            <w:r w:rsidR="009B6262">
              <w:t>olution</w:t>
            </w:r>
            <w:r w:rsidRPr="005365B0">
              <w:t xml:space="preserve"> 229, outdoor RLAN</w:t>
            </w:r>
          </w:p>
          <w:p w:rsidR="005365B0" w:rsidRDefault="005365B0" w:rsidP="00D63DAB">
            <w:pPr>
              <w:spacing w:before="40" w:after="40"/>
            </w:pPr>
            <w:r w:rsidRPr="005365B0">
              <w:t xml:space="preserve">A3: </w:t>
            </w:r>
            <w:r w:rsidR="009B6262" w:rsidRPr="005365B0">
              <w:t>Rev</w:t>
            </w:r>
            <w:r w:rsidR="009B6262">
              <w:t>ision of</w:t>
            </w:r>
            <w:r w:rsidR="009B6262" w:rsidRPr="005365B0">
              <w:t xml:space="preserve"> Res</w:t>
            </w:r>
            <w:r w:rsidR="009B6262">
              <w:t>olution</w:t>
            </w:r>
            <w:r w:rsidRPr="005365B0">
              <w:t xml:space="preserve"> 229, outdoor RLAN, same as for 5250-5350</w:t>
            </w:r>
          </w:p>
          <w:p w:rsidR="005365B0" w:rsidRPr="005365B0" w:rsidRDefault="005365B0" w:rsidP="00D63DAB">
            <w:pPr>
              <w:spacing w:before="40" w:after="40"/>
            </w:pPr>
            <w:r w:rsidRPr="005365B0">
              <w:t xml:space="preserve">A4: </w:t>
            </w:r>
            <w:r w:rsidR="009B6262" w:rsidRPr="005365B0">
              <w:t>Rev</w:t>
            </w:r>
            <w:r w:rsidR="009B6262">
              <w:t>ision of</w:t>
            </w:r>
            <w:r w:rsidR="009B6262" w:rsidRPr="005365B0">
              <w:t xml:space="preserve"> Res</w:t>
            </w:r>
            <w:r w:rsidR="009B6262">
              <w:t>olution 229</w:t>
            </w:r>
            <w:r w:rsidRPr="005365B0">
              <w:t>, in-vehicle RLAN</w:t>
            </w:r>
          </w:p>
        </w:tc>
      </w:tr>
      <w:tr w:rsidR="005365B0" w:rsidRPr="005365B0" w:rsidTr="00D63DAB">
        <w:trPr>
          <w:trHeight w:val="272"/>
          <w:jc w:val="center"/>
        </w:trPr>
        <w:tc>
          <w:tcPr>
            <w:tcW w:w="1778" w:type="dxa"/>
            <w:hideMark/>
          </w:tcPr>
          <w:p w:rsidR="005365B0" w:rsidRPr="005365B0" w:rsidRDefault="005365B0" w:rsidP="00D63DAB">
            <w:pPr>
              <w:spacing w:before="40" w:after="40"/>
              <w:jc w:val="both"/>
            </w:pPr>
            <w:r w:rsidRPr="00D63DAB">
              <w:rPr>
                <w:lang w:val="en-GB"/>
              </w:rPr>
              <w:t>B: 5 250 -5 350</w:t>
            </w:r>
          </w:p>
        </w:tc>
        <w:tc>
          <w:tcPr>
            <w:tcW w:w="7172" w:type="dxa"/>
            <w:hideMark/>
          </w:tcPr>
          <w:p w:rsidR="005365B0" w:rsidRPr="005365B0" w:rsidRDefault="005365B0" w:rsidP="00D63DAB">
            <w:pPr>
              <w:spacing w:before="40" w:after="40"/>
            </w:pPr>
            <w:r w:rsidRPr="00D63DAB">
              <w:rPr>
                <w:lang w:val="en-GB"/>
              </w:rPr>
              <w:t>B: N</w:t>
            </w:r>
            <w:r w:rsidR="00B74049" w:rsidRPr="00D63DAB">
              <w:rPr>
                <w:lang w:val="en-GB"/>
              </w:rPr>
              <w:t>O</w:t>
            </w:r>
            <w:r w:rsidRPr="00D63DAB">
              <w:rPr>
                <w:lang w:val="en-GB"/>
              </w:rPr>
              <w:t>C</w:t>
            </w:r>
            <w:r>
              <w:t xml:space="preserve"> to the Radio Regulations</w:t>
            </w:r>
          </w:p>
        </w:tc>
      </w:tr>
      <w:tr w:rsidR="005365B0" w:rsidRPr="005365B0" w:rsidTr="00D63DAB">
        <w:trPr>
          <w:trHeight w:val="60"/>
          <w:jc w:val="center"/>
        </w:trPr>
        <w:tc>
          <w:tcPr>
            <w:tcW w:w="1778" w:type="dxa"/>
            <w:hideMark/>
          </w:tcPr>
          <w:p w:rsidR="005365B0" w:rsidRPr="005365B0" w:rsidRDefault="005365B0" w:rsidP="00D63DAB">
            <w:pPr>
              <w:spacing w:before="40" w:after="40"/>
              <w:jc w:val="both"/>
            </w:pPr>
            <w:r w:rsidRPr="00D63DAB">
              <w:rPr>
                <w:lang w:val="en-GB"/>
              </w:rPr>
              <w:t>C: 5 350-5 470</w:t>
            </w:r>
          </w:p>
        </w:tc>
        <w:tc>
          <w:tcPr>
            <w:tcW w:w="7172" w:type="dxa"/>
            <w:hideMark/>
          </w:tcPr>
          <w:p w:rsidR="005365B0" w:rsidRPr="005365B0" w:rsidRDefault="00B74049" w:rsidP="00D63DAB">
            <w:pPr>
              <w:spacing w:before="40" w:after="40"/>
            </w:pPr>
            <w:r w:rsidRPr="00D63DAB">
              <w:rPr>
                <w:lang w:val="en-GB"/>
              </w:rPr>
              <w:t>C: NO</w:t>
            </w:r>
            <w:r w:rsidR="005365B0" w:rsidRPr="00D63DAB">
              <w:rPr>
                <w:lang w:val="en-GB"/>
              </w:rPr>
              <w:t>C</w:t>
            </w:r>
            <w:r w:rsidR="005365B0">
              <w:t xml:space="preserve"> to the Radio Regulations</w:t>
            </w:r>
          </w:p>
        </w:tc>
      </w:tr>
      <w:tr w:rsidR="005365B0" w:rsidRPr="005365B0" w:rsidTr="00D63DAB">
        <w:trPr>
          <w:trHeight w:val="272"/>
          <w:jc w:val="center"/>
        </w:trPr>
        <w:tc>
          <w:tcPr>
            <w:tcW w:w="1778" w:type="dxa"/>
            <w:hideMark/>
          </w:tcPr>
          <w:p w:rsidR="005365B0" w:rsidRPr="005365B0" w:rsidRDefault="005365B0" w:rsidP="00D63DAB">
            <w:pPr>
              <w:spacing w:before="40" w:after="40"/>
              <w:jc w:val="both"/>
            </w:pPr>
            <w:r w:rsidRPr="00D63DAB">
              <w:rPr>
                <w:lang w:val="en-GB"/>
              </w:rPr>
              <w:t>D: 5 725-5 850</w:t>
            </w:r>
          </w:p>
        </w:tc>
        <w:tc>
          <w:tcPr>
            <w:tcW w:w="7172" w:type="dxa"/>
            <w:hideMark/>
          </w:tcPr>
          <w:p w:rsidR="005365B0" w:rsidRPr="00D63DAB" w:rsidRDefault="00B74049" w:rsidP="00D63DAB">
            <w:pPr>
              <w:spacing w:before="40" w:after="40"/>
              <w:rPr>
                <w:lang w:val="en-GB"/>
              </w:rPr>
            </w:pPr>
            <w:r w:rsidRPr="00D63DAB">
              <w:rPr>
                <w:lang w:val="en-GB"/>
              </w:rPr>
              <w:t>D1: NO</w:t>
            </w:r>
            <w:r w:rsidR="005365B0" w:rsidRPr="00D63DAB">
              <w:rPr>
                <w:lang w:val="en-GB"/>
              </w:rPr>
              <w:t>C</w:t>
            </w:r>
            <w:r w:rsidR="005365B0">
              <w:t xml:space="preserve"> to the Radio Regulations</w:t>
            </w:r>
          </w:p>
          <w:p w:rsidR="005365B0" w:rsidRDefault="005365B0" w:rsidP="00D63DAB">
            <w:pPr>
              <w:spacing w:before="40" w:after="40"/>
            </w:pPr>
            <w:r w:rsidRPr="005365B0">
              <w:t>D2: Allocate for Indoor only</w:t>
            </w:r>
          </w:p>
          <w:p w:rsidR="005365B0" w:rsidRPr="005365B0" w:rsidRDefault="005365B0" w:rsidP="00D63DAB">
            <w:pPr>
              <w:spacing w:before="40" w:after="40"/>
            </w:pPr>
            <w:r w:rsidRPr="005365B0">
              <w:t>D3: Allocation by footnote</w:t>
            </w:r>
          </w:p>
        </w:tc>
      </w:tr>
      <w:tr w:rsidR="005365B0" w:rsidRPr="005365B0" w:rsidTr="00D63DAB">
        <w:trPr>
          <w:trHeight w:val="280"/>
          <w:jc w:val="center"/>
        </w:trPr>
        <w:tc>
          <w:tcPr>
            <w:tcW w:w="1778" w:type="dxa"/>
            <w:hideMark/>
          </w:tcPr>
          <w:p w:rsidR="005365B0" w:rsidRPr="005365B0" w:rsidRDefault="005365B0" w:rsidP="00D63DAB">
            <w:pPr>
              <w:spacing w:before="40" w:after="40"/>
              <w:jc w:val="both"/>
            </w:pPr>
            <w:r w:rsidRPr="00D63DAB">
              <w:rPr>
                <w:lang w:val="en-GB"/>
              </w:rPr>
              <w:t>E: 5 850-5 925</w:t>
            </w:r>
          </w:p>
        </w:tc>
        <w:tc>
          <w:tcPr>
            <w:tcW w:w="7172" w:type="dxa"/>
            <w:hideMark/>
          </w:tcPr>
          <w:p w:rsidR="005365B0" w:rsidRPr="005365B0" w:rsidRDefault="005365B0" w:rsidP="00D63DAB">
            <w:pPr>
              <w:spacing w:before="40" w:after="40"/>
            </w:pPr>
            <w:r w:rsidRPr="00D63DAB">
              <w:rPr>
                <w:lang w:val="en-GB"/>
              </w:rPr>
              <w:t>E1: N</w:t>
            </w:r>
            <w:r w:rsidR="00B74049" w:rsidRPr="00D63DAB">
              <w:rPr>
                <w:lang w:val="en-GB"/>
              </w:rPr>
              <w:t>O</w:t>
            </w:r>
            <w:r w:rsidRPr="00D63DAB">
              <w:rPr>
                <w:lang w:val="en-GB"/>
              </w:rPr>
              <w:t>C</w:t>
            </w:r>
            <w:r>
              <w:t xml:space="preserve"> to the Radio Regulations</w:t>
            </w:r>
          </w:p>
        </w:tc>
      </w:tr>
    </w:tbl>
    <w:p w:rsidR="00D73CC4" w:rsidRDefault="00D73CC4" w:rsidP="000A5418">
      <w:pPr>
        <w:jc w:val="both"/>
      </w:pPr>
    </w:p>
    <w:p w:rsidR="00D73CC4" w:rsidRDefault="00D73CC4" w:rsidP="000A5418">
      <w:pPr>
        <w:jc w:val="both"/>
      </w:pPr>
    </w:p>
    <w:p w:rsidR="000A5418" w:rsidRPr="000A5418" w:rsidRDefault="000A5418" w:rsidP="00B74049">
      <w:pPr>
        <w:spacing w:after="120"/>
        <w:jc w:val="both"/>
        <w:rPr>
          <w:b/>
        </w:rPr>
      </w:pPr>
      <w:r w:rsidRPr="000A5418">
        <w:rPr>
          <w:b/>
        </w:rPr>
        <w:t>2. Preliminary Views</w:t>
      </w:r>
      <w:r w:rsidR="00AA1617">
        <w:rPr>
          <w:b/>
        </w:rPr>
        <w:t xml:space="preserve"> of I.R. of Iran</w:t>
      </w:r>
    </w:p>
    <w:p w:rsidR="00AA1617" w:rsidRDefault="00410407" w:rsidP="000F0B4B">
      <w:pPr>
        <w:jc w:val="both"/>
        <w:rPr>
          <w:b/>
          <w:lang w:val="en-NZ"/>
        </w:rPr>
      </w:pPr>
      <w:r>
        <w:rPr>
          <w:lang w:val="en-NZ"/>
        </w:rPr>
        <w:t>This</w:t>
      </w:r>
      <w:r w:rsidR="000F0B4B">
        <w:rPr>
          <w:lang w:val="en-NZ"/>
        </w:rPr>
        <w:t xml:space="preserve"> </w:t>
      </w:r>
      <w:r>
        <w:rPr>
          <w:lang w:val="en-NZ"/>
        </w:rPr>
        <w:t>Administration</w:t>
      </w:r>
      <w:r w:rsidR="000F0B4B">
        <w:rPr>
          <w:lang w:val="en-NZ"/>
        </w:rPr>
        <w:t xml:space="preserve"> </w:t>
      </w:r>
      <w:r w:rsidR="00AA1617" w:rsidRPr="0009345B">
        <w:rPr>
          <w:lang w:val="en-NZ"/>
        </w:rPr>
        <w:t>support</w:t>
      </w:r>
      <w:r w:rsidR="000F0B4B">
        <w:rPr>
          <w:lang w:val="en-NZ"/>
        </w:rPr>
        <w:t xml:space="preserve"> </w:t>
      </w:r>
      <w:r>
        <w:rPr>
          <w:lang w:val="en-NZ"/>
        </w:rPr>
        <w:t xml:space="preserve">conducted </w:t>
      </w:r>
      <w:r w:rsidR="00AA1617" w:rsidRPr="0009345B">
        <w:rPr>
          <w:lang w:val="en-NZ"/>
        </w:rPr>
        <w:t xml:space="preserve">studies in ITU-R in accordance with Resolution </w:t>
      </w:r>
      <w:r w:rsidR="00AA1617" w:rsidRPr="00442832">
        <w:rPr>
          <w:b/>
          <w:lang w:val="en-NZ"/>
        </w:rPr>
        <w:t>239 (WRC-15).</w:t>
      </w:r>
    </w:p>
    <w:p w:rsidR="00410407" w:rsidRDefault="00410407" w:rsidP="00B74049">
      <w:pPr>
        <w:jc w:val="both"/>
        <w:rPr>
          <w:lang w:val="en-NZ"/>
        </w:rPr>
      </w:pPr>
    </w:p>
    <w:p w:rsidR="00AA1617" w:rsidRDefault="00410407" w:rsidP="00E86844">
      <w:pPr>
        <w:jc w:val="both"/>
      </w:pPr>
      <w:r>
        <w:rPr>
          <w:lang w:val="en-NZ"/>
        </w:rPr>
        <w:t xml:space="preserve">This </w:t>
      </w:r>
      <w:r w:rsidR="00E86844">
        <w:rPr>
          <w:lang w:val="en-NZ"/>
        </w:rPr>
        <w:t>A</w:t>
      </w:r>
      <w:r>
        <w:rPr>
          <w:lang w:val="en-NZ"/>
        </w:rPr>
        <w:t>dministration</w:t>
      </w:r>
      <w:r w:rsidR="000F0B4B">
        <w:rPr>
          <w:lang w:val="en-NZ"/>
        </w:rPr>
        <w:t xml:space="preserve"> </w:t>
      </w:r>
      <w:r>
        <w:rPr>
          <w:lang w:val="en-NZ"/>
        </w:rPr>
        <w:t xml:space="preserve">is </w:t>
      </w:r>
      <w:r w:rsidR="00AA1617">
        <w:rPr>
          <w:lang w:val="en-NZ"/>
        </w:rPr>
        <w:t xml:space="preserve">of the view that </w:t>
      </w:r>
      <w:r w:rsidR="00AA1617" w:rsidRPr="0009345B">
        <w:rPr>
          <w:lang w:val="en-NZ"/>
        </w:rPr>
        <w:t>the protection of incumbent services including their current and planned use</w:t>
      </w:r>
      <w:r w:rsidR="000F0B4B">
        <w:rPr>
          <w:lang w:val="en-NZ"/>
        </w:rPr>
        <w:t xml:space="preserve"> </w:t>
      </w:r>
      <w:r w:rsidR="00AA1617" w:rsidRPr="0009345B">
        <w:rPr>
          <w:lang w:val="en-NZ"/>
        </w:rPr>
        <w:t>in the frequency bands 5 150-5 350 MHz, 5 350-5 470 MHz, 5 725-5 850 MHz and 5 850-5 925 MHz</w:t>
      </w:r>
      <w:r w:rsidR="00060B25">
        <w:rPr>
          <w:lang w:val="en-NZ"/>
        </w:rPr>
        <w:t xml:space="preserve"> </w:t>
      </w:r>
      <w:r w:rsidR="009A0E98">
        <w:rPr>
          <w:lang w:val="en-NZ"/>
        </w:rPr>
        <w:t xml:space="preserve">needs </w:t>
      </w:r>
      <w:r w:rsidR="00AA1617">
        <w:rPr>
          <w:lang w:val="en-NZ"/>
        </w:rPr>
        <w:t>be ensured</w:t>
      </w:r>
      <w:r w:rsidR="00060B25">
        <w:rPr>
          <w:lang w:val="en-NZ"/>
        </w:rPr>
        <w:t>.</w:t>
      </w:r>
      <w:r w:rsidR="00AA1617">
        <w:rPr>
          <w:lang w:val="en-NZ"/>
        </w:rPr>
        <w:t xml:space="preserve"> </w:t>
      </w:r>
      <w:r>
        <w:t>However, s</w:t>
      </w:r>
      <w:r w:rsidRPr="00265951">
        <w:t xml:space="preserve">ince the 5 250-5 350 </w:t>
      </w:r>
      <w:r w:rsidR="009E1892">
        <w:t xml:space="preserve">MHz </w:t>
      </w:r>
      <w:r w:rsidRPr="00265951">
        <w:t>frequency band is adjacent to the 5</w:t>
      </w:r>
      <w:r w:rsidR="009E1892">
        <w:t> </w:t>
      </w:r>
      <w:r w:rsidRPr="00265951">
        <w:t>150-5 250</w:t>
      </w:r>
      <w:r w:rsidR="00B74049">
        <w:t> </w:t>
      </w:r>
      <w:r w:rsidRPr="00265951">
        <w:t>MHz frequency band</w:t>
      </w:r>
      <w:r>
        <w:t xml:space="preserve"> and discrimination between indoor and outdoor RLAN application</w:t>
      </w:r>
      <w:r w:rsidR="009E1892">
        <w:t>s</w:t>
      </w:r>
      <w:r w:rsidR="000F0B4B">
        <w:t xml:space="preserve"> </w:t>
      </w:r>
      <w:r w:rsidR="00B74049">
        <w:t xml:space="preserve">in real world </w:t>
      </w:r>
      <w:r>
        <w:t>is always mixed with ambiguity</w:t>
      </w:r>
      <w:r w:rsidRPr="00265951">
        <w:t xml:space="preserve">, </w:t>
      </w:r>
      <w:r>
        <w:rPr>
          <w:rFonts w:eastAsia="MS Mincho"/>
          <w:lang w:val="en-GB" w:eastAsia="ja-JP"/>
        </w:rPr>
        <w:t>t</w:t>
      </w:r>
      <w:r w:rsidRPr="00653941">
        <w:rPr>
          <w:rFonts w:eastAsia="MS Mincho"/>
          <w:lang w:val="en-GB" w:eastAsia="ja-JP"/>
        </w:rPr>
        <w:t xml:space="preserve">his </w:t>
      </w:r>
      <w:r w:rsidR="00E86844">
        <w:rPr>
          <w:rFonts w:eastAsia="MS Mincho"/>
          <w:lang w:val="en-GB" w:eastAsia="ja-JP"/>
        </w:rPr>
        <w:t>A</w:t>
      </w:r>
      <w:r w:rsidRPr="00653941">
        <w:rPr>
          <w:rFonts w:eastAsia="MS Mincho"/>
          <w:lang w:val="en-GB" w:eastAsia="ja-JP"/>
        </w:rPr>
        <w:t>dministration</w:t>
      </w:r>
      <w:r>
        <w:rPr>
          <w:rFonts w:eastAsia="MS Mincho"/>
          <w:lang w:val="en-GB" w:eastAsia="ja-JP"/>
        </w:rPr>
        <w:t xml:space="preserve"> is</w:t>
      </w:r>
      <w:r>
        <w:rPr>
          <w:lang w:val="en-NZ"/>
        </w:rPr>
        <w:t xml:space="preserve"> of the view that</w:t>
      </w:r>
      <w:r w:rsidRPr="00265951">
        <w:t xml:space="preserve"> the conditions of these sub-bands </w:t>
      </w:r>
      <w:r w:rsidR="009A0E98">
        <w:t xml:space="preserve">fully be as such that full protection of incumbent services should also to be ensured </w:t>
      </w:r>
    </w:p>
    <w:p w:rsidR="00B74049" w:rsidRPr="00E3747B" w:rsidRDefault="00B74049" w:rsidP="00B74049">
      <w:pPr>
        <w:jc w:val="both"/>
        <w:rPr>
          <w:lang w:val="en-NZ"/>
        </w:rPr>
      </w:pPr>
    </w:p>
    <w:p w:rsidR="00AA1617" w:rsidRPr="000B4978" w:rsidRDefault="00AA1617" w:rsidP="00E86844">
      <w:pPr>
        <w:jc w:val="both"/>
        <w:rPr>
          <w:lang w:val="en-NZ"/>
        </w:rPr>
      </w:pPr>
      <w:r>
        <w:rPr>
          <w:lang w:val="en-NZ"/>
        </w:rPr>
        <w:t>I</w:t>
      </w:r>
      <w:r w:rsidRPr="00373DB5">
        <w:rPr>
          <w:lang w:val="en-NZ"/>
        </w:rPr>
        <w:t xml:space="preserve">n the </w:t>
      </w:r>
      <w:r>
        <w:rPr>
          <w:lang w:val="en-NZ"/>
        </w:rPr>
        <w:t>frequency band</w:t>
      </w:r>
      <w:r w:rsidRPr="00373DB5">
        <w:rPr>
          <w:lang w:val="en-NZ"/>
        </w:rPr>
        <w:t xml:space="preserve"> 5</w:t>
      </w:r>
      <w:r w:rsidR="009E1892">
        <w:rPr>
          <w:lang w:val="en-NZ"/>
        </w:rPr>
        <w:t> </w:t>
      </w:r>
      <w:r w:rsidRPr="00373DB5">
        <w:rPr>
          <w:lang w:val="en-NZ"/>
        </w:rPr>
        <w:t>350-5</w:t>
      </w:r>
      <w:r w:rsidR="009E1892">
        <w:rPr>
          <w:lang w:val="en-NZ"/>
        </w:rPr>
        <w:t> </w:t>
      </w:r>
      <w:r w:rsidRPr="00373DB5">
        <w:rPr>
          <w:lang w:val="en-NZ"/>
        </w:rPr>
        <w:t>470</w:t>
      </w:r>
      <w:r w:rsidR="009E1892">
        <w:rPr>
          <w:lang w:val="en-NZ"/>
        </w:rPr>
        <w:t> </w:t>
      </w:r>
      <w:r w:rsidRPr="00373DB5">
        <w:rPr>
          <w:lang w:val="en-NZ"/>
        </w:rPr>
        <w:t>MHz</w:t>
      </w:r>
      <w:r>
        <w:rPr>
          <w:lang w:val="en-NZ"/>
        </w:rPr>
        <w:t>,</w:t>
      </w:r>
      <w:r w:rsidR="00E86844">
        <w:rPr>
          <w:lang w:val="en-GB"/>
        </w:rPr>
        <w:t xml:space="preserve"> </w:t>
      </w:r>
      <w:r w:rsidR="00410407" w:rsidRPr="005365B0">
        <w:rPr>
          <w:lang w:val="en-GB"/>
        </w:rPr>
        <w:t>5</w:t>
      </w:r>
      <w:r w:rsidR="009E1892">
        <w:rPr>
          <w:lang w:val="en-GB"/>
        </w:rPr>
        <w:t> </w:t>
      </w:r>
      <w:r w:rsidR="00410407" w:rsidRPr="005365B0">
        <w:rPr>
          <w:lang w:val="en-GB"/>
        </w:rPr>
        <w:t>725-5</w:t>
      </w:r>
      <w:r w:rsidR="009E1892">
        <w:rPr>
          <w:lang w:val="en-GB"/>
        </w:rPr>
        <w:t> </w:t>
      </w:r>
      <w:r w:rsidR="00410407" w:rsidRPr="005365B0">
        <w:rPr>
          <w:lang w:val="en-GB"/>
        </w:rPr>
        <w:t>850</w:t>
      </w:r>
      <w:r w:rsidR="009E1892">
        <w:t> </w:t>
      </w:r>
      <w:r w:rsidR="00410407">
        <w:rPr>
          <w:lang w:val="en-GB"/>
        </w:rPr>
        <w:t xml:space="preserve">MHz and </w:t>
      </w:r>
      <w:r w:rsidR="00410407" w:rsidRPr="005365B0">
        <w:rPr>
          <w:lang w:val="en-GB"/>
        </w:rPr>
        <w:t>5</w:t>
      </w:r>
      <w:r w:rsidR="009E1892">
        <w:rPr>
          <w:lang w:val="en-GB"/>
        </w:rPr>
        <w:t> </w:t>
      </w:r>
      <w:r w:rsidR="00410407" w:rsidRPr="005365B0">
        <w:rPr>
          <w:lang w:val="en-GB"/>
        </w:rPr>
        <w:t>850-5</w:t>
      </w:r>
      <w:r w:rsidR="00B74049">
        <w:rPr>
          <w:lang w:val="en-GB"/>
        </w:rPr>
        <w:t> </w:t>
      </w:r>
      <w:r w:rsidR="00410407" w:rsidRPr="005365B0">
        <w:rPr>
          <w:lang w:val="en-GB"/>
        </w:rPr>
        <w:t>925</w:t>
      </w:r>
      <w:r w:rsidR="00B74049">
        <w:rPr>
          <w:lang w:val="en-GB"/>
        </w:rPr>
        <w:t> </w:t>
      </w:r>
      <w:r w:rsidR="00410407">
        <w:rPr>
          <w:lang w:val="en-GB"/>
        </w:rPr>
        <w:t>MHz</w:t>
      </w:r>
      <w:r w:rsidR="00B74049">
        <w:rPr>
          <w:lang w:val="en-GB"/>
        </w:rPr>
        <w:t>,</w:t>
      </w:r>
      <w:r w:rsidR="00E86844">
        <w:rPr>
          <w:lang w:val="en-NZ"/>
        </w:rPr>
        <w:t xml:space="preserve"> </w:t>
      </w:r>
      <w:r w:rsidR="00410407">
        <w:rPr>
          <w:lang w:val="en-NZ"/>
        </w:rPr>
        <w:t xml:space="preserve">this </w:t>
      </w:r>
      <w:r w:rsidR="00E86844">
        <w:rPr>
          <w:lang w:val="en-NZ"/>
        </w:rPr>
        <w:t>A</w:t>
      </w:r>
      <w:r w:rsidR="00410407">
        <w:rPr>
          <w:lang w:val="en-NZ"/>
        </w:rPr>
        <w:t>dministration</w:t>
      </w:r>
      <w:r w:rsidRPr="00373DB5">
        <w:rPr>
          <w:lang w:val="en-NZ"/>
        </w:rPr>
        <w:t xml:space="preserve"> support NOC to the Radio Regulations for the use of WAS/RLAN to protect incumbent services.</w:t>
      </w:r>
    </w:p>
    <w:p w:rsidR="00D1252E" w:rsidRDefault="00D1252E" w:rsidP="00466D0F"/>
    <w:p w:rsidR="00466D0F" w:rsidRDefault="00466D0F" w:rsidP="009A4A6D">
      <w:pPr>
        <w:jc w:val="center"/>
      </w:pPr>
    </w:p>
    <w:p w:rsidR="009E1892" w:rsidRDefault="009E1892">
      <w:pPr>
        <w:rPr>
          <w:b/>
        </w:rPr>
      </w:pPr>
      <w:r>
        <w:rPr>
          <w:b/>
        </w:rPr>
        <w:br w:type="page"/>
      </w:r>
    </w:p>
    <w:p w:rsidR="006121E9" w:rsidRDefault="000A5418" w:rsidP="006121E9">
      <w:pPr>
        <w:rPr>
          <w:b/>
        </w:rPr>
      </w:pPr>
      <w:r>
        <w:rPr>
          <w:b/>
        </w:rPr>
        <w:lastRenderedPageBreak/>
        <w:t xml:space="preserve">Agenda Item </w:t>
      </w:r>
      <w:r w:rsidR="006121E9">
        <w:rPr>
          <w:b/>
        </w:rPr>
        <w:t xml:space="preserve">9   </w:t>
      </w:r>
      <w:r w:rsidR="006121E9" w:rsidRPr="00696487">
        <w:rPr>
          <w:i/>
          <w:iCs/>
          <w:color w:val="000000"/>
          <w:kern w:val="24"/>
          <w:lang w:val="en-GB"/>
        </w:rPr>
        <w:t xml:space="preserve">to consider and approve the Report of the Director of the Radiocommunication Bureau, in accordance with </w:t>
      </w:r>
      <w:r w:rsidR="006121E9" w:rsidRPr="00696487">
        <w:rPr>
          <w:b/>
          <w:bCs/>
          <w:i/>
          <w:iCs/>
          <w:color w:val="000000"/>
          <w:kern w:val="24"/>
          <w:lang w:val="en-GB"/>
        </w:rPr>
        <w:t>Article 7</w:t>
      </w:r>
      <w:r w:rsidR="006121E9" w:rsidRPr="00696487">
        <w:rPr>
          <w:i/>
          <w:iCs/>
          <w:color w:val="000000"/>
          <w:kern w:val="24"/>
          <w:lang w:val="en-GB"/>
        </w:rPr>
        <w:t xml:space="preserve"> of the Convention:</w:t>
      </w:r>
    </w:p>
    <w:p w:rsidR="006121E9" w:rsidRDefault="006121E9" w:rsidP="006121E9">
      <w:pPr>
        <w:spacing w:after="120"/>
        <w:jc w:val="both"/>
        <w:rPr>
          <w:i/>
          <w:iCs/>
          <w:color w:val="000000"/>
          <w:kern w:val="24"/>
          <w:lang w:val="en-GB"/>
        </w:rPr>
      </w:pPr>
      <w:r>
        <w:rPr>
          <w:b/>
        </w:rPr>
        <w:t xml:space="preserve">9.1.    </w:t>
      </w:r>
      <w:r w:rsidRPr="00696487">
        <w:rPr>
          <w:i/>
          <w:iCs/>
          <w:color w:val="000000"/>
          <w:kern w:val="24"/>
          <w:lang w:val="en-GB"/>
        </w:rPr>
        <w:t xml:space="preserve">on the activities of the Radiocommunication Sector since </w:t>
      </w:r>
      <w:r w:rsidRPr="00143C4A">
        <w:rPr>
          <w:b/>
          <w:bCs/>
          <w:i/>
          <w:iCs/>
          <w:color w:val="000000"/>
          <w:kern w:val="24"/>
          <w:lang w:val="en-GB"/>
        </w:rPr>
        <w:t>WRC-15</w:t>
      </w:r>
      <w:r w:rsidRPr="00696487">
        <w:rPr>
          <w:i/>
          <w:iCs/>
          <w:color w:val="000000"/>
          <w:kern w:val="24"/>
          <w:lang w:val="en-GB"/>
        </w:rPr>
        <w:t>;</w:t>
      </w:r>
    </w:p>
    <w:p w:rsidR="006121E9" w:rsidRPr="00696487" w:rsidRDefault="006121E9" w:rsidP="006121E9">
      <w:pPr>
        <w:pStyle w:val="NormalWeb"/>
        <w:overflowPunct w:val="0"/>
        <w:spacing w:before="0" w:beforeAutospacing="0" w:after="0" w:afterAutospacing="0"/>
      </w:pPr>
      <w:r w:rsidRPr="00696487">
        <w:rPr>
          <w:rFonts w:eastAsia="Calibri"/>
          <w:b/>
          <w:bCs/>
          <w:color w:val="000000"/>
          <w:kern w:val="24"/>
          <w:lang w:val="en-GB"/>
        </w:rPr>
        <w:t>Issue 9.1.1:</w:t>
      </w:r>
      <w:r w:rsidRPr="00696487">
        <w:rPr>
          <w:b/>
          <w:bCs/>
          <w:color w:val="000000"/>
          <w:kern w:val="24"/>
          <w:lang w:val="en-GB"/>
        </w:rPr>
        <w:tab/>
      </w:r>
      <w:r w:rsidRPr="006666A6">
        <w:rPr>
          <w:b/>
          <w:bCs/>
          <w:kern w:val="24"/>
          <w:lang w:val="en-GB"/>
        </w:rPr>
        <w:t>Resolution 212</w:t>
      </w:r>
      <w:r w:rsidRPr="00696487">
        <w:rPr>
          <w:b/>
          <w:bCs/>
          <w:color w:val="000000"/>
          <w:kern w:val="24"/>
          <w:lang w:val="en-GB"/>
        </w:rPr>
        <w:t xml:space="preserve"> (Rev.WRC-15)</w:t>
      </w:r>
    </w:p>
    <w:p w:rsidR="006121E9" w:rsidRPr="00696487" w:rsidRDefault="006121E9" w:rsidP="006121E9">
      <w:pPr>
        <w:spacing w:after="240"/>
        <w:rPr>
          <w:i/>
          <w:iCs/>
          <w:color w:val="000000"/>
          <w:kern w:val="24"/>
          <w:lang w:val="en-GB"/>
        </w:rPr>
      </w:pPr>
      <w:r w:rsidRPr="00696487">
        <w:rPr>
          <w:i/>
          <w:iCs/>
          <w:color w:val="000000"/>
          <w:kern w:val="24"/>
          <w:lang w:val="en-GB"/>
        </w:rPr>
        <w:t>Implementation of International Mobile Telecommunications in the frequency bands 1885-2025 MHz and 2110 -2200 MHz</w:t>
      </w:r>
    </w:p>
    <w:p w:rsidR="000A5418" w:rsidRPr="00A30FA5" w:rsidRDefault="000A5418" w:rsidP="000A5418">
      <w:pPr>
        <w:spacing w:after="120"/>
        <w:jc w:val="both"/>
        <w:rPr>
          <w:b/>
          <w:lang w:eastAsia="ko-KR"/>
        </w:rPr>
      </w:pPr>
      <w:r w:rsidRPr="00A30FA5">
        <w:rPr>
          <w:rFonts w:hint="eastAsia"/>
          <w:b/>
          <w:lang w:eastAsia="ko-KR"/>
        </w:rPr>
        <w:t>1. Background</w:t>
      </w:r>
    </w:p>
    <w:p w:rsidR="00336400" w:rsidRPr="00E774F3" w:rsidRDefault="00336400" w:rsidP="009E1892">
      <w:pPr>
        <w:spacing w:before="60"/>
        <w:jc w:val="both"/>
        <w:rPr>
          <w:noProof/>
          <w:lang w:eastAsia="de-DE"/>
        </w:rPr>
      </w:pPr>
      <w:r w:rsidRPr="00696487">
        <w:rPr>
          <w:rFonts w:eastAsia="Times New Roman"/>
          <w:noProof/>
          <w:lang w:eastAsia="ja-JP"/>
        </w:rPr>
        <w:t xml:space="preserve">Resolution </w:t>
      </w:r>
      <w:r w:rsidRPr="00696487">
        <w:rPr>
          <w:b/>
          <w:noProof/>
          <w:lang w:eastAsia="ko-KR"/>
        </w:rPr>
        <w:t>212</w:t>
      </w:r>
      <w:r w:rsidR="009E1892">
        <w:rPr>
          <w:b/>
          <w:noProof/>
          <w:lang w:eastAsia="ko-KR"/>
        </w:rPr>
        <w:t> </w:t>
      </w:r>
      <w:r w:rsidRPr="00696487">
        <w:rPr>
          <w:b/>
          <w:noProof/>
          <w:lang w:eastAsia="ko-KR"/>
        </w:rPr>
        <w:t>(Rev.WRC-15)</w:t>
      </w:r>
      <w:r w:rsidRPr="00696487">
        <w:rPr>
          <w:rFonts w:eastAsia="Times New Roman"/>
          <w:noProof/>
          <w:lang w:eastAsia="ja-JP"/>
        </w:rPr>
        <w:t xml:space="preserve"> invite</w:t>
      </w:r>
      <w:r w:rsidRPr="00696487">
        <w:rPr>
          <w:noProof/>
          <w:lang w:eastAsia="ko-KR"/>
        </w:rPr>
        <w:t>s</w:t>
      </w:r>
      <w:r w:rsidRPr="00696487">
        <w:rPr>
          <w:rFonts w:eastAsia="Times New Roman"/>
          <w:noProof/>
          <w:lang w:eastAsia="ja-JP"/>
        </w:rPr>
        <w:t xml:space="preserve"> ITU-R to study </w:t>
      </w:r>
      <w:r w:rsidRPr="00696487">
        <w:rPr>
          <w:noProof/>
          <w:lang w:eastAsia="de-DE"/>
        </w:rPr>
        <w:t xml:space="preserve">possible technical and operational measures to ensure coexistence and compatibility between the terrestrial component of IMT (in the mobile service) and the satellite component of IMT (in the </w:t>
      </w:r>
      <w:r>
        <w:rPr>
          <w:noProof/>
          <w:lang w:eastAsia="de-DE"/>
        </w:rPr>
        <w:t xml:space="preserve">mobile service and the </w:t>
      </w:r>
      <w:r w:rsidRPr="00696487">
        <w:rPr>
          <w:noProof/>
          <w:lang w:eastAsia="de-DE"/>
        </w:rPr>
        <w:t>mobile-satellite service) in the frequency bands 1</w:t>
      </w:r>
      <w:r>
        <w:rPr>
          <w:noProof/>
          <w:lang w:eastAsia="de-DE"/>
        </w:rPr>
        <w:t> </w:t>
      </w:r>
      <w:r w:rsidRPr="00696487">
        <w:rPr>
          <w:noProof/>
          <w:lang w:eastAsia="de-DE"/>
        </w:rPr>
        <w:t>980</w:t>
      </w:r>
      <w:r>
        <w:rPr>
          <w:noProof/>
          <w:lang w:eastAsia="de-DE"/>
        </w:rPr>
        <w:t>–</w:t>
      </w:r>
      <w:r w:rsidRPr="00696487">
        <w:rPr>
          <w:noProof/>
          <w:lang w:eastAsia="de-DE"/>
        </w:rPr>
        <w:t>2</w:t>
      </w:r>
      <w:r>
        <w:rPr>
          <w:noProof/>
          <w:lang w:eastAsia="de-DE"/>
        </w:rPr>
        <w:t> </w:t>
      </w:r>
      <w:r w:rsidRPr="00696487">
        <w:rPr>
          <w:noProof/>
          <w:lang w:eastAsia="de-DE"/>
        </w:rPr>
        <w:t>010</w:t>
      </w:r>
      <w:r>
        <w:rPr>
          <w:noProof/>
          <w:lang w:eastAsia="de-DE"/>
        </w:rPr>
        <w:t> </w:t>
      </w:r>
      <w:r w:rsidRPr="00696487">
        <w:rPr>
          <w:noProof/>
          <w:lang w:eastAsia="de-DE"/>
        </w:rPr>
        <w:t>MHz and 2</w:t>
      </w:r>
      <w:r>
        <w:rPr>
          <w:noProof/>
          <w:lang w:eastAsia="de-DE"/>
        </w:rPr>
        <w:t> </w:t>
      </w:r>
      <w:r w:rsidRPr="00696487">
        <w:rPr>
          <w:noProof/>
          <w:lang w:eastAsia="de-DE"/>
        </w:rPr>
        <w:t>170</w:t>
      </w:r>
      <w:r>
        <w:rPr>
          <w:noProof/>
          <w:lang w:eastAsia="de-DE"/>
        </w:rPr>
        <w:t>–</w:t>
      </w:r>
      <w:r w:rsidRPr="00696487">
        <w:rPr>
          <w:noProof/>
          <w:lang w:eastAsia="de-DE"/>
        </w:rPr>
        <w:t>2</w:t>
      </w:r>
      <w:r>
        <w:rPr>
          <w:noProof/>
          <w:lang w:eastAsia="de-DE"/>
        </w:rPr>
        <w:t> </w:t>
      </w:r>
      <w:r w:rsidRPr="00696487">
        <w:rPr>
          <w:noProof/>
          <w:lang w:eastAsia="de-DE"/>
        </w:rPr>
        <w:t>200</w:t>
      </w:r>
      <w:r>
        <w:rPr>
          <w:noProof/>
          <w:lang w:eastAsia="de-DE"/>
        </w:rPr>
        <w:t> </w:t>
      </w:r>
      <w:r w:rsidRPr="00696487">
        <w:rPr>
          <w:noProof/>
          <w:lang w:eastAsia="de-DE"/>
        </w:rPr>
        <w:t xml:space="preserve">MHz where those frequency bands are shared by the mobile service and the mobile-satellite service in different countries, in particular for the deployment of independent satellite and terrestrial components of IMT </w:t>
      </w:r>
      <w:r w:rsidRPr="00696487">
        <w:rPr>
          <w:lang w:eastAsia="ko-KR"/>
        </w:rPr>
        <w:t>and</w:t>
      </w:r>
      <w:r w:rsidRPr="00696487">
        <w:rPr>
          <w:noProof/>
          <w:lang w:eastAsia="de-DE"/>
        </w:rPr>
        <w:t xml:space="preserve"> to facilitate development of both the satellite and terrestrial components of IMT</w:t>
      </w:r>
      <w:r w:rsidRPr="00696487">
        <w:rPr>
          <w:noProof/>
          <w:lang w:eastAsia="ko-KR"/>
        </w:rPr>
        <w:t>.</w:t>
      </w:r>
    </w:p>
    <w:p w:rsidR="00336400" w:rsidRPr="00265951" w:rsidRDefault="00336400" w:rsidP="00336400">
      <w:pPr>
        <w:spacing w:before="60"/>
        <w:jc w:val="both"/>
        <w:rPr>
          <w:lang w:eastAsia="ja-JP"/>
        </w:rPr>
      </w:pPr>
      <w:r>
        <w:t>T</w:t>
      </w:r>
      <w:r w:rsidRPr="00265951">
        <w:rPr>
          <w:lang w:eastAsia="zh-CN"/>
        </w:rPr>
        <w:t>he technical and operational studies were conducted by the ITU-R</w:t>
      </w:r>
      <w:r>
        <w:rPr>
          <w:lang w:eastAsia="zh-CN"/>
        </w:rPr>
        <w:t xml:space="preserve"> and concluded results were summarized in draft CPM19-2 Report</w:t>
      </w:r>
      <w:r w:rsidRPr="00265951">
        <w:rPr>
          <w:lang w:eastAsia="zh-CN"/>
        </w:rPr>
        <w:t>.</w:t>
      </w:r>
      <w:r w:rsidR="00E86844">
        <w:rPr>
          <w:lang w:eastAsia="zh-CN"/>
        </w:rPr>
        <w:t xml:space="preserve"> </w:t>
      </w:r>
      <w:r w:rsidRPr="00265951">
        <w:rPr>
          <w:lang w:eastAsia="zh-CN"/>
        </w:rPr>
        <w:t xml:space="preserve">The studies considered the issue of </w:t>
      </w:r>
      <w:r w:rsidRPr="00265951">
        <w:t xml:space="preserve">coexistence and compatibility of terrestrial (composed of base station(s) (BS(s)) and user equipment (UE) and later on referred to as IMT BS(s) and IMT UE(s)) and satellite (composed of MSS space stations and mobile earth station(s) (MES(s)) and later on referred to as IMT space station(s) and IMT MES(s)) components of IMT </w:t>
      </w:r>
      <w:r w:rsidRPr="00265951">
        <w:rPr>
          <w:lang w:eastAsia="ja-JP"/>
        </w:rPr>
        <w:t xml:space="preserve">in </w:t>
      </w:r>
      <w:r w:rsidR="00E86844" w:rsidRPr="00265951">
        <w:rPr>
          <w:lang w:eastAsia="ja-JP"/>
        </w:rPr>
        <w:t>neighboring</w:t>
      </w:r>
      <w:r w:rsidRPr="00265951">
        <w:rPr>
          <w:lang w:eastAsia="ja-JP"/>
        </w:rPr>
        <w:t xml:space="preserve"> countries/different concerned countries/adjacent geographical areas across different countries for four </w:t>
      </w:r>
      <w:r w:rsidRPr="00336400">
        <w:t>interference</w:t>
      </w:r>
      <w:r w:rsidRPr="00265951">
        <w:rPr>
          <w:lang w:eastAsia="ja-JP"/>
        </w:rPr>
        <w:t xml:space="preserve"> scenarios, and concluded as follows:</w:t>
      </w:r>
    </w:p>
    <w:p w:rsidR="00336400" w:rsidRPr="00265951" w:rsidRDefault="00336400" w:rsidP="009E1892">
      <w:pPr>
        <w:pStyle w:val="enumlev1"/>
        <w:tabs>
          <w:tab w:val="clear" w:pos="1134"/>
        </w:tabs>
        <w:ind w:left="426" w:hanging="426"/>
        <w:rPr>
          <w:lang w:val="en-US" w:eastAsia="zh-CN"/>
        </w:rPr>
      </w:pPr>
      <w:r w:rsidRPr="00265951">
        <w:rPr>
          <w:lang w:val="en-US"/>
        </w:rPr>
        <w:t>–</w:t>
      </w:r>
      <w:r w:rsidRPr="00265951">
        <w:rPr>
          <w:lang w:val="en-US"/>
        </w:rPr>
        <w:tab/>
      </w:r>
      <w:r w:rsidRPr="009E1892">
        <w:rPr>
          <w:b/>
          <w:bCs/>
          <w:lang w:val="en-US"/>
        </w:rPr>
        <w:t>For Scenario A1</w:t>
      </w:r>
      <w:r w:rsidRPr="00265951">
        <w:rPr>
          <w:lang w:val="en-US"/>
        </w:rPr>
        <w:t xml:space="preserve">, </w:t>
      </w:r>
      <w:r w:rsidRPr="00265951">
        <w:rPr>
          <w:lang w:val="en-US" w:eastAsia="ja-JP"/>
        </w:rPr>
        <w:t>in the 1</w:t>
      </w:r>
      <w:r w:rsidR="009E1892">
        <w:rPr>
          <w:lang w:val="en-US" w:eastAsia="ja-JP"/>
        </w:rPr>
        <w:t> </w:t>
      </w:r>
      <w:r w:rsidRPr="00265951">
        <w:rPr>
          <w:lang w:val="en-US" w:eastAsia="ja-JP"/>
        </w:rPr>
        <w:t>980-2 010 MHz frequency band, i</w:t>
      </w:r>
      <w:r w:rsidRPr="00265951">
        <w:rPr>
          <w:lang w:val="en-US" w:eastAsia="zh-CN"/>
        </w:rPr>
        <w:t xml:space="preserve">t was observed that </w:t>
      </w:r>
      <w:r w:rsidRPr="00265951">
        <w:rPr>
          <w:lang w:val="en-US"/>
        </w:rPr>
        <w:t>the level of potential interference from IMT BS into IMT space stations is high, while the level of potential interference from IMT UE into IMT space stations is low.</w:t>
      </w:r>
      <w:r w:rsidR="00E86844">
        <w:rPr>
          <w:lang w:val="en-US" w:eastAsia="zh-CN"/>
        </w:rPr>
        <w:t xml:space="preserve"> </w:t>
      </w:r>
      <w:r w:rsidRPr="00265951">
        <w:rPr>
          <w:lang w:val="en-US" w:eastAsia="zh-CN"/>
        </w:rPr>
        <w:t>The studies have identified technical and operational measures to mitigate the potential interference from IMT BS and IMT UE. For IMT UEs, the measures can wholly eliminate the potential excess interference. For IMT BSs, there is no agreement on whether the measures can wholly eliminate the potential excess interference.</w:t>
      </w:r>
    </w:p>
    <w:p w:rsidR="00336400" w:rsidRPr="00265951" w:rsidRDefault="00336400" w:rsidP="00336400">
      <w:pPr>
        <w:pStyle w:val="enumlev1"/>
        <w:tabs>
          <w:tab w:val="clear" w:pos="1134"/>
        </w:tabs>
        <w:ind w:left="426" w:hanging="426"/>
        <w:rPr>
          <w:lang w:val="en-US" w:eastAsia="ja-JP"/>
        </w:rPr>
      </w:pPr>
      <w:r w:rsidRPr="00265951">
        <w:rPr>
          <w:lang w:val="en-US"/>
        </w:rPr>
        <w:t>–</w:t>
      </w:r>
      <w:r w:rsidRPr="00265951">
        <w:rPr>
          <w:lang w:val="en-US"/>
        </w:rPr>
        <w:tab/>
      </w:r>
      <w:r w:rsidRPr="009E1892">
        <w:rPr>
          <w:b/>
          <w:bCs/>
          <w:lang w:val="en-US"/>
        </w:rPr>
        <w:t>For Scenario A2</w:t>
      </w:r>
      <w:r w:rsidRPr="00265951">
        <w:rPr>
          <w:lang w:val="en-US"/>
        </w:rPr>
        <w:t>, i</w:t>
      </w:r>
      <w:r w:rsidRPr="00265951">
        <w:rPr>
          <w:lang w:val="en-US" w:eastAsia="ja-JP"/>
        </w:rPr>
        <w:t>n the frequency band 2 170-2 200 MHz, i</w:t>
      </w:r>
      <w:r w:rsidRPr="00265951">
        <w:rPr>
          <w:lang w:val="en-US" w:eastAsia="zh-CN"/>
        </w:rPr>
        <w:t xml:space="preserve">t was observed that </w:t>
      </w:r>
      <w:r w:rsidRPr="00265951">
        <w:rPr>
          <w:lang w:val="en-US"/>
        </w:rPr>
        <w:t>potential interference from IMT BS into IMT MES may occur.</w:t>
      </w:r>
      <w:r w:rsidRPr="00265951">
        <w:rPr>
          <w:szCs w:val="24"/>
          <w:lang w:val="en-US"/>
        </w:rPr>
        <w:t xml:space="preserve"> The potential interference may be mitigated by one or more of: assessment of terrain and clutter effects and system charac</w:t>
      </w:r>
      <w:r w:rsidRPr="00336400">
        <w:rPr>
          <w:lang w:val="en-US"/>
        </w:rPr>
        <w:t>t</w:t>
      </w:r>
      <w:r w:rsidRPr="00265951">
        <w:rPr>
          <w:szCs w:val="24"/>
          <w:lang w:val="en-US"/>
        </w:rPr>
        <w:t>eristics, deployment environments, and separation distance.</w:t>
      </w:r>
      <w:r w:rsidRPr="00265951">
        <w:rPr>
          <w:lang w:val="en-US" w:eastAsia="zh-CN"/>
        </w:rPr>
        <w:t xml:space="preserve"> Given the varying characteristics of the border area across various countries, administrations can bilaterally determine the appropriate mitigation techniques on a case-by-case basis.</w:t>
      </w:r>
    </w:p>
    <w:p w:rsidR="00336400" w:rsidRPr="00265951" w:rsidRDefault="00336400" w:rsidP="00336400">
      <w:pPr>
        <w:pStyle w:val="enumlev1"/>
        <w:tabs>
          <w:tab w:val="clear" w:pos="1134"/>
        </w:tabs>
        <w:ind w:left="426" w:hanging="426"/>
        <w:rPr>
          <w:lang w:val="en-US" w:eastAsia="ja-JP"/>
        </w:rPr>
      </w:pPr>
      <w:r w:rsidRPr="00265951">
        <w:rPr>
          <w:lang w:val="en-US"/>
        </w:rPr>
        <w:t>–</w:t>
      </w:r>
      <w:r w:rsidRPr="00265951">
        <w:rPr>
          <w:lang w:val="en-US"/>
        </w:rPr>
        <w:tab/>
      </w:r>
      <w:r w:rsidRPr="009E1892">
        <w:rPr>
          <w:b/>
          <w:bCs/>
          <w:lang w:val="en-US"/>
        </w:rPr>
        <w:t>For Scenario B1</w:t>
      </w:r>
      <w:r w:rsidRPr="00265951">
        <w:rPr>
          <w:lang w:val="en-US"/>
        </w:rPr>
        <w:t xml:space="preserve">, </w:t>
      </w:r>
      <w:r w:rsidRPr="00265951">
        <w:rPr>
          <w:lang w:val="en-US" w:eastAsia="ja-JP"/>
        </w:rPr>
        <w:t xml:space="preserve">in the frequency band 1 980-2 010 MHz, </w:t>
      </w:r>
      <w:r w:rsidRPr="00265951">
        <w:rPr>
          <w:lang w:val="en-US"/>
        </w:rPr>
        <w:t>p</w:t>
      </w:r>
      <w:r w:rsidRPr="00265951">
        <w:rPr>
          <w:lang w:val="en-US" w:eastAsia="ja-JP"/>
        </w:rPr>
        <w:t>otential i</w:t>
      </w:r>
      <w:r w:rsidRPr="00265951">
        <w:rPr>
          <w:lang w:val="en-US"/>
        </w:rPr>
        <w:t>nterference from IMT MES</w:t>
      </w:r>
      <w:r w:rsidRPr="00265951">
        <w:rPr>
          <w:lang w:val="en-US" w:eastAsia="ja-JP"/>
        </w:rPr>
        <w:t>s</w:t>
      </w:r>
      <w:r w:rsidRPr="00265951">
        <w:rPr>
          <w:lang w:val="en-US"/>
        </w:rPr>
        <w:t xml:space="preserve"> to IMT BS</w:t>
      </w:r>
      <w:r w:rsidRPr="00265951">
        <w:rPr>
          <w:lang w:val="en-US" w:eastAsia="ja-JP"/>
        </w:rPr>
        <w:t>s</w:t>
      </w:r>
      <w:r w:rsidRPr="00265951">
        <w:rPr>
          <w:lang w:val="en-US"/>
        </w:rPr>
        <w:t xml:space="preserve"> and IMT UE</w:t>
      </w:r>
      <w:r w:rsidRPr="00265951">
        <w:rPr>
          <w:lang w:val="en-US" w:eastAsia="ja-JP"/>
        </w:rPr>
        <w:t>s,</w:t>
      </w:r>
      <w:r w:rsidRPr="00265951">
        <w:rPr>
          <w:lang w:val="en-US"/>
        </w:rPr>
        <w:t xml:space="preserve"> could be managed by bilateral/multilateral negotiation, in which actual technical/operational characteristics and mitigation measures for satellite and terrestrial components of IMT could be taken into account.</w:t>
      </w:r>
    </w:p>
    <w:p w:rsidR="00336400" w:rsidRPr="00265951" w:rsidRDefault="00336400" w:rsidP="00336400">
      <w:pPr>
        <w:pStyle w:val="enumlev1"/>
        <w:tabs>
          <w:tab w:val="clear" w:pos="1134"/>
        </w:tabs>
        <w:ind w:left="426" w:hanging="426"/>
        <w:rPr>
          <w:lang w:val="en-US"/>
        </w:rPr>
      </w:pPr>
      <w:r w:rsidRPr="00265951">
        <w:rPr>
          <w:lang w:val="en-US"/>
        </w:rPr>
        <w:t>–</w:t>
      </w:r>
      <w:r w:rsidRPr="00265951">
        <w:rPr>
          <w:lang w:val="en-US"/>
        </w:rPr>
        <w:tab/>
      </w:r>
      <w:r w:rsidRPr="009E1892">
        <w:rPr>
          <w:b/>
          <w:bCs/>
          <w:lang w:val="en-US"/>
        </w:rPr>
        <w:t>For Scenario B2</w:t>
      </w:r>
      <w:r w:rsidRPr="00265951">
        <w:rPr>
          <w:lang w:val="en-US"/>
        </w:rPr>
        <w:t xml:space="preserve">, </w:t>
      </w:r>
      <w:r w:rsidRPr="00265951">
        <w:rPr>
          <w:lang w:val="en-US" w:eastAsia="ja-JP"/>
        </w:rPr>
        <w:t xml:space="preserve">in the frequency band 2 170-2 200 MHz, </w:t>
      </w:r>
      <w:r w:rsidRPr="00265951">
        <w:rPr>
          <w:lang w:val="en-US"/>
        </w:rPr>
        <w:t>p</w:t>
      </w:r>
      <w:r w:rsidRPr="00265951">
        <w:rPr>
          <w:lang w:val="en-US" w:eastAsia="ja-JP"/>
        </w:rPr>
        <w:t>otential i</w:t>
      </w:r>
      <w:r w:rsidRPr="00265951">
        <w:rPr>
          <w:lang w:val="en-US"/>
        </w:rPr>
        <w:t>nterference from the IMT space stations to IMT UE</w:t>
      </w:r>
      <w:r w:rsidRPr="00265951">
        <w:rPr>
          <w:lang w:val="en-US" w:eastAsia="ja-JP"/>
        </w:rPr>
        <w:t xml:space="preserve">s, </w:t>
      </w:r>
      <w:r w:rsidRPr="00265951">
        <w:rPr>
          <w:lang w:val="en-US"/>
        </w:rPr>
        <w:t>could be managed by bilateral/multilateral negotiation, in which actual technical/operational characteristics and mitigation measures for satellite and terrestrial components of IMT could be taken into account.</w:t>
      </w:r>
    </w:p>
    <w:p w:rsidR="00336400" w:rsidRDefault="00B873AA" w:rsidP="00336400">
      <w:pPr>
        <w:spacing w:before="120"/>
        <w:jc w:val="center"/>
      </w:pPr>
      <w:r>
        <w:rPr>
          <w:noProof/>
        </w:rPr>
        <w:lastRenderedPageBreak/>
        <w:drawing>
          <wp:inline distT="0" distB="0" distL="0" distR="0">
            <wp:extent cx="5270500" cy="2449830"/>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srcRect/>
                    <a:stretch>
                      <a:fillRect/>
                    </a:stretch>
                  </pic:blipFill>
                  <pic:spPr bwMode="auto">
                    <a:xfrm>
                      <a:off x="0" y="0"/>
                      <a:ext cx="5270500" cy="2449830"/>
                    </a:xfrm>
                    <a:prstGeom prst="rect">
                      <a:avLst/>
                    </a:prstGeom>
                    <a:noFill/>
                    <a:ln w="9525">
                      <a:noFill/>
                      <a:miter lim="800000"/>
                      <a:headEnd/>
                      <a:tailEnd/>
                    </a:ln>
                  </pic:spPr>
                </pic:pic>
              </a:graphicData>
            </a:graphic>
          </wp:inline>
        </w:drawing>
      </w:r>
    </w:p>
    <w:p w:rsidR="000A5418" w:rsidRDefault="00336400" w:rsidP="00336400">
      <w:pPr>
        <w:spacing w:before="120"/>
        <w:jc w:val="both"/>
      </w:pPr>
      <w:r w:rsidRPr="00265951">
        <w:t>Details of studies are documented in the working document towards a PDN [Recommendation or Report] ITU-R M.[MSS&amp;IMT-ADVANCED SHARING]</w:t>
      </w:r>
      <w:r w:rsidRPr="00265951">
        <w:rPr>
          <w:lang w:eastAsia="ja-JP"/>
        </w:rPr>
        <w:t>.</w:t>
      </w:r>
    </w:p>
    <w:p w:rsidR="000A5418" w:rsidRDefault="00B6461B" w:rsidP="00B6461B">
      <w:pPr>
        <w:spacing w:before="120"/>
        <w:jc w:val="both"/>
      </w:pPr>
      <w:r>
        <w:t>Based on the discussion and conducted studies in draft CPM19-2 Report, following conclusions outlined for each scenario:</w:t>
      </w:r>
    </w:p>
    <w:p w:rsidR="000A5418" w:rsidRPr="00B6461B" w:rsidRDefault="00B6461B" w:rsidP="00B6461B">
      <w:pPr>
        <w:pStyle w:val="enumlev1"/>
        <w:numPr>
          <w:ilvl w:val="0"/>
          <w:numId w:val="11"/>
        </w:numPr>
        <w:tabs>
          <w:tab w:val="clear" w:pos="1134"/>
        </w:tabs>
      </w:pPr>
      <w:r w:rsidRPr="00B6461B">
        <w:rPr>
          <w:b/>
          <w:bCs/>
          <w:lang w:val="en-US"/>
        </w:rPr>
        <w:t xml:space="preserve">For Scenario A1 </w:t>
      </w:r>
      <w:r w:rsidRPr="00B6461B">
        <w:rPr>
          <w:lang w:val="en-US"/>
        </w:rPr>
        <w:t>(</w:t>
      </w:r>
      <w:r w:rsidRPr="00B6461B">
        <w:rPr>
          <w:lang w:val="en-US" w:eastAsia="ja-JP"/>
        </w:rPr>
        <w:t>I</w:t>
      </w:r>
      <w:r w:rsidRPr="00B6461B">
        <w:rPr>
          <w:lang w:val="en-US"/>
        </w:rPr>
        <w:t>nterference from IMT BSs and IMT UEs to IMT space stations):</w:t>
      </w:r>
      <w:r w:rsidRPr="00B6461B">
        <w:rPr>
          <w:lang w:val="en-US"/>
        </w:rPr>
        <w:br/>
      </w:r>
      <w:r w:rsidRPr="00B6461B">
        <w:rPr>
          <w:lang w:val="en-US" w:eastAsia="zh-CN"/>
        </w:rPr>
        <w:t xml:space="preserve">The implementation of mitigation measures may be considered on a case-by-case basis </w:t>
      </w:r>
      <w:r w:rsidRPr="00B6461B">
        <w:rPr>
          <w:u w:val="single"/>
          <w:lang w:val="en-US" w:eastAsia="zh-CN"/>
        </w:rPr>
        <w:t>by administrations</w:t>
      </w:r>
      <w:r w:rsidRPr="00B6461B">
        <w:rPr>
          <w:lang w:val="en-US" w:eastAsia="zh-CN"/>
        </w:rPr>
        <w:t>.</w:t>
      </w:r>
    </w:p>
    <w:p w:rsidR="00B6461B" w:rsidRDefault="00B6461B" w:rsidP="00B6461B">
      <w:pPr>
        <w:pStyle w:val="enumlev1"/>
        <w:numPr>
          <w:ilvl w:val="0"/>
          <w:numId w:val="11"/>
        </w:numPr>
        <w:tabs>
          <w:tab w:val="clear" w:pos="1134"/>
        </w:tabs>
        <w:rPr>
          <w:lang w:val="en-US" w:eastAsia="zh-CN"/>
        </w:rPr>
      </w:pPr>
      <w:r w:rsidRPr="00B6461B">
        <w:rPr>
          <w:b/>
          <w:bCs/>
          <w:lang w:val="en-US"/>
        </w:rPr>
        <w:t>For Scenario A2</w:t>
      </w:r>
      <w:r>
        <w:rPr>
          <w:lang w:val="en-US"/>
        </w:rPr>
        <w:t xml:space="preserve"> (</w:t>
      </w:r>
      <w:r w:rsidRPr="00265951">
        <w:rPr>
          <w:lang w:val="en-US" w:eastAsia="ja-JP"/>
        </w:rPr>
        <w:t>Interference from IMT BSs to IMT MESs</w:t>
      </w:r>
      <w:r>
        <w:rPr>
          <w:lang w:val="en-US"/>
        </w:rPr>
        <w:t xml:space="preserve">): </w:t>
      </w:r>
      <w:r>
        <w:rPr>
          <w:lang w:val="en-US"/>
        </w:rPr>
        <w:br/>
      </w:r>
      <w:r w:rsidRPr="00B6461B">
        <w:rPr>
          <w:lang w:val="en-US" w:eastAsia="zh-CN"/>
        </w:rPr>
        <w:t xml:space="preserve">Given the varying characteristics of the border area across various countries, administrations can </w:t>
      </w:r>
      <w:r w:rsidRPr="00B6461B">
        <w:rPr>
          <w:u w:val="single"/>
          <w:lang w:val="en-US" w:eastAsia="zh-CN"/>
        </w:rPr>
        <w:t>bilaterally</w:t>
      </w:r>
      <w:r w:rsidRPr="00B6461B">
        <w:rPr>
          <w:lang w:val="en-US" w:eastAsia="zh-CN"/>
        </w:rPr>
        <w:t xml:space="preserve"> determine the appropriate mitigation techniques on a case-by-case basis.</w:t>
      </w:r>
    </w:p>
    <w:p w:rsidR="00B6461B" w:rsidRDefault="00B6461B" w:rsidP="00B6461B">
      <w:pPr>
        <w:pStyle w:val="enumlev1"/>
        <w:numPr>
          <w:ilvl w:val="0"/>
          <w:numId w:val="11"/>
        </w:numPr>
        <w:tabs>
          <w:tab w:val="clear" w:pos="1134"/>
        </w:tabs>
        <w:rPr>
          <w:lang w:val="en-US" w:eastAsia="zh-CN"/>
        </w:rPr>
      </w:pPr>
      <w:r w:rsidRPr="00B6461B">
        <w:rPr>
          <w:b/>
          <w:bCs/>
          <w:lang w:val="en-US"/>
        </w:rPr>
        <w:t xml:space="preserve">For Scenario </w:t>
      </w:r>
      <w:r>
        <w:rPr>
          <w:b/>
          <w:bCs/>
          <w:lang w:val="en-US"/>
        </w:rPr>
        <w:t>B</w:t>
      </w:r>
      <w:r w:rsidRPr="00B6461B">
        <w:rPr>
          <w:b/>
          <w:bCs/>
          <w:lang w:val="en-US"/>
        </w:rPr>
        <w:t>1</w:t>
      </w:r>
      <w:r w:rsidRPr="00B6461B">
        <w:rPr>
          <w:lang w:val="en-US"/>
        </w:rPr>
        <w:t>(</w:t>
      </w:r>
      <w:r w:rsidRPr="00265951">
        <w:rPr>
          <w:lang w:val="en-US" w:eastAsia="ja-JP"/>
        </w:rPr>
        <w:t>Interference from IMT MESs to IMT BSs and IMT UEs</w:t>
      </w:r>
      <w:r w:rsidRPr="00B6461B">
        <w:rPr>
          <w:lang w:val="en-US"/>
        </w:rPr>
        <w:t>)</w:t>
      </w:r>
      <w:r>
        <w:rPr>
          <w:lang w:val="en-US"/>
        </w:rPr>
        <w:t>:</w:t>
      </w:r>
      <w:r>
        <w:rPr>
          <w:lang w:val="en-US"/>
        </w:rPr>
        <w:br/>
      </w:r>
      <w:r w:rsidRPr="00B6461B">
        <w:rPr>
          <w:lang w:val="en-US" w:eastAsia="zh-CN"/>
        </w:rPr>
        <w:t xml:space="preserve">Potential interference from IMT MESs to IMT BSs and IMT UEs could be managed by </w:t>
      </w:r>
      <w:r w:rsidRPr="00B6461B">
        <w:rPr>
          <w:u w:val="single"/>
          <w:lang w:val="en-US" w:eastAsia="zh-CN"/>
        </w:rPr>
        <w:t>bilateral/multilateral</w:t>
      </w:r>
      <w:r w:rsidRPr="00B6461B">
        <w:rPr>
          <w:lang w:val="en-US" w:eastAsia="zh-CN"/>
        </w:rPr>
        <w:t xml:space="preserve"> negotiation, in which actual technical/operational characteristics a</w:t>
      </w:r>
      <w:r w:rsidRPr="00265951">
        <w:rPr>
          <w:lang w:val="en-US" w:eastAsia="zh-CN"/>
        </w:rPr>
        <w:t xml:space="preserve">nd </w:t>
      </w:r>
      <w:r w:rsidRPr="00B6461B">
        <w:rPr>
          <w:lang w:val="en-US" w:eastAsia="zh-CN"/>
        </w:rPr>
        <w:t>mitigation measures for satellite and terrestrial components of IMT could be taken into a</w:t>
      </w:r>
      <w:r w:rsidRPr="00265951">
        <w:rPr>
          <w:lang w:val="en-US" w:eastAsia="zh-CN"/>
        </w:rPr>
        <w:t>ccount</w:t>
      </w:r>
      <w:r>
        <w:rPr>
          <w:lang w:val="en-US" w:eastAsia="zh-CN"/>
        </w:rPr>
        <w:t>.</w:t>
      </w:r>
    </w:p>
    <w:p w:rsidR="00B6461B" w:rsidRPr="00B6461B" w:rsidRDefault="00B6461B" w:rsidP="00B6461B">
      <w:pPr>
        <w:pStyle w:val="enumlev1"/>
        <w:numPr>
          <w:ilvl w:val="0"/>
          <w:numId w:val="11"/>
        </w:numPr>
        <w:tabs>
          <w:tab w:val="clear" w:pos="1134"/>
        </w:tabs>
        <w:rPr>
          <w:lang w:val="en-US" w:eastAsia="zh-CN"/>
        </w:rPr>
      </w:pPr>
      <w:r w:rsidRPr="00B6461B">
        <w:rPr>
          <w:b/>
          <w:bCs/>
          <w:lang w:val="en-US"/>
        </w:rPr>
        <w:t xml:space="preserve">For Scenario </w:t>
      </w:r>
      <w:r>
        <w:rPr>
          <w:b/>
          <w:bCs/>
          <w:lang w:val="en-US"/>
        </w:rPr>
        <w:t xml:space="preserve">B2 </w:t>
      </w:r>
      <w:r>
        <w:rPr>
          <w:lang w:val="en-US"/>
        </w:rPr>
        <w:t>(</w:t>
      </w:r>
      <w:r w:rsidRPr="00265951">
        <w:rPr>
          <w:lang w:val="en-US" w:eastAsia="ja-JP"/>
        </w:rPr>
        <w:t>Interference from IMT space stations to IMT UEs</w:t>
      </w:r>
      <w:r>
        <w:rPr>
          <w:lang w:val="en-US"/>
        </w:rPr>
        <w:t>):</w:t>
      </w:r>
      <w:r>
        <w:rPr>
          <w:lang w:val="en-US"/>
        </w:rPr>
        <w:br/>
      </w:r>
      <w:r w:rsidRPr="00265951">
        <w:rPr>
          <w:lang w:val="en-US" w:eastAsia="ja-JP"/>
        </w:rPr>
        <w:t xml:space="preserve">Potential interference from IMT space stations to IMT UEs could be managed </w:t>
      </w:r>
      <w:r w:rsidRPr="00265951">
        <w:rPr>
          <w:lang w:val="en-US"/>
        </w:rPr>
        <w:t xml:space="preserve">by </w:t>
      </w:r>
      <w:r w:rsidRPr="00B6461B">
        <w:rPr>
          <w:u w:val="single"/>
          <w:lang w:val="en-US" w:eastAsia="ja-JP"/>
        </w:rPr>
        <w:t>bilateral/multilateral</w:t>
      </w:r>
      <w:r w:rsidRPr="00265951">
        <w:rPr>
          <w:lang w:val="en-US" w:eastAsia="ja-JP"/>
        </w:rPr>
        <w:t xml:space="preserve"> negotiation, in which actual technical/operational characteristics and mitigation measures for satellite and terrestrial components of IMT could be taken into account.</w:t>
      </w:r>
    </w:p>
    <w:p w:rsidR="000A5418" w:rsidRDefault="000A5418" w:rsidP="000A5418">
      <w:pPr>
        <w:jc w:val="both"/>
      </w:pPr>
    </w:p>
    <w:p w:rsidR="000A5418" w:rsidRPr="000A5418" w:rsidRDefault="000A5418" w:rsidP="00D83057">
      <w:pPr>
        <w:spacing w:after="120"/>
        <w:jc w:val="both"/>
        <w:rPr>
          <w:b/>
        </w:rPr>
      </w:pPr>
      <w:r w:rsidRPr="000A5418">
        <w:rPr>
          <w:b/>
        </w:rPr>
        <w:t>2. Preliminary Views</w:t>
      </w:r>
      <w:r w:rsidR="00B6461B">
        <w:rPr>
          <w:b/>
        </w:rPr>
        <w:t xml:space="preserve"> of I.R. of Iran</w:t>
      </w:r>
    </w:p>
    <w:p w:rsidR="00D83057" w:rsidRDefault="00D83057" w:rsidP="00D83057">
      <w:pPr>
        <w:spacing w:after="60"/>
        <w:jc w:val="both"/>
        <w:rPr>
          <w:lang w:eastAsia="ja-JP"/>
        </w:rPr>
      </w:pPr>
      <w:r>
        <w:rPr>
          <w:rFonts w:eastAsia="Malgun Gothic"/>
          <w:bCs/>
          <w:snapToGrid w:val="0"/>
          <w:lang w:eastAsia="ko-KR"/>
        </w:rPr>
        <w:t>This Administration</w:t>
      </w:r>
      <w:r w:rsidRPr="0076337F">
        <w:rPr>
          <w:rFonts w:eastAsia="Malgun Gothic"/>
          <w:bCs/>
          <w:snapToGrid w:val="0"/>
          <w:lang w:eastAsia="ko-KR"/>
        </w:rPr>
        <w:t xml:space="preserve"> supports ITU-R studies</w:t>
      </w:r>
      <w:r w:rsidRPr="00721519">
        <w:rPr>
          <w:rFonts w:eastAsia="Malgun Gothic"/>
          <w:bCs/>
          <w:snapToGrid w:val="0"/>
          <w:lang w:eastAsia="ko-KR"/>
        </w:rPr>
        <w:t xml:space="preserve"> on </w:t>
      </w:r>
      <w:r>
        <w:rPr>
          <w:rFonts w:eastAsia="Malgun Gothic"/>
          <w:bCs/>
          <w:snapToGrid w:val="0"/>
          <w:lang w:eastAsia="ko-KR"/>
        </w:rPr>
        <w:t xml:space="preserve">this agenda item and is of </w:t>
      </w:r>
      <w:r w:rsidR="009E1892">
        <w:rPr>
          <w:rFonts w:eastAsia="Malgun Gothic"/>
          <w:bCs/>
          <w:snapToGrid w:val="0"/>
          <w:lang w:eastAsia="ko-KR"/>
        </w:rPr>
        <w:t xml:space="preserve">the </w:t>
      </w:r>
      <w:r>
        <w:rPr>
          <w:rFonts w:eastAsia="Malgun Gothic"/>
          <w:bCs/>
          <w:snapToGrid w:val="0"/>
          <w:lang w:eastAsia="ko-KR"/>
        </w:rPr>
        <w:t xml:space="preserve">view that the resolution of </w:t>
      </w:r>
      <w:r w:rsidRPr="00336400">
        <w:t>interference</w:t>
      </w:r>
      <w:r w:rsidRPr="00265951">
        <w:rPr>
          <w:lang w:eastAsia="ja-JP"/>
        </w:rPr>
        <w:t xml:space="preserve"> scenarios</w:t>
      </w:r>
      <w:r w:rsidR="000F0B4B">
        <w:rPr>
          <w:lang w:eastAsia="ja-JP"/>
        </w:rPr>
        <w:t xml:space="preserve"> </w:t>
      </w:r>
      <w:r w:rsidRPr="00265951">
        <w:rPr>
          <w:lang w:eastAsia="ja-JP"/>
        </w:rPr>
        <w:t xml:space="preserve">could be managed by </w:t>
      </w:r>
      <w:r w:rsidRPr="00D83057">
        <w:rPr>
          <w:lang w:eastAsia="ja-JP"/>
        </w:rPr>
        <w:t>bilateral/multilateral</w:t>
      </w:r>
      <w:r w:rsidRPr="00265951">
        <w:rPr>
          <w:lang w:eastAsia="ja-JP"/>
        </w:rPr>
        <w:t xml:space="preserve"> negotiation</w:t>
      </w:r>
      <w:r w:rsidR="000F0B4B">
        <w:rPr>
          <w:lang w:eastAsia="ja-JP"/>
        </w:rPr>
        <w:t xml:space="preserve"> </w:t>
      </w:r>
      <w:r w:rsidR="009E1892">
        <w:rPr>
          <w:lang w:eastAsia="ja-JP"/>
        </w:rPr>
        <w:t xml:space="preserve">of neighbor countries </w:t>
      </w:r>
      <w:r>
        <w:rPr>
          <w:lang w:eastAsia="ja-JP"/>
        </w:rPr>
        <w:t>under current regulatory practice within ITU-R.</w:t>
      </w:r>
    </w:p>
    <w:p w:rsidR="00D83057" w:rsidRDefault="00D83057" w:rsidP="00D83057">
      <w:pPr>
        <w:spacing w:after="60"/>
        <w:jc w:val="both"/>
        <w:rPr>
          <w:rFonts w:eastAsia="Malgun Gothic"/>
          <w:bCs/>
          <w:snapToGrid w:val="0"/>
          <w:lang w:eastAsia="ko-KR"/>
        </w:rPr>
      </w:pPr>
    </w:p>
    <w:p w:rsidR="00D1252E" w:rsidRDefault="00D1252E" w:rsidP="009A4A6D">
      <w:pPr>
        <w:jc w:val="center"/>
      </w:pPr>
    </w:p>
    <w:p w:rsidR="009E1892" w:rsidRDefault="009E1892">
      <w:pPr>
        <w:rPr>
          <w:b/>
        </w:rPr>
      </w:pPr>
      <w:r>
        <w:rPr>
          <w:b/>
        </w:rPr>
        <w:br w:type="page"/>
      </w:r>
    </w:p>
    <w:p w:rsidR="00721806" w:rsidRDefault="00721806" w:rsidP="00721806">
      <w:pPr>
        <w:rPr>
          <w:b/>
        </w:rPr>
      </w:pPr>
      <w:r>
        <w:rPr>
          <w:b/>
        </w:rPr>
        <w:lastRenderedPageBreak/>
        <w:t xml:space="preserve">Agenda Item 9   </w:t>
      </w:r>
      <w:r w:rsidRPr="00696487">
        <w:rPr>
          <w:i/>
          <w:iCs/>
          <w:color w:val="000000"/>
          <w:kern w:val="24"/>
          <w:lang w:val="en-GB"/>
        </w:rPr>
        <w:t xml:space="preserve">to consider and approve the Report of the Director of the Radiocommunication Bureau, in accordance with </w:t>
      </w:r>
      <w:r w:rsidRPr="00696487">
        <w:rPr>
          <w:b/>
          <w:bCs/>
          <w:i/>
          <w:iCs/>
          <w:color w:val="000000"/>
          <w:kern w:val="24"/>
          <w:lang w:val="en-GB"/>
        </w:rPr>
        <w:t>Article 7</w:t>
      </w:r>
      <w:r w:rsidRPr="00696487">
        <w:rPr>
          <w:i/>
          <w:iCs/>
          <w:color w:val="000000"/>
          <w:kern w:val="24"/>
          <w:lang w:val="en-GB"/>
        </w:rPr>
        <w:t xml:space="preserve"> of the Convention:</w:t>
      </w:r>
    </w:p>
    <w:p w:rsidR="00721806" w:rsidRDefault="00721806" w:rsidP="00721806">
      <w:pPr>
        <w:spacing w:after="120"/>
        <w:jc w:val="both"/>
        <w:rPr>
          <w:i/>
          <w:iCs/>
          <w:color w:val="000000"/>
          <w:kern w:val="24"/>
          <w:lang w:val="en-GB"/>
        </w:rPr>
      </w:pPr>
      <w:r>
        <w:rPr>
          <w:b/>
        </w:rPr>
        <w:t xml:space="preserve">9.1.    </w:t>
      </w:r>
      <w:r w:rsidRPr="00696487">
        <w:rPr>
          <w:i/>
          <w:iCs/>
          <w:color w:val="000000"/>
          <w:kern w:val="24"/>
          <w:lang w:val="en-GB"/>
        </w:rPr>
        <w:t xml:space="preserve">on the activities of the Radiocommunication Sector since </w:t>
      </w:r>
      <w:r w:rsidRPr="00143C4A">
        <w:rPr>
          <w:b/>
          <w:bCs/>
          <w:i/>
          <w:iCs/>
          <w:color w:val="000000"/>
          <w:kern w:val="24"/>
          <w:lang w:val="en-GB"/>
        </w:rPr>
        <w:t>WRC-15</w:t>
      </w:r>
      <w:r w:rsidRPr="00696487">
        <w:rPr>
          <w:i/>
          <w:iCs/>
          <w:color w:val="000000"/>
          <w:kern w:val="24"/>
          <w:lang w:val="en-GB"/>
        </w:rPr>
        <w:t>;</w:t>
      </w:r>
    </w:p>
    <w:p w:rsidR="00721806" w:rsidRPr="00696487" w:rsidRDefault="00721806" w:rsidP="00721806">
      <w:pPr>
        <w:pStyle w:val="NormalWeb"/>
        <w:overflowPunct w:val="0"/>
        <w:spacing w:before="0" w:beforeAutospacing="0" w:after="0" w:afterAutospacing="0"/>
      </w:pPr>
      <w:r w:rsidRPr="00696487">
        <w:rPr>
          <w:rFonts w:eastAsia="Calibri"/>
          <w:b/>
          <w:bCs/>
          <w:color w:val="000000"/>
          <w:kern w:val="24"/>
          <w:lang w:val="en-GB"/>
        </w:rPr>
        <w:t>Issue 9.1.</w:t>
      </w:r>
      <w:r>
        <w:rPr>
          <w:rFonts w:eastAsia="Calibri"/>
          <w:b/>
          <w:bCs/>
          <w:color w:val="000000"/>
          <w:kern w:val="24"/>
          <w:lang w:val="en-GB"/>
        </w:rPr>
        <w:t>5</w:t>
      </w:r>
      <w:r w:rsidRPr="00696487">
        <w:rPr>
          <w:rFonts w:eastAsia="Calibri"/>
          <w:b/>
          <w:bCs/>
          <w:color w:val="000000"/>
          <w:kern w:val="24"/>
          <w:lang w:val="en-GB"/>
        </w:rPr>
        <w:t>:</w:t>
      </w:r>
      <w:r w:rsidRPr="00696487">
        <w:rPr>
          <w:b/>
          <w:bCs/>
          <w:color w:val="000000"/>
          <w:kern w:val="24"/>
          <w:lang w:val="en-GB"/>
        </w:rPr>
        <w:tab/>
      </w:r>
      <w:r w:rsidRPr="006666A6">
        <w:rPr>
          <w:b/>
          <w:bCs/>
          <w:kern w:val="24"/>
          <w:lang w:val="en-GB"/>
        </w:rPr>
        <w:t xml:space="preserve">Resolution </w:t>
      </w:r>
      <w:r>
        <w:rPr>
          <w:b/>
          <w:bCs/>
          <w:kern w:val="24"/>
          <w:lang w:val="en-GB"/>
        </w:rPr>
        <w:t>764</w:t>
      </w:r>
      <w:r w:rsidRPr="00696487">
        <w:rPr>
          <w:b/>
          <w:bCs/>
          <w:color w:val="000000"/>
          <w:kern w:val="24"/>
          <w:lang w:val="en-GB"/>
        </w:rPr>
        <w:t xml:space="preserve"> (WRC-15)</w:t>
      </w:r>
    </w:p>
    <w:p w:rsidR="00721806" w:rsidRPr="00696487" w:rsidRDefault="00721806" w:rsidP="00721806">
      <w:pPr>
        <w:spacing w:after="240"/>
        <w:rPr>
          <w:i/>
          <w:iCs/>
          <w:color w:val="000000"/>
          <w:kern w:val="24"/>
          <w:lang w:val="en-GB"/>
        </w:rPr>
      </w:pPr>
      <w:r>
        <w:rPr>
          <w:rFonts w:eastAsia="SimSun"/>
          <w:bCs/>
          <w:i/>
          <w:iCs/>
          <w:lang w:eastAsia="zh-CN"/>
        </w:rPr>
        <w:t>Consideration of the technical and regulatory impacts of referencing Recommendations ITU-R M.1638-1 and ITU-R M.1849-1 in Nos. 5.447F and 5.450A of the Radio Regulations.</w:t>
      </w:r>
    </w:p>
    <w:p w:rsidR="00721806" w:rsidRPr="00A30FA5" w:rsidRDefault="00721806" w:rsidP="00721806">
      <w:pPr>
        <w:spacing w:after="120"/>
        <w:jc w:val="both"/>
        <w:rPr>
          <w:b/>
          <w:lang w:eastAsia="ko-KR"/>
        </w:rPr>
      </w:pPr>
      <w:r w:rsidRPr="00A30FA5">
        <w:rPr>
          <w:rFonts w:hint="eastAsia"/>
          <w:b/>
          <w:lang w:eastAsia="ko-KR"/>
        </w:rPr>
        <w:t>1. Background</w:t>
      </w:r>
    </w:p>
    <w:p w:rsidR="00E03934" w:rsidRPr="00265951" w:rsidRDefault="00E03934" w:rsidP="00E03934">
      <w:pPr>
        <w:jc w:val="both"/>
        <w:rPr>
          <w:rFonts w:eastAsia="SimSun"/>
          <w:spacing w:val="-2"/>
        </w:rPr>
      </w:pPr>
      <w:r w:rsidRPr="00143C4A">
        <w:rPr>
          <w:rFonts w:eastAsia="SimSun"/>
          <w:b/>
          <w:bCs/>
          <w:spacing w:val="-2"/>
        </w:rPr>
        <w:t>WRC-03</w:t>
      </w:r>
      <w:r w:rsidRPr="00265951">
        <w:rPr>
          <w:rFonts w:eastAsia="SimSun"/>
          <w:spacing w:val="-2"/>
        </w:rPr>
        <w:t xml:space="preserve"> allocated the 5 150-5 350 MHz and 5 470-5 725 MHz frequency bands to the </w:t>
      </w:r>
      <w:r>
        <w:rPr>
          <w:rFonts w:eastAsia="SimSun"/>
          <w:spacing w:val="-2"/>
        </w:rPr>
        <w:t>MS</w:t>
      </w:r>
      <w:r w:rsidRPr="00265951">
        <w:rPr>
          <w:rFonts w:eastAsia="SimSun"/>
          <w:spacing w:val="-2"/>
        </w:rPr>
        <w:t xml:space="preserve"> on a primary basis for the implementation of wireless access systems (WAS) including radio local area networks (RLANs) subject to Resolution </w:t>
      </w:r>
      <w:r w:rsidRPr="00265951">
        <w:rPr>
          <w:rFonts w:eastAsia="SimSun"/>
          <w:b/>
          <w:bCs/>
          <w:spacing w:val="-2"/>
        </w:rPr>
        <w:t>229 (Rev.WRC-12)</w:t>
      </w:r>
      <w:r w:rsidRPr="00265951">
        <w:rPr>
          <w:rFonts w:eastAsia="SimSun"/>
          <w:spacing w:val="-2"/>
        </w:rPr>
        <w:t xml:space="preserve">. </w:t>
      </w:r>
      <w:r w:rsidRPr="00C64F80">
        <w:rPr>
          <w:rFonts w:eastAsia="SimSun"/>
          <w:b/>
          <w:bCs/>
          <w:spacing w:val="-2"/>
        </w:rPr>
        <w:t>WRC-03</w:t>
      </w:r>
      <w:r w:rsidRPr="00265951">
        <w:rPr>
          <w:rFonts w:eastAsia="SimSun"/>
          <w:spacing w:val="-2"/>
        </w:rPr>
        <w:t xml:space="preserve"> also decided that the </w:t>
      </w:r>
      <w:r>
        <w:rPr>
          <w:rFonts w:eastAsia="SimSun"/>
          <w:spacing w:val="-2"/>
        </w:rPr>
        <w:t>RLS</w:t>
      </w:r>
      <w:r w:rsidRPr="00265951">
        <w:rPr>
          <w:rFonts w:eastAsia="SimSun"/>
          <w:spacing w:val="-2"/>
        </w:rPr>
        <w:t>, the E</w:t>
      </w:r>
      <w:r>
        <w:rPr>
          <w:rFonts w:eastAsia="SimSun"/>
          <w:spacing w:val="-2"/>
        </w:rPr>
        <w:t>ESS</w:t>
      </w:r>
      <w:r w:rsidRPr="00265951">
        <w:rPr>
          <w:rFonts w:eastAsia="SimSun"/>
          <w:spacing w:val="-2"/>
        </w:rPr>
        <w:t xml:space="preserve">(active) and the </w:t>
      </w:r>
      <w:r>
        <w:rPr>
          <w:rFonts w:eastAsia="SimSun"/>
          <w:spacing w:val="-2"/>
        </w:rPr>
        <w:t>SRS</w:t>
      </w:r>
      <w:r w:rsidRPr="00265951">
        <w:rPr>
          <w:rFonts w:eastAsia="SimSun"/>
          <w:spacing w:val="-2"/>
        </w:rPr>
        <w:t xml:space="preserve">(active) (RR No. </w:t>
      </w:r>
      <w:r w:rsidRPr="00265951">
        <w:rPr>
          <w:rStyle w:val="Artref"/>
          <w:rFonts w:eastAsia="SimSun"/>
          <w:b/>
          <w:bCs/>
        </w:rPr>
        <w:t>5.447F</w:t>
      </w:r>
      <w:r w:rsidRPr="00265951">
        <w:rPr>
          <w:rFonts w:eastAsia="SimSun"/>
          <w:spacing w:val="-2"/>
        </w:rPr>
        <w:t xml:space="preserve">) and the radiodetermination service (RR No. </w:t>
      </w:r>
      <w:r w:rsidRPr="00265951">
        <w:rPr>
          <w:rStyle w:val="Artref"/>
          <w:rFonts w:eastAsia="SimSun"/>
          <w:b/>
          <w:bCs/>
        </w:rPr>
        <w:t>5.450A</w:t>
      </w:r>
      <w:r w:rsidRPr="00265951">
        <w:rPr>
          <w:rFonts w:eastAsia="SimSun"/>
          <w:spacing w:val="-2"/>
        </w:rPr>
        <w:t xml:space="preserve">) shall not impose on the </w:t>
      </w:r>
      <w:r>
        <w:rPr>
          <w:rFonts w:eastAsia="SimSun"/>
          <w:spacing w:val="-2"/>
        </w:rPr>
        <w:t>MS</w:t>
      </w:r>
      <w:r w:rsidRPr="00265951">
        <w:rPr>
          <w:rFonts w:eastAsia="SimSun"/>
          <w:spacing w:val="-2"/>
        </w:rPr>
        <w:t xml:space="preserve"> more stringent protection criteria, based on system characteristics and interference criteria, than those stated in Recommendations ITU-R </w:t>
      </w:r>
      <w:r w:rsidRPr="00C64F80">
        <w:rPr>
          <w:rFonts w:eastAsia="SimSun"/>
          <w:b/>
          <w:bCs/>
          <w:spacing w:val="-2"/>
        </w:rPr>
        <w:t>M.1638-0</w:t>
      </w:r>
      <w:r w:rsidRPr="00265951">
        <w:rPr>
          <w:rFonts w:eastAsia="SimSun"/>
          <w:spacing w:val="-2"/>
        </w:rPr>
        <w:t xml:space="preserve"> and ITU-R </w:t>
      </w:r>
      <w:r w:rsidRPr="00C64F80">
        <w:rPr>
          <w:rFonts w:eastAsia="SimSun"/>
          <w:b/>
          <w:bCs/>
          <w:spacing w:val="-2"/>
        </w:rPr>
        <w:t>RS.1632-0</w:t>
      </w:r>
      <w:r w:rsidRPr="00265951">
        <w:rPr>
          <w:rFonts w:eastAsia="SimSun"/>
          <w:spacing w:val="-2"/>
        </w:rPr>
        <w:t>, which were incorporated by reference.</w:t>
      </w:r>
    </w:p>
    <w:p w:rsidR="00721806" w:rsidRDefault="00E03934" w:rsidP="00663E3F">
      <w:pPr>
        <w:spacing w:before="120"/>
        <w:jc w:val="both"/>
        <w:rPr>
          <w:b/>
        </w:rPr>
      </w:pPr>
      <w:r w:rsidRPr="00265951">
        <w:rPr>
          <w:rFonts w:eastAsia="SimSun"/>
        </w:rPr>
        <w:t xml:space="preserve">During the </w:t>
      </w:r>
      <w:r w:rsidRPr="00C64F80">
        <w:rPr>
          <w:rFonts w:eastAsia="SimSun"/>
          <w:b/>
          <w:bCs/>
        </w:rPr>
        <w:t>WRC-15</w:t>
      </w:r>
      <w:r w:rsidRPr="00265951">
        <w:rPr>
          <w:rFonts w:eastAsia="SimSun"/>
        </w:rPr>
        <w:t xml:space="preserve"> study cycle, Recommendation ITU-R </w:t>
      </w:r>
      <w:r w:rsidRPr="00C64F80">
        <w:rPr>
          <w:rFonts w:eastAsia="SimSun"/>
          <w:b/>
          <w:bCs/>
        </w:rPr>
        <w:t>M.1638-0</w:t>
      </w:r>
      <w:r w:rsidRPr="00265951">
        <w:rPr>
          <w:rFonts w:eastAsia="SimSun"/>
        </w:rPr>
        <w:t xml:space="preserve"> was revised.</w:t>
      </w:r>
      <w:r w:rsidR="00E86844">
        <w:rPr>
          <w:rFonts w:eastAsia="SimSun"/>
        </w:rPr>
        <w:t xml:space="preserve"> </w:t>
      </w:r>
      <w:r w:rsidRPr="00E03934">
        <w:rPr>
          <w:rFonts w:eastAsia="SimSun"/>
        </w:rPr>
        <w:t>Recommendation</w:t>
      </w:r>
      <w:r w:rsidRPr="00265951">
        <w:t xml:space="preserve"> ITU-R </w:t>
      </w:r>
      <w:r w:rsidRPr="00C64F80">
        <w:rPr>
          <w:b/>
          <w:bCs/>
        </w:rPr>
        <w:t>M.1849-1</w:t>
      </w:r>
      <w:r w:rsidRPr="00265951">
        <w:t xml:space="preserve"> provides technical and operational aspects of ground-based meteorological radars</w:t>
      </w:r>
      <w:r w:rsidRPr="009B6BC0">
        <w:t xml:space="preserve">. There were nine ground-based meteorological radars which were removed from Recommendation ITU-R </w:t>
      </w:r>
      <w:r w:rsidRPr="00C64F80">
        <w:rPr>
          <w:b/>
          <w:bCs/>
        </w:rPr>
        <w:t>M.1638-0</w:t>
      </w:r>
      <w:r w:rsidRPr="009B6BC0">
        <w:t>. Eight of those radars in Recommendation ITU</w:t>
      </w:r>
      <w:r w:rsidRPr="009B6BC0">
        <w:noBreakHyphen/>
        <w:t xml:space="preserve">R </w:t>
      </w:r>
      <w:r w:rsidRPr="00C64F80">
        <w:rPr>
          <w:b/>
          <w:bCs/>
        </w:rPr>
        <w:t>M.1849</w:t>
      </w:r>
      <w:r w:rsidRPr="00C64F80">
        <w:rPr>
          <w:b/>
          <w:bCs/>
        </w:rPr>
        <w:noBreakHyphen/>
        <w:t>0</w:t>
      </w:r>
      <w:r w:rsidRPr="009B6BC0">
        <w:t xml:space="preserve"> were retained in Recommendation ITU-R </w:t>
      </w:r>
      <w:r w:rsidRPr="00C64F80">
        <w:rPr>
          <w:b/>
          <w:bCs/>
        </w:rPr>
        <w:t>M.1849-1</w:t>
      </w:r>
      <w:r w:rsidRPr="009B6BC0">
        <w:t xml:space="preserve">. In addition, five other ground-based meteorological radars from Recommendation ITU-R </w:t>
      </w:r>
      <w:r w:rsidRPr="00C64F80">
        <w:rPr>
          <w:b/>
          <w:bCs/>
        </w:rPr>
        <w:t>M.1849-0</w:t>
      </w:r>
      <w:r w:rsidRPr="009B6BC0">
        <w:t xml:space="preserve"> were retained and </w:t>
      </w:r>
      <w:r w:rsidR="001024B3">
        <w:t xml:space="preserve">one </w:t>
      </w:r>
      <w:r w:rsidR="00663E3F">
        <w:t>additional</w:t>
      </w:r>
      <w:r w:rsidRPr="009B6BC0">
        <w:t xml:space="preserve"> new </w:t>
      </w:r>
      <w:r w:rsidR="00663E3F" w:rsidRPr="009B6BC0">
        <w:t>radar</w:t>
      </w:r>
      <w:r w:rsidRPr="009B6BC0">
        <w:t xml:space="preserve"> was added into Recommendation ITU-R </w:t>
      </w:r>
      <w:r w:rsidRPr="00C64F80">
        <w:rPr>
          <w:b/>
          <w:bCs/>
        </w:rPr>
        <w:t>M.1849-1</w:t>
      </w:r>
      <w:r w:rsidRPr="009B6BC0">
        <w:t xml:space="preserve">, resulting in six radars that were not previously in Recommendation ITU-R </w:t>
      </w:r>
      <w:r w:rsidRPr="00C64F80">
        <w:rPr>
          <w:b/>
          <w:bCs/>
        </w:rPr>
        <w:t>M.1638-0</w:t>
      </w:r>
      <w:r w:rsidRPr="009B6BC0">
        <w:t xml:space="preserve"> being included in Recommendation ITU</w:t>
      </w:r>
      <w:r w:rsidRPr="009B6BC0">
        <w:noBreakHyphen/>
        <w:t xml:space="preserve">R </w:t>
      </w:r>
      <w:r w:rsidRPr="00C64F80">
        <w:rPr>
          <w:b/>
          <w:bCs/>
        </w:rPr>
        <w:t>M.1849-1</w:t>
      </w:r>
      <w:r w:rsidRPr="009B6BC0">
        <w:t>.</w:t>
      </w:r>
      <w:r w:rsidRPr="00265951">
        <w:t xml:space="preserve"> ITU-R also provided a summary of the radars operating in the frequency bands 5 250-5 350 MHz and 5 470-5 725 MHz as contained in Recommendations ITU-R </w:t>
      </w:r>
      <w:r w:rsidRPr="00C64F80">
        <w:rPr>
          <w:b/>
          <w:bCs/>
        </w:rPr>
        <w:t>M.1638-0</w:t>
      </w:r>
      <w:r w:rsidRPr="00265951">
        <w:t xml:space="preserve">, ITU-R </w:t>
      </w:r>
      <w:r w:rsidRPr="00C64F80">
        <w:rPr>
          <w:b/>
          <w:bCs/>
        </w:rPr>
        <w:t>M.1638-1</w:t>
      </w:r>
      <w:r w:rsidRPr="00265951">
        <w:t>, ITU</w:t>
      </w:r>
      <w:r w:rsidRPr="00265951">
        <w:noBreakHyphen/>
        <w:t>R </w:t>
      </w:r>
      <w:r w:rsidRPr="00C64F80">
        <w:rPr>
          <w:b/>
          <w:bCs/>
        </w:rPr>
        <w:t>M.1849-0</w:t>
      </w:r>
      <w:r w:rsidRPr="00265951">
        <w:t xml:space="preserve"> and ITU-R </w:t>
      </w:r>
      <w:r w:rsidRPr="00C64F80">
        <w:rPr>
          <w:b/>
          <w:bCs/>
        </w:rPr>
        <w:t>M.1849-1</w:t>
      </w:r>
      <w:r w:rsidRPr="00265951">
        <w:t>.</w:t>
      </w:r>
    </w:p>
    <w:p w:rsidR="00721806" w:rsidRPr="00663E3F" w:rsidRDefault="00663E3F" w:rsidP="001024B3">
      <w:pPr>
        <w:spacing w:before="120"/>
        <w:jc w:val="both"/>
      </w:pPr>
      <w:r w:rsidRPr="00663E3F">
        <w:t>ITU-R studies classified</w:t>
      </w:r>
      <w:r w:rsidR="001024B3">
        <w:t>, in draft CPM19-2 Report, the M</w:t>
      </w:r>
      <w:r w:rsidRPr="00663E3F">
        <w:t>ethod</w:t>
      </w:r>
      <w:r w:rsidR="001024B3">
        <w:t>s</w:t>
      </w:r>
      <w:r w:rsidR="000F0B4B">
        <w:t xml:space="preserve"> </w:t>
      </w:r>
      <w:r w:rsidR="001024B3">
        <w:t>to</w:t>
      </w:r>
      <w:r w:rsidRPr="00663E3F">
        <w:t xml:space="preserve"> satisfy this agenda item in three following approaches:</w:t>
      </w:r>
    </w:p>
    <w:p w:rsidR="00A67B31" w:rsidRDefault="009E1892" w:rsidP="00A67B31">
      <w:pPr>
        <w:numPr>
          <w:ilvl w:val="0"/>
          <w:numId w:val="13"/>
        </w:numPr>
        <w:spacing w:before="120"/>
        <w:jc w:val="both"/>
      </w:pPr>
      <w:r w:rsidRPr="00A67B31">
        <w:rPr>
          <w:b/>
          <w:bCs/>
          <w:lang w:val="en-GB"/>
        </w:rPr>
        <w:t>Approach A:</w:t>
      </w:r>
      <w:r w:rsidR="00A67B31">
        <w:rPr>
          <w:lang w:val="en-GB"/>
        </w:rPr>
        <w:tab/>
      </w:r>
      <w:r w:rsidR="00A67B31">
        <w:rPr>
          <w:lang w:val="en-GB"/>
        </w:rPr>
        <w:br/>
      </w:r>
      <w:r w:rsidR="00A67B31">
        <w:t>T</w:t>
      </w:r>
      <w:r w:rsidR="00A67B31" w:rsidRPr="00265951">
        <w:t>he incorporation by reference to Recommendation ITU</w:t>
      </w:r>
      <w:r w:rsidR="00A67B31" w:rsidRPr="00265951">
        <w:noBreakHyphen/>
        <w:t>R </w:t>
      </w:r>
      <w:r w:rsidR="00A67B31" w:rsidRPr="00C64F80">
        <w:rPr>
          <w:b/>
          <w:bCs/>
        </w:rPr>
        <w:t>M.1638</w:t>
      </w:r>
      <w:r w:rsidR="00A67B31" w:rsidRPr="00C64F80">
        <w:rPr>
          <w:b/>
          <w:bCs/>
        </w:rPr>
        <w:noBreakHyphen/>
        <w:t>0</w:t>
      </w:r>
      <w:r w:rsidR="00A67B31" w:rsidRPr="00265951">
        <w:t xml:space="preserve"> should not be updated to Recommendation ITU</w:t>
      </w:r>
      <w:r w:rsidR="00A67B31" w:rsidRPr="00265951">
        <w:noBreakHyphen/>
        <w:t xml:space="preserve">R </w:t>
      </w:r>
      <w:r w:rsidR="00A67B31" w:rsidRPr="00C64F80">
        <w:rPr>
          <w:b/>
          <w:bCs/>
        </w:rPr>
        <w:t>M.1638</w:t>
      </w:r>
      <w:r w:rsidR="00A67B31" w:rsidRPr="00C64F80">
        <w:rPr>
          <w:b/>
          <w:bCs/>
        </w:rPr>
        <w:noBreakHyphen/>
        <w:t>1</w:t>
      </w:r>
      <w:r w:rsidR="00A67B31" w:rsidRPr="00265951">
        <w:t xml:space="preserve"> in</w:t>
      </w:r>
      <w:r w:rsidR="00A67B31" w:rsidRPr="00265951">
        <w:rPr>
          <w:lang w:eastAsia="ja-JP"/>
        </w:rPr>
        <w:t xml:space="preserve"> RR Nos. </w:t>
      </w:r>
      <w:r w:rsidR="00A67B31" w:rsidRPr="00265951">
        <w:rPr>
          <w:rStyle w:val="Artref"/>
          <w:b/>
          <w:bCs/>
        </w:rPr>
        <w:t>5.447F</w:t>
      </w:r>
      <w:r w:rsidR="00A67B31" w:rsidRPr="00265951">
        <w:rPr>
          <w:lang w:eastAsia="ja-JP"/>
        </w:rPr>
        <w:t xml:space="preserve">and </w:t>
      </w:r>
      <w:r w:rsidR="00A67B31" w:rsidRPr="00265951">
        <w:rPr>
          <w:rStyle w:val="Artref"/>
          <w:b/>
          <w:bCs/>
        </w:rPr>
        <w:t>5.450A</w:t>
      </w:r>
      <w:r w:rsidR="00A67B31" w:rsidRPr="00265951">
        <w:rPr>
          <w:lang w:eastAsia="ja-JP"/>
        </w:rPr>
        <w:t xml:space="preserve"> until further studies are completed.</w:t>
      </w:r>
      <w:r w:rsidR="00A67B31">
        <w:rPr>
          <w:lang w:eastAsia="ja-JP"/>
        </w:rPr>
        <w:tab/>
      </w:r>
      <w:r w:rsidR="00A67B31">
        <w:rPr>
          <w:lang w:eastAsia="ja-JP"/>
        </w:rPr>
        <w:br/>
        <w:t>A</w:t>
      </w:r>
      <w:r w:rsidR="00A67B31" w:rsidRPr="00265951">
        <w:t xml:space="preserve"> reference to Recommendation ITU-R </w:t>
      </w:r>
      <w:r w:rsidR="00A67B31" w:rsidRPr="00C64F80">
        <w:rPr>
          <w:b/>
          <w:bCs/>
        </w:rPr>
        <w:t>M.1849-1</w:t>
      </w:r>
      <w:r w:rsidR="00A67B31" w:rsidRPr="00265951">
        <w:t xml:space="preserve"> in RR No. </w:t>
      </w:r>
      <w:r w:rsidR="00A67B31" w:rsidRPr="00265951">
        <w:rPr>
          <w:b/>
        </w:rPr>
        <w:t>5.450A</w:t>
      </w:r>
      <w:r w:rsidR="00A67B31" w:rsidRPr="00265951">
        <w:t xml:space="preserve"> would not impact the coexistence between radars WAS/RLAN in the</w:t>
      </w:r>
      <w:r w:rsidR="00A67B31">
        <w:t xml:space="preserve"> frequency band 5 470-5 725 MHz;</w:t>
      </w:r>
    </w:p>
    <w:p w:rsidR="009E1892" w:rsidRPr="004D1C36" w:rsidRDefault="009E1892" w:rsidP="008600F3">
      <w:pPr>
        <w:numPr>
          <w:ilvl w:val="0"/>
          <w:numId w:val="13"/>
        </w:numPr>
        <w:jc w:val="both"/>
        <w:rPr>
          <w:rtl/>
          <w:lang w:bidi="fa-IR"/>
        </w:rPr>
      </w:pPr>
      <w:r w:rsidRPr="00C8234F">
        <w:rPr>
          <w:b/>
          <w:bCs/>
          <w:lang w:val="en-GB"/>
        </w:rPr>
        <w:t>Approach B:</w:t>
      </w:r>
      <w:r w:rsidR="00C8234F">
        <w:rPr>
          <w:lang w:val="en-GB"/>
        </w:rPr>
        <w:tab/>
      </w:r>
      <w:r w:rsidR="00C8234F">
        <w:rPr>
          <w:lang w:val="en-GB"/>
        </w:rPr>
        <w:br/>
      </w:r>
      <w:r w:rsidRPr="004D1C36">
        <w:rPr>
          <w:lang w:val="en-GB"/>
        </w:rPr>
        <w:t xml:space="preserve"> To delete the second sentence of the footnotes, where the Recommendations are referenced, and introduce the sentence “No. </w:t>
      </w:r>
      <w:r w:rsidRPr="0048732B">
        <w:rPr>
          <w:b/>
          <w:bCs/>
          <w:lang w:val="en-GB"/>
        </w:rPr>
        <w:t>5.43A</w:t>
      </w:r>
      <w:r w:rsidRPr="004D1C36">
        <w:rPr>
          <w:lang w:val="en-GB"/>
        </w:rPr>
        <w:t xml:space="preserve"> does not apply</w:t>
      </w:r>
      <w:r w:rsidR="008600F3">
        <w:rPr>
          <w:lang w:val="en-GB"/>
        </w:rPr>
        <w:t>.</w:t>
      </w:r>
      <w:r w:rsidRPr="004D1C36">
        <w:rPr>
          <w:lang w:val="en-GB"/>
        </w:rPr>
        <w:t>”</w:t>
      </w:r>
      <w:r w:rsidR="008600F3">
        <w:rPr>
          <w:lang w:val="en-GB"/>
        </w:rPr>
        <w:t xml:space="preserve"> Therefore, </w:t>
      </w:r>
      <w:r w:rsidR="008600F3" w:rsidRPr="00265951">
        <w:rPr>
          <w:lang w:eastAsia="zh-CN"/>
        </w:rPr>
        <w:t xml:space="preserve">the coexistence between WAS/RLAN and radars is driven by Resolution </w:t>
      </w:r>
      <w:r w:rsidR="008600F3" w:rsidRPr="00265951">
        <w:rPr>
          <w:b/>
          <w:lang w:eastAsia="zh-CN"/>
        </w:rPr>
        <w:t>229 (Rev.WRC-12)</w:t>
      </w:r>
      <w:r w:rsidR="008600F3">
        <w:rPr>
          <w:b/>
          <w:lang w:eastAsia="zh-CN"/>
        </w:rPr>
        <w:t>;</w:t>
      </w:r>
    </w:p>
    <w:p w:rsidR="009E1892" w:rsidRPr="004D1C36" w:rsidRDefault="009E1892" w:rsidP="00CA750A">
      <w:pPr>
        <w:numPr>
          <w:ilvl w:val="0"/>
          <w:numId w:val="13"/>
        </w:numPr>
        <w:jc w:val="both"/>
        <w:rPr>
          <w:rtl/>
          <w:lang w:bidi="fa-IR"/>
        </w:rPr>
      </w:pPr>
      <w:r w:rsidRPr="008600F3">
        <w:rPr>
          <w:b/>
          <w:bCs/>
          <w:lang w:val="en-GB"/>
        </w:rPr>
        <w:t>Approach C:</w:t>
      </w:r>
      <w:r w:rsidR="008600F3">
        <w:rPr>
          <w:lang w:val="en-GB"/>
        </w:rPr>
        <w:tab/>
      </w:r>
      <w:r w:rsidR="008600F3">
        <w:rPr>
          <w:lang w:val="en-GB"/>
        </w:rPr>
        <w:tab/>
      </w:r>
      <w:r w:rsidR="008600F3">
        <w:rPr>
          <w:lang w:val="en-GB"/>
        </w:rPr>
        <w:br/>
      </w:r>
      <w:r w:rsidRPr="004D1C36">
        <w:rPr>
          <w:lang w:val="en-GB"/>
        </w:rPr>
        <w:t>No change to the Radio Regulations</w:t>
      </w:r>
    </w:p>
    <w:p w:rsidR="00663E3F" w:rsidRDefault="00663E3F" w:rsidP="000A5418">
      <w:pPr>
        <w:jc w:val="both"/>
        <w:rPr>
          <w:b/>
        </w:rPr>
      </w:pPr>
    </w:p>
    <w:p w:rsidR="00CA750A" w:rsidRPr="000A5418" w:rsidRDefault="00CA750A" w:rsidP="00CA750A">
      <w:pPr>
        <w:spacing w:after="120"/>
        <w:jc w:val="both"/>
        <w:rPr>
          <w:b/>
        </w:rPr>
      </w:pPr>
      <w:r w:rsidRPr="000A5418">
        <w:rPr>
          <w:b/>
        </w:rPr>
        <w:t>2. Preliminary Views</w:t>
      </w:r>
      <w:r>
        <w:rPr>
          <w:b/>
        </w:rPr>
        <w:t xml:space="preserve"> of I.R. of Iran</w:t>
      </w:r>
    </w:p>
    <w:p w:rsidR="00CA750A" w:rsidRDefault="00CA750A" w:rsidP="001F668C">
      <w:pPr>
        <w:spacing w:after="60"/>
        <w:jc w:val="both"/>
        <w:rPr>
          <w:lang w:eastAsia="ja-JP"/>
        </w:rPr>
      </w:pPr>
      <w:r>
        <w:rPr>
          <w:rFonts w:eastAsia="Malgun Gothic"/>
          <w:bCs/>
          <w:snapToGrid w:val="0"/>
          <w:lang w:eastAsia="ko-KR"/>
        </w:rPr>
        <w:t>This Administration</w:t>
      </w:r>
      <w:r w:rsidRPr="0076337F">
        <w:rPr>
          <w:rFonts w:eastAsia="Malgun Gothic"/>
          <w:bCs/>
          <w:snapToGrid w:val="0"/>
          <w:lang w:eastAsia="ko-KR"/>
        </w:rPr>
        <w:t xml:space="preserve"> supports ITU-R studies</w:t>
      </w:r>
      <w:r w:rsidRPr="00721519">
        <w:rPr>
          <w:rFonts w:eastAsia="Malgun Gothic"/>
          <w:bCs/>
          <w:snapToGrid w:val="0"/>
          <w:lang w:eastAsia="ko-KR"/>
        </w:rPr>
        <w:t xml:space="preserve"> on </w:t>
      </w:r>
      <w:r>
        <w:rPr>
          <w:rFonts w:eastAsia="Malgun Gothic"/>
          <w:bCs/>
          <w:snapToGrid w:val="0"/>
          <w:lang w:eastAsia="ko-KR"/>
        </w:rPr>
        <w:t xml:space="preserve">this agenda item and is of view that the </w:t>
      </w:r>
      <w:r w:rsidR="006C2046">
        <w:rPr>
          <w:rFonts w:eastAsia="Malgun Gothic"/>
          <w:bCs/>
          <w:snapToGrid w:val="0"/>
          <w:lang w:eastAsia="ko-KR"/>
        </w:rPr>
        <w:t xml:space="preserve">Approach B would be more </w:t>
      </w:r>
      <w:r w:rsidR="001F668C">
        <w:rPr>
          <w:rFonts w:eastAsia="Malgun Gothic"/>
          <w:bCs/>
          <w:snapToGrid w:val="0"/>
          <w:lang w:eastAsia="ko-KR"/>
        </w:rPr>
        <w:t xml:space="preserve">appropriate to remove redundant conditions. By means of Approach B, the reference to </w:t>
      </w:r>
      <w:r w:rsidR="006C2046">
        <w:rPr>
          <w:rFonts w:eastAsia="Malgun Gothic"/>
          <w:bCs/>
          <w:snapToGrid w:val="0"/>
          <w:lang w:eastAsia="ko-KR"/>
        </w:rPr>
        <w:t xml:space="preserve">the </w:t>
      </w:r>
      <w:r w:rsidR="001F668C">
        <w:rPr>
          <w:rFonts w:eastAsia="Malgun Gothic"/>
          <w:bCs/>
          <w:snapToGrid w:val="0"/>
          <w:lang w:eastAsia="ko-KR"/>
        </w:rPr>
        <w:t xml:space="preserve">incorporated </w:t>
      </w:r>
      <w:r w:rsidR="006C2046">
        <w:rPr>
          <w:rFonts w:eastAsia="Malgun Gothic"/>
          <w:bCs/>
          <w:snapToGrid w:val="0"/>
          <w:lang w:eastAsia="ko-KR"/>
        </w:rPr>
        <w:t xml:space="preserve">recommendations </w:t>
      </w:r>
      <w:r w:rsidR="001F668C">
        <w:rPr>
          <w:rFonts w:eastAsia="Malgun Gothic"/>
          <w:bCs/>
          <w:snapToGrid w:val="0"/>
          <w:lang w:eastAsia="ko-KR"/>
        </w:rPr>
        <w:t xml:space="preserve">would be removed </w:t>
      </w:r>
      <w:r w:rsidR="006C2046">
        <w:rPr>
          <w:rFonts w:eastAsia="Malgun Gothic"/>
          <w:bCs/>
          <w:snapToGrid w:val="0"/>
          <w:lang w:eastAsia="ko-KR"/>
        </w:rPr>
        <w:t xml:space="preserve">and </w:t>
      </w:r>
      <w:r w:rsidR="001F668C" w:rsidRPr="006C2046">
        <w:rPr>
          <w:lang w:eastAsia="zh-CN"/>
        </w:rPr>
        <w:t xml:space="preserve">Resolution </w:t>
      </w:r>
      <w:r w:rsidR="001F668C" w:rsidRPr="006C2046">
        <w:rPr>
          <w:b/>
          <w:lang w:eastAsia="zh-CN"/>
        </w:rPr>
        <w:t>229 (Rev.WRC-12)</w:t>
      </w:r>
      <w:r w:rsidR="00E86844">
        <w:rPr>
          <w:bCs/>
          <w:lang w:eastAsia="zh-CN"/>
        </w:rPr>
        <w:t xml:space="preserve"> </w:t>
      </w:r>
      <w:r w:rsidR="001F668C" w:rsidRPr="001F668C">
        <w:rPr>
          <w:bCs/>
          <w:lang w:eastAsia="zh-CN"/>
        </w:rPr>
        <w:t>(</w:t>
      </w:r>
      <w:r w:rsidR="001F668C" w:rsidRPr="001F668C">
        <w:rPr>
          <w:bCs/>
          <w:i/>
          <w:iCs/>
          <w:lang w:eastAsia="zh-CN"/>
        </w:rPr>
        <w:t>resolves</w:t>
      </w:r>
      <w:r w:rsidR="00E86844">
        <w:rPr>
          <w:bCs/>
          <w:lang w:eastAsia="zh-CN"/>
        </w:rPr>
        <w:t xml:space="preserve"> </w:t>
      </w:r>
      <w:r w:rsidR="001F668C">
        <w:rPr>
          <w:bCs/>
          <w:lang w:eastAsia="zh-CN"/>
        </w:rPr>
        <w:t>6</w:t>
      </w:r>
      <w:r w:rsidR="001F668C" w:rsidRPr="001F668C">
        <w:rPr>
          <w:bCs/>
          <w:lang w:eastAsia="zh-CN"/>
        </w:rPr>
        <w:t xml:space="preserve"> and 8)</w:t>
      </w:r>
      <w:r w:rsidR="001F668C">
        <w:rPr>
          <w:bCs/>
          <w:lang w:eastAsia="zh-CN"/>
        </w:rPr>
        <w:t xml:space="preserve"> determines </w:t>
      </w:r>
      <w:r w:rsidR="006C2046" w:rsidRPr="006C2046">
        <w:rPr>
          <w:lang w:eastAsia="zh-CN"/>
        </w:rPr>
        <w:t>the conditions of coexiste</w:t>
      </w:r>
      <w:r w:rsidR="001F668C">
        <w:rPr>
          <w:lang w:eastAsia="zh-CN"/>
        </w:rPr>
        <w:t>nce between WAS/RLAN and radars</w:t>
      </w:r>
      <w:r w:rsidRPr="006C2046">
        <w:rPr>
          <w:lang w:eastAsia="ja-JP"/>
        </w:rPr>
        <w:t>.</w:t>
      </w:r>
    </w:p>
    <w:p w:rsidR="00C64F80" w:rsidRDefault="00C64F80">
      <w:pPr>
        <w:rPr>
          <w:b/>
        </w:rPr>
      </w:pPr>
      <w:r>
        <w:rPr>
          <w:b/>
        </w:rPr>
        <w:br w:type="page"/>
      </w:r>
    </w:p>
    <w:p w:rsidR="00C64F80" w:rsidRDefault="00C64F80" w:rsidP="008A3D63">
      <w:pPr>
        <w:rPr>
          <w:b/>
        </w:rPr>
      </w:pPr>
    </w:p>
    <w:p w:rsidR="008A3D63" w:rsidRDefault="008A3D63" w:rsidP="008A3D63">
      <w:pPr>
        <w:rPr>
          <w:b/>
        </w:rPr>
      </w:pPr>
      <w:r>
        <w:rPr>
          <w:b/>
        </w:rPr>
        <w:t xml:space="preserve">Agenda Item 9   </w:t>
      </w:r>
      <w:r w:rsidRPr="00696487">
        <w:rPr>
          <w:i/>
          <w:iCs/>
          <w:color w:val="000000"/>
          <w:kern w:val="24"/>
          <w:lang w:val="en-GB"/>
        </w:rPr>
        <w:t xml:space="preserve">to consider and approve the Report of the Director of the Radiocommunication Bureau, in accordance with </w:t>
      </w:r>
      <w:r w:rsidRPr="00696487">
        <w:rPr>
          <w:b/>
          <w:bCs/>
          <w:i/>
          <w:iCs/>
          <w:color w:val="000000"/>
          <w:kern w:val="24"/>
          <w:lang w:val="en-GB"/>
        </w:rPr>
        <w:t>Article 7</w:t>
      </w:r>
      <w:r w:rsidRPr="00696487">
        <w:rPr>
          <w:i/>
          <w:iCs/>
          <w:color w:val="000000"/>
          <w:kern w:val="24"/>
          <w:lang w:val="en-GB"/>
        </w:rPr>
        <w:t xml:space="preserve"> of the Convention:</w:t>
      </w:r>
    </w:p>
    <w:p w:rsidR="008A3D63" w:rsidRDefault="008A3D63" w:rsidP="008A3D63">
      <w:pPr>
        <w:spacing w:after="120"/>
        <w:jc w:val="both"/>
        <w:rPr>
          <w:i/>
          <w:iCs/>
          <w:color w:val="000000"/>
          <w:kern w:val="24"/>
          <w:lang w:val="en-GB"/>
        </w:rPr>
      </w:pPr>
      <w:r>
        <w:rPr>
          <w:b/>
        </w:rPr>
        <w:t xml:space="preserve">9.1.    </w:t>
      </w:r>
      <w:r w:rsidRPr="00696487">
        <w:rPr>
          <w:i/>
          <w:iCs/>
          <w:color w:val="000000"/>
          <w:kern w:val="24"/>
          <w:lang w:val="en-GB"/>
        </w:rPr>
        <w:t xml:space="preserve">on the activities of the Radiocommunication Sector since </w:t>
      </w:r>
      <w:r w:rsidRPr="00C64F80">
        <w:rPr>
          <w:b/>
          <w:bCs/>
          <w:i/>
          <w:iCs/>
          <w:color w:val="000000"/>
          <w:kern w:val="24"/>
          <w:lang w:val="en-GB"/>
        </w:rPr>
        <w:t>WRC-15</w:t>
      </w:r>
      <w:r w:rsidRPr="00696487">
        <w:rPr>
          <w:i/>
          <w:iCs/>
          <w:color w:val="000000"/>
          <w:kern w:val="24"/>
          <w:lang w:val="en-GB"/>
        </w:rPr>
        <w:t>;</w:t>
      </w:r>
    </w:p>
    <w:p w:rsidR="008A3D63" w:rsidRPr="00696487" w:rsidRDefault="008A3D63" w:rsidP="008A3D63">
      <w:pPr>
        <w:pStyle w:val="NormalWeb"/>
        <w:overflowPunct w:val="0"/>
        <w:spacing w:before="0" w:beforeAutospacing="0" w:after="0" w:afterAutospacing="0"/>
      </w:pPr>
      <w:r w:rsidRPr="00696487">
        <w:rPr>
          <w:rFonts w:eastAsia="Calibri"/>
          <w:b/>
          <w:bCs/>
          <w:color w:val="000000"/>
          <w:kern w:val="24"/>
          <w:lang w:val="en-GB"/>
        </w:rPr>
        <w:t>Issue 9.1.</w:t>
      </w:r>
      <w:r>
        <w:rPr>
          <w:rFonts w:eastAsia="Calibri"/>
          <w:b/>
          <w:bCs/>
          <w:color w:val="000000"/>
          <w:kern w:val="24"/>
          <w:lang w:val="en-GB"/>
        </w:rPr>
        <w:t>8</w:t>
      </w:r>
      <w:r w:rsidRPr="00696487">
        <w:rPr>
          <w:rFonts w:eastAsia="Calibri"/>
          <w:b/>
          <w:bCs/>
          <w:color w:val="000000"/>
          <w:kern w:val="24"/>
          <w:lang w:val="en-GB"/>
        </w:rPr>
        <w:t>:</w:t>
      </w:r>
      <w:r w:rsidRPr="00696487">
        <w:rPr>
          <w:b/>
          <w:bCs/>
          <w:color w:val="000000"/>
          <w:kern w:val="24"/>
          <w:lang w:val="en-GB"/>
        </w:rPr>
        <w:tab/>
      </w:r>
      <w:r w:rsidRPr="008A3D63">
        <w:rPr>
          <w:b/>
          <w:bCs/>
          <w:kern w:val="24"/>
          <w:lang w:val="en-GB"/>
        </w:rPr>
        <w:t xml:space="preserve">Issue 3) in the Annex to </w:t>
      </w:r>
      <w:r w:rsidRPr="006666A6">
        <w:rPr>
          <w:b/>
          <w:bCs/>
          <w:kern w:val="24"/>
          <w:lang w:val="en-GB"/>
        </w:rPr>
        <w:t xml:space="preserve">Resolution </w:t>
      </w:r>
      <w:r>
        <w:rPr>
          <w:b/>
          <w:bCs/>
          <w:kern w:val="24"/>
          <w:lang w:val="en-GB"/>
        </w:rPr>
        <w:t>958</w:t>
      </w:r>
      <w:r w:rsidRPr="00696487">
        <w:rPr>
          <w:b/>
          <w:bCs/>
          <w:color w:val="000000"/>
          <w:kern w:val="24"/>
          <w:lang w:val="en-GB"/>
        </w:rPr>
        <w:t xml:space="preserve"> (WRC-15)</w:t>
      </w:r>
    </w:p>
    <w:p w:rsidR="008A3D63" w:rsidRPr="00265951" w:rsidRDefault="008A3D63" w:rsidP="008A3D63">
      <w:pPr>
        <w:rPr>
          <w:i/>
          <w:iCs/>
        </w:rPr>
      </w:pPr>
      <w:r w:rsidRPr="00265951">
        <w:rPr>
          <w:i/>
          <w:iCs/>
        </w:rPr>
        <w:t xml:space="preserve">Urgent studies required in preparation for the 2019 World Radiocommunication Conference </w:t>
      </w:r>
    </w:p>
    <w:p w:rsidR="000A5418" w:rsidRDefault="008A3D63" w:rsidP="008A3D63">
      <w:pPr>
        <w:jc w:val="both"/>
        <w:rPr>
          <w:i/>
          <w:iCs/>
        </w:rPr>
      </w:pPr>
      <w:r w:rsidRPr="00265951">
        <w:rPr>
          <w:i/>
          <w:iCs/>
        </w:rPr>
        <w:t>3)</w:t>
      </w:r>
      <w:r w:rsidRPr="00265951">
        <w:rPr>
          <w:i/>
          <w:iCs/>
        </w:rPr>
        <w:tab/>
        <w:t>Studies on the technical and operational aspects of radio networks and systems, as well as spectrum needed, including possible harmonized use of spectrum to support the implementation of narrowband and broadband machine-type communication infrastructures, in order to develop Recommendations, Reports and/or Handbooks, as appropriate, and to take appropriate actions within the ITU Radiocommunication Sector (ITU-R) scope of work.</w:t>
      </w:r>
    </w:p>
    <w:p w:rsidR="000A5418" w:rsidRDefault="000A5418" w:rsidP="000A5418">
      <w:pPr>
        <w:jc w:val="both"/>
      </w:pPr>
    </w:p>
    <w:p w:rsidR="000A5418" w:rsidRPr="00A30FA5" w:rsidRDefault="000A5418" w:rsidP="000A5418">
      <w:pPr>
        <w:spacing w:after="120"/>
        <w:jc w:val="both"/>
        <w:rPr>
          <w:b/>
          <w:lang w:eastAsia="ko-KR"/>
        </w:rPr>
      </w:pPr>
      <w:r w:rsidRPr="00A30FA5">
        <w:rPr>
          <w:rFonts w:hint="eastAsia"/>
          <w:b/>
          <w:lang w:eastAsia="ko-KR"/>
        </w:rPr>
        <w:t>1. Background</w:t>
      </w:r>
    </w:p>
    <w:p w:rsidR="008A3D63" w:rsidRPr="00265951" w:rsidRDefault="008A3D63" w:rsidP="008A3D63">
      <w:r w:rsidRPr="00265951">
        <w:t xml:space="preserve">Machine Type Communications (MTC), which are also known as Machine-to-Machine (M2M) communications or Internet of Things (IoT), describe communication between devices </w:t>
      </w:r>
      <w:r w:rsidRPr="00265951">
        <w:rPr>
          <w:iCs/>
        </w:rPr>
        <w:t xml:space="preserve">that </w:t>
      </w:r>
      <w:r w:rsidRPr="00265951">
        <w:t>do not require human intervention. An increasingly large number of MTC devices, with a range of performance and operational requirements, are expected to communicate due to further improvements of low-cost and low complexity device types</w:t>
      </w:r>
      <w:r w:rsidRPr="00265951">
        <w:rPr>
          <w:iCs/>
        </w:rPr>
        <w:t xml:space="preserve"> requiring high reliability techniques</w:t>
      </w:r>
      <w:r w:rsidRPr="00265951">
        <w:t xml:space="preserve">, for instance in the field of traffic safety, traffic efficiency, smart grid, e-health, wireless industry automation, augmented reality, remote tactile control and tele-protection. </w:t>
      </w:r>
    </w:p>
    <w:p w:rsidR="000A5418" w:rsidRDefault="008A3D63" w:rsidP="00C64F80">
      <w:pPr>
        <w:spacing w:before="120"/>
        <w:jc w:val="both"/>
      </w:pPr>
      <w:r w:rsidRPr="00265951">
        <w:t>The results of ITU-R studies of the current and future spectrum use for narrowband and broadband MTC performed, as expressed in Resolution </w:t>
      </w:r>
      <w:r w:rsidRPr="00265951">
        <w:rPr>
          <w:b/>
          <w:bCs/>
        </w:rPr>
        <w:t>958 (WRC-15)</w:t>
      </w:r>
      <w:r w:rsidRPr="00265951">
        <w:t>, concluded that there is no need for any regulatory action in the Radio Regulations with regard to specific spectrum intended for use by those applications. Nonetheless, there are other mechanisms</w:t>
      </w:r>
      <w:r w:rsidRPr="00265951">
        <w:rPr>
          <w:iCs/>
        </w:rPr>
        <w:t>,</w:t>
      </w:r>
      <w:r w:rsidRPr="00265951">
        <w:t xml:space="preserve"> which could facilitate the harmonized use of spectrum to support the implementation of narrowband and broadband MTC infrastructures</w:t>
      </w:r>
      <w:r w:rsidRPr="00265951">
        <w:rPr>
          <w:iCs/>
        </w:rPr>
        <w:t>,</w:t>
      </w:r>
      <w:r w:rsidRPr="00265951">
        <w:t xml:space="preserve"> including ITU-R Recommendations or Reports.</w:t>
      </w:r>
    </w:p>
    <w:p w:rsidR="000A5418" w:rsidRDefault="000A5418" w:rsidP="000A5418">
      <w:pPr>
        <w:jc w:val="both"/>
      </w:pPr>
    </w:p>
    <w:p w:rsidR="008A3D63" w:rsidRPr="000A5418" w:rsidRDefault="008A3D63" w:rsidP="008A3D63">
      <w:pPr>
        <w:spacing w:after="120"/>
        <w:jc w:val="both"/>
        <w:rPr>
          <w:b/>
        </w:rPr>
      </w:pPr>
      <w:r w:rsidRPr="000A5418">
        <w:rPr>
          <w:b/>
        </w:rPr>
        <w:t>2. Preliminary Views</w:t>
      </w:r>
      <w:r>
        <w:rPr>
          <w:b/>
        </w:rPr>
        <w:t xml:space="preserve"> of I.R. of Iran</w:t>
      </w:r>
    </w:p>
    <w:p w:rsidR="00D1252E" w:rsidRDefault="008A3D63" w:rsidP="000A5418">
      <w:pPr>
        <w:jc w:val="both"/>
      </w:pPr>
      <w:r>
        <w:t xml:space="preserve">Identical to APT Preliminary View provided in the Document </w:t>
      </w:r>
      <w:r w:rsidRPr="008A3D63">
        <w:t>APG19-3/OUT-12</w:t>
      </w:r>
    </w:p>
    <w:p w:rsidR="00D1252E" w:rsidRDefault="00D1252E" w:rsidP="009A4A6D">
      <w:pPr>
        <w:jc w:val="center"/>
      </w:pPr>
    </w:p>
    <w:p w:rsidR="00D1252E" w:rsidRDefault="00D1252E" w:rsidP="009A4A6D">
      <w:pPr>
        <w:jc w:val="center"/>
      </w:pPr>
    </w:p>
    <w:p w:rsidR="00D1252E" w:rsidRDefault="00D1252E" w:rsidP="009A4A6D">
      <w:pPr>
        <w:jc w:val="center"/>
      </w:pPr>
    </w:p>
    <w:p w:rsidR="00DA7595" w:rsidRPr="009A4A6D" w:rsidRDefault="00C357AD" w:rsidP="009A4A6D">
      <w:pPr>
        <w:jc w:val="center"/>
        <w:rPr>
          <w:snapToGrid w:val="0"/>
        </w:rPr>
      </w:pPr>
      <w:r>
        <w:t>____________</w:t>
      </w:r>
    </w:p>
    <w:sectPr w:rsidR="00DA7595" w:rsidRPr="009A4A6D" w:rsidSect="00DB0A68">
      <w:headerReference w:type="default" r:id="rId11"/>
      <w:footerReference w:type="even" r:id="rId12"/>
      <w:footerReference w:type="default" r:id="rId13"/>
      <w:footerReference w:type="first" r:id="rId14"/>
      <w:pgSz w:w="11909" w:h="16834" w:code="9"/>
      <w:pgMar w:top="1195" w:right="1152" w:bottom="113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DF6" w:rsidRDefault="00A73DF6">
      <w:r>
        <w:separator/>
      </w:r>
    </w:p>
  </w:endnote>
  <w:endnote w:type="continuationSeparator" w:id="0">
    <w:p w:rsidR="00A73DF6" w:rsidRDefault="00A73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ulimChe">
    <w:panose1 w:val="020B0609000101010101"/>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BatangChe">
    <w:altName w:val="Arial Unicode MS"/>
    <w:panose1 w:val="02030609000101010101"/>
    <w:charset w:val="81"/>
    <w:family w:val="modern"/>
    <w:pitch w:val="fixed"/>
    <w:sig w:usb0="00000000"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892" w:rsidRDefault="00EC79C0" w:rsidP="002C07DA">
    <w:pPr>
      <w:pStyle w:val="Footer"/>
      <w:framePr w:wrap="around" w:vAnchor="text" w:hAnchor="margin" w:xAlign="right" w:y="1"/>
      <w:rPr>
        <w:rStyle w:val="PageNumber"/>
      </w:rPr>
    </w:pPr>
    <w:r>
      <w:rPr>
        <w:rStyle w:val="PageNumber"/>
      </w:rPr>
      <w:fldChar w:fldCharType="begin"/>
    </w:r>
    <w:r w:rsidR="009E1892">
      <w:rPr>
        <w:rStyle w:val="PageNumber"/>
      </w:rPr>
      <w:instrText xml:space="preserve">PAGE  </w:instrText>
    </w:r>
    <w:r>
      <w:rPr>
        <w:rStyle w:val="PageNumber"/>
      </w:rPr>
      <w:fldChar w:fldCharType="end"/>
    </w:r>
  </w:p>
  <w:p w:rsidR="009E1892" w:rsidRDefault="009E1892"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892" w:rsidRDefault="009E1892" w:rsidP="001A25A5">
    <w:pPr>
      <w:pStyle w:val="Footer"/>
      <w:ind w:right="360"/>
    </w:pPr>
    <w:r>
      <w:rPr>
        <w:rFonts w:hint="eastAsia"/>
        <w:lang w:eastAsia="ko-KR"/>
      </w:rPr>
      <w:t>A</w:t>
    </w:r>
    <w:r>
      <w:rPr>
        <w:lang w:eastAsia="ko-KR"/>
      </w:rPr>
      <w:t>PG19</w:t>
    </w:r>
    <w:r>
      <w:rPr>
        <w:rFonts w:hint="eastAsia"/>
        <w:lang w:eastAsia="ko-KR"/>
      </w:rPr>
      <w:t>-</w:t>
    </w:r>
    <w:r>
      <w:rPr>
        <w:lang w:eastAsia="ko-KR"/>
      </w:rPr>
      <w:t>4</w:t>
    </w:r>
    <w:r>
      <w:rPr>
        <w:rFonts w:hint="eastAsia"/>
        <w:lang w:eastAsia="ko-KR"/>
      </w:rPr>
      <w:t>/</w:t>
    </w:r>
    <w:r>
      <w:rPr>
        <w:lang w:eastAsia="ko-KR"/>
      </w:rPr>
      <w:t>INP-</w:t>
    </w:r>
    <w:r w:rsidR="00822C72">
      <w:rPr>
        <w:lang w:eastAsia="ko-KR"/>
      </w:rPr>
      <w:t>84</w:t>
    </w:r>
    <w:r>
      <w:rPr>
        <w:lang w:eastAsia="ko-KR"/>
      </w:rPr>
      <w:tab/>
    </w:r>
    <w:r>
      <w:rPr>
        <w:lang w:eastAsia="ko-KR"/>
      </w:rPr>
      <w:tab/>
    </w:r>
    <w:r w:rsidRPr="002C7EA9">
      <w:rPr>
        <w:rStyle w:val="PageNumber"/>
      </w:rPr>
      <w:t xml:space="preserve">Page </w:t>
    </w:r>
    <w:r w:rsidR="00EC79C0" w:rsidRPr="002C7EA9">
      <w:rPr>
        <w:rStyle w:val="PageNumber"/>
      </w:rPr>
      <w:fldChar w:fldCharType="begin"/>
    </w:r>
    <w:r w:rsidRPr="002C7EA9">
      <w:rPr>
        <w:rStyle w:val="PageNumber"/>
      </w:rPr>
      <w:instrText xml:space="preserve"> PAGE </w:instrText>
    </w:r>
    <w:r w:rsidR="00EC79C0" w:rsidRPr="002C7EA9">
      <w:rPr>
        <w:rStyle w:val="PageNumber"/>
      </w:rPr>
      <w:fldChar w:fldCharType="separate"/>
    </w:r>
    <w:r w:rsidR="00156B2D">
      <w:rPr>
        <w:rStyle w:val="PageNumber"/>
        <w:noProof/>
      </w:rPr>
      <w:t>2</w:t>
    </w:r>
    <w:r w:rsidR="00EC79C0" w:rsidRPr="002C7EA9">
      <w:rPr>
        <w:rStyle w:val="PageNumber"/>
      </w:rPr>
      <w:fldChar w:fldCharType="end"/>
    </w:r>
    <w:r w:rsidRPr="002C7EA9">
      <w:rPr>
        <w:rStyle w:val="PageNumber"/>
      </w:rPr>
      <w:t xml:space="preserve"> of </w:t>
    </w:r>
    <w:r w:rsidR="00EC79C0" w:rsidRPr="002C7EA9">
      <w:rPr>
        <w:rStyle w:val="PageNumber"/>
      </w:rPr>
      <w:fldChar w:fldCharType="begin"/>
    </w:r>
    <w:r w:rsidRPr="002C7EA9">
      <w:rPr>
        <w:rStyle w:val="PageNumber"/>
      </w:rPr>
      <w:instrText xml:space="preserve"> NUMPAGES </w:instrText>
    </w:r>
    <w:r w:rsidR="00EC79C0" w:rsidRPr="002C7EA9">
      <w:rPr>
        <w:rStyle w:val="PageNumber"/>
      </w:rPr>
      <w:fldChar w:fldCharType="separate"/>
    </w:r>
    <w:r w:rsidR="00156B2D">
      <w:rPr>
        <w:rStyle w:val="PageNumber"/>
        <w:noProof/>
      </w:rPr>
      <w:t>10</w:t>
    </w:r>
    <w:r w:rsidR="00EC79C0"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8A4543" w:rsidRPr="001A25A5">
      <w:trPr>
        <w:cantSplit/>
        <w:trHeight w:val="204"/>
        <w:jc w:val="center"/>
      </w:trPr>
      <w:tc>
        <w:tcPr>
          <w:tcW w:w="1617" w:type="dxa"/>
          <w:tcBorders>
            <w:top w:val="single" w:sz="12" w:space="0" w:color="auto"/>
          </w:tcBorders>
        </w:tcPr>
        <w:p w:rsidR="008A4543" w:rsidRPr="001A25A5" w:rsidRDefault="008A4543" w:rsidP="00762576">
          <w:pPr>
            <w:rPr>
              <w:b/>
              <w:bCs/>
            </w:rPr>
          </w:pPr>
          <w:r w:rsidRPr="001A25A5">
            <w:rPr>
              <w:b/>
              <w:bCs/>
            </w:rPr>
            <w:t>Contact:</w:t>
          </w:r>
        </w:p>
      </w:tc>
      <w:tc>
        <w:tcPr>
          <w:tcW w:w="4394" w:type="dxa"/>
          <w:tcBorders>
            <w:top w:val="single" w:sz="12" w:space="0" w:color="auto"/>
          </w:tcBorders>
        </w:tcPr>
        <w:p w:rsidR="008A4543" w:rsidRDefault="008A4543" w:rsidP="0004448D">
          <w:pPr>
            <w:pStyle w:val="Equation"/>
            <w:tabs>
              <w:tab w:val="left" w:pos="1191"/>
              <w:tab w:val="left" w:pos="1588"/>
              <w:tab w:val="left" w:pos="1985"/>
            </w:tabs>
            <w:spacing w:before="120"/>
            <w:rPr>
              <w:rFonts w:eastAsia="Batang"/>
              <w:szCs w:val="24"/>
              <w:lang w:eastAsia="ko-KR"/>
            </w:rPr>
          </w:pPr>
          <w:r>
            <w:rPr>
              <w:rFonts w:eastAsia="Batang"/>
              <w:szCs w:val="24"/>
              <w:lang w:eastAsia="ko-KR"/>
            </w:rPr>
            <w:t>ALIREZA DARVISHI</w:t>
          </w:r>
        </w:p>
        <w:p w:rsidR="008A4543" w:rsidRDefault="008A4543">
          <w:pPr>
            <w:pStyle w:val="Equation"/>
            <w:tabs>
              <w:tab w:val="left" w:pos="1191"/>
              <w:tab w:val="left" w:pos="1588"/>
              <w:tab w:val="left" w:pos="1985"/>
            </w:tabs>
            <w:spacing w:before="120"/>
            <w:rPr>
              <w:rFonts w:eastAsia="Batang"/>
              <w:szCs w:val="24"/>
            </w:rPr>
          </w:pPr>
          <w:r>
            <w:rPr>
              <w:rFonts w:eastAsia="Batang"/>
              <w:szCs w:val="24"/>
              <w:lang w:eastAsia="ko-KR"/>
            </w:rPr>
            <w:t>MICT, CRA, I.R. of Iran.</w:t>
          </w:r>
        </w:p>
      </w:tc>
      <w:tc>
        <w:tcPr>
          <w:tcW w:w="3912" w:type="dxa"/>
          <w:tcBorders>
            <w:top w:val="single" w:sz="12" w:space="0" w:color="auto"/>
          </w:tcBorders>
        </w:tcPr>
        <w:p w:rsidR="008A4543" w:rsidRDefault="008A4543">
          <w:pPr>
            <w:rPr>
              <w:lang w:eastAsia="ja-JP"/>
            </w:rPr>
          </w:pPr>
          <w:r>
            <w:t xml:space="preserve">Email: </w:t>
          </w:r>
          <w:r>
            <w:rPr>
              <w:color w:val="000000"/>
              <w:shd w:val="clear" w:color="auto" w:fill="FFFFFF"/>
            </w:rPr>
            <w:t>darvishi@cra.ir</w:t>
          </w:r>
        </w:p>
      </w:tc>
    </w:tr>
  </w:tbl>
  <w:p w:rsidR="009E1892" w:rsidRDefault="009E18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DF6" w:rsidRDefault="00A73DF6">
      <w:r>
        <w:separator/>
      </w:r>
    </w:p>
  </w:footnote>
  <w:footnote w:type="continuationSeparator" w:id="0">
    <w:p w:rsidR="00A73DF6" w:rsidRDefault="00A73DF6">
      <w:r>
        <w:continuationSeparator/>
      </w:r>
    </w:p>
  </w:footnote>
  <w:footnote w:id="1">
    <w:p w:rsidR="009E1892" w:rsidRDefault="009E1892" w:rsidP="00973D2D">
      <w:pPr>
        <w:pStyle w:val="FootnoteText"/>
      </w:pPr>
      <w:r>
        <w:rPr>
          <w:rStyle w:val="FootnoteReference"/>
        </w:rPr>
        <w:footnoteRef/>
      </w:r>
      <w:r>
        <w:t>When conducting studies in the band 24.5-27.5 GHz, to take into account the need to ensure the protection of existing earth stations and the deployment of future receiving earth stations under the EESS (space-to-Earth) and SRS (space-to-Earth) allocation in the frequency band 25.5-27 GHz.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892" w:rsidRDefault="009E1892" w:rsidP="00C15633">
    <w:pPr>
      <w:pStyle w:val="Header"/>
      <w:tabs>
        <w:tab w:val="center" w:pos="4763"/>
        <w:tab w:val="left" w:pos="5820"/>
      </w:tabs>
      <w:rPr>
        <w:lang w:eastAsia="ko-KR"/>
      </w:rPr>
    </w:pPr>
    <w:r>
      <w:rPr>
        <w:lang w:eastAsia="ko-KR"/>
      </w:rPr>
      <w:tab/>
    </w:r>
  </w:p>
  <w:p w:rsidR="009E1892" w:rsidRDefault="009E1892" w:rsidP="00AD7E5F">
    <w:pPr>
      <w:pStyle w:val="Header"/>
      <w:tabs>
        <w:tab w:val="center" w:pos="4763"/>
        <w:tab w:val="left" w:pos="582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E6A6D"/>
    <w:multiLevelType w:val="hybridMultilevel"/>
    <w:tmpl w:val="4830B2CC"/>
    <w:lvl w:ilvl="0" w:tplc="DC846AE6">
      <w:start w:val="1"/>
      <w:numFmt w:val="bullet"/>
      <w:lvlText w:val="•"/>
      <w:lvlJc w:val="left"/>
      <w:pPr>
        <w:tabs>
          <w:tab w:val="num" w:pos="720"/>
        </w:tabs>
        <w:ind w:left="720" w:hanging="360"/>
      </w:pPr>
      <w:rPr>
        <w:rFonts w:ascii="Arial" w:hAnsi="Arial" w:hint="default"/>
      </w:rPr>
    </w:lvl>
    <w:lvl w:ilvl="1" w:tplc="83BEA4A4" w:tentative="1">
      <w:start w:val="1"/>
      <w:numFmt w:val="bullet"/>
      <w:lvlText w:val="•"/>
      <w:lvlJc w:val="left"/>
      <w:pPr>
        <w:tabs>
          <w:tab w:val="num" w:pos="1440"/>
        </w:tabs>
        <w:ind w:left="1440" w:hanging="360"/>
      </w:pPr>
      <w:rPr>
        <w:rFonts w:ascii="Arial" w:hAnsi="Arial" w:hint="default"/>
      </w:rPr>
    </w:lvl>
    <w:lvl w:ilvl="2" w:tplc="B1FECCE4" w:tentative="1">
      <w:start w:val="1"/>
      <w:numFmt w:val="bullet"/>
      <w:lvlText w:val="•"/>
      <w:lvlJc w:val="left"/>
      <w:pPr>
        <w:tabs>
          <w:tab w:val="num" w:pos="2160"/>
        </w:tabs>
        <w:ind w:left="2160" w:hanging="360"/>
      </w:pPr>
      <w:rPr>
        <w:rFonts w:ascii="Arial" w:hAnsi="Arial" w:hint="default"/>
      </w:rPr>
    </w:lvl>
    <w:lvl w:ilvl="3" w:tplc="F9C6E8EE" w:tentative="1">
      <w:start w:val="1"/>
      <w:numFmt w:val="bullet"/>
      <w:lvlText w:val="•"/>
      <w:lvlJc w:val="left"/>
      <w:pPr>
        <w:tabs>
          <w:tab w:val="num" w:pos="2880"/>
        </w:tabs>
        <w:ind w:left="2880" w:hanging="360"/>
      </w:pPr>
      <w:rPr>
        <w:rFonts w:ascii="Arial" w:hAnsi="Arial" w:hint="default"/>
      </w:rPr>
    </w:lvl>
    <w:lvl w:ilvl="4" w:tplc="6F929E30" w:tentative="1">
      <w:start w:val="1"/>
      <w:numFmt w:val="bullet"/>
      <w:lvlText w:val="•"/>
      <w:lvlJc w:val="left"/>
      <w:pPr>
        <w:tabs>
          <w:tab w:val="num" w:pos="3600"/>
        </w:tabs>
        <w:ind w:left="3600" w:hanging="360"/>
      </w:pPr>
      <w:rPr>
        <w:rFonts w:ascii="Arial" w:hAnsi="Arial" w:hint="default"/>
      </w:rPr>
    </w:lvl>
    <w:lvl w:ilvl="5" w:tplc="36B4009C" w:tentative="1">
      <w:start w:val="1"/>
      <w:numFmt w:val="bullet"/>
      <w:lvlText w:val="•"/>
      <w:lvlJc w:val="left"/>
      <w:pPr>
        <w:tabs>
          <w:tab w:val="num" w:pos="4320"/>
        </w:tabs>
        <w:ind w:left="4320" w:hanging="360"/>
      </w:pPr>
      <w:rPr>
        <w:rFonts w:ascii="Arial" w:hAnsi="Arial" w:hint="default"/>
      </w:rPr>
    </w:lvl>
    <w:lvl w:ilvl="6" w:tplc="BA70FA20" w:tentative="1">
      <w:start w:val="1"/>
      <w:numFmt w:val="bullet"/>
      <w:lvlText w:val="•"/>
      <w:lvlJc w:val="left"/>
      <w:pPr>
        <w:tabs>
          <w:tab w:val="num" w:pos="5040"/>
        </w:tabs>
        <w:ind w:left="5040" w:hanging="360"/>
      </w:pPr>
      <w:rPr>
        <w:rFonts w:ascii="Arial" w:hAnsi="Arial" w:hint="default"/>
      </w:rPr>
    </w:lvl>
    <w:lvl w:ilvl="7" w:tplc="42EE2CD8" w:tentative="1">
      <w:start w:val="1"/>
      <w:numFmt w:val="bullet"/>
      <w:lvlText w:val="•"/>
      <w:lvlJc w:val="left"/>
      <w:pPr>
        <w:tabs>
          <w:tab w:val="num" w:pos="5760"/>
        </w:tabs>
        <w:ind w:left="5760" w:hanging="360"/>
      </w:pPr>
      <w:rPr>
        <w:rFonts w:ascii="Arial" w:hAnsi="Arial" w:hint="default"/>
      </w:rPr>
    </w:lvl>
    <w:lvl w:ilvl="8" w:tplc="E2A8F69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11521BFF"/>
    <w:multiLevelType w:val="hybridMultilevel"/>
    <w:tmpl w:val="9C0AD3B0"/>
    <w:lvl w:ilvl="0" w:tplc="26387F42">
      <w:start w:val="1"/>
      <w:numFmt w:val="bullet"/>
      <w:lvlText w:val="−"/>
      <w:lvlJc w:val="left"/>
      <w:pPr>
        <w:tabs>
          <w:tab w:val="num" w:pos="720"/>
        </w:tabs>
        <w:ind w:left="720" w:hanging="360"/>
      </w:pPr>
      <w:rPr>
        <w:rFonts w:ascii="Times New Roman" w:hAnsi="Times New Roman" w:cs="Times New Roman" w:hint="default"/>
      </w:rPr>
    </w:lvl>
    <w:lvl w:ilvl="1" w:tplc="83BEA4A4" w:tentative="1">
      <w:start w:val="1"/>
      <w:numFmt w:val="bullet"/>
      <w:lvlText w:val="•"/>
      <w:lvlJc w:val="left"/>
      <w:pPr>
        <w:tabs>
          <w:tab w:val="num" w:pos="1440"/>
        </w:tabs>
        <w:ind w:left="1440" w:hanging="360"/>
      </w:pPr>
      <w:rPr>
        <w:rFonts w:ascii="Arial" w:hAnsi="Arial" w:hint="default"/>
      </w:rPr>
    </w:lvl>
    <w:lvl w:ilvl="2" w:tplc="B1FECCE4" w:tentative="1">
      <w:start w:val="1"/>
      <w:numFmt w:val="bullet"/>
      <w:lvlText w:val="•"/>
      <w:lvlJc w:val="left"/>
      <w:pPr>
        <w:tabs>
          <w:tab w:val="num" w:pos="2160"/>
        </w:tabs>
        <w:ind w:left="2160" w:hanging="360"/>
      </w:pPr>
      <w:rPr>
        <w:rFonts w:ascii="Arial" w:hAnsi="Arial" w:hint="default"/>
      </w:rPr>
    </w:lvl>
    <w:lvl w:ilvl="3" w:tplc="F9C6E8EE" w:tentative="1">
      <w:start w:val="1"/>
      <w:numFmt w:val="bullet"/>
      <w:lvlText w:val="•"/>
      <w:lvlJc w:val="left"/>
      <w:pPr>
        <w:tabs>
          <w:tab w:val="num" w:pos="2880"/>
        </w:tabs>
        <w:ind w:left="2880" w:hanging="360"/>
      </w:pPr>
      <w:rPr>
        <w:rFonts w:ascii="Arial" w:hAnsi="Arial" w:hint="default"/>
      </w:rPr>
    </w:lvl>
    <w:lvl w:ilvl="4" w:tplc="6F929E30" w:tentative="1">
      <w:start w:val="1"/>
      <w:numFmt w:val="bullet"/>
      <w:lvlText w:val="•"/>
      <w:lvlJc w:val="left"/>
      <w:pPr>
        <w:tabs>
          <w:tab w:val="num" w:pos="3600"/>
        </w:tabs>
        <w:ind w:left="3600" w:hanging="360"/>
      </w:pPr>
      <w:rPr>
        <w:rFonts w:ascii="Arial" w:hAnsi="Arial" w:hint="default"/>
      </w:rPr>
    </w:lvl>
    <w:lvl w:ilvl="5" w:tplc="36B4009C" w:tentative="1">
      <w:start w:val="1"/>
      <w:numFmt w:val="bullet"/>
      <w:lvlText w:val="•"/>
      <w:lvlJc w:val="left"/>
      <w:pPr>
        <w:tabs>
          <w:tab w:val="num" w:pos="4320"/>
        </w:tabs>
        <w:ind w:left="4320" w:hanging="360"/>
      </w:pPr>
      <w:rPr>
        <w:rFonts w:ascii="Arial" w:hAnsi="Arial" w:hint="default"/>
      </w:rPr>
    </w:lvl>
    <w:lvl w:ilvl="6" w:tplc="BA70FA20" w:tentative="1">
      <w:start w:val="1"/>
      <w:numFmt w:val="bullet"/>
      <w:lvlText w:val="•"/>
      <w:lvlJc w:val="left"/>
      <w:pPr>
        <w:tabs>
          <w:tab w:val="num" w:pos="5040"/>
        </w:tabs>
        <w:ind w:left="5040" w:hanging="360"/>
      </w:pPr>
      <w:rPr>
        <w:rFonts w:ascii="Arial" w:hAnsi="Arial" w:hint="default"/>
      </w:rPr>
    </w:lvl>
    <w:lvl w:ilvl="7" w:tplc="42EE2CD8" w:tentative="1">
      <w:start w:val="1"/>
      <w:numFmt w:val="bullet"/>
      <w:lvlText w:val="•"/>
      <w:lvlJc w:val="left"/>
      <w:pPr>
        <w:tabs>
          <w:tab w:val="num" w:pos="5760"/>
        </w:tabs>
        <w:ind w:left="5760" w:hanging="360"/>
      </w:pPr>
      <w:rPr>
        <w:rFonts w:ascii="Arial" w:hAnsi="Arial" w:hint="default"/>
      </w:rPr>
    </w:lvl>
    <w:lvl w:ilvl="8" w:tplc="E2A8F69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4"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6" w15:restartNumberingAfterBreak="0">
    <w:nsid w:val="2CDA6E40"/>
    <w:multiLevelType w:val="hybridMultilevel"/>
    <w:tmpl w:val="2CFAD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8"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3BBE1A4D"/>
    <w:multiLevelType w:val="hybridMultilevel"/>
    <w:tmpl w:val="8DB00EA8"/>
    <w:lvl w:ilvl="0" w:tplc="A114EBFA">
      <w:start w:val="1"/>
      <w:numFmt w:val="bullet"/>
      <w:lvlText w:val="-"/>
      <w:lvlJc w:val="left"/>
      <w:pPr>
        <w:ind w:left="3337" w:hanging="360"/>
      </w:pPr>
      <w:rPr>
        <w:rFonts w:ascii="Malgun Gothic" w:eastAsia="Malgun Gothic" w:hAnsi="Malgun Gothic" w:cs="Arial" w:hint="eastAsia"/>
      </w:rPr>
    </w:lvl>
    <w:lvl w:ilvl="1" w:tplc="04090003">
      <w:start w:val="1"/>
      <w:numFmt w:val="bullet"/>
      <w:lvlText w:val=""/>
      <w:lvlJc w:val="left"/>
      <w:pPr>
        <w:ind w:left="720" w:hanging="400"/>
      </w:pPr>
      <w:rPr>
        <w:rFonts w:ascii="Wingdings" w:hAnsi="Wingdings" w:hint="default"/>
      </w:rPr>
    </w:lvl>
    <w:lvl w:ilvl="2" w:tplc="04090005" w:tentative="1">
      <w:start w:val="1"/>
      <w:numFmt w:val="bullet"/>
      <w:lvlText w:val=""/>
      <w:lvlJc w:val="left"/>
      <w:pPr>
        <w:ind w:left="1120" w:hanging="400"/>
      </w:pPr>
      <w:rPr>
        <w:rFonts w:ascii="Wingdings" w:hAnsi="Wingdings" w:hint="default"/>
      </w:rPr>
    </w:lvl>
    <w:lvl w:ilvl="3" w:tplc="04090001" w:tentative="1">
      <w:start w:val="1"/>
      <w:numFmt w:val="bullet"/>
      <w:lvlText w:val=""/>
      <w:lvlJc w:val="left"/>
      <w:pPr>
        <w:ind w:left="1520" w:hanging="400"/>
      </w:pPr>
      <w:rPr>
        <w:rFonts w:ascii="Wingdings" w:hAnsi="Wingdings"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1" w15:restartNumberingAfterBreak="0">
    <w:nsid w:val="3D774B7D"/>
    <w:multiLevelType w:val="hybridMultilevel"/>
    <w:tmpl w:val="07F82510"/>
    <w:lvl w:ilvl="0" w:tplc="CB8A2A9C">
      <w:numFmt w:val="bullet"/>
      <w:lvlText w:val="-"/>
      <w:lvlJc w:val="left"/>
      <w:pPr>
        <w:ind w:left="720" w:hanging="360"/>
      </w:pPr>
      <w:rPr>
        <w:rFonts w:ascii="Times New Roman" w:eastAsia="MS Mincho" w:hAnsi="Times New Roman" w:cs="Times New Roman"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3" w15:restartNumberingAfterBreak="0">
    <w:nsid w:val="7CD2658E"/>
    <w:multiLevelType w:val="hybridMultilevel"/>
    <w:tmpl w:val="7E120676"/>
    <w:lvl w:ilvl="0" w:tplc="7B2A6C4E">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4"/>
  </w:num>
  <w:num w:numId="4">
    <w:abstractNumId w:val="12"/>
  </w:num>
  <w:num w:numId="5">
    <w:abstractNumId w:val="7"/>
  </w:num>
  <w:num w:numId="6">
    <w:abstractNumId w:val="9"/>
  </w:num>
  <w:num w:numId="7">
    <w:abstractNumId w:val="3"/>
  </w:num>
  <w:num w:numId="8">
    <w:abstractNumId w:val="1"/>
  </w:num>
  <w:num w:numId="9">
    <w:abstractNumId w:val="10"/>
  </w:num>
  <w:num w:numId="10">
    <w:abstractNumId w:val="6"/>
  </w:num>
  <w:num w:numId="11">
    <w:abstractNumId w:val="13"/>
  </w:num>
  <w:num w:numId="12">
    <w:abstractNumId w:val="0"/>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2"/>
  </w:compat>
  <w:rsids>
    <w:rsidRoot w:val="00C15633"/>
    <w:rsid w:val="000142D2"/>
    <w:rsid w:val="00015A48"/>
    <w:rsid w:val="000338A1"/>
    <w:rsid w:val="0003595B"/>
    <w:rsid w:val="0004448D"/>
    <w:rsid w:val="000476FF"/>
    <w:rsid w:val="00060B25"/>
    <w:rsid w:val="000713CF"/>
    <w:rsid w:val="0007257D"/>
    <w:rsid w:val="0007348F"/>
    <w:rsid w:val="00083B77"/>
    <w:rsid w:val="00090E84"/>
    <w:rsid w:val="00095418"/>
    <w:rsid w:val="00095CA5"/>
    <w:rsid w:val="000A29C2"/>
    <w:rsid w:val="000A5418"/>
    <w:rsid w:val="000D0D4B"/>
    <w:rsid w:val="000E54F5"/>
    <w:rsid w:val="000E733B"/>
    <w:rsid w:val="000F0B4B"/>
    <w:rsid w:val="000F517C"/>
    <w:rsid w:val="000F5540"/>
    <w:rsid w:val="001024B3"/>
    <w:rsid w:val="00110255"/>
    <w:rsid w:val="00143C4A"/>
    <w:rsid w:val="001539DD"/>
    <w:rsid w:val="00156B2D"/>
    <w:rsid w:val="00160AD7"/>
    <w:rsid w:val="00196568"/>
    <w:rsid w:val="001A25A5"/>
    <w:rsid w:val="001A2F16"/>
    <w:rsid w:val="001B18C2"/>
    <w:rsid w:val="001D5D7E"/>
    <w:rsid w:val="001F668C"/>
    <w:rsid w:val="001F75D3"/>
    <w:rsid w:val="00201ACC"/>
    <w:rsid w:val="00214A15"/>
    <w:rsid w:val="00252255"/>
    <w:rsid w:val="00254A1B"/>
    <w:rsid w:val="00256FA0"/>
    <w:rsid w:val="0028057E"/>
    <w:rsid w:val="0028454D"/>
    <w:rsid w:val="00291C9E"/>
    <w:rsid w:val="002926D4"/>
    <w:rsid w:val="002B131C"/>
    <w:rsid w:val="002C07DA"/>
    <w:rsid w:val="002C7EA9"/>
    <w:rsid w:val="002F0374"/>
    <w:rsid w:val="002F4A4F"/>
    <w:rsid w:val="002F68F9"/>
    <w:rsid w:val="002F7ED7"/>
    <w:rsid w:val="00321ACA"/>
    <w:rsid w:val="00336400"/>
    <w:rsid w:val="00341476"/>
    <w:rsid w:val="00342F20"/>
    <w:rsid w:val="003650D3"/>
    <w:rsid w:val="003809C7"/>
    <w:rsid w:val="003A0DCA"/>
    <w:rsid w:val="003A2837"/>
    <w:rsid w:val="003B6263"/>
    <w:rsid w:val="003C64A7"/>
    <w:rsid w:val="003D3FDA"/>
    <w:rsid w:val="003E60D0"/>
    <w:rsid w:val="003F016E"/>
    <w:rsid w:val="003F140F"/>
    <w:rsid w:val="003F42E8"/>
    <w:rsid w:val="0040136E"/>
    <w:rsid w:val="00407950"/>
    <w:rsid w:val="00410407"/>
    <w:rsid w:val="00420822"/>
    <w:rsid w:val="004232B4"/>
    <w:rsid w:val="0044697B"/>
    <w:rsid w:val="0045458F"/>
    <w:rsid w:val="0045514F"/>
    <w:rsid w:val="004633B4"/>
    <w:rsid w:val="0046555D"/>
    <w:rsid w:val="00466D0F"/>
    <w:rsid w:val="00482854"/>
    <w:rsid w:val="0048732B"/>
    <w:rsid w:val="004A467B"/>
    <w:rsid w:val="004B3553"/>
    <w:rsid w:val="004B679F"/>
    <w:rsid w:val="004D1C36"/>
    <w:rsid w:val="004D508A"/>
    <w:rsid w:val="004D690D"/>
    <w:rsid w:val="005017F8"/>
    <w:rsid w:val="00503776"/>
    <w:rsid w:val="0051419B"/>
    <w:rsid w:val="00520175"/>
    <w:rsid w:val="00530E8C"/>
    <w:rsid w:val="005365B0"/>
    <w:rsid w:val="00545933"/>
    <w:rsid w:val="005479D1"/>
    <w:rsid w:val="00552DDF"/>
    <w:rsid w:val="00557544"/>
    <w:rsid w:val="00561BA3"/>
    <w:rsid w:val="005669E8"/>
    <w:rsid w:val="0058044E"/>
    <w:rsid w:val="00582BB8"/>
    <w:rsid w:val="00587875"/>
    <w:rsid w:val="005C7F47"/>
    <w:rsid w:val="005D0D80"/>
    <w:rsid w:val="005F1C74"/>
    <w:rsid w:val="00607E2B"/>
    <w:rsid w:val="006109B6"/>
    <w:rsid w:val="006121E9"/>
    <w:rsid w:val="006139D6"/>
    <w:rsid w:val="00623CE1"/>
    <w:rsid w:val="0063062B"/>
    <w:rsid w:val="0064464A"/>
    <w:rsid w:val="00647B03"/>
    <w:rsid w:val="00661FA9"/>
    <w:rsid w:val="00663E3F"/>
    <w:rsid w:val="00667229"/>
    <w:rsid w:val="006711D1"/>
    <w:rsid w:val="006729B2"/>
    <w:rsid w:val="006748D2"/>
    <w:rsid w:val="00682BE5"/>
    <w:rsid w:val="00690FED"/>
    <w:rsid w:val="006939A5"/>
    <w:rsid w:val="006A6268"/>
    <w:rsid w:val="006C2046"/>
    <w:rsid w:val="006E7531"/>
    <w:rsid w:val="007073BB"/>
    <w:rsid w:val="00712451"/>
    <w:rsid w:val="00721806"/>
    <w:rsid w:val="00731041"/>
    <w:rsid w:val="00732F08"/>
    <w:rsid w:val="0074190C"/>
    <w:rsid w:val="00762576"/>
    <w:rsid w:val="007713F0"/>
    <w:rsid w:val="00791060"/>
    <w:rsid w:val="007B5626"/>
    <w:rsid w:val="007E4DD7"/>
    <w:rsid w:val="007F4AA8"/>
    <w:rsid w:val="0080570B"/>
    <w:rsid w:val="008148E1"/>
    <w:rsid w:val="008165CA"/>
    <w:rsid w:val="00822C72"/>
    <w:rsid w:val="008319BF"/>
    <w:rsid w:val="00833C92"/>
    <w:rsid w:val="00835A62"/>
    <w:rsid w:val="00836204"/>
    <w:rsid w:val="00843A32"/>
    <w:rsid w:val="00856FA4"/>
    <w:rsid w:val="008600F3"/>
    <w:rsid w:val="008644C5"/>
    <w:rsid w:val="00874664"/>
    <w:rsid w:val="0087704D"/>
    <w:rsid w:val="0089298B"/>
    <w:rsid w:val="008A3D63"/>
    <w:rsid w:val="008A4543"/>
    <w:rsid w:val="008B1A16"/>
    <w:rsid w:val="008C65F8"/>
    <w:rsid w:val="008D0E09"/>
    <w:rsid w:val="008D232D"/>
    <w:rsid w:val="008E760A"/>
    <w:rsid w:val="009051C3"/>
    <w:rsid w:val="00906725"/>
    <w:rsid w:val="0091439E"/>
    <w:rsid w:val="00944480"/>
    <w:rsid w:val="009454A7"/>
    <w:rsid w:val="00960BFC"/>
    <w:rsid w:val="00973D2D"/>
    <w:rsid w:val="0097693B"/>
    <w:rsid w:val="00990D04"/>
    <w:rsid w:val="00993355"/>
    <w:rsid w:val="00997002"/>
    <w:rsid w:val="009A0E98"/>
    <w:rsid w:val="009A4A6D"/>
    <w:rsid w:val="009A5574"/>
    <w:rsid w:val="009B6262"/>
    <w:rsid w:val="009B6BC0"/>
    <w:rsid w:val="009C3650"/>
    <w:rsid w:val="009D386F"/>
    <w:rsid w:val="009E1892"/>
    <w:rsid w:val="009E2BF4"/>
    <w:rsid w:val="00A07024"/>
    <w:rsid w:val="00A13265"/>
    <w:rsid w:val="00A23018"/>
    <w:rsid w:val="00A23974"/>
    <w:rsid w:val="00A2725C"/>
    <w:rsid w:val="00A36CA9"/>
    <w:rsid w:val="00A67B31"/>
    <w:rsid w:val="00A71136"/>
    <w:rsid w:val="00A73DF6"/>
    <w:rsid w:val="00A90ED1"/>
    <w:rsid w:val="00AA1617"/>
    <w:rsid w:val="00AA474C"/>
    <w:rsid w:val="00AB1ECF"/>
    <w:rsid w:val="00AD6919"/>
    <w:rsid w:val="00AD7B73"/>
    <w:rsid w:val="00AD7E5F"/>
    <w:rsid w:val="00AE238A"/>
    <w:rsid w:val="00B0081D"/>
    <w:rsid w:val="00B01AA1"/>
    <w:rsid w:val="00B14F02"/>
    <w:rsid w:val="00B30C81"/>
    <w:rsid w:val="00B4793B"/>
    <w:rsid w:val="00B6461B"/>
    <w:rsid w:val="00B67707"/>
    <w:rsid w:val="00B74049"/>
    <w:rsid w:val="00B873AA"/>
    <w:rsid w:val="00B92A7E"/>
    <w:rsid w:val="00B9488B"/>
    <w:rsid w:val="00B97ACE"/>
    <w:rsid w:val="00BC30C2"/>
    <w:rsid w:val="00BE34EA"/>
    <w:rsid w:val="00BF2D2A"/>
    <w:rsid w:val="00C12C5E"/>
    <w:rsid w:val="00C15633"/>
    <w:rsid w:val="00C15799"/>
    <w:rsid w:val="00C357AD"/>
    <w:rsid w:val="00C43CDC"/>
    <w:rsid w:val="00C46A9D"/>
    <w:rsid w:val="00C57355"/>
    <w:rsid w:val="00C6069C"/>
    <w:rsid w:val="00C62701"/>
    <w:rsid w:val="00C6293B"/>
    <w:rsid w:val="00C64F80"/>
    <w:rsid w:val="00C72528"/>
    <w:rsid w:val="00C8234F"/>
    <w:rsid w:val="00C85119"/>
    <w:rsid w:val="00CA750A"/>
    <w:rsid w:val="00CB3169"/>
    <w:rsid w:val="00CC269F"/>
    <w:rsid w:val="00CD4978"/>
    <w:rsid w:val="00CD5431"/>
    <w:rsid w:val="00CE480B"/>
    <w:rsid w:val="00CE535E"/>
    <w:rsid w:val="00CF2491"/>
    <w:rsid w:val="00D00E2D"/>
    <w:rsid w:val="00D02AE0"/>
    <w:rsid w:val="00D1252E"/>
    <w:rsid w:val="00D16774"/>
    <w:rsid w:val="00D57772"/>
    <w:rsid w:val="00D63DAB"/>
    <w:rsid w:val="00D72AE3"/>
    <w:rsid w:val="00D73CC4"/>
    <w:rsid w:val="00D75A4D"/>
    <w:rsid w:val="00D76E50"/>
    <w:rsid w:val="00D83057"/>
    <w:rsid w:val="00D83B2C"/>
    <w:rsid w:val="00D8478B"/>
    <w:rsid w:val="00D86151"/>
    <w:rsid w:val="00DA7595"/>
    <w:rsid w:val="00DB0A68"/>
    <w:rsid w:val="00DC43A3"/>
    <w:rsid w:val="00DC79E3"/>
    <w:rsid w:val="00DD3254"/>
    <w:rsid w:val="00DD7C09"/>
    <w:rsid w:val="00E0124F"/>
    <w:rsid w:val="00E03934"/>
    <w:rsid w:val="00E2225C"/>
    <w:rsid w:val="00E4124F"/>
    <w:rsid w:val="00E674D3"/>
    <w:rsid w:val="00E70FD0"/>
    <w:rsid w:val="00E86844"/>
    <w:rsid w:val="00EC1575"/>
    <w:rsid w:val="00EC38A0"/>
    <w:rsid w:val="00EC3D2C"/>
    <w:rsid w:val="00EC79C0"/>
    <w:rsid w:val="00ED39B1"/>
    <w:rsid w:val="00EE17B7"/>
    <w:rsid w:val="00F07951"/>
    <w:rsid w:val="00F11B32"/>
    <w:rsid w:val="00F3345E"/>
    <w:rsid w:val="00F61EE2"/>
    <w:rsid w:val="00F84067"/>
    <w:rsid w:val="00F97F50"/>
    <w:rsid w:val="00FE3DE5"/>
    <w:rsid w:val="00FE7968"/>
    <w:rsid w:val="00FF58B4"/>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F55DEEF-DAE2-435A-8C33-C2C48AFE6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595"/>
    <w:rPr>
      <w:rFonts w:eastAsia="BatangChe"/>
      <w:sz w:val="24"/>
      <w:szCs w:val="24"/>
      <w:lang w:bidi="ar-SA"/>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BalloonText">
    <w:name w:val="Balloon Text"/>
    <w:basedOn w:val="Normal"/>
    <w:link w:val="BalloonTextChar"/>
    <w:semiHidden/>
    <w:unhideWhenUsed/>
    <w:rsid w:val="00561BA3"/>
    <w:rPr>
      <w:rFonts w:ascii="Tahoma" w:hAnsi="Tahoma" w:cs="Tahoma"/>
      <w:sz w:val="16"/>
      <w:szCs w:val="16"/>
    </w:rPr>
  </w:style>
  <w:style w:type="character" w:customStyle="1" w:styleId="BalloonTextChar">
    <w:name w:val="Balloon Text Char"/>
    <w:basedOn w:val="DefaultParagraphFont"/>
    <w:link w:val="BalloonText"/>
    <w:semiHidden/>
    <w:rsid w:val="00561BA3"/>
    <w:rPr>
      <w:rFonts w:ascii="Tahoma" w:eastAsia="BatangChe" w:hAnsi="Tahoma" w:cs="Tahoma"/>
      <w:sz w:val="16"/>
      <w:szCs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 Char,DNV-FT"/>
    <w:basedOn w:val="Normal"/>
    <w:link w:val="FootnoteTextChar"/>
    <w:unhideWhenUsed/>
    <w:qFormat/>
    <w:rsid w:val="00973D2D"/>
    <w:rPr>
      <w:sz w:val="20"/>
      <w:szCs w:val="20"/>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Char,DNV-FT Char1"/>
    <w:basedOn w:val="DefaultParagraphFont"/>
    <w:link w:val="FootnoteText"/>
    <w:qFormat/>
    <w:rsid w:val="00973D2D"/>
    <w:rPr>
      <w:rFonts w:eastAsia="BatangChe"/>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
    <w:basedOn w:val="DefaultParagraphFont"/>
    <w:unhideWhenUsed/>
    <w:qFormat/>
    <w:rsid w:val="00973D2D"/>
    <w:rPr>
      <w:vertAlign w:val="superscript"/>
    </w:rPr>
  </w:style>
  <w:style w:type="paragraph" w:customStyle="1" w:styleId="enumlev1">
    <w:name w:val="enumlev1"/>
    <w:basedOn w:val="Normal"/>
    <w:link w:val="enumlev1Char"/>
    <w:qFormat/>
    <w:rsid w:val="00973D2D"/>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MS Mincho"/>
      <w:szCs w:val="20"/>
      <w:lang w:val="en-GB"/>
    </w:rPr>
  </w:style>
  <w:style w:type="character" w:customStyle="1" w:styleId="enumlev1Char">
    <w:name w:val="enumlev1 Char"/>
    <w:basedOn w:val="DefaultParagraphFont"/>
    <w:link w:val="enumlev1"/>
    <w:qFormat/>
    <w:locked/>
    <w:rsid w:val="00973D2D"/>
    <w:rPr>
      <w:rFonts w:eastAsia="MS Mincho"/>
      <w:sz w:val="24"/>
      <w:lang w:val="en-GB"/>
    </w:rPr>
  </w:style>
  <w:style w:type="table" w:styleId="TableGrid">
    <w:name w:val="Table Grid"/>
    <w:basedOn w:val="TableNormal"/>
    <w:rsid w:val="0036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rtref">
    <w:name w:val="Art_ref"/>
    <w:basedOn w:val="DefaultParagraphFont"/>
    <w:qFormat/>
    <w:rsid w:val="00997002"/>
  </w:style>
  <w:style w:type="character" w:styleId="Hyperlink">
    <w:name w:val="Hyperlink"/>
    <w:aliases w:val="超级链接,CEO_Hyperlink"/>
    <w:basedOn w:val="DefaultParagraphFont"/>
    <w:uiPriority w:val="99"/>
    <w:unhideWhenUsed/>
    <w:rsid w:val="00997002"/>
    <w:rPr>
      <w:color w:val="0000FF"/>
      <w:u w:val="single"/>
    </w:rPr>
  </w:style>
  <w:style w:type="paragraph" w:styleId="ListParagraph">
    <w:name w:val="List Paragraph"/>
    <w:basedOn w:val="Normal"/>
    <w:uiPriority w:val="34"/>
    <w:qFormat/>
    <w:rsid w:val="00466D0F"/>
    <w:pPr>
      <w:ind w:left="720"/>
      <w:contextualSpacing/>
    </w:pPr>
  </w:style>
  <w:style w:type="paragraph" w:styleId="NormalWeb">
    <w:name w:val="Normal (Web)"/>
    <w:basedOn w:val="Normal"/>
    <w:uiPriority w:val="99"/>
    <w:unhideWhenUsed/>
    <w:rsid w:val="006121E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90008">
      <w:bodyDiv w:val="1"/>
      <w:marLeft w:val="0"/>
      <w:marRight w:val="0"/>
      <w:marTop w:val="0"/>
      <w:marBottom w:val="0"/>
      <w:divBdr>
        <w:top w:val="none" w:sz="0" w:space="0" w:color="auto"/>
        <w:left w:val="none" w:sz="0" w:space="0" w:color="auto"/>
        <w:bottom w:val="none" w:sz="0" w:space="0" w:color="auto"/>
        <w:right w:val="none" w:sz="0" w:space="0" w:color="auto"/>
      </w:divBdr>
    </w:div>
    <w:div w:id="733162875">
      <w:bodyDiv w:val="1"/>
      <w:marLeft w:val="0"/>
      <w:marRight w:val="0"/>
      <w:marTop w:val="0"/>
      <w:marBottom w:val="0"/>
      <w:divBdr>
        <w:top w:val="none" w:sz="0" w:space="0" w:color="auto"/>
        <w:left w:val="none" w:sz="0" w:space="0" w:color="auto"/>
        <w:bottom w:val="none" w:sz="0" w:space="0" w:color="auto"/>
        <w:right w:val="none" w:sz="0" w:space="0" w:color="auto"/>
      </w:divBdr>
      <w:divsChild>
        <w:div w:id="183632994">
          <w:marLeft w:val="360"/>
          <w:marRight w:val="0"/>
          <w:marTop w:val="200"/>
          <w:marBottom w:val="0"/>
          <w:divBdr>
            <w:top w:val="none" w:sz="0" w:space="0" w:color="auto"/>
            <w:left w:val="none" w:sz="0" w:space="0" w:color="auto"/>
            <w:bottom w:val="none" w:sz="0" w:space="0" w:color="auto"/>
            <w:right w:val="none" w:sz="0" w:space="0" w:color="auto"/>
          </w:divBdr>
        </w:div>
        <w:div w:id="853307302">
          <w:marLeft w:val="360"/>
          <w:marRight w:val="0"/>
          <w:marTop w:val="200"/>
          <w:marBottom w:val="0"/>
          <w:divBdr>
            <w:top w:val="none" w:sz="0" w:space="0" w:color="auto"/>
            <w:left w:val="none" w:sz="0" w:space="0" w:color="auto"/>
            <w:bottom w:val="none" w:sz="0" w:space="0" w:color="auto"/>
            <w:right w:val="none" w:sz="0" w:space="0" w:color="auto"/>
          </w:divBdr>
        </w:div>
        <w:div w:id="1873689551">
          <w:marLeft w:val="360"/>
          <w:marRight w:val="0"/>
          <w:marTop w:val="200"/>
          <w:marBottom w:val="0"/>
          <w:divBdr>
            <w:top w:val="none" w:sz="0" w:space="0" w:color="auto"/>
            <w:left w:val="none" w:sz="0" w:space="0" w:color="auto"/>
            <w:bottom w:val="none" w:sz="0" w:space="0" w:color="auto"/>
            <w:right w:val="none" w:sz="0" w:space="0" w:color="auto"/>
          </w:divBdr>
        </w:div>
      </w:divsChild>
    </w:div>
    <w:div w:id="87366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5-WRC15-C-0003/e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https://www.itu.int/md/R15-WRC15-C-0003/en"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3824</Words>
  <Characters>21798</Characters>
  <Application>Microsoft Office Word</Application>
  <DocSecurity>0</DocSecurity>
  <Lines>181</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APT</Company>
  <LinksUpToDate>false</LinksUpToDate>
  <CharactersWithSpaces>25571</CharactersWithSpaces>
  <SharedDoc>false</SharedDoc>
  <HLinks>
    <vt:vector size="12" baseType="variant">
      <vt:variant>
        <vt:i4>7536698</vt:i4>
      </vt:variant>
      <vt:variant>
        <vt:i4>3</vt:i4>
      </vt:variant>
      <vt:variant>
        <vt:i4>0</vt:i4>
      </vt:variant>
      <vt:variant>
        <vt:i4>5</vt:i4>
      </vt:variant>
      <vt:variant>
        <vt:lpwstr>https://www.itu.int/md/R15-WRC15-C-0003/en</vt:lpwstr>
      </vt:variant>
      <vt:variant>
        <vt:lpwstr/>
      </vt:variant>
      <vt:variant>
        <vt:i4>7536698</vt:i4>
      </vt:variant>
      <vt:variant>
        <vt:i4>0</vt:i4>
      </vt:variant>
      <vt:variant>
        <vt:i4>0</vt:i4>
      </vt:variant>
      <vt:variant>
        <vt:i4>5</vt:i4>
      </vt:variant>
      <vt:variant>
        <vt:lpwstr>https://www.itu.int/md/R15-WRC15-C-0003/en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Arnold</dc:creator>
  <cp:lastModifiedBy>APT Secretariat</cp:lastModifiedBy>
  <cp:revision>6</cp:revision>
  <cp:lastPrinted>2004-07-28T02:14:00Z</cp:lastPrinted>
  <dcterms:created xsi:type="dcterms:W3CDTF">2018-12-30T11:42:00Z</dcterms:created>
  <dcterms:modified xsi:type="dcterms:W3CDTF">2018-12-31T03:06:00Z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804043688</vt:i4>
  </property>
  <property fmtid="{D5CDD505-2E9C-101B-9397-08002B2CF9AE}" pid="3" name="_EmailSubject">
    <vt:lpwstr>AWF template</vt:lpwstr>
  </property>
  <property fmtid="{D5CDD505-2E9C-101B-9397-08002B2CF9AE}" pid="4" name="_AuthorEmail">
    <vt:lpwstr>jysong@samsung.com</vt:lpwstr>
  </property>
  <property fmtid="{D5CDD505-2E9C-101B-9397-08002B2CF9AE}" pid="5" name="_AuthorEmailDisplayName">
    <vt:lpwstr>Juyeon Song</vt:lpwstr>
  </property>
  <property fmtid="{D5CDD505-2E9C-101B-9397-08002B2CF9AE}" pid="6" name="_ReviewingToolsShownOnce">
    <vt:lpwstr/>
  </property>
</Properties>
</file>