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C4764" w:rsidRPr="00891D0B" w:rsidTr="00AB507D">
        <w:trPr>
          <w:cantSplit/>
          <w:trHeight w:val="288"/>
        </w:trPr>
        <w:tc>
          <w:tcPr>
            <w:tcW w:w="1399" w:type="dxa"/>
            <w:vMerge w:val="restart"/>
          </w:tcPr>
          <w:p w:rsidR="00CC4764" w:rsidRPr="00891D0B" w:rsidRDefault="00CC4764" w:rsidP="00AB507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75750D6" wp14:editId="4BC5052C">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CC4764" w:rsidRPr="00D9750E" w:rsidRDefault="00CC4764" w:rsidP="00AB507D">
            <w:pPr>
              <w:spacing w:before="40"/>
            </w:pPr>
            <w:r w:rsidRPr="00D9750E">
              <w:t>ASIA-PACIFIC TELECOMMUNITY</w:t>
            </w:r>
          </w:p>
        </w:tc>
        <w:tc>
          <w:tcPr>
            <w:tcW w:w="2160" w:type="dxa"/>
          </w:tcPr>
          <w:p w:rsidR="00CC4764" w:rsidRPr="00891D0B" w:rsidRDefault="00CC4764" w:rsidP="00AB507D">
            <w:pPr>
              <w:pStyle w:val="Heading8"/>
              <w:spacing w:before="40"/>
              <w:rPr>
                <w:sz w:val="24"/>
                <w:szCs w:val="24"/>
              </w:rPr>
            </w:pPr>
            <w:r>
              <w:rPr>
                <w:sz w:val="24"/>
                <w:szCs w:val="24"/>
              </w:rPr>
              <w:t>Document No:</w:t>
            </w:r>
          </w:p>
        </w:tc>
      </w:tr>
      <w:tr w:rsidR="00CC4764" w:rsidRPr="00C15799" w:rsidTr="00AB507D">
        <w:trPr>
          <w:cantSplit/>
          <w:trHeight w:val="504"/>
        </w:trPr>
        <w:tc>
          <w:tcPr>
            <w:tcW w:w="1399" w:type="dxa"/>
            <w:vMerge/>
          </w:tcPr>
          <w:p w:rsidR="00CC4764" w:rsidRPr="00891D0B" w:rsidRDefault="00CC4764" w:rsidP="00AB507D"/>
        </w:tc>
        <w:tc>
          <w:tcPr>
            <w:tcW w:w="5760" w:type="dxa"/>
            <w:vAlign w:val="center"/>
          </w:tcPr>
          <w:p w:rsidR="00CC4764" w:rsidRDefault="00CC4764" w:rsidP="00AB507D">
            <w:pPr>
              <w:spacing w:before="40"/>
              <w:rPr>
                <w:b/>
              </w:rPr>
            </w:pPr>
            <w:r>
              <w:rPr>
                <w:b/>
              </w:rPr>
              <w:t>The 4th Meeting of the APT Conference Preparatory</w:t>
            </w:r>
          </w:p>
          <w:p w:rsidR="00CC4764" w:rsidRPr="00891D0B" w:rsidRDefault="00CC4764" w:rsidP="00AB507D">
            <w:pPr>
              <w:spacing w:line="0" w:lineRule="atLeast"/>
            </w:pPr>
            <w:r>
              <w:rPr>
                <w:b/>
              </w:rPr>
              <w:t>Group for WRC-19 (APG19-4)</w:t>
            </w:r>
          </w:p>
        </w:tc>
        <w:tc>
          <w:tcPr>
            <w:tcW w:w="2160" w:type="dxa"/>
          </w:tcPr>
          <w:p w:rsidR="00CC4764" w:rsidRDefault="00CC4764" w:rsidP="00AB507D">
            <w:pPr>
              <w:spacing w:before="40"/>
              <w:rPr>
                <w:b/>
                <w:bCs/>
                <w:lang w:val="fr-FR"/>
              </w:rPr>
            </w:pPr>
            <w:r w:rsidRPr="00C96104">
              <w:rPr>
                <w:b/>
                <w:bCs/>
                <w:lang w:val="fr-FR"/>
              </w:rPr>
              <w:t>AP</w:t>
            </w:r>
            <w:r>
              <w:rPr>
                <w:b/>
                <w:bCs/>
                <w:lang w:val="fr-FR"/>
              </w:rPr>
              <w:t>G19-4/</w:t>
            </w:r>
            <w:r>
              <w:rPr>
                <w:b/>
                <w:bCs/>
                <w:lang w:val="fr-FR"/>
              </w:rPr>
              <w:t>INF</w:t>
            </w:r>
            <w:r>
              <w:rPr>
                <w:b/>
                <w:bCs/>
                <w:lang w:val="fr-FR"/>
              </w:rPr>
              <w:t>-</w:t>
            </w:r>
            <w:r>
              <w:rPr>
                <w:b/>
                <w:bCs/>
                <w:lang w:val="fr-FR"/>
              </w:rPr>
              <w:t>26</w:t>
            </w:r>
          </w:p>
          <w:p w:rsidR="00CC4764" w:rsidRPr="007E1FDD" w:rsidRDefault="00CC4764" w:rsidP="00AB507D">
            <w:pPr>
              <w:rPr>
                <w:b/>
                <w:bCs/>
                <w:lang w:val="en-GB"/>
              </w:rPr>
            </w:pPr>
          </w:p>
        </w:tc>
      </w:tr>
      <w:tr w:rsidR="00CC4764" w:rsidRPr="00891D0B" w:rsidTr="00AB507D">
        <w:trPr>
          <w:cantSplit/>
          <w:trHeight w:val="288"/>
        </w:trPr>
        <w:tc>
          <w:tcPr>
            <w:tcW w:w="1399" w:type="dxa"/>
            <w:vMerge/>
          </w:tcPr>
          <w:p w:rsidR="00CC4764" w:rsidRPr="007E1FDD" w:rsidRDefault="00CC4764" w:rsidP="00AB507D">
            <w:pPr>
              <w:rPr>
                <w:lang w:val="en-GB"/>
              </w:rPr>
            </w:pPr>
          </w:p>
        </w:tc>
        <w:tc>
          <w:tcPr>
            <w:tcW w:w="5760" w:type="dxa"/>
            <w:vAlign w:val="bottom"/>
          </w:tcPr>
          <w:p w:rsidR="00CC4764" w:rsidRPr="00712451" w:rsidRDefault="00CC4764" w:rsidP="00AB507D">
            <w:pPr>
              <w:spacing w:before="40"/>
              <w:rPr>
                <w:b/>
              </w:rPr>
            </w:pPr>
            <w:r>
              <w:t>7 – 12 January 2019</w:t>
            </w:r>
            <w:r w:rsidRPr="00891D0B">
              <w:t xml:space="preserve">, </w:t>
            </w:r>
            <w:r>
              <w:t>Busan, Republic of Korea</w:t>
            </w:r>
          </w:p>
        </w:tc>
        <w:tc>
          <w:tcPr>
            <w:tcW w:w="2160" w:type="dxa"/>
            <w:vAlign w:val="bottom"/>
          </w:tcPr>
          <w:p w:rsidR="00CC4764" w:rsidRPr="007E1FDD" w:rsidRDefault="00CC4764" w:rsidP="00CC4764">
            <w:pPr>
              <w:spacing w:before="40"/>
              <w:rPr>
                <w:bCs/>
              </w:rPr>
            </w:pPr>
            <w:r>
              <w:rPr>
                <w:bCs/>
              </w:rPr>
              <w:t xml:space="preserve">07 January </w:t>
            </w:r>
            <w:r w:rsidRPr="007E1FDD">
              <w:rPr>
                <w:bCs/>
              </w:rPr>
              <w:t>201</w:t>
            </w:r>
            <w:r>
              <w:rPr>
                <w:bCs/>
              </w:rPr>
              <w:t>9</w:t>
            </w:r>
          </w:p>
        </w:tc>
      </w:tr>
    </w:tbl>
    <w:p w:rsidR="00DA7595" w:rsidRPr="001A25A5" w:rsidRDefault="00DA7595" w:rsidP="00DA7595">
      <w:pPr>
        <w:rPr>
          <w:sz w:val="26"/>
          <w:szCs w:val="26"/>
          <w:lang w:eastAsia="ko-KR"/>
        </w:rPr>
      </w:pPr>
    </w:p>
    <w:p w:rsidR="00DA7595" w:rsidRPr="00CC4764" w:rsidRDefault="00D113B5" w:rsidP="00DA7595">
      <w:pPr>
        <w:jc w:val="center"/>
        <w:rPr>
          <w:lang w:eastAsia="ko-KR"/>
        </w:rPr>
      </w:pPr>
      <w:r w:rsidRPr="00CC4764">
        <w:rPr>
          <w:lang w:eastAsia="ko-KR"/>
        </w:rPr>
        <w:t>Nepal</w:t>
      </w:r>
    </w:p>
    <w:p w:rsidR="00FE3DE5" w:rsidRPr="001A25A5" w:rsidRDefault="00FE3DE5" w:rsidP="0063062B">
      <w:pPr>
        <w:jc w:val="center"/>
        <w:rPr>
          <w:bCs/>
          <w:caps/>
          <w:sz w:val="26"/>
          <w:szCs w:val="26"/>
        </w:rPr>
      </w:pPr>
    </w:p>
    <w:p w:rsidR="00C357AD" w:rsidRPr="001A25A5" w:rsidRDefault="00FE3DE5" w:rsidP="0063062B">
      <w:pPr>
        <w:jc w:val="center"/>
        <w:rPr>
          <w:b/>
          <w:bCs/>
          <w:caps/>
        </w:rPr>
      </w:pPr>
      <w:r w:rsidRPr="001A25A5">
        <w:rPr>
          <w:b/>
          <w:bCs/>
          <w:caps/>
        </w:rPr>
        <w:t>preliminary views on WRC-1</w:t>
      </w:r>
      <w:r w:rsidR="000476FF">
        <w:rPr>
          <w:b/>
          <w:bCs/>
          <w:caps/>
        </w:rPr>
        <w:t>9</w:t>
      </w:r>
      <w:r w:rsidR="00D1252E" w:rsidRPr="001A25A5">
        <w:rPr>
          <w:b/>
          <w:bCs/>
          <w:caps/>
        </w:rPr>
        <w:t xml:space="preserve"> agenda items </w:t>
      </w:r>
      <w:r w:rsidR="00CE0AA0">
        <w:rPr>
          <w:b/>
          <w:bCs/>
          <w:caps/>
        </w:rPr>
        <w:t>1.13, 1.16 and 9.1.1</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Default="000A5418" w:rsidP="00C357AD">
      <w:pPr>
        <w:jc w:val="both"/>
      </w:pPr>
      <w:r>
        <w:rPr>
          <w:b/>
        </w:rPr>
        <w:t xml:space="preserve">Agenda Item </w:t>
      </w:r>
      <w:r w:rsidR="00D113B5">
        <w:rPr>
          <w:b/>
        </w:rPr>
        <w:t>1.13</w:t>
      </w:r>
      <w:r>
        <w:rPr>
          <w:b/>
        </w:rPr>
        <w:t xml:space="preserve">: </w:t>
      </w:r>
    </w:p>
    <w:p w:rsidR="001D1E06" w:rsidRPr="00441526" w:rsidRDefault="001D1E06" w:rsidP="001D1E06">
      <w:pPr>
        <w:jc w:val="both"/>
        <w:rPr>
          <w:i/>
          <w:lang w:val="en-NZ"/>
        </w:rPr>
      </w:pPr>
      <w:r w:rsidRPr="0093759B">
        <w:rPr>
          <w:i/>
          <w:lang w:val="en-GB"/>
        </w:rPr>
        <w:t>to consider identification of frequency bands for the future development of International Mobile Telecommunications (IMT), including possible additional allocations to the mobile service on a primary basis, in accordance with Resolution </w:t>
      </w:r>
      <w:r w:rsidRPr="0093759B">
        <w:rPr>
          <w:b/>
          <w:i/>
          <w:lang w:val="en-GB"/>
        </w:rPr>
        <w:t>238</w:t>
      </w:r>
      <w:r w:rsidRPr="0093759B">
        <w:rPr>
          <w:b/>
          <w:bCs/>
          <w:i/>
          <w:lang w:val="en-GB"/>
        </w:rPr>
        <w:t xml:space="preserve"> (WRC</w:t>
      </w:r>
      <w:r w:rsidRPr="0093759B">
        <w:rPr>
          <w:b/>
          <w:bCs/>
          <w:i/>
          <w:lang w:val="en-GB"/>
        </w:rPr>
        <w:noBreakHyphen/>
        <w:t>15)</w:t>
      </w:r>
      <w:r w:rsidRPr="0093759B">
        <w:rPr>
          <w:i/>
          <w:lang w:val="en-GB"/>
        </w:rPr>
        <w:t>;</w:t>
      </w:r>
    </w:p>
    <w:p w:rsidR="000A5418" w:rsidRDefault="000A5418" w:rsidP="00C357AD">
      <w:pPr>
        <w:jc w:val="both"/>
      </w:pPr>
    </w:p>
    <w:p w:rsidR="000A5418" w:rsidRPr="00A30FA5" w:rsidRDefault="000A5418" w:rsidP="000A5418">
      <w:pPr>
        <w:spacing w:after="120"/>
        <w:jc w:val="both"/>
        <w:rPr>
          <w:b/>
          <w:lang w:eastAsia="ko-KR"/>
        </w:rPr>
      </w:pPr>
      <w:r w:rsidRPr="00A30FA5">
        <w:rPr>
          <w:rFonts w:hint="eastAsia"/>
          <w:b/>
          <w:lang w:eastAsia="ko-KR"/>
        </w:rPr>
        <w:t>1. Background</w:t>
      </w:r>
    </w:p>
    <w:p w:rsidR="000A5418" w:rsidRDefault="000A5418" w:rsidP="00C357AD">
      <w:pPr>
        <w:jc w:val="both"/>
      </w:pPr>
    </w:p>
    <w:p w:rsidR="00D113B5" w:rsidRPr="00566D38" w:rsidRDefault="00D113B5" w:rsidP="00D113B5">
      <w:pPr>
        <w:jc w:val="both"/>
      </w:pPr>
      <w:r w:rsidRPr="00566D38">
        <w:t xml:space="preserve">Resolution </w:t>
      </w:r>
      <w:r w:rsidRPr="00566D38">
        <w:rPr>
          <w:b/>
        </w:rPr>
        <w:t>238 (WRC-15)</w:t>
      </w:r>
      <w:r w:rsidRPr="00566D38">
        <w:t xml:space="preserve"> </w:t>
      </w:r>
      <w:r w:rsidR="001D1E06">
        <w:t>invites ITU-R</w:t>
      </w:r>
      <w:r w:rsidRPr="00566D38">
        <w:t xml:space="preserve"> to determine the spectrum needs for the terrestrial component of IMT in the frequency range between 24.25 GHz and 86 GHz, as well as sharing and compatibility studies, taking into account the protection of services to which the band is allocated on a primary basis, for the frequency bands:</w:t>
      </w:r>
    </w:p>
    <w:p w:rsidR="00D113B5" w:rsidRPr="0093759B" w:rsidRDefault="00D113B5" w:rsidP="004F06E6">
      <w:pPr>
        <w:pStyle w:val="enumlev1"/>
        <w:numPr>
          <w:ilvl w:val="0"/>
          <w:numId w:val="15"/>
        </w:numPr>
        <w:jc w:val="both"/>
      </w:pPr>
      <w:r w:rsidRPr="0093759B">
        <w:t>24.25-27.5 GHz, 37-40.5 GHz, 42.5-43.5 GHz, 45.5-47 GHz, 47.2-50.2 GHz, 50.4</w:t>
      </w:r>
      <w:r w:rsidRPr="0093759B">
        <w:noBreakHyphen/>
        <w:t>52.6 GHz, 66-76 GHz and 81-86 GHz, which have allocations to the mobile service on a primary basis; and</w:t>
      </w:r>
    </w:p>
    <w:p w:rsidR="00D113B5" w:rsidRPr="0093759B" w:rsidRDefault="00D113B5" w:rsidP="004F06E6">
      <w:pPr>
        <w:pStyle w:val="enumlev1"/>
        <w:numPr>
          <w:ilvl w:val="0"/>
          <w:numId w:val="15"/>
        </w:numPr>
        <w:jc w:val="both"/>
      </w:pPr>
      <w:r w:rsidRPr="0093759B">
        <w:t>31.8-33.4 GHz, 40.5-42.5 GHz and 47-47.2 GHz, which may require additional allocations to the mobile service on a primary basis.</w:t>
      </w:r>
    </w:p>
    <w:p w:rsidR="000A5418" w:rsidRDefault="000A5418" w:rsidP="00C357AD">
      <w:pPr>
        <w:jc w:val="both"/>
      </w:pPr>
    </w:p>
    <w:p w:rsidR="000A5418" w:rsidRPr="000A5418" w:rsidRDefault="000A5418" w:rsidP="00CE0AA0">
      <w:pPr>
        <w:jc w:val="both"/>
        <w:rPr>
          <w:b/>
        </w:rPr>
      </w:pPr>
      <w:r w:rsidRPr="000A5418">
        <w:rPr>
          <w:b/>
        </w:rPr>
        <w:t>2. Preliminary Views</w:t>
      </w:r>
    </w:p>
    <w:p w:rsidR="008319BF" w:rsidRDefault="008319BF" w:rsidP="00CE0AA0">
      <w:pPr>
        <w:jc w:val="both"/>
        <w:rPr>
          <w:b/>
        </w:rPr>
      </w:pPr>
    </w:p>
    <w:p w:rsidR="00C357AD" w:rsidRDefault="001D1E06" w:rsidP="00CE0AA0">
      <w:pPr>
        <w:jc w:val="both"/>
        <w:rPr>
          <w:lang w:eastAsia="ko-KR"/>
        </w:rPr>
      </w:pPr>
      <w:r>
        <w:rPr>
          <w:lang w:eastAsia="ko-KR"/>
        </w:rPr>
        <w:t xml:space="preserve">Among the frequency bands that have been identified for studies for future IMT development under this agenda item, Nepal has frequency allocations in </w:t>
      </w:r>
      <w:r w:rsidR="00FE18A2">
        <w:rPr>
          <w:lang w:eastAsia="ko-KR"/>
        </w:rPr>
        <w:t xml:space="preserve">37-39.5 GHz, </w:t>
      </w:r>
      <w:r>
        <w:rPr>
          <w:lang w:eastAsia="ko-KR"/>
        </w:rPr>
        <w:t xml:space="preserve">71-76 GHz </w:t>
      </w:r>
      <w:r w:rsidR="00FE18A2">
        <w:rPr>
          <w:lang w:eastAsia="ko-KR"/>
        </w:rPr>
        <w:t xml:space="preserve">and 81-86 GHz Bands </w:t>
      </w:r>
      <w:r>
        <w:rPr>
          <w:lang w:eastAsia="ko-KR"/>
        </w:rPr>
        <w:t xml:space="preserve">for terrestrial </w:t>
      </w:r>
      <w:r w:rsidR="0080018C">
        <w:rPr>
          <w:lang w:eastAsia="ko-KR"/>
        </w:rPr>
        <w:t>point to point microwave</w:t>
      </w:r>
      <w:r w:rsidR="00FE18A2">
        <w:rPr>
          <w:lang w:eastAsia="ko-KR"/>
        </w:rPr>
        <w:t xml:space="preserve"> links. However, these</w:t>
      </w:r>
      <w:r>
        <w:rPr>
          <w:lang w:eastAsia="ko-KR"/>
        </w:rPr>
        <w:t xml:space="preserve"> </w:t>
      </w:r>
      <w:r w:rsidR="0080018C">
        <w:rPr>
          <w:lang w:eastAsia="ko-KR"/>
        </w:rPr>
        <w:t>band</w:t>
      </w:r>
      <w:r w:rsidR="00FE18A2">
        <w:rPr>
          <w:lang w:eastAsia="ko-KR"/>
        </w:rPr>
        <w:t>s have</w:t>
      </w:r>
      <w:r w:rsidR="0080018C">
        <w:rPr>
          <w:lang w:eastAsia="ko-KR"/>
        </w:rPr>
        <w:t xml:space="preserve"> not been assigned yet. Other remaining bands in this agenda have not been allocated for any other purpose. </w:t>
      </w:r>
    </w:p>
    <w:p w:rsidR="0080018C" w:rsidRDefault="0080018C" w:rsidP="00CE0AA0">
      <w:pPr>
        <w:jc w:val="both"/>
        <w:rPr>
          <w:lang w:eastAsia="ko-KR"/>
        </w:rPr>
      </w:pPr>
    </w:p>
    <w:p w:rsidR="00F619D3" w:rsidRDefault="0080018C" w:rsidP="00CE0AA0">
      <w:pPr>
        <w:jc w:val="both"/>
        <w:rPr>
          <w:lang w:eastAsia="ko-KR"/>
        </w:rPr>
      </w:pPr>
      <w:r>
        <w:rPr>
          <w:lang w:eastAsia="ko-KR"/>
        </w:rPr>
        <w:t xml:space="preserve">In this context, Nepal </w:t>
      </w:r>
      <w:r w:rsidR="00FE18A2">
        <w:rPr>
          <w:lang w:eastAsia="ko-KR"/>
        </w:rPr>
        <w:t xml:space="preserve">supports </w:t>
      </w:r>
      <w:r w:rsidR="0013601C">
        <w:rPr>
          <w:lang w:eastAsia="ko-KR"/>
        </w:rPr>
        <w:t xml:space="preserve">sharing and compatibility studies with priority in </w:t>
      </w:r>
      <w:r w:rsidR="00F619D3">
        <w:t xml:space="preserve">frequency bands </w:t>
      </w:r>
      <w:r w:rsidR="0013601C">
        <w:t xml:space="preserve">24.25-27.5 GHz, 31.8-33.4 GHz, </w:t>
      </w:r>
      <w:r w:rsidR="00F619D3" w:rsidRPr="0093759B">
        <w:t>37-40.5 GHz</w:t>
      </w:r>
      <w:r w:rsidR="00F619D3">
        <w:t xml:space="preserve">, </w:t>
      </w:r>
      <w:r w:rsidR="00F619D3" w:rsidRPr="0093759B">
        <w:t>66-76 GHz</w:t>
      </w:r>
      <w:r w:rsidR="00F619D3">
        <w:t xml:space="preserve"> and </w:t>
      </w:r>
      <w:r w:rsidR="00F619D3" w:rsidRPr="0093759B">
        <w:t>81-86 GHz</w:t>
      </w:r>
      <w:r w:rsidR="00F619D3">
        <w:t xml:space="preserve"> bands</w:t>
      </w:r>
      <w:r w:rsidR="0013601C">
        <w:t>.</w:t>
      </w:r>
    </w:p>
    <w:p w:rsidR="00196885" w:rsidRPr="00196885" w:rsidRDefault="00196885" w:rsidP="00CE0AA0">
      <w:pPr>
        <w:jc w:val="both"/>
        <w:rPr>
          <w:rFonts w:cstheme="minorBidi"/>
          <w:szCs w:val="21"/>
          <w:lang w:eastAsia="ko-KR" w:bidi="ne-NP"/>
        </w:rPr>
      </w:pPr>
    </w:p>
    <w:p w:rsidR="004F06E6" w:rsidRDefault="004F06E6" w:rsidP="00CE0AA0">
      <w:pPr>
        <w:jc w:val="both"/>
        <w:rPr>
          <w:b/>
        </w:rPr>
      </w:pPr>
    </w:p>
    <w:p w:rsidR="00683EED" w:rsidRDefault="00683EED">
      <w:pPr>
        <w:rPr>
          <w:b/>
        </w:rPr>
      </w:pPr>
      <w:r>
        <w:rPr>
          <w:b/>
        </w:rPr>
        <w:br w:type="page"/>
      </w:r>
    </w:p>
    <w:p w:rsidR="004F06E6" w:rsidRDefault="004F06E6" w:rsidP="00CE0AA0">
      <w:pPr>
        <w:jc w:val="both"/>
        <w:rPr>
          <w:b/>
        </w:rPr>
      </w:pPr>
    </w:p>
    <w:p w:rsidR="0013601C" w:rsidRDefault="0013601C" w:rsidP="00CE0AA0">
      <w:pPr>
        <w:jc w:val="both"/>
      </w:pPr>
      <w:r>
        <w:rPr>
          <w:b/>
        </w:rPr>
        <w:t xml:space="preserve">Agenda Item 1.16: </w:t>
      </w:r>
    </w:p>
    <w:p w:rsidR="0013601C" w:rsidRDefault="0013601C" w:rsidP="00CE0AA0">
      <w:pPr>
        <w:jc w:val="both"/>
        <w:rPr>
          <w:i/>
        </w:rPr>
      </w:pPr>
      <w:r>
        <w:rPr>
          <w:i/>
        </w:rPr>
        <w:t>T</w:t>
      </w:r>
      <w:r w:rsidRPr="00BC3227">
        <w:rPr>
          <w:i/>
        </w:rPr>
        <w: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239</w:t>
      </w:r>
    </w:p>
    <w:p w:rsidR="004352BC" w:rsidRDefault="004352BC" w:rsidP="00CE0AA0">
      <w:pPr>
        <w:spacing w:after="120"/>
        <w:jc w:val="both"/>
        <w:rPr>
          <w:b/>
          <w:lang w:eastAsia="ko-KR"/>
        </w:rPr>
      </w:pPr>
    </w:p>
    <w:p w:rsidR="000A5418" w:rsidRPr="00A30FA5" w:rsidRDefault="000A5418" w:rsidP="00CE0AA0">
      <w:pPr>
        <w:spacing w:after="120"/>
        <w:jc w:val="both"/>
        <w:rPr>
          <w:b/>
          <w:lang w:eastAsia="ko-KR"/>
        </w:rPr>
      </w:pPr>
      <w:r w:rsidRPr="00A30FA5">
        <w:rPr>
          <w:rFonts w:hint="eastAsia"/>
          <w:b/>
          <w:lang w:eastAsia="ko-KR"/>
        </w:rPr>
        <w:t>1. Background</w:t>
      </w:r>
    </w:p>
    <w:p w:rsidR="004352BC" w:rsidRPr="004352BC" w:rsidRDefault="004352BC" w:rsidP="00CE0AA0">
      <w:pPr>
        <w:jc w:val="both"/>
        <w:rPr>
          <w:lang w:eastAsia="ko-KR"/>
        </w:rPr>
      </w:pPr>
      <w:r w:rsidRPr="004352BC">
        <w:rPr>
          <w:lang w:eastAsia="ko-KR"/>
        </w:rPr>
        <w:t xml:space="preserve">Resolution </w:t>
      </w:r>
      <w:r w:rsidRPr="004352BC">
        <w:rPr>
          <w:b/>
          <w:bCs/>
          <w:lang w:eastAsia="ko-KR"/>
        </w:rPr>
        <w:t>239</w:t>
      </w:r>
      <w:r>
        <w:rPr>
          <w:b/>
          <w:bCs/>
          <w:lang w:eastAsia="ko-KR"/>
        </w:rPr>
        <w:t xml:space="preserve"> </w:t>
      </w:r>
      <w:r w:rsidRPr="004352BC">
        <w:rPr>
          <w:b/>
          <w:bCs/>
          <w:lang w:eastAsia="ko-KR"/>
        </w:rPr>
        <w:t>(WRC-15)</w:t>
      </w:r>
      <w:r>
        <w:rPr>
          <w:lang w:eastAsia="ko-KR"/>
        </w:rPr>
        <w:t xml:space="preserve"> </w:t>
      </w:r>
      <w:r w:rsidRPr="004352BC">
        <w:rPr>
          <w:lang w:eastAsia="ko-KR"/>
        </w:rPr>
        <w:t xml:space="preserve"> invites ITU</w:t>
      </w:r>
      <w:r w:rsidRPr="004352BC">
        <w:rPr>
          <w:lang w:eastAsia="ko-KR"/>
        </w:rPr>
        <w:noBreakHyphen/>
        <w:t xml:space="preserve">R </w:t>
      </w:r>
    </w:p>
    <w:p w:rsidR="004352BC" w:rsidRPr="004352BC" w:rsidRDefault="004352BC" w:rsidP="00CE0AA0">
      <w:pPr>
        <w:pStyle w:val="ListParagraph"/>
        <w:numPr>
          <w:ilvl w:val="0"/>
          <w:numId w:val="10"/>
        </w:numPr>
        <w:jc w:val="both"/>
        <w:rPr>
          <w:rFonts w:eastAsia="Calibri"/>
        </w:rPr>
      </w:pPr>
      <w:r w:rsidRPr="004352BC">
        <w:t xml:space="preserve">to study </w:t>
      </w:r>
      <w:r w:rsidRPr="004352BC">
        <w:rPr>
          <w:rFonts w:eastAsia="Calibri"/>
        </w:rPr>
        <w:t>WAS/RLAN technical characteristics and operational requirements in the 5 GHz frequency range;</w:t>
      </w:r>
    </w:p>
    <w:p w:rsidR="004352BC" w:rsidRPr="004352BC" w:rsidRDefault="004352BC" w:rsidP="00CE0AA0">
      <w:pPr>
        <w:pStyle w:val="ListParagraph"/>
        <w:numPr>
          <w:ilvl w:val="0"/>
          <w:numId w:val="10"/>
        </w:numPr>
        <w:jc w:val="both"/>
        <w:rPr>
          <w:rFonts w:eastAsia="Calibri"/>
        </w:rPr>
      </w:pPr>
      <w:r w:rsidRPr="004352BC">
        <w:rPr>
          <w:rFonts w:eastAsia="Calibri"/>
        </w:rPr>
        <w:t>to conduct studies with a view to identify potential WAS/RLAN mitigation techniques to facilitate sharing with incumbent systems in the frequency bands 5 150-5 350 MHz, 5 350</w:t>
      </w:r>
      <w:r w:rsidRPr="004352BC">
        <w:rPr>
          <w:rFonts w:eastAsia="Calibri"/>
        </w:rPr>
        <w:noBreakHyphen/>
        <w:t>5 470 MHz, 5 725-5 850 MHz and 5 850-5 925 MHz, while ensuring the protection of incumbent services including their current and planned use;</w:t>
      </w:r>
    </w:p>
    <w:p w:rsidR="004352BC" w:rsidRPr="004352BC" w:rsidRDefault="004352BC" w:rsidP="00CE0AA0">
      <w:pPr>
        <w:pStyle w:val="ListParagraph"/>
        <w:numPr>
          <w:ilvl w:val="0"/>
          <w:numId w:val="10"/>
        </w:numPr>
        <w:jc w:val="both"/>
        <w:rPr>
          <w:rFonts w:eastAsia="Calibri"/>
        </w:rPr>
      </w:pPr>
      <w:r w:rsidRPr="004352BC">
        <w:t xml:space="preserve">to </w:t>
      </w:r>
      <w:r w:rsidRPr="004352BC">
        <w:rPr>
          <w:bCs/>
        </w:rPr>
        <w:t>perform</w:t>
      </w:r>
      <w:r w:rsidRPr="004352BC">
        <w:rPr>
          <w:b/>
          <w:bCs/>
        </w:rPr>
        <w:t xml:space="preserve"> </w:t>
      </w:r>
      <w:r w:rsidRPr="004352BC">
        <w:t>sharing and compatibility studies</w:t>
      </w:r>
      <w:r w:rsidRPr="004352BC">
        <w:rPr>
          <w:bCs/>
        </w:rPr>
        <w:t xml:space="preserve"> </w:t>
      </w:r>
      <w:r w:rsidRPr="004352BC">
        <w:rPr>
          <w:lang w:eastAsia="fr-FR"/>
        </w:rPr>
        <w:t xml:space="preserve">between WAS/RLAN applications and incumbent services </w:t>
      </w:r>
      <w:r w:rsidRPr="004352BC">
        <w:t xml:space="preserve">in the </w:t>
      </w:r>
      <w:r w:rsidRPr="004352BC">
        <w:rPr>
          <w:rFonts w:eastAsia="Calibri"/>
        </w:rPr>
        <w:t>frequency band</w:t>
      </w:r>
      <w:r w:rsidRPr="004352BC">
        <w:t xml:space="preserve"> 5 150-5 350 MHz </w:t>
      </w:r>
      <w:r w:rsidRPr="004352BC">
        <w:rPr>
          <w:bCs/>
        </w:rPr>
        <w:t>with the possibility of enabling outdoor WAS/RLAN operations</w:t>
      </w:r>
      <w:r w:rsidRPr="004352BC">
        <w:t xml:space="preserve"> </w:t>
      </w:r>
      <w:r w:rsidRPr="004352BC">
        <w:rPr>
          <w:bCs/>
        </w:rPr>
        <w:t>including possible associated conditions;</w:t>
      </w:r>
    </w:p>
    <w:p w:rsidR="004352BC" w:rsidRPr="004352BC" w:rsidRDefault="004352BC" w:rsidP="00CE0AA0">
      <w:pPr>
        <w:pStyle w:val="ListParagraph"/>
        <w:numPr>
          <w:ilvl w:val="0"/>
          <w:numId w:val="10"/>
        </w:numPr>
        <w:jc w:val="both"/>
        <w:rPr>
          <w:rFonts w:eastAsia="Calibri"/>
        </w:rPr>
      </w:pPr>
      <w:r w:rsidRPr="004352BC">
        <w:rPr>
          <w:lang w:eastAsia="fr-FR"/>
        </w:rPr>
        <w:t>to conduct further sharing and compatibility studies between WAS/RLAN applications and incumbent services addressing:</w:t>
      </w:r>
    </w:p>
    <w:p w:rsidR="004352BC" w:rsidRPr="004352BC" w:rsidRDefault="004352BC" w:rsidP="00CE0AA0">
      <w:pPr>
        <w:pStyle w:val="enumlev1"/>
        <w:numPr>
          <w:ilvl w:val="0"/>
          <w:numId w:val="14"/>
        </w:numPr>
        <w:ind w:left="1620" w:hanging="630"/>
        <w:jc w:val="both"/>
        <w:rPr>
          <w:szCs w:val="24"/>
        </w:rPr>
      </w:pPr>
      <w:r w:rsidRPr="004352BC">
        <w:rPr>
          <w:szCs w:val="24"/>
        </w:rPr>
        <w:t xml:space="preserve">whether any additional mitigation techniques in the frequency band 5 350-5 470 MHz beyond those analysed in the studies referred to in </w:t>
      </w:r>
      <w:r w:rsidRPr="004352BC">
        <w:rPr>
          <w:i/>
          <w:szCs w:val="24"/>
        </w:rPr>
        <w:t>recognizing a)</w:t>
      </w:r>
      <w:r w:rsidRPr="004352BC">
        <w:rPr>
          <w:szCs w:val="24"/>
        </w:rPr>
        <w:t xml:space="preserve"> would provide coexistence between WAS/RLAN systems and EESS (active) and SRS (active) systems;</w:t>
      </w:r>
    </w:p>
    <w:p w:rsidR="004352BC" w:rsidRPr="004352BC" w:rsidRDefault="004352BC" w:rsidP="00CE0AA0">
      <w:pPr>
        <w:pStyle w:val="enumlev1"/>
        <w:numPr>
          <w:ilvl w:val="0"/>
          <w:numId w:val="14"/>
        </w:numPr>
        <w:ind w:left="1620" w:hanging="630"/>
        <w:jc w:val="both"/>
        <w:rPr>
          <w:szCs w:val="24"/>
        </w:rPr>
      </w:pPr>
      <w:r w:rsidRPr="004352BC">
        <w:rPr>
          <w:szCs w:val="24"/>
        </w:rPr>
        <w:t>whether any mitigation techniques in the frequency band 5 350-5 470 MHz would provide compatibility between WAS/RLAN systems and radio determination systems;</w:t>
      </w:r>
    </w:p>
    <w:p w:rsidR="004352BC" w:rsidRPr="004352BC" w:rsidRDefault="004352BC" w:rsidP="00CE0AA0">
      <w:pPr>
        <w:pStyle w:val="enumlev1"/>
        <w:numPr>
          <w:ilvl w:val="0"/>
          <w:numId w:val="14"/>
        </w:numPr>
        <w:ind w:left="1620" w:hanging="630"/>
        <w:jc w:val="both"/>
        <w:rPr>
          <w:szCs w:val="24"/>
        </w:rPr>
      </w:pPr>
      <w:r w:rsidRPr="004352BC">
        <w:rPr>
          <w:szCs w:val="24"/>
        </w:rPr>
        <w:t>whether the results of studies under points i) and ii) would enable an allocation of the frequency band 5 350-5 470 MHz to the mobile service with a view to accommodating WAS/RLAN use;</w:t>
      </w:r>
    </w:p>
    <w:p w:rsidR="004352BC" w:rsidRPr="004352BC" w:rsidRDefault="004352BC" w:rsidP="00CE0AA0">
      <w:pPr>
        <w:pStyle w:val="ListParagraph"/>
        <w:numPr>
          <w:ilvl w:val="0"/>
          <w:numId w:val="10"/>
        </w:numPr>
        <w:jc w:val="both"/>
        <w:rPr>
          <w:bCs/>
        </w:rPr>
      </w:pPr>
      <w:r w:rsidRPr="004352BC">
        <w:rPr>
          <w:bCs/>
        </w:rPr>
        <w:t>to also conduct detailed sharing and compatibility studies, including mitigation techniques, between WAS/RLAN and incumbent services in the frequency band 5 725-5 850 MHz with a view to enabling a mobile service allocation to accommodate WAS/RLAN use;</w:t>
      </w:r>
    </w:p>
    <w:p w:rsidR="004352BC" w:rsidRPr="004352BC" w:rsidRDefault="004352BC" w:rsidP="00CE0AA0">
      <w:pPr>
        <w:pStyle w:val="ListParagraph"/>
        <w:numPr>
          <w:ilvl w:val="0"/>
          <w:numId w:val="10"/>
        </w:numPr>
        <w:jc w:val="both"/>
        <w:rPr>
          <w:bCs/>
        </w:rPr>
      </w:pPr>
      <w:r w:rsidRPr="004352BC">
        <w:rPr>
          <w:bCs/>
        </w:rPr>
        <w:t>to also conduct detailed sharing and compatibility studies, including mitigation</w:t>
      </w:r>
      <w:r>
        <w:rPr>
          <w:bCs/>
        </w:rPr>
        <w:t xml:space="preserve"> </w:t>
      </w:r>
      <w:r w:rsidRPr="004352BC">
        <w:rPr>
          <w:bCs/>
        </w:rPr>
        <w:t>techniques, between WAS/RLAN and incumbent services in the frequency band 5 850-5 925 MHz with a view to accommodating WAS/RLAN use under the existing primary mobile service allocation while not imposing any additional constraints on the existing services,</w:t>
      </w:r>
    </w:p>
    <w:p w:rsidR="000A5418" w:rsidRDefault="000A5418" w:rsidP="00CE0AA0">
      <w:pPr>
        <w:jc w:val="both"/>
      </w:pPr>
    </w:p>
    <w:p w:rsidR="000A5418" w:rsidRPr="000A5418" w:rsidRDefault="000A5418" w:rsidP="00CE0AA0">
      <w:pPr>
        <w:jc w:val="both"/>
        <w:rPr>
          <w:b/>
        </w:rPr>
      </w:pPr>
      <w:r w:rsidRPr="000A5418">
        <w:rPr>
          <w:b/>
        </w:rPr>
        <w:t>2. Preliminary Views</w:t>
      </w:r>
    </w:p>
    <w:p w:rsidR="004352BC" w:rsidRDefault="004352BC" w:rsidP="00CE0AA0">
      <w:pPr>
        <w:jc w:val="both"/>
        <w:rPr>
          <w:rFonts w:eastAsia="Times New Roman"/>
          <w:lang w:bidi="en-US"/>
        </w:rPr>
      </w:pPr>
    </w:p>
    <w:p w:rsidR="004352BC" w:rsidRDefault="004352BC" w:rsidP="00CE0AA0">
      <w:pPr>
        <w:jc w:val="both"/>
        <w:rPr>
          <w:b/>
          <w:lang w:val="en-NZ" w:eastAsia="ko-KR"/>
        </w:rPr>
      </w:pPr>
      <w:r w:rsidRPr="00F22790">
        <w:rPr>
          <w:rFonts w:eastAsia="Times New Roman"/>
          <w:lang w:bidi="en-US"/>
        </w:rPr>
        <w:t>In Nepal, the frequency bands, 5150-5350 MHz and 5725-5825 MHz has been designated for Industrial Scientific and Medical (ISM) applications. Also</w:t>
      </w:r>
      <w:r>
        <w:rPr>
          <w:b/>
          <w:lang w:val="en-NZ" w:eastAsia="ko-KR"/>
        </w:rPr>
        <w:t xml:space="preserve"> </w:t>
      </w:r>
      <w:r w:rsidRPr="006F216B">
        <w:rPr>
          <w:rFonts w:eastAsia="Times New Roman"/>
          <w:lang w:bidi="en-US"/>
        </w:rPr>
        <w:t>WAS/RLANs are author</w:t>
      </w:r>
      <w:r>
        <w:rPr>
          <w:rFonts w:eastAsia="Times New Roman"/>
          <w:lang w:bidi="en-US"/>
        </w:rPr>
        <w:t>ised to operate in the 5 150-5 2</w:t>
      </w:r>
      <w:r w:rsidRPr="006F216B">
        <w:rPr>
          <w:rFonts w:eastAsia="Times New Roman"/>
          <w:lang w:bidi="en-US"/>
        </w:rPr>
        <w:t>50 MHz (max 200 mW e.</w:t>
      </w:r>
      <w:r>
        <w:rPr>
          <w:rFonts w:eastAsia="Times New Roman"/>
          <w:lang w:bidi="en-US"/>
        </w:rPr>
        <w:t>i.r.p. and indoor restriction),  5 2</w:t>
      </w:r>
      <w:r w:rsidRPr="006F216B">
        <w:rPr>
          <w:rFonts w:eastAsia="Times New Roman"/>
          <w:lang w:bidi="en-US"/>
        </w:rPr>
        <w:t>5</w:t>
      </w:r>
      <w:r>
        <w:rPr>
          <w:rFonts w:eastAsia="Times New Roman"/>
          <w:lang w:bidi="en-US"/>
        </w:rPr>
        <w:t>0</w:t>
      </w:r>
      <w:r>
        <w:rPr>
          <w:rFonts w:eastAsia="Times New Roman"/>
          <w:lang w:bidi="en-US"/>
        </w:rPr>
        <w:noBreakHyphen/>
        <w:t>5 350 MHz (</w:t>
      </w:r>
      <w:r w:rsidRPr="006F216B">
        <w:rPr>
          <w:rFonts w:eastAsia="Times New Roman"/>
          <w:lang w:bidi="en-US"/>
        </w:rPr>
        <w:t>max 200 mW e.</w:t>
      </w:r>
      <w:r>
        <w:rPr>
          <w:rFonts w:eastAsia="Times New Roman"/>
          <w:lang w:bidi="en-US"/>
        </w:rPr>
        <w:t>i.r.p. with indoor restriction  and max e.i.r.p. 1</w:t>
      </w:r>
      <w:r w:rsidRPr="006F216B">
        <w:rPr>
          <w:rFonts w:eastAsia="Times New Roman"/>
          <w:lang w:bidi="en-US"/>
        </w:rPr>
        <w:t>W</w:t>
      </w:r>
      <w:r>
        <w:rPr>
          <w:rFonts w:eastAsia="Times New Roman"/>
          <w:lang w:bidi="en-US"/>
        </w:rPr>
        <w:t xml:space="preserve"> for outdoor</w:t>
      </w:r>
      <w:r w:rsidRPr="006F216B">
        <w:rPr>
          <w:rFonts w:eastAsia="Times New Roman"/>
          <w:lang w:bidi="en-US"/>
        </w:rPr>
        <w:t>)</w:t>
      </w:r>
      <w:r>
        <w:rPr>
          <w:rFonts w:eastAsia="Times New Roman"/>
          <w:lang w:bidi="en-US"/>
        </w:rPr>
        <w:t xml:space="preserve"> and </w:t>
      </w:r>
      <w:r w:rsidRPr="006F216B">
        <w:rPr>
          <w:rFonts w:eastAsia="Times New Roman"/>
          <w:lang w:bidi="en-US"/>
        </w:rPr>
        <w:t>and 5 725</w:t>
      </w:r>
      <w:r>
        <w:rPr>
          <w:rFonts w:eastAsia="Times New Roman"/>
          <w:lang w:bidi="en-US"/>
        </w:rPr>
        <w:noBreakHyphen/>
        <w:t>5 825</w:t>
      </w:r>
      <w:r w:rsidRPr="006F216B">
        <w:rPr>
          <w:rFonts w:eastAsia="Times New Roman"/>
          <w:lang w:bidi="en-US"/>
        </w:rPr>
        <w:t xml:space="preserve"> MHz (max e.i.r.p. 4 W)</w:t>
      </w:r>
      <w:r>
        <w:rPr>
          <w:rFonts w:eastAsia="Times New Roman"/>
          <w:lang w:bidi="en-US"/>
        </w:rPr>
        <w:t xml:space="preserve"> frequency bands in non protection and shared basis</w:t>
      </w:r>
      <w:r w:rsidRPr="006F216B">
        <w:rPr>
          <w:rFonts w:eastAsia="Times New Roman"/>
          <w:lang w:bidi="en-US"/>
        </w:rPr>
        <w:t>.</w:t>
      </w:r>
      <w:r>
        <w:rPr>
          <w:rFonts w:eastAsia="Times New Roman"/>
          <w:lang w:bidi="en-US"/>
        </w:rPr>
        <w:t xml:space="preserve"> The frequency band 54</w:t>
      </w:r>
      <w:r w:rsidR="004F06E6">
        <w:rPr>
          <w:rFonts w:eastAsia="Times New Roman"/>
          <w:lang w:bidi="en-US"/>
        </w:rPr>
        <w:t>8</w:t>
      </w:r>
      <w:r>
        <w:rPr>
          <w:rFonts w:eastAsia="Times New Roman"/>
          <w:lang w:bidi="en-US"/>
        </w:rPr>
        <w:t>0 – 5725 MHz Band has been used for Amateur Radio Services.</w:t>
      </w:r>
    </w:p>
    <w:p w:rsidR="004352BC" w:rsidRDefault="004352BC" w:rsidP="00CE0AA0">
      <w:pPr>
        <w:jc w:val="both"/>
        <w:rPr>
          <w:b/>
          <w:lang w:val="en-NZ" w:eastAsia="ko-KR"/>
        </w:rPr>
      </w:pPr>
    </w:p>
    <w:p w:rsidR="004352BC" w:rsidRDefault="004352BC" w:rsidP="00CE0AA0">
      <w:pPr>
        <w:jc w:val="both"/>
        <w:rPr>
          <w:lang w:val="en-NZ"/>
        </w:rPr>
      </w:pPr>
      <w:r>
        <w:rPr>
          <w:b/>
          <w:lang w:val="en-NZ" w:eastAsia="ko-KR"/>
        </w:rPr>
        <w:lastRenderedPageBreak/>
        <w:t xml:space="preserve"> </w:t>
      </w:r>
      <w:r>
        <w:rPr>
          <w:lang w:val="en-NZ"/>
        </w:rPr>
        <w:t xml:space="preserve">Nepal </w:t>
      </w:r>
      <w:r w:rsidRPr="00242E68">
        <w:rPr>
          <w:lang w:val="en-NZ"/>
        </w:rPr>
        <w:t xml:space="preserve">supports the </w:t>
      </w:r>
      <w:r>
        <w:rPr>
          <w:lang w:val="en-NZ"/>
        </w:rPr>
        <w:t xml:space="preserve">ITU-R </w:t>
      </w:r>
      <w:r w:rsidRPr="00242E68">
        <w:rPr>
          <w:lang w:val="en-NZ"/>
        </w:rPr>
        <w:t xml:space="preserve">studies </w:t>
      </w:r>
      <w:r>
        <w:rPr>
          <w:lang w:val="en-NZ"/>
        </w:rPr>
        <w:t xml:space="preserve">undertaken </w:t>
      </w:r>
      <w:r w:rsidRPr="00242E68">
        <w:rPr>
          <w:lang w:val="en-NZ"/>
        </w:rPr>
        <w:t xml:space="preserve">in accordance with Resolution </w:t>
      </w:r>
      <w:r w:rsidRPr="00242E68">
        <w:rPr>
          <w:b/>
          <w:lang w:val="en-NZ"/>
        </w:rPr>
        <w:t>239 (WRC</w:t>
      </w:r>
      <w:r>
        <w:rPr>
          <w:b/>
          <w:lang w:val="en-NZ"/>
        </w:rPr>
        <w:t>-</w:t>
      </w:r>
      <w:r w:rsidRPr="00242E68">
        <w:rPr>
          <w:b/>
          <w:lang w:val="en-NZ"/>
        </w:rPr>
        <w:t>15)</w:t>
      </w:r>
      <w:r>
        <w:rPr>
          <w:lang w:val="en-NZ"/>
        </w:rPr>
        <w:t xml:space="preserve"> </w:t>
      </w:r>
      <w:r w:rsidRPr="00242E68">
        <w:rPr>
          <w:lang w:val="en-NZ"/>
        </w:rPr>
        <w:t xml:space="preserve">as this work could potentially enable </w:t>
      </w:r>
      <w:r>
        <w:rPr>
          <w:lang w:val="en-NZ"/>
        </w:rPr>
        <w:t xml:space="preserve">a </w:t>
      </w:r>
      <w:r w:rsidRPr="00242E68">
        <w:rPr>
          <w:lang w:val="en-NZ"/>
        </w:rPr>
        <w:t>contiguous block of spectrum in the 5 GHz band for the implementation of wireless access systems, including radio local area networks (RLAN)</w:t>
      </w:r>
      <w:r>
        <w:rPr>
          <w:lang w:val="en-NZ"/>
        </w:rPr>
        <w:t xml:space="preserve"> </w:t>
      </w:r>
      <w:r w:rsidRPr="006F3CCB">
        <w:rPr>
          <w:rFonts w:eastAsia="Times New Roman"/>
          <w:iCs/>
          <w:lang w:eastAsia="zh-CN"/>
        </w:rPr>
        <w:t>to address the considerable growth and demand ensuring adequate protection of incumbent services</w:t>
      </w:r>
      <w:r w:rsidRPr="00242E68">
        <w:rPr>
          <w:lang w:val="en-NZ"/>
        </w:rPr>
        <w:t>.</w:t>
      </w:r>
      <w:r>
        <w:rPr>
          <w:lang w:val="en-NZ"/>
        </w:rPr>
        <w:t xml:space="preserve"> </w:t>
      </w:r>
      <w:bookmarkStart w:id="0" w:name="_GoBack"/>
      <w:bookmarkEnd w:id="0"/>
    </w:p>
    <w:p w:rsidR="004352BC" w:rsidRPr="00BD26D3" w:rsidRDefault="004352BC" w:rsidP="00CE0AA0">
      <w:pPr>
        <w:spacing w:beforeLines="50" w:before="120" w:afterLines="50" w:after="120"/>
        <w:jc w:val="both"/>
        <w:rPr>
          <w:rFonts w:eastAsia="Times New Roman"/>
          <w:iCs/>
          <w:lang w:eastAsia="zh-CN"/>
        </w:rPr>
      </w:pPr>
      <w:r>
        <w:rPr>
          <w:rFonts w:eastAsia="Times New Roman"/>
          <w:iCs/>
          <w:lang w:eastAsia="zh-CN"/>
        </w:rPr>
        <w:t>Nepal</w:t>
      </w:r>
      <w:r w:rsidRPr="00BD26D3">
        <w:rPr>
          <w:rFonts w:eastAsia="Times New Roman"/>
          <w:iCs/>
          <w:lang w:eastAsia="zh-CN"/>
        </w:rPr>
        <w:t xml:space="preserve"> supports sharing and compatibility studies being conducted in ITU-R with a view to enabling outdoor WAS/RLANs operations in the frequency band 5 150- 5 250 MHz including possible associated conditions to protect the existing services.</w:t>
      </w:r>
    </w:p>
    <w:p w:rsidR="000A5418" w:rsidRDefault="000A5418" w:rsidP="00C357AD">
      <w:pPr>
        <w:jc w:val="both"/>
      </w:pPr>
    </w:p>
    <w:p w:rsidR="00D1252E" w:rsidRDefault="00D1252E" w:rsidP="009A4A6D">
      <w:pPr>
        <w:jc w:val="center"/>
      </w:pPr>
    </w:p>
    <w:p w:rsidR="00683EED" w:rsidRDefault="00683EED">
      <w:pPr>
        <w:rPr>
          <w:b/>
          <w:bCs/>
          <w:lang w:val="en-NZ"/>
        </w:rPr>
      </w:pPr>
      <w:r>
        <w:rPr>
          <w:lang w:val="en-NZ"/>
        </w:rPr>
        <w:br w:type="page"/>
      </w:r>
    </w:p>
    <w:p w:rsidR="004352BC" w:rsidRDefault="004352BC" w:rsidP="004352BC">
      <w:pPr>
        <w:pStyle w:val="Heading1"/>
        <w:jc w:val="left"/>
        <w:rPr>
          <w:i/>
          <w:lang w:val="en-NZ"/>
        </w:rPr>
      </w:pPr>
      <w:r w:rsidRPr="00715F4D">
        <w:rPr>
          <w:u w:val="none"/>
          <w:lang w:val="en-NZ"/>
        </w:rPr>
        <w:lastRenderedPageBreak/>
        <w:t xml:space="preserve">Agenda Item </w:t>
      </w:r>
      <w:r>
        <w:rPr>
          <w:u w:val="none"/>
          <w:lang w:val="en-NZ"/>
        </w:rPr>
        <w:t>9</w:t>
      </w:r>
      <w:r w:rsidRPr="00715F4D">
        <w:rPr>
          <w:u w:val="none"/>
          <w:lang w:val="en-NZ"/>
        </w:rPr>
        <w:t>.</w:t>
      </w:r>
      <w:r>
        <w:rPr>
          <w:u w:val="none"/>
          <w:lang w:val="en-NZ"/>
        </w:rPr>
        <w:t xml:space="preserve">1, </w:t>
      </w:r>
      <w:r w:rsidRPr="00642A9D">
        <w:rPr>
          <w:u w:val="none"/>
          <w:lang w:val="en-NZ"/>
        </w:rPr>
        <w:t xml:space="preserve">Issue 9.1.1 </w:t>
      </w:r>
    </w:p>
    <w:p w:rsidR="004352BC" w:rsidRDefault="004352BC" w:rsidP="004352BC">
      <w:pPr>
        <w:jc w:val="both"/>
        <w:rPr>
          <w:i/>
          <w:lang w:val="en-NZ"/>
        </w:rPr>
      </w:pPr>
      <w:r w:rsidRPr="00642A9D">
        <w:rPr>
          <w:i/>
          <w:lang w:val="en-NZ"/>
        </w:rPr>
        <w:t xml:space="preserve">Resolution </w:t>
      </w:r>
      <w:r w:rsidRPr="00642A9D">
        <w:rPr>
          <w:b/>
          <w:i/>
          <w:lang w:val="en-NZ"/>
        </w:rPr>
        <w:t>212 (Rev. WRC-15)</w:t>
      </w:r>
      <w:r>
        <w:rPr>
          <w:b/>
          <w:i/>
          <w:lang w:val="en-NZ"/>
        </w:rPr>
        <w:t xml:space="preserve"> </w:t>
      </w:r>
      <w:r w:rsidRPr="00642A9D">
        <w:rPr>
          <w:i/>
          <w:lang w:val="en-NZ"/>
        </w:rPr>
        <w:t>-</w:t>
      </w:r>
      <w:r>
        <w:rPr>
          <w:i/>
          <w:lang w:val="en-NZ"/>
        </w:rPr>
        <w:t xml:space="preserve"> </w:t>
      </w:r>
      <w:r w:rsidRPr="00642A9D">
        <w:rPr>
          <w:i/>
          <w:lang w:val="en-NZ"/>
        </w:rPr>
        <w:t>Implementation of International Mobile</w:t>
      </w:r>
      <w:r>
        <w:rPr>
          <w:i/>
          <w:lang w:val="en-NZ"/>
        </w:rPr>
        <w:t xml:space="preserve"> </w:t>
      </w:r>
      <w:r w:rsidRPr="00642A9D">
        <w:rPr>
          <w:i/>
          <w:lang w:val="en-NZ"/>
        </w:rPr>
        <w:t>Telecommunications (IMT) in the frequency bands 1 885-2 025 MHz and 2 110-2 200 MHz</w:t>
      </w:r>
    </w:p>
    <w:p w:rsidR="000A5418" w:rsidRDefault="000A5418" w:rsidP="000A5418">
      <w:pPr>
        <w:jc w:val="both"/>
      </w:pPr>
    </w:p>
    <w:p w:rsidR="000A5418" w:rsidRPr="00A30FA5" w:rsidRDefault="000A5418" w:rsidP="000A5418">
      <w:pPr>
        <w:spacing w:after="120"/>
        <w:jc w:val="both"/>
        <w:rPr>
          <w:b/>
          <w:lang w:eastAsia="ko-KR"/>
        </w:rPr>
      </w:pPr>
      <w:r w:rsidRPr="00A30FA5">
        <w:rPr>
          <w:rFonts w:hint="eastAsia"/>
          <w:b/>
          <w:lang w:eastAsia="ko-KR"/>
        </w:rPr>
        <w:t>1. Background</w:t>
      </w:r>
    </w:p>
    <w:p w:rsidR="004352BC" w:rsidRDefault="004352BC" w:rsidP="004352BC">
      <w:pPr>
        <w:jc w:val="both"/>
        <w:rPr>
          <w:lang w:eastAsia="ja-JP"/>
        </w:rPr>
      </w:pPr>
      <w:r w:rsidRPr="00265951">
        <w:rPr>
          <w:lang w:eastAsia="ja-JP"/>
        </w:rPr>
        <w:t xml:space="preserve">Resolution </w:t>
      </w:r>
      <w:r w:rsidRPr="00265951">
        <w:rPr>
          <w:b/>
          <w:lang w:eastAsia="ja-JP"/>
        </w:rPr>
        <w:t>212 (Rev.WRC-15)</w:t>
      </w:r>
      <w:r w:rsidRPr="00265951">
        <w:rPr>
          <w:lang w:eastAsia="ja-JP"/>
        </w:rPr>
        <w:t xml:space="preserve"> invites </w:t>
      </w:r>
      <w:r w:rsidRPr="004352BC">
        <w:rPr>
          <w:rFonts w:eastAsia="Times New Roman"/>
          <w:lang w:bidi="en-US"/>
        </w:rPr>
        <w:t>“ITU-R 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rsidR="000A5418" w:rsidRDefault="000A5418" w:rsidP="004352BC">
      <w:pPr>
        <w:jc w:val="both"/>
      </w:pPr>
    </w:p>
    <w:p w:rsidR="000A5418" w:rsidRDefault="000A5418" w:rsidP="004352BC">
      <w:pPr>
        <w:jc w:val="both"/>
        <w:rPr>
          <w:b/>
        </w:rPr>
      </w:pPr>
      <w:r w:rsidRPr="000A5418">
        <w:rPr>
          <w:b/>
        </w:rPr>
        <w:t>2. Preliminary Views</w:t>
      </w:r>
    </w:p>
    <w:p w:rsidR="004352BC" w:rsidRPr="000A5418" w:rsidRDefault="004352BC" w:rsidP="004352BC">
      <w:pPr>
        <w:jc w:val="both"/>
        <w:rPr>
          <w:b/>
        </w:rPr>
      </w:pPr>
    </w:p>
    <w:p w:rsidR="004352BC" w:rsidRPr="00124DAB" w:rsidRDefault="004352BC" w:rsidP="004352BC">
      <w:pPr>
        <w:tabs>
          <w:tab w:val="left" w:pos="3390"/>
        </w:tabs>
        <w:spacing w:after="100" w:afterAutospacing="1"/>
        <w:jc w:val="both"/>
        <w:rPr>
          <w:rFonts w:eastAsia="Times New Roman"/>
          <w:lang w:bidi="en-US"/>
        </w:rPr>
      </w:pPr>
      <w:r>
        <w:rPr>
          <w:rFonts w:eastAsia="Times New Roman"/>
          <w:lang w:bidi="en-US"/>
        </w:rPr>
        <w:t>Nepal</w:t>
      </w:r>
      <w:r w:rsidRPr="00124DAB">
        <w:rPr>
          <w:rFonts w:eastAsia="Times New Roman"/>
          <w:lang w:bidi="en-US"/>
        </w:rPr>
        <w:t xml:space="preserve"> supports ITU-R studies regarding possible technical and operational measures to ensure coexistence and compatibility between the terrestrial component of IMT (in the mobile service) and the satellite component of IMT (in the mobile service and the mobile-satellite service) in the frequency bands 1</w:t>
      </w:r>
      <w:r>
        <w:rPr>
          <w:rFonts w:eastAsia="Times New Roman"/>
          <w:lang w:bidi="en-US"/>
        </w:rPr>
        <w:t> </w:t>
      </w:r>
      <w:r w:rsidRPr="00124DAB">
        <w:rPr>
          <w:rFonts w:eastAsia="Times New Roman"/>
          <w:lang w:bidi="en-US"/>
        </w:rPr>
        <w:t>980- 2</w:t>
      </w:r>
      <w:r>
        <w:rPr>
          <w:rFonts w:eastAsia="Times New Roman"/>
          <w:lang w:bidi="en-US"/>
        </w:rPr>
        <w:t> </w:t>
      </w:r>
      <w:r w:rsidRPr="00124DAB">
        <w:rPr>
          <w:rFonts w:eastAsia="Times New Roman"/>
          <w:lang w:bidi="en-US"/>
        </w:rPr>
        <w:t>010 MHz and 2</w:t>
      </w:r>
      <w:r>
        <w:rPr>
          <w:rFonts w:eastAsia="Times New Roman"/>
          <w:lang w:bidi="en-US"/>
        </w:rPr>
        <w:t> </w:t>
      </w:r>
      <w:r w:rsidRPr="00124DAB">
        <w:rPr>
          <w:rFonts w:eastAsia="Times New Roman"/>
          <w:lang w:bidi="en-US"/>
        </w:rPr>
        <w:t>170-2</w:t>
      </w:r>
      <w:r>
        <w:rPr>
          <w:rFonts w:eastAsia="Times New Roman"/>
          <w:lang w:bidi="en-US"/>
        </w:rPr>
        <w:t> </w:t>
      </w:r>
      <w:r w:rsidRPr="00124DAB">
        <w:rPr>
          <w:rFonts w:eastAsia="Times New Roman"/>
          <w:lang w:bidi="en-US"/>
        </w:rPr>
        <w:t>200 MHz.</w:t>
      </w:r>
    </w:p>
    <w:p w:rsidR="00DA7595" w:rsidRPr="009A4A6D" w:rsidRDefault="00C357AD" w:rsidP="009A4A6D">
      <w:pPr>
        <w:jc w:val="center"/>
        <w:rPr>
          <w:snapToGrid w:val="0"/>
        </w:rPr>
      </w:pPr>
      <w:r>
        <w:t>____________</w:t>
      </w:r>
    </w:p>
    <w:sectPr w:rsidR="00DA7595" w:rsidRPr="009A4A6D" w:rsidSect="00CC4764">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AFA" w:rsidRDefault="00E11AFA">
      <w:r>
        <w:separator/>
      </w:r>
    </w:p>
  </w:endnote>
  <w:endnote w:type="continuationSeparator" w:id="0">
    <w:p w:rsidR="00E11AFA" w:rsidRDefault="00E1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7617DE"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1A25A5" w:rsidP="001A25A5">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sidR="00CC4764">
      <w:rPr>
        <w:lang w:eastAsia="ko-KR"/>
      </w:rPr>
      <w:t>INF-26</w:t>
    </w:r>
    <w:r>
      <w:rPr>
        <w:lang w:eastAsia="ko-KR"/>
      </w:rPr>
      <w:tab/>
    </w:r>
    <w:r>
      <w:rPr>
        <w:lang w:eastAsia="ko-KR"/>
      </w:rPr>
      <w:tab/>
    </w:r>
    <w:r w:rsidR="002C7EA9" w:rsidRPr="002C7EA9">
      <w:rPr>
        <w:rStyle w:val="PageNumber"/>
      </w:rPr>
      <w:t xml:space="preserve">Page </w:t>
    </w:r>
    <w:r w:rsidR="007617DE" w:rsidRPr="002C7EA9">
      <w:rPr>
        <w:rStyle w:val="PageNumber"/>
      </w:rPr>
      <w:fldChar w:fldCharType="begin"/>
    </w:r>
    <w:r w:rsidR="002C7EA9" w:rsidRPr="002C7EA9">
      <w:rPr>
        <w:rStyle w:val="PageNumber"/>
      </w:rPr>
      <w:instrText xml:space="preserve"> PAGE </w:instrText>
    </w:r>
    <w:r w:rsidR="007617DE" w:rsidRPr="002C7EA9">
      <w:rPr>
        <w:rStyle w:val="PageNumber"/>
      </w:rPr>
      <w:fldChar w:fldCharType="separate"/>
    </w:r>
    <w:r w:rsidR="00CC4764">
      <w:rPr>
        <w:rStyle w:val="PageNumber"/>
        <w:noProof/>
      </w:rPr>
      <w:t>4</w:t>
    </w:r>
    <w:r w:rsidR="007617DE" w:rsidRPr="002C7EA9">
      <w:rPr>
        <w:rStyle w:val="PageNumber"/>
      </w:rPr>
      <w:fldChar w:fldCharType="end"/>
    </w:r>
    <w:r w:rsidR="002C7EA9" w:rsidRPr="002C7EA9">
      <w:rPr>
        <w:rStyle w:val="PageNumber"/>
      </w:rPr>
      <w:t xml:space="preserve"> of </w:t>
    </w:r>
    <w:r w:rsidR="007617DE" w:rsidRPr="002C7EA9">
      <w:rPr>
        <w:rStyle w:val="PageNumber"/>
      </w:rPr>
      <w:fldChar w:fldCharType="begin"/>
    </w:r>
    <w:r w:rsidR="002C7EA9" w:rsidRPr="002C7EA9">
      <w:rPr>
        <w:rStyle w:val="PageNumber"/>
      </w:rPr>
      <w:instrText xml:space="preserve"> NUMPAGES </w:instrText>
    </w:r>
    <w:r w:rsidR="007617DE" w:rsidRPr="002C7EA9">
      <w:rPr>
        <w:rStyle w:val="PageNumber"/>
      </w:rPr>
      <w:fldChar w:fldCharType="separate"/>
    </w:r>
    <w:r w:rsidR="00CC4764">
      <w:rPr>
        <w:rStyle w:val="PageNumber"/>
        <w:noProof/>
      </w:rPr>
      <w:t>4</w:t>
    </w:r>
    <w:r w:rsidR="007617DE"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1A25A5">
      <w:trPr>
        <w:cantSplit/>
        <w:trHeight w:val="204"/>
        <w:jc w:val="center"/>
      </w:trPr>
      <w:tc>
        <w:tcPr>
          <w:tcW w:w="1617" w:type="dxa"/>
          <w:tcBorders>
            <w:top w:val="single" w:sz="12" w:space="0" w:color="auto"/>
          </w:tcBorders>
        </w:tcPr>
        <w:p w:rsidR="0097693B" w:rsidRPr="001A25A5" w:rsidRDefault="0097693B" w:rsidP="00762576">
          <w:pPr>
            <w:rPr>
              <w:b/>
              <w:bCs/>
            </w:rPr>
          </w:pPr>
          <w:r w:rsidRPr="001A25A5">
            <w:rPr>
              <w:b/>
              <w:bCs/>
            </w:rPr>
            <w:t>Contact:</w:t>
          </w:r>
        </w:p>
      </w:tc>
      <w:tc>
        <w:tcPr>
          <w:tcW w:w="4394" w:type="dxa"/>
          <w:tcBorders>
            <w:top w:val="single" w:sz="12" w:space="0" w:color="auto"/>
          </w:tcBorders>
        </w:tcPr>
        <w:p w:rsidR="0097693B" w:rsidRPr="001A25A5" w:rsidRDefault="0080018C" w:rsidP="00762576">
          <w:pPr>
            <w:pStyle w:val="Equation"/>
            <w:tabs>
              <w:tab w:val="clear" w:pos="4820"/>
              <w:tab w:val="clear" w:pos="9639"/>
              <w:tab w:val="left" w:pos="1191"/>
              <w:tab w:val="left" w:pos="1588"/>
              <w:tab w:val="left" w:pos="1985"/>
            </w:tabs>
            <w:spacing w:beforeLines="0"/>
            <w:rPr>
              <w:rFonts w:eastAsia="Batang"/>
              <w:szCs w:val="24"/>
              <w:lang w:eastAsia="ko-KR"/>
            </w:rPr>
          </w:pPr>
          <w:r>
            <w:rPr>
              <w:rFonts w:eastAsia="Batang"/>
              <w:szCs w:val="24"/>
              <w:lang w:eastAsia="ko-KR"/>
            </w:rPr>
            <w:t>ROJA KIRAN BASUKALA</w:t>
          </w:r>
        </w:p>
        <w:p w:rsidR="0097693B" w:rsidRPr="001A25A5" w:rsidRDefault="0080018C" w:rsidP="0080018C">
          <w:pPr>
            <w:pStyle w:val="Equation"/>
            <w:tabs>
              <w:tab w:val="clear" w:pos="4820"/>
              <w:tab w:val="clear" w:pos="9639"/>
              <w:tab w:val="left" w:pos="1191"/>
              <w:tab w:val="left" w:pos="1588"/>
              <w:tab w:val="left" w:pos="1985"/>
            </w:tabs>
            <w:spacing w:beforeLines="0"/>
            <w:rPr>
              <w:rFonts w:eastAsia="Batang"/>
              <w:szCs w:val="24"/>
            </w:rPr>
          </w:pPr>
          <w:r>
            <w:rPr>
              <w:rFonts w:eastAsia="Batang"/>
              <w:szCs w:val="24"/>
              <w:lang w:eastAsia="ko-KR"/>
            </w:rPr>
            <w:t>Nepal Telecommunications Authority</w:t>
          </w:r>
          <w:r w:rsidR="0097693B" w:rsidRPr="001A25A5">
            <w:rPr>
              <w:rFonts w:eastAsia="Batang" w:hint="eastAsia"/>
              <w:szCs w:val="24"/>
              <w:lang w:eastAsia="ko-KR"/>
            </w:rPr>
            <w:t xml:space="preserve">, </w:t>
          </w:r>
          <w:r>
            <w:rPr>
              <w:rFonts w:eastAsia="Batang"/>
              <w:szCs w:val="24"/>
              <w:lang w:eastAsia="ko-KR"/>
            </w:rPr>
            <w:t>Nepal</w:t>
          </w:r>
        </w:p>
      </w:tc>
      <w:tc>
        <w:tcPr>
          <w:tcW w:w="3912" w:type="dxa"/>
          <w:tcBorders>
            <w:top w:val="single" w:sz="12" w:space="0" w:color="auto"/>
          </w:tcBorders>
        </w:tcPr>
        <w:p w:rsidR="0097693B" w:rsidRPr="001A25A5" w:rsidRDefault="0097693B" w:rsidP="00762576">
          <w:pPr>
            <w:rPr>
              <w:lang w:eastAsia="ja-JP"/>
            </w:rPr>
          </w:pPr>
          <w:r w:rsidRPr="001A25A5">
            <w:t>Email</w:t>
          </w:r>
          <w:r w:rsidRPr="001A25A5">
            <w:rPr>
              <w:rFonts w:hint="eastAsia"/>
            </w:rPr>
            <w:t xml:space="preserve">: </w:t>
          </w:r>
          <w:r w:rsidR="0080018C">
            <w:t>rkbasukala@nta.gov.np</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AFA" w:rsidRDefault="00E11AFA">
      <w:r>
        <w:separator/>
      </w:r>
    </w:p>
  </w:footnote>
  <w:footnote w:type="continuationSeparator" w:id="0">
    <w:p w:rsidR="00E11AFA" w:rsidRDefault="00E1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F21"/>
    <w:multiLevelType w:val="hybridMultilevel"/>
    <w:tmpl w:val="950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5E1F77"/>
    <w:multiLevelType w:val="hybridMultilevel"/>
    <w:tmpl w:val="06624864"/>
    <w:lvl w:ilvl="0" w:tplc="5CE2B6A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6F20DB3"/>
    <w:multiLevelType w:val="hybridMultilevel"/>
    <w:tmpl w:val="6444F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17804"/>
    <w:multiLevelType w:val="hybridMultilevel"/>
    <w:tmpl w:val="FBA20C88"/>
    <w:lvl w:ilvl="0" w:tplc="CF022DC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2E0C3E"/>
    <w:multiLevelType w:val="hybridMultilevel"/>
    <w:tmpl w:val="84CAA3D0"/>
    <w:lvl w:ilvl="0" w:tplc="14EC1B88">
      <w:start w:val="1"/>
      <w:numFmt w:val="lowerLetter"/>
      <w:lvlText w:val="%1)"/>
      <w:lvlJc w:val="left"/>
      <w:pPr>
        <w:ind w:left="1080" w:hanging="720"/>
      </w:pPr>
      <w:rPr>
        <w:rFonts w:eastAsia="BatangChe"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710E7"/>
    <w:multiLevelType w:val="hybridMultilevel"/>
    <w:tmpl w:val="61AC7CB0"/>
    <w:lvl w:ilvl="0" w:tplc="3C38C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B3932"/>
    <w:multiLevelType w:val="hybridMultilevel"/>
    <w:tmpl w:val="E47E5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C144D"/>
    <w:multiLevelType w:val="hybridMultilevel"/>
    <w:tmpl w:val="0936999E"/>
    <w:lvl w:ilvl="0" w:tplc="3C38C4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5"/>
  </w:num>
  <w:num w:numId="3">
    <w:abstractNumId w:val="4"/>
  </w:num>
  <w:num w:numId="4">
    <w:abstractNumId w:val="15"/>
  </w:num>
  <w:num w:numId="5">
    <w:abstractNumId w:val="6"/>
  </w:num>
  <w:num w:numId="6">
    <w:abstractNumId w:val="8"/>
  </w:num>
  <w:num w:numId="7">
    <w:abstractNumId w:val="3"/>
  </w:num>
  <w:num w:numId="8">
    <w:abstractNumId w:val="1"/>
  </w:num>
  <w:num w:numId="9">
    <w:abstractNumId w:val="10"/>
  </w:num>
  <w:num w:numId="10">
    <w:abstractNumId w:val="9"/>
  </w:num>
  <w:num w:numId="11">
    <w:abstractNumId w:val="11"/>
  </w:num>
  <w:num w:numId="12">
    <w:abstractNumId w:val="13"/>
  </w:num>
  <w:num w:numId="13">
    <w:abstractNumId w:val="12"/>
  </w:num>
  <w:num w:numId="14">
    <w:abstractNumId w:val="1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15633"/>
    <w:rsid w:val="0003595B"/>
    <w:rsid w:val="000379C0"/>
    <w:rsid w:val="00046D82"/>
    <w:rsid w:val="000476FF"/>
    <w:rsid w:val="000713CF"/>
    <w:rsid w:val="000A5418"/>
    <w:rsid w:val="000F517C"/>
    <w:rsid w:val="000F5540"/>
    <w:rsid w:val="00106FF4"/>
    <w:rsid w:val="0013601C"/>
    <w:rsid w:val="001539DD"/>
    <w:rsid w:val="0019632B"/>
    <w:rsid w:val="00196568"/>
    <w:rsid w:val="00196885"/>
    <w:rsid w:val="001A25A5"/>
    <w:rsid w:val="001A2F16"/>
    <w:rsid w:val="001B18C2"/>
    <w:rsid w:val="001C60AF"/>
    <w:rsid w:val="001D1E06"/>
    <w:rsid w:val="001D5D7E"/>
    <w:rsid w:val="001F01A6"/>
    <w:rsid w:val="002363FE"/>
    <w:rsid w:val="0023753E"/>
    <w:rsid w:val="00254A1B"/>
    <w:rsid w:val="002622AB"/>
    <w:rsid w:val="0028454D"/>
    <w:rsid w:val="00291C9E"/>
    <w:rsid w:val="002926D4"/>
    <w:rsid w:val="002C07DA"/>
    <w:rsid w:val="002C7EA9"/>
    <w:rsid w:val="002F7ED7"/>
    <w:rsid w:val="00342F20"/>
    <w:rsid w:val="003627EE"/>
    <w:rsid w:val="003809C7"/>
    <w:rsid w:val="00391AB8"/>
    <w:rsid w:val="003B6263"/>
    <w:rsid w:val="003C64A7"/>
    <w:rsid w:val="003D3FDA"/>
    <w:rsid w:val="00420822"/>
    <w:rsid w:val="004352BC"/>
    <w:rsid w:val="0045458F"/>
    <w:rsid w:val="004633B4"/>
    <w:rsid w:val="00463436"/>
    <w:rsid w:val="00464543"/>
    <w:rsid w:val="0047508C"/>
    <w:rsid w:val="004B3553"/>
    <w:rsid w:val="004B679F"/>
    <w:rsid w:val="004D7ACE"/>
    <w:rsid w:val="004F06E6"/>
    <w:rsid w:val="00530E8C"/>
    <w:rsid w:val="00545933"/>
    <w:rsid w:val="00557544"/>
    <w:rsid w:val="00587875"/>
    <w:rsid w:val="005C412D"/>
    <w:rsid w:val="005D5966"/>
    <w:rsid w:val="00603D2F"/>
    <w:rsid w:val="00607E2B"/>
    <w:rsid w:val="006139D6"/>
    <w:rsid w:val="00623CE1"/>
    <w:rsid w:val="0063062B"/>
    <w:rsid w:val="00640012"/>
    <w:rsid w:val="00667229"/>
    <w:rsid w:val="00682BE5"/>
    <w:rsid w:val="00683EED"/>
    <w:rsid w:val="00690FED"/>
    <w:rsid w:val="006939A5"/>
    <w:rsid w:val="006C6383"/>
    <w:rsid w:val="00712451"/>
    <w:rsid w:val="00731041"/>
    <w:rsid w:val="00732F08"/>
    <w:rsid w:val="0074190C"/>
    <w:rsid w:val="007617DE"/>
    <w:rsid w:val="00762576"/>
    <w:rsid w:val="00790703"/>
    <w:rsid w:val="00791060"/>
    <w:rsid w:val="007A6DEA"/>
    <w:rsid w:val="007B5626"/>
    <w:rsid w:val="007C7998"/>
    <w:rsid w:val="0080018C"/>
    <w:rsid w:val="0080570B"/>
    <w:rsid w:val="008148E1"/>
    <w:rsid w:val="00820898"/>
    <w:rsid w:val="008319BF"/>
    <w:rsid w:val="00843A32"/>
    <w:rsid w:val="008D0E09"/>
    <w:rsid w:val="00920738"/>
    <w:rsid w:val="0097693B"/>
    <w:rsid w:val="00993355"/>
    <w:rsid w:val="009A4A6D"/>
    <w:rsid w:val="00A13265"/>
    <w:rsid w:val="00A253C6"/>
    <w:rsid w:val="00A71136"/>
    <w:rsid w:val="00A857BE"/>
    <w:rsid w:val="00AA474C"/>
    <w:rsid w:val="00AD7E5F"/>
    <w:rsid w:val="00B01AA1"/>
    <w:rsid w:val="00B30C81"/>
    <w:rsid w:val="00B32A94"/>
    <w:rsid w:val="00B4793B"/>
    <w:rsid w:val="00C15633"/>
    <w:rsid w:val="00C15799"/>
    <w:rsid w:val="00C357AD"/>
    <w:rsid w:val="00C6069C"/>
    <w:rsid w:val="00C85119"/>
    <w:rsid w:val="00CC4764"/>
    <w:rsid w:val="00CD5431"/>
    <w:rsid w:val="00CE0AA0"/>
    <w:rsid w:val="00CF2491"/>
    <w:rsid w:val="00D113B5"/>
    <w:rsid w:val="00D1252E"/>
    <w:rsid w:val="00D57772"/>
    <w:rsid w:val="00D72AE3"/>
    <w:rsid w:val="00D75A4D"/>
    <w:rsid w:val="00D8478B"/>
    <w:rsid w:val="00D86151"/>
    <w:rsid w:val="00DA7595"/>
    <w:rsid w:val="00DB0A68"/>
    <w:rsid w:val="00DC43A3"/>
    <w:rsid w:val="00DD7C09"/>
    <w:rsid w:val="00E0124F"/>
    <w:rsid w:val="00E11AFA"/>
    <w:rsid w:val="00E4045E"/>
    <w:rsid w:val="00E674D3"/>
    <w:rsid w:val="00E70FD0"/>
    <w:rsid w:val="00EC38A0"/>
    <w:rsid w:val="00F310BC"/>
    <w:rsid w:val="00F44DB8"/>
    <w:rsid w:val="00F619D3"/>
    <w:rsid w:val="00F82265"/>
    <w:rsid w:val="00F84067"/>
    <w:rsid w:val="00FE18A2"/>
    <w:rsid w:val="00FE3DE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6CDC3-EBE7-420D-9984-C51D7D4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D113B5"/>
    <w:rPr>
      <w:rFonts w:ascii="Tahoma" w:hAnsi="Tahoma" w:cs="Tahoma"/>
      <w:sz w:val="16"/>
      <w:szCs w:val="16"/>
    </w:rPr>
  </w:style>
  <w:style w:type="character" w:customStyle="1" w:styleId="BalloonTextChar">
    <w:name w:val="Balloon Text Char"/>
    <w:basedOn w:val="DefaultParagraphFont"/>
    <w:link w:val="BalloonText"/>
    <w:semiHidden/>
    <w:rsid w:val="00D113B5"/>
    <w:rPr>
      <w:rFonts w:ascii="Tahoma" w:eastAsia="BatangChe" w:hAnsi="Tahoma" w:cs="Tahoma"/>
      <w:sz w:val="16"/>
      <w:szCs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Char,DNV-FT,Char1"/>
    <w:basedOn w:val="Normal"/>
    <w:link w:val="FootnoteTextChar"/>
    <w:unhideWhenUsed/>
    <w:qFormat/>
    <w:rsid w:val="00D113B5"/>
    <w:rPr>
      <w:sz w:val="20"/>
      <w:szCs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Char,DNV-FT Char1"/>
    <w:basedOn w:val="DefaultParagraphFont"/>
    <w:link w:val="FootnoteText"/>
    <w:rsid w:val="00D113B5"/>
    <w:rPr>
      <w:rFonts w:eastAsia="BatangChe"/>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unhideWhenUsed/>
    <w:qFormat/>
    <w:rsid w:val="00D113B5"/>
    <w:rPr>
      <w:vertAlign w:val="superscript"/>
    </w:rPr>
  </w:style>
  <w:style w:type="paragraph" w:customStyle="1" w:styleId="enumlev1">
    <w:name w:val="enumlev1"/>
    <w:basedOn w:val="Normal"/>
    <w:link w:val="enumlev1Char"/>
    <w:qFormat/>
    <w:rsid w:val="00D113B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locked/>
    <w:rsid w:val="00D113B5"/>
    <w:rPr>
      <w:rFonts w:eastAsia="MS Mincho"/>
      <w:sz w:val="24"/>
      <w:lang w:val="en-GB"/>
    </w:rPr>
  </w:style>
  <w:style w:type="paragraph" w:styleId="NormalWeb">
    <w:name w:val="Normal (Web)"/>
    <w:basedOn w:val="Normal"/>
    <w:uiPriority w:val="99"/>
    <w:unhideWhenUsed/>
    <w:rsid w:val="001D1E06"/>
    <w:pPr>
      <w:spacing w:before="100" w:beforeAutospacing="1" w:after="100" w:afterAutospacing="1"/>
    </w:pPr>
    <w:rPr>
      <w:rFonts w:eastAsia="Times New Roman"/>
      <w:lang w:bidi="ne-NP"/>
    </w:rPr>
  </w:style>
  <w:style w:type="paragraph" w:styleId="ListParagraph">
    <w:name w:val="List Paragraph"/>
    <w:basedOn w:val="Normal"/>
    <w:uiPriority w:val="34"/>
    <w:qFormat/>
    <w:rsid w:val="00F619D3"/>
    <w:pPr>
      <w:ind w:left="720"/>
    </w:pPr>
  </w:style>
  <w:style w:type="paragraph" w:customStyle="1" w:styleId="Call">
    <w:name w:val="Call"/>
    <w:basedOn w:val="Normal"/>
    <w:next w:val="Normal"/>
    <w:link w:val="CallChar"/>
    <w:rsid w:val="004352BC"/>
    <w:pPr>
      <w:keepNext/>
      <w:tabs>
        <w:tab w:val="left" w:pos="567"/>
      </w:tabs>
      <w:overflowPunct w:val="0"/>
      <w:autoSpaceDE w:val="0"/>
      <w:autoSpaceDN w:val="0"/>
      <w:adjustRightInd w:val="0"/>
      <w:spacing w:before="160"/>
      <w:ind w:left="567"/>
      <w:jc w:val="both"/>
      <w:textAlignment w:val="baseline"/>
    </w:pPr>
    <w:rPr>
      <w:rFonts w:eastAsia="Times New Roman"/>
      <w:i/>
      <w:sz w:val="16"/>
      <w:szCs w:val="10"/>
      <w:lang w:val="en-GB"/>
    </w:rPr>
  </w:style>
  <w:style w:type="character" w:customStyle="1" w:styleId="CallChar">
    <w:name w:val="Call Char"/>
    <w:basedOn w:val="DefaultParagraphFont"/>
    <w:link w:val="Call"/>
    <w:locked/>
    <w:rsid w:val="004352BC"/>
    <w:rPr>
      <w:rFonts w:eastAsia="Times New Roman"/>
      <w:i/>
      <w:sz w:val="16"/>
      <w:szCs w:val="10"/>
      <w:lang w:val="en-GB"/>
    </w:rPr>
  </w:style>
  <w:style w:type="character" w:customStyle="1" w:styleId="Heading1Char">
    <w:name w:val="Heading 1 Char"/>
    <w:basedOn w:val="DefaultParagraphFont"/>
    <w:link w:val="Heading1"/>
    <w:rsid w:val="004352BC"/>
    <w:rPr>
      <w:rFonts w:eastAsia="BatangChe"/>
      <w:b/>
      <w:bCs/>
      <w:sz w:val="24"/>
      <w:szCs w:val="24"/>
      <w:u w:val="single"/>
    </w:rPr>
  </w:style>
  <w:style w:type="character" w:customStyle="1" w:styleId="Heading8Char">
    <w:name w:val="Heading 8 Char"/>
    <w:basedOn w:val="DefaultParagraphFont"/>
    <w:link w:val="Heading8"/>
    <w:rsid w:val="00CC4764"/>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15</cp:revision>
  <cp:lastPrinted>2018-12-30T09:15:00Z</cp:lastPrinted>
  <dcterms:created xsi:type="dcterms:W3CDTF">2018-12-26T08:08:00Z</dcterms:created>
  <dcterms:modified xsi:type="dcterms:W3CDTF">2019-01-07T03:49:00Z</dcterms:modified>
</cp:coreProperties>
</file>