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C76D8" w:rsidRPr="00BC76D8" w14:paraId="3D9CB144" w14:textId="77777777" w:rsidTr="00D156CF">
        <w:trPr>
          <w:cantSplit/>
          <w:trHeight w:val="288"/>
        </w:trPr>
        <w:tc>
          <w:tcPr>
            <w:tcW w:w="1399" w:type="dxa"/>
            <w:vMerge w:val="restart"/>
          </w:tcPr>
          <w:p w14:paraId="4D509C39" w14:textId="77777777" w:rsidR="00BC76D8" w:rsidRPr="00BC76D8" w:rsidRDefault="00BC76D8" w:rsidP="00BC76D8">
            <w:pPr>
              <w:widowControl w:val="0"/>
              <w:wordWrap w:val="0"/>
              <w:jc w:val="both"/>
              <w:rPr>
                <w:kern w:val="2"/>
                <w:lang w:eastAsia="ko-KR"/>
              </w:rPr>
            </w:pPr>
            <w:r w:rsidRPr="00BC76D8">
              <w:rPr>
                <w:noProof/>
                <w:kern w:val="2"/>
              </w:rPr>
              <w:drawing>
                <wp:inline distT="0" distB="0" distL="0" distR="0" wp14:anchorId="511B6E6E" wp14:editId="246865E1">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8861199" w14:textId="77777777" w:rsidR="00BC76D8" w:rsidRPr="00BC76D8" w:rsidRDefault="00BC76D8" w:rsidP="00BC76D8">
            <w:pPr>
              <w:spacing w:before="40"/>
              <w:rPr>
                <w:sz w:val="22"/>
                <w:szCs w:val="22"/>
              </w:rPr>
            </w:pPr>
            <w:r w:rsidRPr="00BC76D8">
              <w:rPr>
                <w:sz w:val="22"/>
                <w:szCs w:val="22"/>
              </w:rPr>
              <w:t>ASIA-PACIFIC TELECOMMUNITY</w:t>
            </w:r>
          </w:p>
        </w:tc>
        <w:tc>
          <w:tcPr>
            <w:tcW w:w="2160" w:type="dxa"/>
          </w:tcPr>
          <w:p w14:paraId="3A5DDAB9" w14:textId="77777777" w:rsidR="00BC76D8" w:rsidRPr="00BC76D8" w:rsidRDefault="00BC76D8" w:rsidP="00BC76D8">
            <w:pPr>
              <w:keepNext/>
              <w:widowControl w:val="0"/>
              <w:wordWrap w:val="0"/>
              <w:spacing w:before="40"/>
              <w:jc w:val="both"/>
              <w:outlineLvl w:val="7"/>
              <w:rPr>
                <w:b/>
                <w:bCs/>
                <w:kern w:val="2"/>
                <w:lang w:eastAsia="ko-KR"/>
              </w:rPr>
            </w:pPr>
            <w:r w:rsidRPr="00BC76D8">
              <w:rPr>
                <w:b/>
                <w:bCs/>
                <w:kern w:val="2"/>
                <w:lang w:eastAsia="ko-KR"/>
              </w:rPr>
              <w:t>Document No:</w:t>
            </w:r>
          </w:p>
        </w:tc>
      </w:tr>
      <w:tr w:rsidR="00BC76D8" w:rsidRPr="00BC76D8" w14:paraId="723AE814" w14:textId="77777777" w:rsidTr="00D156CF">
        <w:trPr>
          <w:cantSplit/>
          <w:trHeight w:val="504"/>
        </w:trPr>
        <w:tc>
          <w:tcPr>
            <w:tcW w:w="1399" w:type="dxa"/>
            <w:vMerge/>
          </w:tcPr>
          <w:p w14:paraId="3F49512C" w14:textId="77777777" w:rsidR="00BC76D8" w:rsidRPr="00BC76D8" w:rsidRDefault="00BC76D8" w:rsidP="00BC76D8"/>
        </w:tc>
        <w:tc>
          <w:tcPr>
            <w:tcW w:w="5760" w:type="dxa"/>
            <w:vAlign w:val="center"/>
          </w:tcPr>
          <w:p w14:paraId="7ABBEC28" w14:textId="77777777" w:rsidR="00BC76D8" w:rsidRPr="00BC76D8" w:rsidRDefault="00BC76D8" w:rsidP="00BC76D8">
            <w:pPr>
              <w:spacing w:before="40"/>
            </w:pPr>
            <w:r w:rsidRPr="00BC76D8">
              <w:rPr>
                <w:b/>
              </w:rPr>
              <w:t>The Meeting of the SATRC Working Group on Policy, Regulation and Services</w:t>
            </w:r>
          </w:p>
        </w:tc>
        <w:tc>
          <w:tcPr>
            <w:tcW w:w="2160" w:type="dxa"/>
          </w:tcPr>
          <w:p w14:paraId="165FBF4F" w14:textId="743A9782" w:rsidR="00BC76D8" w:rsidRPr="00BC76D8" w:rsidRDefault="00196085" w:rsidP="008F189A">
            <w:pPr>
              <w:rPr>
                <w:b/>
                <w:bCs/>
                <w:lang w:val="en-GB"/>
              </w:rPr>
            </w:pPr>
            <w:r>
              <w:rPr>
                <w:b/>
                <w:bCs/>
                <w:lang w:val="en-GB"/>
              </w:rPr>
              <w:t>SAPVII-PRS1/ OUT</w:t>
            </w:r>
            <w:r w:rsidR="00BC76D8" w:rsidRPr="00BC76D8">
              <w:rPr>
                <w:b/>
                <w:bCs/>
                <w:lang w:val="en-GB"/>
              </w:rPr>
              <w:t>-</w:t>
            </w:r>
            <w:r>
              <w:rPr>
                <w:b/>
                <w:bCs/>
                <w:lang w:val="en-GB"/>
              </w:rPr>
              <w:t>0</w:t>
            </w:r>
            <w:r w:rsidR="00155B30">
              <w:rPr>
                <w:b/>
                <w:bCs/>
                <w:lang w:val="en-GB"/>
              </w:rPr>
              <w:t>4</w:t>
            </w:r>
          </w:p>
        </w:tc>
      </w:tr>
      <w:tr w:rsidR="00BC76D8" w:rsidRPr="00BC76D8" w14:paraId="25D0AA21" w14:textId="77777777" w:rsidTr="00D156CF">
        <w:trPr>
          <w:cantSplit/>
          <w:trHeight w:val="288"/>
        </w:trPr>
        <w:tc>
          <w:tcPr>
            <w:tcW w:w="1399" w:type="dxa"/>
            <w:vMerge/>
          </w:tcPr>
          <w:p w14:paraId="58E631D0" w14:textId="77777777" w:rsidR="00BC76D8" w:rsidRPr="00BC76D8" w:rsidRDefault="00BC76D8" w:rsidP="00BC76D8">
            <w:pPr>
              <w:rPr>
                <w:lang w:val="en-GB"/>
              </w:rPr>
            </w:pPr>
          </w:p>
        </w:tc>
        <w:tc>
          <w:tcPr>
            <w:tcW w:w="5760" w:type="dxa"/>
            <w:vAlign w:val="bottom"/>
          </w:tcPr>
          <w:p w14:paraId="1211DDCB" w14:textId="21E2F70F" w:rsidR="00BC76D8" w:rsidRPr="00BC76D8" w:rsidRDefault="00BC76D8" w:rsidP="00BC76D8">
            <w:pPr>
              <w:spacing w:before="40"/>
              <w:rPr>
                <w:b/>
              </w:rPr>
            </w:pPr>
            <w:r>
              <w:t>11 – 12 July</w:t>
            </w:r>
            <w:r w:rsidRPr="00BC76D8">
              <w:t xml:space="preserve"> 2019, Colombo, Sri Lanka</w:t>
            </w:r>
          </w:p>
        </w:tc>
        <w:tc>
          <w:tcPr>
            <w:tcW w:w="2160" w:type="dxa"/>
            <w:vAlign w:val="bottom"/>
          </w:tcPr>
          <w:p w14:paraId="5276776E" w14:textId="37CAFA93" w:rsidR="00BC76D8" w:rsidRPr="00BC76D8" w:rsidRDefault="00196085" w:rsidP="00BC76D8">
            <w:pPr>
              <w:spacing w:before="40"/>
              <w:rPr>
                <w:bCs/>
              </w:rPr>
            </w:pPr>
            <w:r>
              <w:rPr>
                <w:bCs/>
              </w:rPr>
              <w:t>12</w:t>
            </w:r>
            <w:r w:rsidR="00BC76D8" w:rsidRPr="00BC76D8">
              <w:rPr>
                <w:bCs/>
              </w:rPr>
              <w:t xml:space="preserve"> July 2019</w:t>
            </w:r>
          </w:p>
        </w:tc>
      </w:tr>
    </w:tbl>
    <w:p w14:paraId="79CAD417" w14:textId="77777777" w:rsidR="008F189A" w:rsidRDefault="008F189A" w:rsidP="00DA7595">
      <w:pPr>
        <w:jc w:val="center"/>
        <w:rPr>
          <w:lang w:eastAsia="ko-KR"/>
        </w:rPr>
      </w:pPr>
    </w:p>
    <w:p w14:paraId="75375FC7" w14:textId="77777777" w:rsidR="008F189A" w:rsidRDefault="008F189A" w:rsidP="00DA7595">
      <w:pPr>
        <w:jc w:val="center"/>
        <w:rPr>
          <w:lang w:eastAsia="ko-KR"/>
        </w:rPr>
      </w:pPr>
    </w:p>
    <w:p w14:paraId="6457EB65" w14:textId="0FC15EE8" w:rsidR="00DA7595" w:rsidRDefault="00196085" w:rsidP="00DA7595">
      <w:pPr>
        <w:jc w:val="center"/>
        <w:rPr>
          <w:lang w:eastAsia="ko-KR"/>
        </w:rPr>
      </w:pPr>
      <w:r>
        <w:rPr>
          <w:lang w:eastAsia="ko-KR"/>
        </w:rPr>
        <w:t>Working Group on Policy, Regulation and Services</w:t>
      </w:r>
    </w:p>
    <w:p w14:paraId="68624502" w14:textId="77777777" w:rsidR="008F189A" w:rsidRPr="00BC76D8" w:rsidRDefault="008F189A" w:rsidP="00DA7595">
      <w:pPr>
        <w:jc w:val="center"/>
        <w:rPr>
          <w:lang w:eastAsia="ko-KR"/>
        </w:rPr>
      </w:pPr>
    </w:p>
    <w:p w14:paraId="49728CF8" w14:textId="0045DC08" w:rsidR="00155B30" w:rsidRDefault="00155B30" w:rsidP="00155B30">
      <w:pPr>
        <w:jc w:val="center"/>
        <w:rPr>
          <w:b/>
        </w:rPr>
      </w:pPr>
      <w:r>
        <w:rPr>
          <w:b/>
        </w:rPr>
        <w:t>QUESTIONNAIRE ON WORK ITEM</w:t>
      </w:r>
      <w:r>
        <w:rPr>
          <w:b/>
        </w:rPr>
        <w:t xml:space="preserve"> </w:t>
      </w:r>
      <w:r>
        <w:rPr>
          <w:b/>
        </w:rPr>
        <w:t>“DIGITAL FINANCIAL SERVICES”</w:t>
      </w:r>
    </w:p>
    <w:p w14:paraId="1316D42F" w14:textId="77777777" w:rsidR="00155B30" w:rsidRDefault="00155B30" w:rsidP="00155B30">
      <w:pPr>
        <w:jc w:val="center"/>
        <w:rPr>
          <w:b/>
        </w:rPr>
      </w:pPr>
      <w:bookmarkStart w:id="0" w:name="_GoBack"/>
      <w:bookmarkEnd w:id="0"/>
    </w:p>
    <w:p w14:paraId="4A96E481" w14:textId="77777777" w:rsidR="00155B30" w:rsidRDefault="00155B30" w:rsidP="00155B30">
      <w:pPr>
        <w:jc w:val="center"/>
        <w:rPr>
          <w:lang w:eastAsia="ko-KR"/>
        </w:rPr>
      </w:pPr>
    </w:p>
    <w:p w14:paraId="19C8FD9C" w14:textId="77777777" w:rsidR="00155B30" w:rsidRPr="00EA7A23" w:rsidRDefault="00155B30" w:rsidP="00155B30">
      <w:pPr>
        <w:tabs>
          <w:tab w:val="left" w:pos="567"/>
        </w:tabs>
        <w:spacing w:line="360" w:lineRule="auto"/>
        <w:jc w:val="both"/>
        <w:rPr>
          <w:b/>
        </w:rPr>
      </w:pPr>
      <w:r w:rsidRPr="00EA7A23">
        <w:rPr>
          <w:b/>
        </w:rPr>
        <w:t>1.</w:t>
      </w:r>
      <w:r w:rsidRPr="00EA7A23">
        <w:rPr>
          <w:b/>
        </w:rPr>
        <w:tab/>
        <w:t>BACKGROUND AND PURPOSE</w:t>
      </w:r>
    </w:p>
    <w:p w14:paraId="4EB60DDB" w14:textId="77777777" w:rsidR="00155B30" w:rsidRPr="003247FB" w:rsidRDefault="00155B30" w:rsidP="00155B30">
      <w:pPr>
        <w:ind w:firstLine="720"/>
        <w:jc w:val="both"/>
        <w:rPr>
          <w:rFonts w:eastAsia="Calibri"/>
        </w:rPr>
      </w:pPr>
      <w:r>
        <w:rPr>
          <w:rFonts w:eastAsia="Calibri"/>
        </w:rPr>
        <w:t>Many Digital Financial S</w:t>
      </w:r>
      <w:r w:rsidRPr="003247FB">
        <w:rPr>
          <w:rFonts w:eastAsia="Calibri"/>
        </w:rPr>
        <w:t xml:space="preserve">ervices </w:t>
      </w:r>
      <w:r>
        <w:rPr>
          <w:rFonts w:eastAsia="Calibri"/>
        </w:rPr>
        <w:t xml:space="preserve">(DFS) </w:t>
      </w:r>
      <w:r w:rsidRPr="003247FB">
        <w:rPr>
          <w:rFonts w:eastAsia="Calibri"/>
        </w:rPr>
        <w:t xml:space="preserve">are provided over the </w:t>
      </w:r>
      <w:r>
        <w:rPr>
          <w:rFonts w:eastAsia="Calibri"/>
        </w:rPr>
        <w:t>Mobile N</w:t>
      </w:r>
      <w:r w:rsidRPr="003247FB">
        <w:rPr>
          <w:rFonts w:eastAsia="Calibri"/>
        </w:rPr>
        <w:t xml:space="preserve">etwork either by the </w:t>
      </w:r>
      <w:r>
        <w:rPr>
          <w:rFonts w:eastAsia="Calibri"/>
        </w:rPr>
        <w:t xml:space="preserve">Cellular mobile </w:t>
      </w:r>
      <w:r w:rsidRPr="003247FB">
        <w:rPr>
          <w:rFonts w:eastAsia="Calibri"/>
        </w:rPr>
        <w:t xml:space="preserve">service providers or in collaboration with the financial institutions like banks. This innovative service has created additional value for the existing </w:t>
      </w:r>
      <w:r>
        <w:rPr>
          <w:rFonts w:eastAsia="Calibri"/>
        </w:rPr>
        <w:t xml:space="preserve">cellular mobile </w:t>
      </w:r>
      <w:r w:rsidRPr="003247FB">
        <w:rPr>
          <w:rFonts w:eastAsia="Calibri"/>
        </w:rPr>
        <w:t xml:space="preserve">networks. </w:t>
      </w:r>
    </w:p>
    <w:p w14:paraId="393E6FA3" w14:textId="77777777" w:rsidR="00155B30" w:rsidRDefault="00155B30" w:rsidP="00155B30">
      <w:pPr>
        <w:spacing w:before="80"/>
        <w:jc w:val="both"/>
        <w:rPr>
          <w:rFonts w:eastAsia="Calibri"/>
        </w:rPr>
      </w:pPr>
    </w:p>
    <w:p w14:paraId="2B4D9B54" w14:textId="77777777" w:rsidR="00155B30" w:rsidRDefault="00155B30" w:rsidP="00155B30">
      <w:pPr>
        <w:spacing w:before="80"/>
        <w:ind w:firstLine="720"/>
        <w:jc w:val="both"/>
        <w:rPr>
          <w:rFonts w:eastAsia="Calibri"/>
        </w:rPr>
      </w:pPr>
      <w:r w:rsidRPr="003247FB">
        <w:rPr>
          <w:rFonts w:eastAsia="Calibri"/>
        </w:rPr>
        <w:t>Since SATRC countries have many rural villages without banking services but still covered with telecom services like 2G and 3G cellular mobile services. Therefore, such services require a comprehensive study and recommend possible way forward for the development of such services.</w:t>
      </w:r>
    </w:p>
    <w:p w14:paraId="5B4CBA8F" w14:textId="77777777" w:rsidR="00155B30" w:rsidRPr="003247FB" w:rsidRDefault="00155B30" w:rsidP="00155B30">
      <w:pPr>
        <w:spacing w:before="80"/>
        <w:jc w:val="both"/>
        <w:rPr>
          <w:rFonts w:eastAsia="Calibri"/>
        </w:rPr>
      </w:pPr>
    </w:p>
    <w:p w14:paraId="299DE002" w14:textId="77777777" w:rsidR="00155B30" w:rsidRDefault="00155B30" w:rsidP="00155B30">
      <w:pPr>
        <w:tabs>
          <w:tab w:val="left" w:pos="567"/>
        </w:tabs>
        <w:spacing w:after="160"/>
        <w:contextualSpacing/>
        <w:jc w:val="both"/>
        <w:rPr>
          <w:rFonts w:eastAsia="Calibri"/>
        </w:rPr>
      </w:pPr>
      <w:r>
        <w:rPr>
          <w:rFonts w:eastAsia="Calibri"/>
        </w:rPr>
        <w:tab/>
      </w:r>
      <w:r w:rsidRPr="003247FB">
        <w:rPr>
          <w:rFonts w:eastAsia="Calibri"/>
        </w:rPr>
        <w:t>This study shall prepare pol</w:t>
      </w:r>
      <w:r>
        <w:rPr>
          <w:rFonts w:eastAsia="Calibri"/>
        </w:rPr>
        <w:t>icy and regulatory options for Digital Financial S</w:t>
      </w:r>
      <w:r w:rsidRPr="003247FB">
        <w:rPr>
          <w:rFonts w:eastAsia="Calibri"/>
        </w:rPr>
        <w:t>ervices in SATRC countries</w:t>
      </w:r>
      <w:r>
        <w:rPr>
          <w:rFonts w:eastAsia="Calibri"/>
        </w:rPr>
        <w:t>.</w:t>
      </w:r>
    </w:p>
    <w:p w14:paraId="28A78153" w14:textId="77777777" w:rsidR="00155B30" w:rsidRPr="00EA7A23" w:rsidRDefault="00155B30" w:rsidP="00155B30">
      <w:pPr>
        <w:tabs>
          <w:tab w:val="left" w:pos="567"/>
        </w:tabs>
        <w:spacing w:after="160"/>
        <w:contextualSpacing/>
        <w:jc w:val="both"/>
        <w:rPr>
          <w:rFonts w:eastAsia="Batang"/>
          <w:b/>
          <w:lang w:eastAsia="ko-KR"/>
        </w:rPr>
      </w:pPr>
    </w:p>
    <w:p w14:paraId="3D190367" w14:textId="77777777" w:rsidR="00155B30" w:rsidRPr="00EA7A23" w:rsidRDefault="00155B30" w:rsidP="00155B30">
      <w:pPr>
        <w:tabs>
          <w:tab w:val="left" w:pos="567"/>
        </w:tabs>
        <w:spacing w:after="160" w:line="360" w:lineRule="auto"/>
        <w:contextualSpacing/>
        <w:jc w:val="both"/>
        <w:rPr>
          <w:rFonts w:eastAsia="Batang"/>
          <w:b/>
          <w:lang w:eastAsia="ko-KR"/>
        </w:rPr>
      </w:pPr>
      <w:r w:rsidRPr="00EA7A23">
        <w:rPr>
          <w:rFonts w:eastAsia="Batang"/>
          <w:b/>
          <w:lang w:eastAsia="ko-KR"/>
        </w:rPr>
        <w:t xml:space="preserve">2. </w:t>
      </w:r>
      <w:r w:rsidRPr="00EA7A23">
        <w:rPr>
          <w:rFonts w:eastAsia="Batang"/>
          <w:b/>
          <w:lang w:eastAsia="ko-KR"/>
        </w:rPr>
        <w:tab/>
        <w:t>SCOPE</w:t>
      </w:r>
    </w:p>
    <w:p w14:paraId="03A44D61" w14:textId="77777777" w:rsidR="00155B30" w:rsidRDefault="00155B30" w:rsidP="00155B30">
      <w:pPr>
        <w:jc w:val="both"/>
        <w:rPr>
          <w:rFonts w:eastAsia="Batang"/>
          <w:lang w:val="en-GB" w:eastAsia="ko-KR"/>
        </w:rPr>
      </w:pPr>
      <w:r w:rsidRPr="00EA7A23">
        <w:rPr>
          <w:rFonts w:eastAsia="Batang"/>
          <w:b/>
          <w:lang w:eastAsia="ko-KR"/>
        </w:rPr>
        <w:tab/>
      </w:r>
      <w:r>
        <w:rPr>
          <w:rFonts w:eastAsia="Batang"/>
          <w:lang w:val="en-GB" w:eastAsia="ko-KR"/>
        </w:rPr>
        <w:t>To study the Digital Financial S</w:t>
      </w:r>
      <w:r w:rsidRPr="003247FB">
        <w:rPr>
          <w:rFonts w:eastAsia="Batang"/>
          <w:lang w:val="en-GB" w:eastAsia="ko-KR"/>
        </w:rPr>
        <w:t xml:space="preserve">ervices </w:t>
      </w:r>
      <w:r>
        <w:rPr>
          <w:rFonts w:eastAsia="Batang"/>
          <w:lang w:val="en-GB" w:eastAsia="ko-KR"/>
        </w:rPr>
        <w:t xml:space="preserve">(DFS) </w:t>
      </w:r>
      <w:r w:rsidRPr="003247FB">
        <w:rPr>
          <w:rFonts w:eastAsia="Batang"/>
          <w:lang w:val="en-GB" w:eastAsia="ko-KR"/>
        </w:rPr>
        <w:t xml:space="preserve">provided over the </w:t>
      </w:r>
      <w:r>
        <w:rPr>
          <w:rFonts w:eastAsia="Batang"/>
          <w:lang w:val="en-GB" w:eastAsia="ko-KR"/>
        </w:rPr>
        <w:t>Mobile N</w:t>
      </w:r>
      <w:r w:rsidRPr="003247FB">
        <w:rPr>
          <w:rFonts w:eastAsia="Batang"/>
          <w:lang w:val="en-GB" w:eastAsia="ko-KR"/>
        </w:rPr>
        <w:t>etwork</w:t>
      </w:r>
      <w:r>
        <w:rPr>
          <w:rFonts w:eastAsia="Batang"/>
          <w:lang w:val="en-GB" w:eastAsia="ko-KR"/>
        </w:rPr>
        <w:t>s</w:t>
      </w:r>
      <w:r w:rsidRPr="003247FB">
        <w:rPr>
          <w:rFonts w:eastAsia="Batang"/>
          <w:lang w:val="en-GB" w:eastAsia="ko-KR"/>
        </w:rPr>
        <w:t xml:space="preserve"> in SATRC countries covering but not limited to:</w:t>
      </w:r>
    </w:p>
    <w:p w14:paraId="5139363D" w14:textId="77777777" w:rsidR="00155B30" w:rsidRPr="003247FB" w:rsidRDefault="00155B30" w:rsidP="00155B30">
      <w:pPr>
        <w:jc w:val="both"/>
        <w:rPr>
          <w:rFonts w:eastAsia="Batang"/>
          <w:lang w:val="en-GB" w:eastAsia="ko-KR"/>
        </w:rPr>
      </w:pPr>
    </w:p>
    <w:p w14:paraId="1AE29E40" w14:textId="77777777" w:rsidR="00155B30" w:rsidRPr="003247FB" w:rsidRDefault="00155B30" w:rsidP="00155B30">
      <w:pPr>
        <w:numPr>
          <w:ilvl w:val="0"/>
          <w:numId w:val="14"/>
        </w:numPr>
        <w:spacing w:after="160" w:line="259" w:lineRule="auto"/>
        <w:contextualSpacing/>
        <w:jc w:val="both"/>
        <w:rPr>
          <w:rFonts w:eastAsia="Batang"/>
          <w:lang w:val="en-GB" w:eastAsia="ko-KR"/>
        </w:rPr>
      </w:pPr>
      <w:r w:rsidRPr="003247FB">
        <w:rPr>
          <w:rFonts w:eastAsia="Batang"/>
          <w:lang w:val="en-GB" w:eastAsia="ko-KR"/>
        </w:rPr>
        <w:t>Policy and regulatory requirements</w:t>
      </w:r>
    </w:p>
    <w:p w14:paraId="02DDB9CC" w14:textId="77777777" w:rsidR="00155B30" w:rsidRPr="003247FB" w:rsidRDefault="00155B30" w:rsidP="00155B30">
      <w:pPr>
        <w:numPr>
          <w:ilvl w:val="0"/>
          <w:numId w:val="14"/>
        </w:numPr>
        <w:spacing w:after="160" w:line="259" w:lineRule="auto"/>
        <w:contextualSpacing/>
        <w:jc w:val="both"/>
        <w:rPr>
          <w:rFonts w:eastAsia="Batang"/>
          <w:lang w:val="en-GB" w:eastAsia="ko-KR"/>
        </w:rPr>
      </w:pPr>
      <w:r w:rsidRPr="003247FB">
        <w:rPr>
          <w:rFonts w:eastAsia="Batang"/>
          <w:lang w:val="en-GB" w:eastAsia="ko-KR"/>
        </w:rPr>
        <w:t>Licensing</w:t>
      </w:r>
    </w:p>
    <w:p w14:paraId="0F2D7199" w14:textId="77777777" w:rsidR="00155B30" w:rsidRPr="003247FB" w:rsidRDefault="00155B30" w:rsidP="00155B30">
      <w:pPr>
        <w:numPr>
          <w:ilvl w:val="0"/>
          <w:numId w:val="14"/>
        </w:numPr>
        <w:spacing w:after="160" w:line="259" w:lineRule="auto"/>
        <w:contextualSpacing/>
        <w:jc w:val="both"/>
        <w:rPr>
          <w:rFonts w:eastAsia="Batang"/>
          <w:lang w:val="en-GB" w:eastAsia="ko-KR"/>
        </w:rPr>
      </w:pPr>
      <w:r w:rsidRPr="003247FB">
        <w:rPr>
          <w:rFonts w:eastAsia="Batang"/>
          <w:lang w:val="en-GB" w:eastAsia="ko-KR"/>
        </w:rPr>
        <w:t>Security</w:t>
      </w:r>
    </w:p>
    <w:p w14:paraId="5D6BADAF" w14:textId="77777777" w:rsidR="00155B30" w:rsidRDefault="00155B30" w:rsidP="00155B30">
      <w:pPr>
        <w:numPr>
          <w:ilvl w:val="0"/>
          <w:numId w:val="14"/>
        </w:numPr>
        <w:spacing w:after="160" w:line="259" w:lineRule="auto"/>
        <w:contextualSpacing/>
        <w:jc w:val="both"/>
        <w:rPr>
          <w:rFonts w:eastAsia="Batang"/>
          <w:lang w:val="en-GB" w:eastAsia="ko-KR"/>
        </w:rPr>
      </w:pPr>
      <w:r w:rsidRPr="003247FB">
        <w:rPr>
          <w:rFonts w:eastAsia="Batang"/>
          <w:lang w:val="en-GB" w:eastAsia="ko-KR"/>
        </w:rPr>
        <w:t>Consumer protection</w:t>
      </w:r>
      <w:r>
        <w:rPr>
          <w:rFonts w:eastAsia="Batang"/>
          <w:lang w:val="en-GB" w:eastAsia="ko-KR"/>
        </w:rPr>
        <w:t xml:space="preserve"> </w:t>
      </w:r>
    </w:p>
    <w:p w14:paraId="06F2FEC6" w14:textId="77777777" w:rsidR="00155B30" w:rsidRPr="00417A9B" w:rsidRDefault="00155B30" w:rsidP="00155B30">
      <w:pPr>
        <w:numPr>
          <w:ilvl w:val="0"/>
          <w:numId w:val="14"/>
        </w:numPr>
        <w:spacing w:after="160" w:line="259" w:lineRule="auto"/>
        <w:contextualSpacing/>
        <w:jc w:val="both"/>
        <w:rPr>
          <w:rFonts w:eastAsia="Batang"/>
          <w:lang w:val="en-GB" w:eastAsia="ko-KR"/>
        </w:rPr>
      </w:pPr>
      <w:r w:rsidRPr="00417A9B">
        <w:rPr>
          <w:rFonts w:eastAsia="Batang"/>
          <w:lang w:val="en-GB" w:eastAsia="ko-KR"/>
        </w:rPr>
        <w:t>Infrastructure</w:t>
      </w:r>
    </w:p>
    <w:p w14:paraId="3324B07F" w14:textId="77777777" w:rsidR="00155B30" w:rsidRDefault="00155B30" w:rsidP="00155B30">
      <w:pPr>
        <w:jc w:val="both"/>
        <w:rPr>
          <w:rFonts w:eastAsia="Batang"/>
          <w:b/>
          <w:lang w:eastAsia="ko-KR"/>
        </w:rPr>
      </w:pPr>
    </w:p>
    <w:p w14:paraId="2193C551" w14:textId="77777777" w:rsidR="00155B30" w:rsidRDefault="00155B30" w:rsidP="00155B30">
      <w:pPr>
        <w:jc w:val="both"/>
        <w:rPr>
          <w:rFonts w:eastAsia="Batang"/>
          <w:b/>
          <w:lang w:eastAsia="ko-KR"/>
        </w:rPr>
      </w:pPr>
      <w:r w:rsidRPr="00EA7A23">
        <w:rPr>
          <w:rFonts w:eastAsia="Batang"/>
          <w:b/>
          <w:lang w:eastAsia="ko-KR"/>
        </w:rPr>
        <w:t xml:space="preserve">3. </w:t>
      </w:r>
      <w:r w:rsidRPr="00EA7A23">
        <w:rPr>
          <w:rFonts w:eastAsia="Batang"/>
          <w:b/>
          <w:lang w:eastAsia="ko-KR"/>
        </w:rPr>
        <w:tab/>
        <w:t>METHODOLOGY FOR CARRYING OUT THE STUDY</w:t>
      </w:r>
    </w:p>
    <w:p w14:paraId="3D056B59" w14:textId="77777777" w:rsidR="00155B30" w:rsidRPr="00EA7A23" w:rsidRDefault="00155B30" w:rsidP="00155B30">
      <w:pPr>
        <w:jc w:val="both"/>
        <w:rPr>
          <w:rFonts w:eastAsia="Batang"/>
          <w:b/>
          <w:lang w:eastAsia="ko-KR"/>
        </w:rPr>
      </w:pPr>
    </w:p>
    <w:p w14:paraId="13F414A5" w14:textId="77777777" w:rsidR="00155B30" w:rsidRPr="00EA7A23" w:rsidRDefault="00155B30" w:rsidP="00155B30">
      <w:pPr>
        <w:ind w:firstLine="720"/>
        <w:contextualSpacing/>
        <w:jc w:val="both"/>
        <w:rPr>
          <w:rFonts w:eastAsia="Batang"/>
          <w:lang w:eastAsia="ko-KR"/>
        </w:rPr>
      </w:pPr>
      <w:r w:rsidRPr="00EA7A23">
        <w:rPr>
          <w:rFonts w:eastAsia="Batang"/>
          <w:lang w:eastAsia="ko-KR"/>
        </w:rPr>
        <w:t xml:space="preserve">The study will be carried out by the Lead Expert in consultation with the other Experts from Member countries on the subject. Therefore, in order to pursue the study, the following questions are prepared to obtain input (information) on the subject. Based on the inputs, the lead expert will compile and generate report based on the best practices for the SATRC regions. </w:t>
      </w:r>
    </w:p>
    <w:p w14:paraId="15C8B338" w14:textId="77777777" w:rsidR="00155B30" w:rsidRPr="00EA7A23" w:rsidRDefault="00155B30" w:rsidP="00155B30">
      <w:pPr>
        <w:tabs>
          <w:tab w:val="left" w:pos="567"/>
        </w:tabs>
        <w:spacing w:line="259" w:lineRule="auto"/>
        <w:contextualSpacing/>
        <w:jc w:val="both"/>
        <w:rPr>
          <w:rFonts w:eastAsia="Batang"/>
          <w:b/>
          <w:lang w:eastAsia="ko-KR"/>
        </w:rPr>
      </w:pPr>
    </w:p>
    <w:p w14:paraId="4F902470" w14:textId="77777777" w:rsidR="00155B30" w:rsidRPr="001B5336" w:rsidRDefault="00155B30" w:rsidP="00155B30">
      <w:pPr>
        <w:tabs>
          <w:tab w:val="left" w:pos="567"/>
        </w:tabs>
        <w:spacing w:line="259" w:lineRule="auto"/>
        <w:contextualSpacing/>
        <w:jc w:val="both"/>
        <w:rPr>
          <w:rFonts w:eastAsia="Batang"/>
          <w:b/>
          <w:lang w:eastAsia="ko-KR"/>
        </w:rPr>
      </w:pPr>
      <w:r w:rsidRPr="001B5336">
        <w:rPr>
          <w:rFonts w:eastAsia="Batang"/>
          <w:b/>
          <w:lang w:eastAsia="ko-KR"/>
        </w:rPr>
        <w:t>4.</w:t>
      </w:r>
      <w:r w:rsidRPr="001B5336">
        <w:rPr>
          <w:rFonts w:eastAsia="Batang"/>
          <w:b/>
          <w:lang w:eastAsia="ko-KR"/>
        </w:rPr>
        <w:tab/>
        <w:t>PROPOSED QUESTIONNAIRE</w:t>
      </w:r>
    </w:p>
    <w:p w14:paraId="67D2C642" w14:textId="77777777" w:rsidR="00155B30" w:rsidRDefault="00155B30" w:rsidP="00155B30">
      <w:pPr>
        <w:pStyle w:val="ListParagraph"/>
        <w:ind w:left="1080"/>
      </w:pPr>
    </w:p>
    <w:p w14:paraId="1C0CCF8F" w14:textId="77777777" w:rsidR="00155B30" w:rsidRPr="00417A9B" w:rsidRDefault="00155B30" w:rsidP="00155B30">
      <w:pPr>
        <w:spacing w:after="160" w:line="259" w:lineRule="auto"/>
        <w:contextualSpacing/>
      </w:pPr>
      <w:r>
        <w:t xml:space="preserve">Q1. </w:t>
      </w:r>
      <w:r>
        <w:tab/>
      </w:r>
      <w:r w:rsidRPr="00417A9B">
        <w:t>How many Mobile Network Operators (MNOs) are there in your country and how many of them are offering Digital Financial Services (DFS)?</w:t>
      </w:r>
    </w:p>
    <w:p w14:paraId="328364E9" w14:textId="77777777" w:rsidR="00155B30" w:rsidRPr="00417A9B" w:rsidRDefault="00155B30" w:rsidP="00155B30">
      <w:pPr>
        <w:pStyle w:val="ListParagraph"/>
        <w:autoSpaceDE/>
        <w:autoSpaceDN/>
        <w:spacing w:after="160" w:line="259" w:lineRule="auto"/>
        <w:ind w:left="1080"/>
        <w:contextualSpacing/>
      </w:pPr>
    </w:p>
    <w:p w14:paraId="75C30ED1" w14:textId="77777777" w:rsidR="00155B30" w:rsidRPr="00417A9B" w:rsidRDefault="00155B30" w:rsidP="00155B30">
      <w:pPr>
        <w:spacing w:after="160" w:line="259" w:lineRule="auto"/>
        <w:contextualSpacing/>
      </w:pPr>
      <w:r>
        <w:lastRenderedPageBreak/>
        <w:t xml:space="preserve">Q2. </w:t>
      </w:r>
      <w:r>
        <w:tab/>
      </w:r>
      <w:r w:rsidRPr="00417A9B">
        <w:t xml:space="preserve">What are the types of DFS existing in your country offered by MNOs? </w:t>
      </w:r>
    </w:p>
    <w:p w14:paraId="571C4F67" w14:textId="77777777" w:rsidR="00155B30" w:rsidRDefault="00155B30" w:rsidP="00155B30">
      <w:pPr>
        <w:spacing w:after="160" w:line="259" w:lineRule="auto"/>
        <w:contextualSpacing/>
        <w:rPr>
          <w:rFonts w:eastAsia="MS Mincho"/>
          <w:szCs w:val="20"/>
          <w:lang w:eastAsia="ja-JP"/>
        </w:rPr>
      </w:pPr>
    </w:p>
    <w:p w14:paraId="741EF669" w14:textId="77777777" w:rsidR="00155B30" w:rsidRPr="00417A9B" w:rsidRDefault="00155B30" w:rsidP="00155B30">
      <w:pPr>
        <w:spacing w:after="160" w:line="259" w:lineRule="auto"/>
        <w:contextualSpacing/>
      </w:pPr>
      <w:r>
        <w:rPr>
          <w:rFonts w:eastAsia="MS Mincho"/>
          <w:szCs w:val="20"/>
          <w:lang w:eastAsia="ja-JP"/>
        </w:rPr>
        <w:t xml:space="preserve">Q3. </w:t>
      </w:r>
      <w:r>
        <w:rPr>
          <w:rFonts w:eastAsia="MS Mincho"/>
          <w:szCs w:val="20"/>
          <w:lang w:eastAsia="ja-JP"/>
        </w:rPr>
        <w:tab/>
      </w:r>
      <w:r w:rsidRPr="00417A9B">
        <w:t xml:space="preserve">Which agencies/departments are responsible for DFS policy, regulation, supervision and enforcement in your country? Does Telecommunications authorities/regulator play a role in DFS policy formulation? What is the role of each stake-holder (i.e., Telecom Operator, Telecom Regulator, Finance Regulator, etc.)? </w:t>
      </w:r>
    </w:p>
    <w:p w14:paraId="62E00BBC" w14:textId="77777777" w:rsidR="00155B30" w:rsidRPr="00417A9B" w:rsidRDefault="00155B30" w:rsidP="00155B30">
      <w:pPr>
        <w:pStyle w:val="ListParagraph"/>
      </w:pPr>
    </w:p>
    <w:p w14:paraId="482F1339" w14:textId="77777777" w:rsidR="00155B30" w:rsidRPr="00417A9B" w:rsidRDefault="00155B30" w:rsidP="00155B30">
      <w:pPr>
        <w:spacing w:after="160" w:line="259" w:lineRule="auto"/>
        <w:contextualSpacing/>
      </w:pPr>
      <w:r>
        <w:t xml:space="preserve">Q4. </w:t>
      </w:r>
      <w:r>
        <w:tab/>
      </w:r>
      <w:r w:rsidRPr="00417A9B">
        <w:t>Under whose jurisdiction the issues such as security, data privacy and consumer protection are handled?</w:t>
      </w:r>
    </w:p>
    <w:p w14:paraId="51014913" w14:textId="77777777" w:rsidR="00155B30" w:rsidRPr="00417A9B" w:rsidRDefault="00155B30" w:rsidP="00155B30">
      <w:pPr>
        <w:pStyle w:val="ListParagraph"/>
      </w:pPr>
    </w:p>
    <w:p w14:paraId="395D2FCD" w14:textId="77777777" w:rsidR="00155B30" w:rsidRPr="00417A9B" w:rsidRDefault="00155B30" w:rsidP="00155B30">
      <w:pPr>
        <w:spacing w:after="160" w:line="259" w:lineRule="auto"/>
        <w:contextualSpacing/>
      </w:pPr>
      <w:r>
        <w:t xml:space="preserve">Q5. </w:t>
      </w:r>
      <w:r>
        <w:tab/>
      </w:r>
      <w:r w:rsidRPr="00417A9B">
        <w:t>What is the authentication mechanism for account opening as well as transactions? Is there a fee involved for authentication?</w:t>
      </w:r>
    </w:p>
    <w:p w14:paraId="46FF9367" w14:textId="77777777" w:rsidR="00155B30" w:rsidRPr="00417A9B" w:rsidRDefault="00155B30" w:rsidP="00155B30">
      <w:pPr>
        <w:pStyle w:val="ListParagraph"/>
      </w:pPr>
    </w:p>
    <w:p w14:paraId="55C6BEA4" w14:textId="77777777" w:rsidR="00155B30" w:rsidRPr="00417A9B" w:rsidRDefault="00155B30" w:rsidP="00155B30">
      <w:pPr>
        <w:spacing w:after="160" w:line="259" w:lineRule="auto"/>
        <w:contextualSpacing/>
      </w:pPr>
      <w:r>
        <w:t xml:space="preserve">Q6. </w:t>
      </w:r>
      <w:r>
        <w:tab/>
      </w:r>
      <w:r w:rsidRPr="00417A9B">
        <w:t>DFS are having regulatory issues which may overlap jurisdictions of more than one regulator (e.g., Financial Regulator, Telecom Regulator, etc.).  Is there a joint working group between financial and telecom regulators? How these turf issues are solved in your country?</w:t>
      </w:r>
    </w:p>
    <w:p w14:paraId="448C8CD1" w14:textId="77777777" w:rsidR="00155B30" w:rsidRPr="00417A9B" w:rsidRDefault="00155B30" w:rsidP="00155B30">
      <w:pPr>
        <w:pStyle w:val="ListParagraph"/>
      </w:pPr>
    </w:p>
    <w:p w14:paraId="5F0315B3" w14:textId="77777777" w:rsidR="00155B30" w:rsidRPr="00417A9B" w:rsidRDefault="00155B30" w:rsidP="00155B30">
      <w:pPr>
        <w:spacing w:after="160" w:line="259" w:lineRule="auto"/>
        <w:contextualSpacing/>
      </w:pPr>
      <w:r>
        <w:t>Q7.</w:t>
      </w:r>
      <w:r>
        <w:tab/>
      </w:r>
      <w:r w:rsidRPr="00417A9B">
        <w:t>Does USSD (Unstructured Supplementary Service Data) based mobile banking payment services regulated in your country by Telecom Regulators? If yes, what kind of regulatory framework is available to manage these services?</w:t>
      </w:r>
    </w:p>
    <w:p w14:paraId="146463D3" w14:textId="77777777" w:rsidR="00155B30" w:rsidRPr="00417A9B" w:rsidRDefault="00155B30" w:rsidP="00155B30"/>
    <w:p w14:paraId="6A56496D" w14:textId="77777777" w:rsidR="00155B30" w:rsidRPr="00417A9B" w:rsidRDefault="00155B30" w:rsidP="00155B30">
      <w:pPr>
        <w:spacing w:after="160" w:line="259" w:lineRule="auto"/>
        <w:contextualSpacing/>
      </w:pPr>
      <w:r>
        <w:t xml:space="preserve">Q8. </w:t>
      </w:r>
      <w:r>
        <w:tab/>
      </w:r>
      <w:r w:rsidRPr="00417A9B">
        <w:t xml:space="preserve">What is the regulatory framework for </w:t>
      </w:r>
      <w:proofErr w:type="gramStart"/>
      <w:r w:rsidRPr="00417A9B">
        <w:t>DFS.</w:t>
      </w:r>
      <w:proofErr w:type="gramEnd"/>
      <w:r w:rsidRPr="00417A9B">
        <w:t xml:space="preserve"> Kindly share links of the relevant regulations and describe main features of these regulations in your response.</w:t>
      </w:r>
    </w:p>
    <w:p w14:paraId="0B4BC825" w14:textId="77777777" w:rsidR="00155B30" w:rsidRDefault="00155B30" w:rsidP="00155B30">
      <w:pPr>
        <w:spacing w:after="160" w:line="259" w:lineRule="auto"/>
        <w:contextualSpacing/>
      </w:pPr>
    </w:p>
    <w:p w14:paraId="7549FC58" w14:textId="77777777" w:rsidR="00155B30" w:rsidRPr="00417A9B" w:rsidRDefault="00155B30" w:rsidP="00155B30">
      <w:pPr>
        <w:spacing w:after="160" w:line="259" w:lineRule="auto"/>
        <w:contextualSpacing/>
      </w:pPr>
      <w:r>
        <w:t xml:space="preserve">Q9. </w:t>
      </w:r>
      <w:r>
        <w:tab/>
      </w:r>
      <w:r w:rsidRPr="00417A9B">
        <w:t>Under which legal instrument(s) (e.g., license condition, rules, act, etc.) the MNOs are offering DFS in your country?</w:t>
      </w:r>
    </w:p>
    <w:p w14:paraId="3262B20F" w14:textId="77777777" w:rsidR="00155B30" w:rsidRDefault="00155B30" w:rsidP="00155B30">
      <w:pPr>
        <w:spacing w:after="160" w:line="259" w:lineRule="auto"/>
        <w:contextualSpacing/>
        <w:rPr>
          <w:rFonts w:eastAsia="MS Mincho"/>
          <w:szCs w:val="20"/>
          <w:lang w:eastAsia="ja-JP"/>
        </w:rPr>
      </w:pPr>
    </w:p>
    <w:p w14:paraId="0F55A71E" w14:textId="77777777" w:rsidR="00155B30" w:rsidRPr="00417A9B" w:rsidRDefault="00155B30" w:rsidP="00155B30">
      <w:pPr>
        <w:spacing w:after="160" w:line="259" w:lineRule="auto"/>
        <w:contextualSpacing/>
      </w:pPr>
      <w:r>
        <w:rPr>
          <w:rFonts w:eastAsia="MS Mincho"/>
          <w:szCs w:val="20"/>
          <w:lang w:eastAsia="ja-JP"/>
        </w:rPr>
        <w:t xml:space="preserve">Q10. </w:t>
      </w:r>
      <w:r>
        <w:rPr>
          <w:rFonts w:eastAsia="MS Mincho"/>
          <w:szCs w:val="20"/>
          <w:lang w:eastAsia="ja-JP"/>
        </w:rPr>
        <w:tab/>
      </w:r>
      <w:r w:rsidRPr="00417A9B">
        <w:t>Do you have specific Telecom license(s) / License conditions / Authorizations for the provision of interoperability for Digital Financial Services? If so, is interoperability provided by a single entity or multiple licensees are allowed?</w:t>
      </w:r>
    </w:p>
    <w:p w14:paraId="63F8F02E" w14:textId="77777777" w:rsidR="00155B30" w:rsidRDefault="00155B30" w:rsidP="00155B30">
      <w:pPr>
        <w:spacing w:after="160" w:line="259" w:lineRule="auto"/>
        <w:contextualSpacing/>
      </w:pPr>
    </w:p>
    <w:p w14:paraId="6022FD16" w14:textId="77777777" w:rsidR="00155B30" w:rsidRPr="00417A9B" w:rsidRDefault="00155B30" w:rsidP="00155B30">
      <w:pPr>
        <w:spacing w:after="160" w:line="259" w:lineRule="auto"/>
        <w:contextualSpacing/>
      </w:pPr>
      <w:r>
        <w:t xml:space="preserve">Q11. </w:t>
      </w:r>
      <w:r>
        <w:tab/>
      </w:r>
      <w:r w:rsidRPr="00417A9B">
        <w:t>What are the challenges being currently faced in the provision of DFS?</w:t>
      </w:r>
    </w:p>
    <w:p w14:paraId="39540FCE" w14:textId="77777777" w:rsidR="00155B30" w:rsidRDefault="00155B30" w:rsidP="00155B30">
      <w:pPr>
        <w:pStyle w:val="ListParagraph"/>
      </w:pPr>
    </w:p>
    <w:p w14:paraId="68EF315E" w14:textId="77777777" w:rsidR="00155B30" w:rsidRDefault="00155B30" w:rsidP="00155B30"/>
    <w:p w14:paraId="3B45D3B1" w14:textId="77777777" w:rsidR="00155B30" w:rsidRDefault="00155B30" w:rsidP="00155B30">
      <w:pPr>
        <w:spacing w:after="200" w:line="276" w:lineRule="auto"/>
        <w:jc w:val="both"/>
      </w:pPr>
    </w:p>
    <w:p w14:paraId="00D70067" w14:textId="77777777" w:rsidR="00155B30" w:rsidRPr="001412DA" w:rsidRDefault="00155B30" w:rsidP="00155B30">
      <w:pPr>
        <w:spacing w:after="200" w:line="276" w:lineRule="auto"/>
        <w:jc w:val="both"/>
        <w:rPr>
          <w:color w:val="000000"/>
          <w:shd w:val="clear" w:color="auto" w:fill="FFFFFF"/>
        </w:rPr>
      </w:pPr>
    </w:p>
    <w:p w14:paraId="53370D63" w14:textId="77777777" w:rsidR="00155B30" w:rsidRPr="00965665" w:rsidRDefault="00155B30" w:rsidP="00155B30">
      <w:pPr>
        <w:jc w:val="center"/>
      </w:pPr>
    </w:p>
    <w:p w14:paraId="020981FC" w14:textId="77777777" w:rsidR="00155B30" w:rsidRPr="001E33F3" w:rsidRDefault="00155B30" w:rsidP="00155B30">
      <w:pPr>
        <w:jc w:val="center"/>
        <w:rPr>
          <w:snapToGrid w:val="0"/>
        </w:rPr>
      </w:pPr>
      <w:r w:rsidRPr="00965665">
        <w:t>_________</w:t>
      </w:r>
      <w:r w:rsidRPr="001E33F3">
        <w:t>__</w:t>
      </w:r>
    </w:p>
    <w:p w14:paraId="1E058940" w14:textId="0C33871C" w:rsidR="00FD592E" w:rsidRDefault="00FD592E" w:rsidP="00155B30">
      <w:pPr>
        <w:jc w:val="center"/>
        <w:rPr>
          <w:snapToGrid w:val="0"/>
        </w:rPr>
      </w:pPr>
    </w:p>
    <w:sectPr w:rsidR="00FD592E" w:rsidSect="008F189A">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4829C" w14:textId="77777777" w:rsidR="00285AA4" w:rsidRDefault="00285AA4">
      <w:r>
        <w:separator/>
      </w:r>
    </w:p>
  </w:endnote>
  <w:endnote w:type="continuationSeparator" w:id="0">
    <w:p w14:paraId="7F6718CF" w14:textId="77777777" w:rsidR="00285AA4" w:rsidRDefault="0028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B56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C13D1"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E24E" w14:textId="09351E57" w:rsidR="0097693B" w:rsidRDefault="009F5536" w:rsidP="003771CA">
    <w:pPr>
      <w:pStyle w:val="Footer"/>
      <w:ind w:right="360"/>
      <w:rPr>
        <w:rStyle w:val="PageNumber"/>
      </w:rPr>
    </w:pPr>
    <w:r w:rsidRPr="009F5536">
      <w:t>S</w:t>
    </w:r>
    <w:r w:rsidR="00196085">
      <w:t>APVII-PRS1/OUT-03</w:t>
    </w:r>
    <w:r w:rsidR="003771CA" w:rsidRPr="002C7EA9">
      <w:rPr>
        <w:rStyle w:val="PageNumber"/>
      </w:rPr>
      <w:t xml:space="preserve"> </w:t>
    </w:r>
    <w:r w:rsidR="003771CA">
      <w:rPr>
        <w:rStyle w:val="PageNumber"/>
      </w:rPr>
      <w:tab/>
    </w:r>
    <w:r w:rsidR="003771CA">
      <w:rPr>
        <w:rStyle w:val="PageNumber"/>
      </w:rPr>
      <w:tab/>
      <w:t xml:space="preserve">   </w:t>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55B30">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55B30">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8F189A" w:rsidRPr="008F189A" w14:paraId="386A7114" w14:textId="77777777" w:rsidTr="003928B2">
      <w:trPr>
        <w:cantSplit/>
        <w:trHeight w:val="204"/>
        <w:jc w:val="center"/>
      </w:trPr>
      <w:tc>
        <w:tcPr>
          <w:tcW w:w="1152" w:type="dxa"/>
        </w:tcPr>
        <w:p w14:paraId="21F2F21F" w14:textId="77777777" w:rsidR="008F189A" w:rsidRPr="008F189A" w:rsidRDefault="008F189A" w:rsidP="008F189A">
          <w:pPr>
            <w:rPr>
              <w:b/>
              <w:bCs/>
            </w:rPr>
          </w:pPr>
          <w:r w:rsidRPr="008F189A">
            <w:rPr>
              <w:b/>
              <w:bCs/>
            </w:rPr>
            <w:t>Contact:</w:t>
          </w:r>
        </w:p>
      </w:tc>
      <w:tc>
        <w:tcPr>
          <w:tcW w:w="5040" w:type="dxa"/>
        </w:tcPr>
        <w:p w14:paraId="003F4344"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NAME</w:t>
          </w:r>
        </w:p>
        <w:p w14:paraId="16043D6E"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Organization, Country</w:t>
          </w:r>
        </w:p>
      </w:tc>
      <w:tc>
        <w:tcPr>
          <w:tcW w:w="3024" w:type="dxa"/>
        </w:tcPr>
        <w:p w14:paraId="3BB56181" w14:textId="77777777" w:rsidR="008F189A" w:rsidRPr="008F189A" w:rsidRDefault="008F189A" w:rsidP="008F189A">
          <w:pPr>
            <w:rPr>
              <w:lang w:eastAsia="ja-JP"/>
            </w:rPr>
          </w:pPr>
          <w:r w:rsidRPr="008F189A">
            <w:t>Email</w:t>
          </w:r>
          <w:r w:rsidRPr="008F189A">
            <w:rPr>
              <w:rFonts w:hint="eastAsia"/>
            </w:rPr>
            <w:t xml:space="preserve">: </w:t>
          </w:r>
          <w:r w:rsidRPr="008F189A">
            <w:t xml:space="preserve"> </w:t>
          </w:r>
        </w:p>
      </w:tc>
    </w:tr>
  </w:tbl>
  <w:p w14:paraId="52938ADF" w14:textId="77777777" w:rsidR="0097693B" w:rsidRPr="008F189A" w:rsidRDefault="0097693B" w:rsidP="008F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4B6C1" w14:textId="77777777" w:rsidR="00285AA4" w:rsidRDefault="00285AA4">
      <w:r>
        <w:separator/>
      </w:r>
    </w:p>
  </w:footnote>
  <w:footnote w:type="continuationSeparator" w:id="0">
    <w:p w14:paraId="07415FFC" w14:textId="77777777" w:rsidR="00285AA4" w:rsidRDefault="00285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9940" w14:textId="77777777" w:rsidR="0097693B" w:rsidRDefault="0097693B" w:rsidP="00C15633">
    <w:pPr>
      <w:pStyle w:val="Header"/>
      <w:tabs>
        <w:tab w:val="center" w:pos="4763"/>
        <w:tab w:val="left" w:pos="5820"/>
      </w:tabs>
      <w:rPr>
        <w:lang w:eastAsia="ko-KR"/>
      </w:rPr>
    </w:pPr>
    <w:r>
      <w:rPr>
        <w:lang w:eastAsia="ko-KR"/>
      </w:rPr>
      <w:tab/>
    </w:r>
  </w:p>
  <w:p w14:paraId="7EA6DD66"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9237658"/>
    <w:multiLevelType w:val="hybridMultilevel"/>
    <w:tmpl w:val="C0E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C543C2B"/>
    <w:multiLevelType w:val="hybridMultilevel"/>
    <w:tmpl w:val="11DA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BCC2F3E"/>
    <w:multiLevelType w:val="hybridMultilevel"/>
    <w:tmpl w:val="746A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C53DD"/>
    <w:multiLevelType w:val="hybridMultilevel"/>
    <w:tmpl w:val="12D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1"/>
  </w:num>
  <w:num w:numId="9">
    <w:abstractNumId w:val="11"/>
  </w:num>
  <w:num w:numId="10">
    <w:abstractNumId w:val="6"/>
  </w:num>
  <w:num w:numId="11">
    <w:abstractNumId w:val="2"/>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De3MDIwMTQzMTFR0lEKTi0uzszPAykwqgUAd4/ThiwAAAA="/>
  </w:docVars>
  <w:rsids>
    <w:rsidRoot w:val="00597B21"/>
    <w:rsid w:val="000011E8"/>
    <w:rsid w:val="00020262"/>
    <w:rsid w:val="00032A21"/>
    <w:rsid w:val="0003595B"/>
    <w:rsid w:val="00086193"/>
    <w:rsid w:val="00097EA8"/>
    <w:rsid w:val="000A4256"/>
    <w:rsid w:val="000A55B0"/>
    <w:rsid w:val="000A6769"/>
    <w:rsid w:val="000B72DE"/>
    <w:rsid w:val="000F5540"/>
    <w:rsid w:val="00155B30"/>
    <w:rsid w:val="00171109"/>
    <w:rsid w:val="0018079A"/>
    <w:rsid w:val="00196085"/>
    <w:rsid w:val="00196568"/>
    <w:rsid w:val="001B18C2"/>
    <w:rsid w:val="001D1379"/>
    <w:rsid w:val="001D5D7E"/>
    <w:rsid w:val="00203C79"/>
    <w:rsid w:val="002458F8"/>
    <w:rsid w:val="00254A1B"/>
    <w:rsid w:val="00262EAB"/>
    <w:rsid w:val="0028148C"/>
    <w:rsid w:val="0028454D"/>
    <w:rsid w:val="00285AA4"/>
    <w:rsid w:val="002926D4"/>
    <w:rsid w:val="00296540"/>
    <w:rsid w:val="002C07DA"/>
    <w:rsid w:val="002C7EA9"/>
    <w:rsid w:val="002F2C66"/>
    <w:rsid w:val="003578AB"/>
    <w:rsid w:val="003771CA"/>
    <w:rsid w:val="003937C8"/>
    <w:rsid w:val="003A232C"/>
    <w:rsid w:val="003B6263"/>
    <w:rsid w:val="003C21A5"/>
    <w:rsid w:val="003C64A7"/>
    <w:rsid w:val="003D3FDA"/>
    <w:rsid w:val="003D4768"/>
    <w:rsid w:val="003D7783"/>
    <w:rsid w:val="003E0E68"/>
    <w:rsid w:val="003F2317"/>
    <w:rsid w:val="00420822"/>
    <w:rsid w:val="0045458F"/>
    <w:rsid w:val="00486F61"/>
    <w:rsid w:val="004D347E"/>
    <w:rsid w:val="004E6516"/>
    <w:rsid w:val="004F050A"/>
    <w:rsid w:val="00530E8C"/>
    <w:rsid w:val="00545CF7"/>
    <w:rsid w:val="00552C9B"/>
    <w:rsid w:val="00552EE6"/>
    <w:rsid w:val="00580DCA"/>
    <w:rsid w:val="00587875"/>
    <w:rsid w:val="00597B21"/>
    <w:rsid w:val="005A33DF"/>
    <w:rsid w:val="005C7E76"/>
    <w:rsid w:val="00607E2B"/>
    <w:rsid w:val="00614171"/>
    <w:rsid w:val="00627E64"/>
    <w:rsid w:val="0063062B"/>
    <w:rsid w:val="00667229"/>
    <w:rsid w:val="0067040A"/>
    <w:rsid w:val="00682BE5"/>
    <w:rsid w:val="006A7EF3"/>
    <w:rsid w:val="006B2A73"/>
    <w:rsid w:val="006C7574"/>
    <w:rsid w:val="00721D2A"/>
    <w:rsid w:val="0074190C"/>
    <w:rsid w:val="00762576"/>
    <w:rsid w:val="007A2FB0"/>
    <w:rsid w:val="007D4EF3"/>
    <w:rsid w:val="007E6C90"/>
    <w:rsid w:val="007F7740"/>
    <w:rsid w:val="0080570B"/>
    <w:rsid w:val="00806BBC"/>
    <w:rsid w:val="00812E51"/>
    <w:rsid w:val="0081446D"/>
    <w:rsid w:val="008148E1"/>
    <w:rsid w:val="008351FC"/>
    <w:rsid w:val="00845931"/>
    <w:rsid w:val="00865017"/>
    <w:rsid w:val="0088109B"/>
    <w:rsid w:val="00895888"/>
    <w:rsid w:val="008B3AD7"/>
    <w:rsid w:val="008B57AE"/>
    <w:rsid w:val="008C59FC"/>
    <w:rsid w:val="008D0E09"/>
    <w:rsid w:val="008F189A"/>
    <w:rsid w:val="00906EB0"/>
    <w:rsid w:val="00922A59"/>
    <w:rsid w:val="00974F1A"/>
    <w:rsid w:val="0097693B"/>
    <w:rsid w:val="009A4A6D"/>
    <w:rsid w:val="009C3A88"/>
    <w:rsid w:val="009D0984"/>
    <w:rsid w:val="009F5536"/>
    <w:rsid w:val="00A0758E"/>
    <w:rsid w:val="00A438A8"/>
    <w:rsid w:val="00A44BFA"/>
    <w:rsid w:val="00A53045"/>
    <w:rsid w:val="00A548EF"/>
    <w:rsid w:val="00A549AE"/>
    <w:rsid w:val="00A948CF"/>
    <w:rsid w:val="00AA41DB"/>
    <w:rsid w:val="00AA474C"/>
    <w:rsid w:val="00AB032C"/>
    <w:rsid w:val="00AC4BB3"/>
    <w:rsid w:val="00AD7E5F"/>
    <w:rsid w:val="00B25D6A"/>
    <w:rsid w:val="00B30C81"/>
    <w:rsid w:val="00BB4D83"/>
    <w:rsid w:val="00BC76D8"/>
    <w:rsid w:val="00BF663E"/>
    <w:rsid w:val="00C15633"/>
    <w:rsid w:val="00C3055F"/>
    <w:rsid w:val="00C357AD"/>
    <w:rsid w:val="00C67285"/>
    <w:rsid w:val="00CC4FFE"/>
    <w:rsid w:val="00CD5431"/>
    <w:rsid w:val="00CD75B4"/>
    <w:rsid w:val="00CE74EB"/>
    <w:rsid w:val="00CF2491"/>
    <w:rsid w:val="00D07087"/>
    <w:rsid w:val="00D203E5"/>
    <w:rsid w:val="00D2179A"/>
    <w:rsid w:val="00D40798"/>
    <w:rsid w:val="00D4148A"/>
    <w:rsid w:val="00D57772"/>
    <w:rsid w:val="00D65EEC"/>
    <w:rsid w:val="00D75A4D"/>
    <w:rsid w:val="00D8478B"/>
    <w:rsid w:val="00D86151"/>
    <w:rsid w:val="00DA7595"/>
    <w:rsid w:val="00DB0A68"/>
    <w:rsid w:val="00DB76EF"/>
    <w:rsid w:val="00DC43A3"/>
    <w:rsid w:val="00DD68FC"/>
    <w:rsid w:val="00DE4D0D"/>
    <w:rsid w:val="00E035A1"/>
    <w:rsid w:val="00E11CD0"/>
    <w:rsid w:val="00E3442B"/>
    <w:rsid w:val="00E674D3"/>
    <w:rsid w:val="00E70314"/>
    <w:rsid w:val="00EC1A88"/>
    <w:rsid w:val="00EC36D6"/>
    <w:rsid w:val="00EF2EBB"/>
    <w:rsid w:val="00F373F5"/>
    <w:rsid w:val="00F80501"/>
    <w:rsid w:val="00F84067"/>
    <w:rsid w:val="00FA4811"/>
    <w:rsid w:val="00FC2CE0"/>
    <w:rsid w:val="00FD592E"/>
    <w:rsid w:val="00FE1665"/>
    <w:rsid w:val="00FE39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BB76"/>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aliases w:val="List Paragraph (numbered (a)),Bullet List,FooterText,List with no spacing,HEAD 3,Bullets,Dot pt,F5 List Paragraph,List Paragraph1,No Spacing1,List Paragraph Char Char Char,Indicator Text,Numbered Para 1,Bullet 1,List Paragraph12"/>
    <w:basedOn w:val="Normal"/>
    <w:link w:val="ListParagraphChar"/>
    <w:uiPriority w:val="34"/>
    <w:qFormat/>
    <w:rsid w:val="00974F1A"/>
    <w:pPr>
      <w:autoSpaceDE w:val="0"/>
      <w:autoSpaceDN w:val="0"/>
      <w:ind w:left="720"/>
    </w:pPr>
    <w:rPr>
      <w:rFonts w:eastAsia="MS Mincho"/>
      <w:szCs w:val="20"/>
      <w:lang w:eastAsia="ja-JP"/>
    </w:rPr>
  </w:style>
  <w:style w:type="paragraph" w:styleId="BalloonText">
    <w:name w:val="Balloon Text"/>
    <w:basedOn w:val="Normal"/>
    <w:link w:val="BalloonTextChar"/>
    <w:rsid w:val="00806BBC"/>
    <w:rPr>
      <w:rFonts w:ascii="Segoe UI" w:hAnsi="Segoe UI" w:cs="Segoe UI"/>
      <w:sz w:val="18"/>
      <w:szCs w:val="18"/>
    </w:rPr>
  </w:style>
  <w:style w:type="character" w:customStyle="1" w:styleId="BalloonTextChar">
    <w:name w:val="Balloon Text Char"/>
    <w:basedOn w:val="DefaultParagraphFont"/>
    <w:link w:val="BalloonText"/>
    <w:rsid w:val="00806BBC"/>
    <w:rPr>
      <w:rFonts w:ascii="Segoe UI" w:eastAsia="BatangChe" w:hAnsi="Segoe UI" w:cs="Segoe UI"/>
      <w:sz w:val="18"/>
      <w:szCs w:val="18"/>
    </w:rPr>
  </w:style>
  <w:style w:type="character" w:customStyle="1" w:styleId="FooterChar">
    <w:name w:val="Footer Char"/>
    <w:basedOn w:val="DefaultParagraphFont"/>
    <w:link w:val="Footer"/>
    <w:uiPriority w:val="99"/>
    <w:rsid w:val="009F5536"/>
    <w:rPr>
      <w:rFonts w:eastAsia="BatangChe"/>
      <w:sz w:val="24"/>
      <w:szCs w:val="24"/>
    </w:rPr>
  </w:style>
  <w:style w:type="character" w:customStyle="1" w:styleId="ListParagraphChar">
    <w:name w:val="List Paragraph Char"/>
    <w:aliases w:val="List Paragraph (numbered (a)) Char,Bullet List Char,FooterText Char,List with no spacing Char,HEAD 3 Char,Bullets Char,Dot pt Char,F5 List Paragraph Char,List Paragraph1 Char,No Spacing1 Char,List Paragraph Char Char Char Char"/>
    <w:basedOn w:val="DefaultParagraphFont"/>
    <w:link w:val="ListParagraph"/>
    <w:uiPriority w:val="34"/>
    <w:qFormat/>
    <w:locked/>
    <w:rsid w:val="00196085"/>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AWG-21 Document Template</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Forhadul Parvez</dc:creator>
  <cp:keywords/>
  <cp:lastModifiedBy>Forhadul Parvez</cp:lastModifiedBy>
  <cp:revision>3</cp:revision>
  <cp:lastPrinted>1899-12-31T17:00:00Z</cp:lastPrinted>
  <dcterms:created xsi:type="dcterms:W3CDTF">2019-08-21T05:01:00Z</dcterms:created>
  <dcterms:modified xsi:type="dcterms:W3CDTF">2019-08-21T05:02:00Z</dcterms:modified>
</cp:coreProperties>
</file>