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531"/>
        <w:gridCol w:w="2799"/>
      </w:tblGrid>
      <w:tr w:rsidR="00A55CC7" w:rsidRPr="00A55CC7" w14:paraId="012D3470" w14:textId="77777777" w:rsidTr="00FA7CEC">
        <w:trPr>
          <w:cantSplit/>
        </w:trPr>
        <w:tc>
          <w:tcPr>
            <w:tcW w:w="1399" w:type="dxa"/>
            <w:vMerge w:val="restart"/>
          </w:tcPr>
          <w:p w14:paraId="1890E8A7" w14:textId="77777777" w:rsidR="00A55CC7" w:rsidRPr="00A55CC7" w:rsidRDefault="00A55CC7" w:rsidP="00A55CC7">
            <w:pPr>
              <w:widowControl w:val="0"/>
              <w:wordWrap w:val="0"/>
              <w:jc w:val="both"/>
              <w:rPr>
                <w:kern w:val="2"/>
                <w:lang w:eastAsia="ko-KR"/>
              </w:rPr>
            </w:pPr>
            <w:r w:rsidRPr="00A55CC7">
              <w:rPr>
                <w:noProof/>
                <w:kern w:val="2"/>
              </w:rPr>
              <w:drawing>
                <wp:inline distT="0" distB="0" distL="0" distR="0" wp14:anchorId="4D407632" wp14:editId="3D033ED8">
                  <wp:extent cx="762000" cy="714375"/>
                  <wp:effectExtent l="0" t="0" r="0" b="9525"/>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531" w:type="dxa"/>
          </w:tcPr>
          <w:p w14:paraId="0A3A12EE" w14:textId="77777777" w:rsidR="00A55CC7" w:rsidRPr="00A55CC7" w:rsidRDefault="00A55CC7" w:rsidP="00A55CC7">
            <w:pPr>
              <w:keepNext/>
              <w:widowControl w:val="0"/>
              <w:wordWrap w:val="0"/>
              <w:spacing w:line="276" w:lineRule="auto"/>
              <w:jc w:val="both"/>
              <w:outlineLvl w:val="7"/>
              <w:rPr>
                <w:bCs/>
                <w:kern w:val="2"/>
                <w:lang w:eastAsia="ko-KR"/>
              </w:rPr>
            </w:pPr>
            <w:r w:rsidRPr="00A55CC7">
              <w:rPr>
                <w:bCs/>
                <w:kern w:val="2"/>
                <w:lang w:eastAsia="ko-KR"/>
              </w:rPr>
              <w:t>ASIA-PACIFIC TELECOMMUNITY</w:t>
            </w:r>
          </w:p>
        </w:tc>
        <w:tc>
          <w:tcPr>
            <w:tcW w:w="2799" w:type="dxa"/>
          </w:tcPr>
          <w:p w14:paraId="70F4FA24" w14:textId="77777777" w:rsidR="00A55CC7" w:rsidRPr="00A55CC7" w:rsidRDefault="00A55CC7" w:rsidP="00A55CC7">
            <w:pPr>
              <w:rPr>
                <w:b/>
              </w:rPr>
            </w:pPr>
            <w:r w:rsidRPr="00A55CC7">
              <w:rPr>
                <w:b/>
              </w:rPr>
              <w:t>Document:</w:t>
            </w:r>
          </w:p>
        </w:tc>
      </w:tr>
      <w:tr w:rsidR="00A55CC7" w:rsidRPr="00A55CC7" w14:paraId="1DA08CE0" w14:textId="77777777" w:rsidTr="00FA7CEC">
        <w:trPr>
          <w:cantSplit/>
        </w:trPr>
        <w:tc>
          <w:tcPr>
            <w:tcW w:w="1399" w:type="dxa"/>
            <w:vMerge/>
          </w:tcPr>
          <w:p w14:paraId="3E415BD1" w14:textId="77777777" w:rsidR="00A55CC7" w:rsidRPr="00A55CC7" w:rsidRDefault="00A55CC7" w:rsidP="00A55CC7"/>
        </w:tc>
        <w:tc>
          <w:tcPr>
            <w:tcW w:w="5531" w:type="dxa"/>
          </w:tcPr>
          <w:p w14:paraId="6C6C446E" w14:textId="77777777" w:rsidR="00A55CC7" w:rsidRPr="00A55CC7" w:rsidRDefault="00A55CC7" w:rsidP="00A55CC7">
            <w:pPr>
              <w:spacing w:line="0" w:lineRule="atLeast"/>
            </w:pPr>
            <w:r w:rsidRPr="00A55CC7">
              <w:rPr>
                <w:b/>
              </w:rPr>
              <w:t>Meeting of the SATRC Working Group on Spectrum</w:t>
            </w:r>
          </w:p>
        </w:tc>
        <w:tc>
          <w:tcPr>
            <w:tcW w:w="2799" w:type="dxa"/>
          </w:tcPr>
          <w:p w14:paraId="108A1DA9" w14:textId="64B52FF2" w:rsidR="00A55CC7" w:rsidRPr="00A55CC7" w:rsidRDefault="00A55CC7" w:rsidP="00E23809">
            <w:pPr>
              <w:rPr>
                <w:b/>
                <w:bCs/>
              </w:rPr>
            </w:pPr>
            <w:r w:rsidRPr="00A55CC7">
              <w:rPr>
                <w:b/>
                <w:bCs/>
              </w:rPr>
              <w:t>SAPVII-SPEC1/</w:t>
            </w:r>
            <w:r w:rsidR="00F55EE0">
              <w:rPr>
                <w:b/>
                <w:bCs/>
              </w:rPr>
              <w:t>OUT-02</w:t>
            </w:r>
          </w:p>
        </w:tc>
      </w:tr>
      <w:tr w:rsidR="00A55CC7" w:rsidRPr="00A55CC7" w14:paraId="348AD5FF" w14:textId="77777777" w:rsidTr="00FA7CEC">
        <w:trPr>
          <w:cantSplit/>
          <w:trHeight w:val="219"/>
        </w:trPr>
        <w:tc>
          <w:tcPr>
            <w:tcW w:w="1399" w:type="dxa"/>
            <w:vMerge/>
          </w:tcPr>
          <w:p w14:paraId="334934DC" w14:textId="77777777" w:rsidR="00A55CC7" w:rsidRPr="00A55CC7" w:rsidRDefault="00A55CC7" w:rsidP="00A55CC7"/>
        </w:tc>
        <w:tc>
          <w:tcPr>
            <w:tcW w:w="5531" w:type="dxa"/>
          </w:tcPr>
          <w:p w14:paraId="1A7D9A57" w14:textId="77777777" w:rsidR="00A55CC7" w:rsidRPr="00A55CC7" w:rsidRDefault="00A55CC7" w:rsidP="00A55CC7">
            <w:r w:rsidRPr="00A55CC7">
              <w:t>11 – 12 June 2019, Tehran, Islamic Republic of Iran</w:t>
            </w:r>
          </w:p>
        </w:tc>
        <w:tc>
          <w:tcPr>
            <w:tcW w:w="2799" w:type="dxa"/>
          </w:tcPr>
          <w:p w14:paraId="5F96BAD8" w14:textId="2E3882CB" w:rsidR="00A55CC7" w:rsidRPr="00A55CC7" w:rsidRDefault="00ED06BD" w:rsidP="00A55CC7">
            <w:pPr>
              <w:keepNext/>
              <w:outlineLvl w:val="0"/>
              <w:rPr>
                <w:bCs/>
                <w:u w:val="single"/>
              </w:rPr>
            </w:pPr>
            <w:r>
              <w:t>1</w:t>
            </w:r>
            <w:r w:rsidR="00F55EE0">
              <w:t>2</w:t>
            </w:r>
            <w:r w:rsidR="00A55CC7" w:rsidRPr="00A55CC7">
              <w:t xml:space="preserve"> </w:t>
            </w:r>
            <w:r w:rsidR="00A55CC7">
              <w:t>June</w:t>
            </w:r>
            <w:r w:rsidR="00A55CC7" w:rsidRPr="00A55CC7">
              <w:t xml:space="preserve"> 2019</w:t>
            </w:r>
          </w:p>
        </w:tc>
      </w:tr>
    </w:tbl>
    <w:p w14:paraId="7DF03FCC" w14:textId="77777777" w:rsidR="00133947" w:rsidRDefault="00133947" w:rsidP="00DA7595">
      <w:pPr>
        <w:rPr>
          <w:lang w:eastAsia="ko-KR"/>
        </w:rPr>
      </w:pPr>
    </w:p>
    <w:p w14:paraId="064209BC" w14:textId="77777777" w:rsidR="00DC1F72" w:rsidRDefault="00DC1F72" w:rsidP="00DC1F72">
      <w:pPr>
        <w:jc w:val="center"/>
        <w:rPr>
          <w:lang w:eastAsia="ko-KR"/>
        </w:rPr>
      </w:pPr>
    </w:p>
    <w:p w14:paraId="4F270119" w14:textId="4C5A929E" w:rsidR="00FD45EC" w:rsidRDefault="00B439FC" w:rsidP="00FD45EC">
      <w:pPr>
        <w:tabs>
          <w:tab w:val="left" w:pos="180"/>
        </w:tabs>
        <w:jc w:val="center"/>
        <w:rPr>
          <w:bCs/>
        </w:rPr>
      </w:pPr>
      <w:r>
        <w:rPr>
          <w:bCs/>
        </w:rPr>
        <w:t>SATRC Working</w:t>
      </w:r>
      <w:r w:rsidR="00F55EE0">
        <w:rPr>
          <w:bCs/>
        </w:rPr>
        <w:t xml:space="preserve"> Group</w:t>
      </w:r>
      <w:r>
        <w:rPr>
          <w:bCs/>
        </w:rPr>
        <w:t xml:space="preserve"> on Spectrum</w:t>
      </w:r>
    </w:p>
    <w:p w14:paraId="2E1E14C1" w14:textId="77777777" w:rsidR="00B439FC" w:rsidRPr="00B439FC" w:rsidRDefault="00B439FC" w:rsidP="00FD45EC">
      <w:pPr>
        <w:tabs>
          <w:tab w:val="left" w:pos="180"/>
        </w:tabs>
        <w:jc w:val="center"/>
        <w:rPr>
          <w:bCs/>
        </w:rPr>
      </w:pPr>
    </w:p>
    <w:p w14:paraId="1524876E" w14:textId="06DF95E0" w:rsidR="00FD45EC" w:rsidRDefault="00FD45EC" w:rsidP="00FD45EC">
      <w:pPr>
        <w:tabs>
          <w:tab w:val="left" w:pos="180"/>
        </w:tabs>
        <w:jc w:val="center"/>
        <w:rPr>
          <w:b/>
          <w:bCs/>
        </w:rPr>
      </w:pPr>
      <w:r w:rsidRPr="00FD45EC">
        <w:rPr>
          <w:b/>
          <w:bCs/>
        </w:rPr>
        <w:t>QUESTIONNAIRE FOR</w:t>
      </w:r>
      <w:r w:rsidR="00CB2C89">
        <w:rPr>
          <w:b/>
          <w:bCs/>
        </w:rPr>
        <w:t xml:space="preserve"> THE WORK ITEM ON</w:t>
      </w:r>
      <w:r w:rsidR="00AE32C1">
        <w:rPr>
          <w:b/>
          <w:bCs/>
        </w:rPr>
        <w:t xml:space="preserve"> </w:t>
      </w:r>
      <w:r w:rsidRPr="00FD45EC">
        <w:rPr>
          <w:b/>
          <w:bCs/>
        </w:rPr>
        <w:t xml:space="preserve">SPECTRUM </w:t>
      </w:r>
      <w:r w:rsidR="00AE32C1">
        <w:rPr>
          <w:b/>
          <w:bCs/>
        </w:rPr>
        <w:t>RE-FARMING</w:t>
      </w:r>
    </w:p>
    <w:p w14:paraId="4A8558E3" w14:textId="78AFE43D" w:rsidR="00F55EE0" w:rsidRDefault="00F55EE0" w:rsidP="00FD45EC">
      <w:pPr>
        <w:tabs>
          <w:tab w:val="left" w:pos="180"/>
        </w:tabs>
        <w:jc w:val="center"/>
        <w:rPr>
          <w:b/>
          <w:bCs/>
        </w:rPr>
      </w:pPr>
    </w:p>
    <w:p w14:paraId="1B44C687" w14:textId="77777777" w:rsidR="00F55EE0" w:rsidRDefault="00F55EE0" w:rsidP="00F55EE0">
      <w:pPr>
        <w:jc w:val="center"/>
        <w:rPr>
          <w:b/>
        </w:rPr>
      </w:pPr>
    </w:p>
    <w:p w14:paraId="727655C7" w14:textId="4ADCFF8E" w:rsidR="00F55EE0" w:rsidRPr="00E56ED8" w:rsidRDefault="00F55EE0" w:rsidP="00F55EE0">
      <w:pPr>
        <w:jc w:val="center"/>
        <w:rPr>
          <w:b/>
        </w:rPr>
      </w:pPr>
      <w:r w:rsidRPr="00E56ED8">
        <w:rPr>
          <w:b/>
        </w:rPr>
        <w:t>Section 1: Elementary Part</w:t>
      </w:r>
    </w:p>
    <w:p w14:paraId="7F3AB2A2" w14:textId="77777777" w:rsidR="00B439FC" w:rsidRDefault="00B439FC" w:rsidP="00FD45EC">
      <w:pPr>
        <w:tabs>
          <w:tab w:val="left" w:pos="180"/>
        </w:tabs>
        <w:ind w:left="360"/>
        <w:jc w:val="both"/>
        <w:rPr>
          <w:b/>
          <w:bCs/>
        </w:rPr>
      </w:pPr>
    </w:p>
    <w:p w14:paraId="5EA0C8E4" w14:textId="0E86A36E" w:rsidR="00AE32C1" w:rsidRPr="00AE32C1" w:rsidRDefault="00F55EE0" w:rsidP="00F55EE0">
      <w:pPr>
        <w:tabs>
          <w:tab w:val="left" w:pos="180"/>
        </w:tabs>
        <w:spacing w:after="200" w:line="276" w:lineRule="auto"/>
        <w:jc w:val="both"/>
        <w:rPr>
          <w:rFonts w:eastAsia="Times New Roman"/>
          <w:b/>
          <w:bCs/>
          <w:lang w:bidi="ne-NP"/>
        </w:rPr>
      </w:pPr>
      <w:r>
        <w:rPr>
          <w:rFonts w:eastAsia="Times New Roman"/>
          <w:b/>
          <w:bCs/>
          <w:lang w:bidi="ne-NP"/>
        </w:rPr>
        <w:t xml:space="preserve">1.1 </w:t>
      </w:r>
      <w:r w:rsidR="00AE32C1" w:rsidRPr="00AE32C1">
        <w:rPr>
          <w:rFonts w:eastAsia="Times New Roman"/>
          <w:b/>
          <w:bCs/>
          <w:lang w:bidi="ne-NP"/>
        </w:rPr>
        <w:t>Introduction:</w:t>
      </w:r>
    </w:p>
    <w:p w14:paraId="5947C924" w14:textId="77777777" w:rsidR="00AE32C1" w:rsidRPr="00AE32C1" w:rsidRDefault="00AE32C1" w:rsidP="00F55EE0">
      <w:pPr>
        <w:tabs>
          <w:tab w:val="left" w:pos="180"/>
        </w:tabs>
        <w:spacing w:after="200" w:line="276" w:lineRule="auto"/>
        <w:jc w:val="both"/>
        <w:rPr>
          <w:rFonts w:eastAsia="Times New Roman"/>
          <w:lang w:val="en-IN" w:bidi="ne-NP"/>
        </w:rPr>
      </w:pPr>
      <w:r w:rsidRPr="00AE32C1">
        <w:rPr>
          <w:rFonts w:eastAsia="Times New Roman"/>
          <w:lang w:bidi="ne-NP"/>
        </w:rPr>
        <w:t xml:space="preserve">With the advancement in mobile communication technologies, latest mobile broadband networks offer much higher spectrum efficiency compared with traditional GSM and CDMA (2G) systems. There is a global trend of switching off 2G Networks gradually with the increase in mobile broadband networks. Some Regulators have adopted technology neutral principles in those bands.  </w:t>
      </w:r>
    </w:p>
    <w:p w14:paraId="31FC3CA6" w14:textId="77777777" w:rsidR="00AE32C1" w:rsidRPr="00AE32C1" w:rsidRDefault="00AE32C1" w:rsidP="00F55EE0">
      <w:pPr>
        <w:tabs>
          <w:tab w:val="left" w:pos="180"/>
        </w:tabs>
        <w:spacing w:after="200" w:line="276" w:lineRule="auto"/>
        <w:jc w:val="both"/>
        <w:rPr>
          <w:rFonts w:eastAsia="Times New Roman"/>
          <w:lang w:val="en-IN" w:bidi="ne-NP"/>
        </w:rPr>
      </w:pPr>
      <w:r w:rsidRPr="00AE32C1">
        <w:rPr>
          <w:rFonts w:eastAsia="Times New Roman"/>
          <w:lang w:bidi="ne-NP"/>
        </w:rPr>
        <w:t xml:space="preserve">While implementing technology neutral approach in traditional technology specific frequency bands, </w:t>
      </w:r>
      <w:proofErr w:type="spellStart"/>
      <w:r w:rsidRPr="00AE32C1">
        <w:rPr>
          <w:rFonts w:eastAsia="Times New Roman"/>
          <w:lang w:bidi="ne-NP"/>
        </w:rPr>
        <w:t>refarming</w:t>
      </w:r>
      <w:proofErr w:type="spellEnd"/>
      <w:r w:rsidRPr="00AE32C1">
        <w:rPr>
          <w:rFonts w:eastAsia="Times New Roman"/>
          <w:lang w:bidi="ne-NP"/>
        </w:rPr>
        <w:t xml:space="preserve"> technology specific legacy bands, like GSM, CDMA, WiMAX etc. is a natural solution for more efficient mobile broadband coverage.</w:t>
      </w:r>
    </w:p>
    <w:p w14:paraId="34AF8C97" w14:textId="77777777" w:rsidR="00AE32C1" w:rsidRPr="00AE32C1" w:rsidRDefault="00AE32C1" w:rsidP="00F55EE0">
      <w:pPr>
        <w:tabs>
          <w:tab w:val="left" w:pos="180"/>
        </w:tabs>
        <w:spacing w:after="200" w:line="276" w:lineRule="auto"/>
        <w:jc w:val="both"/>
        <w:rPr>
          <w:rFonts w:eastAsia="Times New Roman"/>
          <w:lang w:val="en-IN" w:bidi="ne-NP"/>
        </w:rPr>
      </w:pPr>
      <w:proofErr w:type="spellStart"/>
      <w:r w:rsidRPr="00AE32C1">
        <w:rPr>
          <w:rFonts w:eastAsia="Times New Roman"/>
          <w:lang w:bidi="ne-NP"/>
        </w:rPr>
        <w:t>Refarming</w:t>
      </w:r>
      <w:proofErr w:type="spellEnd"/>
      <w:r w:rsidRPr="00AE32C1">
        <w:rPr>
          <w:rFonts w:eastAsia="Times New Roman"/>
          <w:lang w:bidi="ne-NP"/>
        </w:rPr>
        <w:t xml:space="preserve"> is a strategy where telecom service providers reuse their frequency resources to introduce latest radio communication technologies to improve the spectral efficiency and data throughput. For example, in 900 MHz </w:t>
      </w:r>
      <w:proofErr w:type="spellStart"/>
      <w:r w:rsidRPr="00AE32C1">
        <w:rPr>
          <w:rFonts w:eastAsia="Times New Roman"/>
          <w:lang w:bidi="ne-NP"/>
        </w:rPr>
        <w:t>refarming</w:t>
      </w:r>
      <w:proofErr w:type="spellEnd"/>
      <w:r w:rsidRPr="00AE32C1">
        <w:rPr>
          <w:rFonts w:eastAsia="Times New Roman"/>
          <w:lang w:bidi="ne-NP"/>
        </w:rPr>
        <w:t xml:space="preserve"> solution, the service providers free up about 5 MHz of GSM in 900 MHz band and deploy UMTS or LTE in that 5 MHz of 900 MHz Band.</w:t>
      </w:r>
    </w:p>
    <w:p w14:paraId="4DB13FFE" w14:textId="77777777" w:rsidR="00AE32C1" w:rsidRPr="00AE32C1" w:rsidRDefault="00AE32C1" w:rsidP="00F55EE0">
      <w:pPr>
        <w:tabs>
          <w:tab w:val="left" w:pos="180"/>
        </w:tabs>
        <w:spacing w:after="200" w:line="276" w:lineRule="auto"/>
        <w:jc w:val="both"/>
        <w:rPr>
          <w:rFonts w:eastAsia="Times New Roman"/>
          <w:lang w:val="en-IN" w:bidi="ne-NP"/>
        </w:rPr>
      </w:pPr>
      <w:r w:rsidRPr="00AE32C1">
        <w:rPr>
          <w:rFonts w:eastAsia="Times New Roman"/>
          <w:lang w:bidi="ne-NP"/>
        </w:rPr>
        <w:t xml:space="preserve">Spectrum </w:t>
      </w:r>
      <w:proofErr w:type="spellStart"/>
      <w:r w:rsidRPr="00AE32C1">
        <w:rPr>
          <w:rFonts w:eastAsia="Times New Roman"/>
          <w:lang w:bidi="ne-NP"/>
        </w:rPr>
        <w:t>refarming</w:t>
      </w:r>
      <w:proofErr w:type="spellEnd"/>
      <w:r w:rsidRPr="00AE32C1">
        <w:rPr>
          <w:rFonts w:eastAsia="Times New Roman"/>
          <w:lang w:bidi="ne-NP"/>
        </w:rPr>
        <w:t xml:space="preserve"> requires careful planning and management to guarantee a smooth transition to mobile broadband networks. To solve this issue, this study will investigate following areas:</w:t>
      </w:r>
    </w:p>
    <w:p w14:paraId="23F0C386" w14:textId="77777777" w:rsidR="00AE32C1" w:rsidRPr="00AE32C1" w:rsidRDefault="00AE32C1" w:rsidP="00F55EE0">
      <w:pPr>
        <w:numPr>
          <w:ilvl w:val="0"/>
          <w:numId w:val="17"/>
        </w:numPr>
        <w:tabs>
          <w:tab w:val="left" w:pos="180"/>
        </w:tabs>
        <w:ind w:left="714" w:hanging="357"/>
        <w:jc w:val="both"/>
        <w:rPr>
          <w:rFonts w:eastAsia="Times New Roman"/>
          <w:lang w:val="en-IN" w:bidi="ne-NP"/>
        </w:rPr>
      </w:pPr>
      <w:r w:rsidRPr="00AE32C1">
        <w:rPr>
          <w:rFonts w:eastAsia="Times New Roman"/>
          <w:lang w:bidi="ne-NP"/>
        </w:rPr>
        <w:t>Spectrum Migration Strategy</w:t>
      </w:r>
    </w:p>
    <w:p w14:paraId="0D81A3D6" w14:textId="3C3027A2" w:rsidR="00F55EE0" w:rsidRDefault="00AE32C1" w:rsidP="00F55EE0">
      <w:pPr>
        <w:numPr>
          <w:ilvl w:val="0"/>
          <w:numId w:val="17"/>
        </w:numPr>
        <w:tabs>
          <w:tab w:val="left" w:pos="180"/>
        </w:tabs>
        <w:ind w:left="714" w:hanging="357"/>
        <w:jc w:val="both"/>
        <w:rPr>
          <w:rFonts w:eastAsia="Times New Roman"/>
          <w:lang w:val="en-IN" w:bidi="ne-NP"/>
        </w:rPr>
      </w:pPr>
      <w:r w:rsidRPr="00AE32C1">
        <w:rPr>
          <w:rFonts w:eastAsia="Times New Roman"/>
          <w:lang w:bidi="ne-NP"/>
        </w:rPr>
        <w:t>Technical Methods to re-arrange existing traditional spectrum bands</w:t>
      </w:r>
    </w:p>
    <w:p w14:paraId="1E6D43E7" w14:textId="77777777" w:rsidR="00F55EE0" w:rsidRDefault="00F55EE0" w:rsidP="00F55EE0">
      <w:pPr>
        <w:tabs>
          <w:tab w:val="left" w:pos="180"/>
        </w:tabs>
        <w:ind w:left="714"/>
        <w:jc w:val="both"/>
        <w:rPr>
          <w:rFonts w:eastAsia="Times New Roman"/>
          <w:lang w:val="en-IN" w:bidi="ne-NP"/>
        </w:rPr>
      </w:pPr>
    </w:p>
    <w:p w14:paraId="433F88C9" w14:textId="4176F147" w:rsidR="00F55EE0" w:rsidRPr="00F55EE0" w:rsidRDefault="00F55EE0" w:rsidP="00F55EE0">
      <w:pPr>
        <w:tabs>
          <w:tab w:val="left" w:pos="180"/>
        </w:tabs>
        <w:jc w:val="both"/>
        <w:rPr>
          <w:rFonts w:eastAsia="Times New Roman"/>
          <w:lang w:val="en-IN" w:bidi="ne-NP"/>
        </w:rPr>
      </w:pPr>
      <w:r w:rsidRPr="00F55EE0">
        <w:rPr>
          <w:b/>
        </w:rPr>
        <w:t>1.2</w:t>
      </w:r>
      <w:r w:rsidRPr="00F55EE0">
        <w:rPr>
          <w:b/>
        </w:rPr>
        <w:tab/>
        <w:t>Objectives</w:t>
      </w:r>
    </w:p>
    <w:p w14:paraId="40C2770E" w14:textId="77777777" w:rsidR="00F55EE0" w:rsidRDefault="00AE32C1" w:rsidP="00F55EE0">
      <w:pPr>
        <w:tabs>
          <w:tab w:val="left" w:pos="180"/>
        </w:tabs>
        <w:spacing w:after="200" w:line="276" w:lineRule="auto"/>
        <w:jc w:val="both"/>
        <w:rPr>
          <w:rFonts w:eastAsia="Times New Roman"/>
          <w:lang w:bidi="ne-NP"/>
        </w:rPr>
      </w:pPr>
      <w:r w:rsidRPr="00AE32C1">
        <w:rPr>
          <w:rFonts w:eastAsia="Times New Roman"/>
          <w:lang w:bidi="ne-NP"/>
        </w:rPr>
        <w:t xml:space="preserve">In order to seek information from SATRC Member countries, a questionnaire has been prepared to get the information about </w:t>
      </w:r>
      <w:proofErr w:type="spellStart"/>
      <w:r w:rsidRPr="00AE32C1">
        <w:rPr>
          <w:rFonts w:eastAsia="Times New Roman"/>
          <w:lang w:bidi="ne-NP"/>
        </w:rPr>
        <w:t>refarming</w:t>
      </w:r>
      <w:proofErr w:type="spellEnd"/>
      <w:r w:rsidRPr="00AE32C1">
        <w:rPr>
          <w:rFonts w:eastAsia="Times New Roman"/>
          <w:lang w:bidi="ne-NP"/>
        </w:rPr>
        <w:t xml:space="preserve"> and study the status in each country. </w:t>
      </w:r>
    </w:p>
    <w:p w14:paraId="167EA08C" w14:textId="77777777" w:rsidR="00F55EE0" w:rsidRPr="00B84A28" w:rsidRDefault="00F55EE0" w:rsidP="00F55EE0">
      <w:pPr>
        <w:rPr>
          <w:b/>
        </w:rPr>
      </w:pPr>
      <w:r>
        <w:rPr>
          <w:b/>
        </w:rPr>
        <w:t>1.3</w:t>
      </w:r>
      <w:r>
        <w:rPr>
          <w:b/>
        </w:rPr>
        <w:tab/>
      </w:r>
      <w:r w:rsidRPr="00B84A28">
        <w:rPr>
          <w:b/>
        </w:rPr>
        <w:t>About Your Administration</w:t>
      </w:r>
    </w:p>
    <w:p w14:paraId="12E1D9A7" w14:textId="77777777" w:rsidR="00F55EE0" w:rsidRPr="00054CC2" w:rsidRDefault="00F55EE0" w:rsidP="00F55EE0">
      <w:pPr>
        <w:jc w:val="both"/>
        <w:rPr>
          <w:b/>
        </w:rPr>
      </w:pPr>
    </w:p>
    <w:p w14:paraId="7D679762" w14:textId="77777777" w:rsidR="00F55EE0" w:rsidRPr="00054CC2" w:rsidRDefault="00F55EE0" w:rsidP="00F55EE0">
      <w:pPr>
        <w:jc w:val="both"/>
      </w:pPr>
      <w:r w:rsidRPr="00054CC2">
        <w:t>Name of Administration</w:t>
      </w:r>
      <w:r>
        <w:tab/>
      </w:r>
      <w:r w:rsidRPr="00054CC2">
        <w:t xml:space="preserve">: </w:t>
      </w:r>
    </w:p>
    <w:p w14:paraId="0A2781E4" w14:textId="77777777" w:rsidR="00F55EE0" w:rsidRPr="00054CC2" w:rsidRDefault="00F55EE0" w:rsidP="00F55EE0">
      <w:pPr>
        <w:jc w:val="both"/>
      </w:pPr>
      <w:r w:rsidRPr="00054CC2">
        <w:t>Name of Contact Person</w:t>
      </w:r>
      <w:r w:rsidRPr="00054CC2">
        <w:tab/>
        <w:t>:</w:t>
      </w:r>
    </w:p>
    <w:p w14:paraId="28AEC1E6" w14:textId="77777777" w:rsidR="00F55EE0" w:rsidRPr="00054CC2" w:rsidRDefault="00F55EE0" w:rsidP="00F55EE0">
      <w:pPr>
        <w:jc w:val="both"/>
      </w:pPr>
      <w:r>
        <w:t>Telephone Number</w:t>
      </w:r>
      <w:r>
        <w:tab/>
      </w:r>
      <w:r>
        <w:tab/>
        <w:t>:</w:t>
      </w:r>
    </w:p>
    <w:p w14:paraId="535165A0" w14:textId="77777777" w:rsidR="00F55EE0" w:rsidRPr="00054CC2" w:rsidRDefault="00F55EE0" w:rsidP="00F55EE0">
      <w:pPr>
        <w:jc w:val="both"/>
      </w:pPr>
      <w:r w:rsidRPr="00054CC2">
        <w:t>Postal Address</w:t>
      </w:r>
      <w:r w:rsidRPr="00054CC2">
        <w:tab/>
      </w:r>
      <w:r w:rsidRPr="00054CC2">
        <w:tab/>
      </w:r>
      <w:r w:rsidRPr="00054CC2">
        <w:tab/>
        <w:t xml:space="preserve">: </w:t>
      </w:r>
    </w:p>
    <w:p w14:paraId="74B4997E" w14:textId="77777777" w:rsidR="00F55EE0" w:rsidRPr="00054CC2" w:rsidRDefault="00F55EE0" w:rsidP="00F55EE0">
      <w:pPr>
        <w:jc w:val="both"/>
      </w:pPr>
      <w:r w:rsidRPr="00054CC2">
        <w:t>Email Address</w:t>
      </w:r>
      <w:r w:rsidRPr="00054CC2">
        <w:tab/>
      </w:r>
      <w:r w:rsidRPr="00054CC2">
        <w:tab/>
      </w:r>
      <w:r w:rsidRPr="00054CC2">
        <w:tab/>
        <w:t xml:space="preserve">: </w:t>
      </w:r>
    </w:p>
    <w:p w14:paraId="586B6D6B" w14:textId="77777777" w:rsidR="00F55EE0" w:rsidRDefault="00F55EE0" w:rsidP="00AE32C1">
      <w:pPr>
        <w:tabs>
          <w:tab w:val="left" w:pos="180"/>
        </w:tabs>
        <w:spacing w:after="200" w:line="276" w:lineRule="auto"/>
        <w:ind w:left="360"/>
        <w:jc w:val="both"/>
        <w:rPr>
          <w:rFonts w:eastAsia="Times New Roman"/>
          <w:lang w:bidi="ne-NP"/>
        </w:rPr>
      </w:pPr>
    </w:p>
    <w:p w14:paraId="4F98E90B" w14:textId="77777777" w:rsidR="00F55EE0" w:rsidRDefault="00F55EE0" w:rsidP="00AE32C1">
      <w:pPr>
        <w:tabs>
          <w:tab w:val="left" w:pos="180"/>
        </w:tabs>
        <w:spacing w:after="200" w:line="276" w:lineRule="auto"/>
        <w:ind w:left="360"/>
        <w:jc w:val="both"/>
        <w:rPr>
          <w:rFonts w:eastAsia="Times New Roman"/>
          <w:lang w:bidi="ne-NP"/>
        </w:rPr>
      </w:pPr>
    </w:p>
    <w:p w14:paraId="22705BC5" w14:textId="77777777" w:rsidR="00F55EE0" w:rsidRPr="00830080" w:rsidRDefault="00F55EE0" w:rsidP="00F55EE0">
      <w:pPr>
        <w:spacing w:after="240"/>
        <w:jc w:val="center"/>
        <w:rPr>
          <w:b/>
        </w:rPr>
      </w:pPr>
      <w:r w:rsidRPr="00E56ED8">
        <w:rPr>
          <w:b/>
        </w:rPr>
        <w:lastRenderedPageBreak/>
        <w:t>Section 2: Questionnaire Part</w:t>
      </w:r>
    </w:p>
    <w:p w14:paraId="005033F0" w14:textId="77777777" w:rsidR="00F55EE0" w:rsidRDefault="00F55EE0" w:rsidP="00F55EE0">
      <w:pPr>
        <w:tabs>
          <w:tab w:val="left" w:pos="180"/>
        </w:tabs>
        <w:spacing w:after="200" w:line="276" w:lineRule="auto"/>
        <w:jc w:val="both"/>
        <w:rPr>
          <w:b/>
          <w:bCs/>
        </w:rPr>
      </w:pPr>
      <w:r>
        <w:rPr>
          <w:b/>
          <w:bCs/>
        </w:rPr>
        <w:t>Question 1:</w:t>
      </w:r>
    </w:p>
    <w:p w14:paraId="7EE75BCB" w14:textId="5DA439F4" w:rsidR="00ED06BD" w:rsidRPr="00F55EE0" w:rsidRDefault="00ED06BD" w:rsidP="00F55EE0">
      <w:pPr>
        <w:tabs>
          <w:tab w:val="left" w:pos="180"/>
        </w:tabs>
        <w:spacing w:after="200" w:line="276" w:lineRule="auto"/>
        <w:jc w:val="both"/>
      </w:pPr>
      <w:r w:rsidRPr="00F55EE0">
        <w:t xml:space="preserve">Have the bands identified by ITU for IMT services as mentioned in the Table below been adopted for IMT services in your country? If assignment is for services other than IMT services, please specify the purpose.  </w:t>
      </w:r>
    </w:p>
    <w:p w14:paraId="0CB97CD3" w14:textId="77777777" w:rsidR="00ED06BD" w:rsidRDefault="00ED06BD" w:rsidP="00ED06BD">
      <w:pPr>
        <w:pStyle w:val="ListParagraph"/>
        <w:tabs>
          <w:tab w:val="left" w:pos="180"/>
        </w:tabs>
        <w:ind w:left="630"/>
        <w:jc w:val="both"/>
        <w:rPr>
          <w:b/>
          <w:bCs/>
        </w:rPr>
      </w:pP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3242"/>
        <w:gridCol w:w="1769"/>
        <w:gridCol w:w="1738"/>
      </w:tblGrid>
      <w:tr w:rsidR="00ED06BD" w:rsidRPr="0020772B" w14:paraId="3183DBA0" w14:textId="77777777" w:rsidTr="00D52058">
        <w:tc>
          <w:tcPr>
            <w:tcW w:w="2809" w:type="dxa"/>
            <w:shd w:val="clear" w:color="auto" w:fill="auto"/>
          </w:tcPr>
          <w:p w14:paraId="42F66AB7" w14:textId="77777777" w:rsidR="00ED06BD" w:rsidRPr="0020772B" w:rsidRDefault="00ED06BD" w:rsidP="00D52058">
            <w:pPr>
              <w:tabs>
                <w:tab w:val="left" w:pos="612"/>
                <w:tab w:val="left" w:pos="1170"/>
              </w:tabs>
              <w:autoSpaceDE w:val="0"/>
              <w:autoSpaceDN w:val="0"/>
              <w:adjustRightInd w:val="0"/>
              <w:ind w:hanging="18"/>
              <w:jc w:val="center"/>
              <w:rPr>
                <w:rFonts w:ascii="Bookman Old Style" w:hAnsi="Bookman Old Style"/>
                <w:b/>
                <w:bCs/>
                <w:color w:val="000000"/>
                <w:sz w:val="20"/>
              </w:rPr>
            </w:pPr>
            <w:r w:rsidRPr="0020772B">
              <w:rPr>
                <w:rFonts w:ascii="Bookman Old Style" w:hAnsi="Bookman Old Style" w:cs="CIDFont+F6"/>
                <w:b/>
                <w:color w:val="000000"/>
                <w:sz w:val="20"/>
              </w:rPr>
              <w:t>Uplink</w:t>
            </w:r>
          </w:p>
        </w:tc>
        <w:tc>
          <w:tcPr>
            <w:tcW w:w="3242" w:type="dxa"/>
            <w:shd w:val="clear" w:color="auto" w:fill="auto"/>
          </w:tcPr>
          <w:p w14:paraId="0268D3F0" w14:textId="77777777" w:rsidR="00ED06BD" w:rsidRPr="0020772B" w:rsidRDefault="00ED06BD" w:rsidP="00D52058">
            <w:pPr>
              <w:tabs>
                <w:tab w:val="left" w:pos="612"/>
                <w:tab w:val="left" w:pos="1170"/>
              </w:tabs>
              <w:autoSpaceDE w:val="0"/>
              <w:autoSpaceDN w:val="0"/>
              <w:adjustRightInd w:val="0"/>
              <w:ind w:left="-108" w:hanging="18"/>
              <w:jc w:val="center"/>
              <w:rPr>
                <w:rFonts w:ascii="Bookman Old Style" w:hAnsi="Bookman Old Style"/>
                <w:b/>
                <w:bCs/>
                <w:color w:val="000000"/>
                <w:sz w:val="20"/>
              </w:rPr>
            </w:pPr>
            <w:r w:rsidRPr="0020772B">
              <w:rPr>
                <w:rFonts w:ascii="Bookman Old Style" w:hAnsi="Bookman Old Style" w:cs="CIDFont+F6"/>
                <w:b/>
                <w:color w:val="000000"/>
                <w:sz w:val="20"/>
              </w:rPr>
              <w:t>Downlink</w:t>
            </w:r>
          </w:p>
        </w:tc>
        <w:tc>
          <w:tcPr>
            <w:tcW w:w="1769" w:type="dxa"/>
            <w:shd w:val="clear" w:color="auto" w:fill="auto"/>
          </w:tcPr>
          <w:p w14:paraId="0A974F6B" w14:textId="77777777" w:rsidR="00ED06BD" w:rsidRPr="0020772B" w:rsidRDefault="00ED06BD" w:rsidP="00D52058">
            <w:pPr>
              <w:tabs>
                <w:tab w:val="left" w:pos="612"/>
                <w:tab w:val="left" w:pos="1170"/>
              </w:tabs>
              <w:autoSpaceDE w:val="0"/>
              <w:autoSpaceDN w:val="0"/>
              <w:adjustRightInd w:val="0"/>
              <w:ind w:hanging="18"/>
              <w:jc w:val="center"/>
              <w:rPr>
                <w:rFonts w:ascii="Bookman Old Style" w:hAnsi="Bookman Old Style"/>
                <w:b/>
                <w:bCs/>
                <w:color w:val="000000"/>
                <w:sz w:val="20"/>
              </w:rPr>
            </w:pPr>
            <w:r w:rsidRPr="0020772B">
              <w:rPr>
                <w:rFonts w:ascii="Bookman Old Style" w:hAnsi="Bookman Old Style"/>
                <w:b/>
                <w:bCs/>
                <w:color w:val="000000"/>
                <w:sz w:val="20"/>
              </w:rPr>
              <w:t>Duplex Mode</w:t>
            </w:r>
          </w:p>
        </w:tc>
        <w:tc>
          <w:tcPr>
            <w:tcW w:w="1738" w:type="dxa"/>
            <w:shd w:val="clear" w:color="auto" w:fill="auto"/>
          </w:tcPr>
          <w:p w14:paraId="69CE7C4F" w14:textId="77777777" w:rsidR="00ED06BD" w:rsidRPr="0020772B" w:rsidRDefault="00ED06BD" w:rsidP="00D52058">
            <w:pPr>
              <w:tabs>
                <w:tab w:val="left" w:pos="612"/>
                <w:tab w:val="left" w:pos="1170"/>
              </w:tabs>
              <w:autoSpaceDE w:val="0"/>
              <w:autoSpaceDN w:val="0"/>
              <w:adjustRightInd w:val="0"/>
              <w:ind w:hanging="18"/>
              <w:jc w:val="center"/>
              <w:rPr>
                <w:rFonts w:ascii="Bookman Old Style" w:hAnsi="Bookman Old Style"/>
                <w:b/>
                <w:bCs/>
                <w:color w:val="000000"/>
                <w:sz w:val="20"/>
              </w:rPr>
            </w:pPr>
            <w:r w:rsidRPr="0020772B">
              <w:rPr>
                <w:rFonts w:ascii="Bookman Old Style" w:hAnsi="Bookman Old Style"/>
                <w:b/>
                <w:bCs/>
                <w:color w:val="000000"/>
                <w:sz w:val="20"/>
              </w:rPr>
              <w:t>Purpose</w:t>
            </w:r>
          </w:p>
        </w:tc>
      </w:tr>
      <w:tr w:rsidR="00ED06BD" w:rsidRPr="0020772B" w14:paraId="34D035F6" w14:textId="77777777" w:rsidTr="00D52058">
        <w:tc>
          <w:tcPr>
            <w:tcW w:w="2809" w:type="dxa"/>
            <w:shd w:val="clear" w:color="auto" w:fill="auto"/>
          </w:tcPr>
          <w:p w14:paraId="2A8D5A20"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824 MHz – 849 MHz</w:t>
            </w:r>
          </w:p>
        </w:tc>
        <w:tc>
          <w:tcPr>
            <w:tcW w:w="3242" w:type="dxa"/>
            <w:shd w:val="clear" w:color="auto" w:fill="auto"/>
          </w:tcPr>
          <w:p w14:paraId="0BC73EAB"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869 MHz – 894 MHz</w:t>
            </w:r>
          </w:p>
        </w:tc>
        <w:tc>
          <w:tcPr>
            <w:tcW w:w="1769" w:type="dxa"/>
            <w:shd w:val="clear" w:color="auto" w:fill="auto"/>
          </w:tcPr>
          <w:p w14:paraId="75BBCCB5"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40A92A80"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6A439512" w14:textId="77777777" w:rsidTr="00D52058">
        <w:tc>
          <w:tcPr>
            <w:tcW w:w="2809" w:type="dxa"/>
            <w:shd w:val="clear" w:color="auto" w:fill="auto"/>
          </w:tcPr>
          <w:p w14:paraId="32B2E075"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880 MHz – 915 MHz</w:t>
            </w:r>
          </w:p>
        </w:tc>
        <w:tc>
          <w:tcPr>
            <w:tcW w:w="3242" w:type="dxa"/>
            <w:shd w:val="clear" w:color="auto" w:fill="auto"/>
          </w:tcPr>
          <w:p w14:paraId="1359A3ED"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925 MHz – 960 MHz</w:t>
            </w:r>
          </w:p>
        </w:tc>
        <w:tc>
          <w:tcPr>
            <w:tcW w:w="1769" w:type="dxa"/>
            <w:shd w:val="clear" w:color="auto" w:fill="auto"/>
          </w:tcPr>
          <w:p w14:paraId="70F27025"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1FC52C5C"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33220EC2" w14:textId="77777777" w:rsidTr="00D52058">
        <w:trPr>
          <w:trHeight w:val="77"/>
        </w:trPr>
        <w:tc>
          <w:tcPr>
            <w:tcW w:w="2809" w:type="dxa"/>
            <w:shd w:val="clear" w:color="auto" w:fill="auto"/>
          </w:tcPr>
          <w:p w14:paraId="3DBAB09A"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832 MHz – 862 MHz</w:t>
            </w:r>
          </w:p>
        </w:tc>
        <w:tc>
          <w:tcPr>
            <w:tcW w:w="3242" w:type="dxa"/>
            <w:shd w:val="clear" w:color="auto" w:fill="auto"/>
          </w:tcPr>
          <w:p w14:paraId="3E15CE59"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791 MHz – 821 MHz</w:t>
            </w:r>
          </w:p>
        </w:tc>
        <w:tc>
          <w:tcPr>
            <w:tcW w:w="1769" w:type="dxa"/>
            <w:shd w:val="clear" w:color="auto" w:fill="auto"/>
          </w:tcPr>
          <w:p w14:paraId="659A1455"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630ADF36"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440FCD5A" w14:textId="77777777" w:rsidTr="00D52058">
        <w:tc>
          <w:tcPr>
            <w:tcW w:w="2809" w:type="dxa"/>
            <w:shd w:val="clear" w:color="auto" w:fill="auto"/>
          </w:tcPr>
          <w:p w14:paraId="3C9CF0C8"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703 MHz – 748 MHz</w:t>
            </w:r>
          </w:p>
        </w:tc>
        <w:tc>
          <w:tcPr>
            <w:tcW w:w="3242" w:type="dxa"/>
            <w:shd w:val="clear" w:color="auto" w:fill="auto"/>
          </w:tcPr>
          <w:p w14:paraId="6BCE0D5C"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758 MHz – 803 MHz</w:t>
            </w:r>
          </w:p>
        </w:tc>
        <w:tc>
          <w:tcPr>
            <w:tcW w:w="1769" w:type="dxa"/>
            <w:shd w:val="clear" w:color="auto" w:fill="auto"/>
          </w:tcPr>
          <w:p w14:paraId="5AE3610E"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600F3FCF"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13924702" w14:textId="77777777" w:rsidTr="00D52058">
        <w:tc>
          <w:tcPr>
            <w:tcW w:w="2809" w:type="dxa"/>
            <w:shd w:val="clear" w:color="auto" w:fill="auto"/>
          </w:tcPr>
          <w:p w14:paraId="2D45D7C7"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663 MHz – 698 MHz</w:t>
            </w:r>
          </w:p>
        </w:tc>
        <w:tc>
          <w:tcPr>
            <w:tcW w:w="3242" w:type="dxa"/>
            <w:shd w:val="clear" w:color="auto" w:fill="auto"/>
          </w:tcPr>
          <w:p w14:paraId="6B73BE37"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617 MHz – 652 MHz</w:t>
            </w:r>
          </w:p>
        </w:tc>
        <w:tc>
          <w:tcPr>
            <w:tcW w:w="1769" w:type="dxa"/>
            <w:shd w:val="clear" w:color="auto" w:fill="auto"/>
          </w:tcPr>
          <w:p w14:paraId="5255246A"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2762C7A8"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32979F05" w14:textId="77777777" w:rsidTr="00D52058">
        <w:tc>
          <w:tcPr>
            <w:tcW w:w="2809" w:type="dxa"/>
            <w:shd w:val="clear" w:color="auto" w:fill="auto"/>
          </w:tcPr>
          <w:p w14:paraId="6DBADC6F"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1920 MHz – 1980 MHz</w:t>
            </w:r>
          </w:p>
        </w:tc>
        <w:tc>
          <w:tcPr>
            <w:tcW w:w="3242" w:type="dxa"/>
            <w:shd w:val="clear" w:color="auto" w:fill="auto"/>
          </w:tcPr>
          <w:p w14:paraId="34A77DD2"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2110 MHz – 2170 MHz</w:t>
            </w:r>
          </w:p>
        </w:tc>
        <w:tc>
          <w:tcPr>
            <w:tcW w:w="1769" w:type="dxa"/>
            <w:shd w:val="clear" w:color="auto" w:fill="auto"/>
          </w:tcPr>
          <w:p w14:paraId="18929F8F"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4BFFE240"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06F68C4E" w14:textId="77777777" w:rsidTr="00D52058">
        <w:tc>
          <w:tcPr>
            <w:tcW w:w="2809" w:type="dxa"/>
            <w:shd w:val="clear" w:color="auto" w:fill="auto"/>
          </w:tcPr>
          <w:p w14:paraId="7DBC60A0"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1850 MHz – 1910 MHz</w:t>
            </w:r>
          </w:p>
        </w:tc>
        <w:tc>
          <w:tcPr>
            <w:tcW w:w="3242" w:type="dxa"/>
            <w:shd w:val="clear" w:color="auto" w:fill="auto"/>
          </w:tcPr>
          <w:p w14:paraId="3ED3C3D9"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1930 MHz – 1990 MHz</w:t>
            </w:r>
          </w:p>
        </w:tc>
        <w:tc>
          <w:tcPr>
            <w:tcW w:w="1769" w:type="dxa"/>
            <w:shd w:val="clear" w:color="auto" w:fill="auto"/>
          </w:tcPr>
          <w:p w14:paraId="5D0D410F"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6085C57F"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02E454D5" w14:textId="77777777" w:rsidTr="00D52058">
        <w:tc>
          <w:tcPr>
            <w:tcW w:w="2809" w:type="dxa"/>
            <w:shd w:val="clear" w:color="auto" w:fill="auto"/>
          </w:tcPr>
          <w:p w14:paraId="3B7146C8"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1710 MHz – 1785 MHz</w:t>
            </w:r>
          </w:p>
        </w:tc>
        <w:tc>
          <w:tcPr>
            <w:tcW w:w="3242" w:type="dxa"/>
            <w:shd w:val="clear" w:color="auto" w:fill="auto"/>
          </w:tcPr>
          <w:p w14:paraId="03B53436"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1805 MHz – 1880 MHz</w:t>
            </w:r>
          </w:p>
        </w:tc>
        <w:tc>
          <w:tcPr>
            <w:tcW w:w="1769" w:type="dxa"/>
            <w:shd w:val="clear" w:color="auto" w:fill="auto"/>
          </w:tcPr>
          <w:p w14:paraId="59A0AF04"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04671D86"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13BFD0A3" w14:textId="77777777" w:rsidTr="00D52058">
        <w:tc>
          <w:tcPr>
            <w:tcW w:w="2809" w:type="dxa"/>
            <w:shd w:val="clear" w:color="auto" w:fill="auto"/>
          </w:tcPr>
          <w:p w14:paraId="0C9716DF"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2500 MHz – 2570 MHz</w:t>
            </w:r>
          </w:p>
        </w:tc>
        <w:tc>
          <w:tcPr>
            <w:tcW w:w="3242" w:type="dxa"/>
            <w:shd w:val="clear" w:color="auto" w:fill="auto"/>
          </w:tcPr>
          <w:p w14:paraId="1B5511ED"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2620 MHz – 2690 MHz</w:t>
            </w:r>
          </w:p>
        </w:tc>
        <w:tc>
          <w:tcPr>
            <w:tcW w:w="1769" w:type="dxa"/>
            <w:shd w:val="clear" w:color="auto" w:fill="auto"/>
          </w:tcPr>
          <w:p w14:paraId="299D8250"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1A9CFDC3"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3B21E833" w14:textId="77777777" w:rsidTr="00D52058">
        <w:tc>
          <w:tcPr>
            <w:tcW w:w="6051" w:type="dxa"/>
            <w:gridSpan w:val="2"/>
            <w:shd w:val="clear" w:color="auto" w:fill="auto"/>
          </w:tcPr>
          <w:p w14:paraId="40B3AE2E"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2570 MHz – 2620 MHz</w:t>
            </w:r>
          </w:p>
        </w:tc>
        <w:tc>
          <w:tcPr>
            <w:tcW w:w="1769" w:type="dxa"/>
            <w:shd w:val="clear" w:color="auto" w:fill="auto"/>
          </w:tcPr>
          <w:p w14:paraId="482DFC4E"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2735198C"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5F5A4B74" w14:textId="77777777" w:rsidTr="00D52058">
        <w:tc>
          <w:tcPr>
            <w:tcW w:w="6051" w:type="dxa"/>
            <w:gridSpan w:val="2"/>
            <w:shd w:val="clear" w:color="auto" w:fill="auto"/>
          </w:tcPr>
          <w:p w14:paraId="1ED5CC4A"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2496 MHz – 2690 MHz</w:t>
            </w:r>
          </w:p>
        </w:tc>
        <w:tc>
          <w:tcPr>
            <w:tcW w:w="1769" w:type="dxa"/>
            <w:shd w:val="clear" w:color="auto" w:fill="auto"/>
          </w:tcPr>
          <w:p w14:paraId="0B0AEB9B"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3CFD600B"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4086D20B" w14:textId="77777777" w:rsidTr="00D52058">
        <w:tc>
          <w:tcPr>
            <w:tcW w:w="6051" w:type="dxa"/>
            <w:gridSpan w:val="2"/>
            <w:shd w:val="clear" w:color="auto" w:fill="auto"/>
          </w:tcPr>
          <w:p w14:paraId="260D8998"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1432 MHz – 1517 MHz</w:t>
            </w:r>
          </w:p>
        </w:tc>
        <w:tc>
          <w:tcPr>
            <w:tcW w:w="1769" w:type="dxa"/>
            <w:shd w:val="clear" w:color="auto" w:fill="auto"/>
          </w:tcPr>
          <w:p w14:paraId="706447A2"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521D13A0"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7F6F70FF" w14:textId="77777777" w:rsidTr="00D52058">
        <w:tc>
          <w:tcPr>
            <w:tcW w:w="6051" w:type="dxa"/>
            <w:gridSpan w:val="2"/>
            <w:shd w:val="clear" w:color="auto" w:fill="auto"/>
          </w:tcPr>
          <w:p w14:paraId="0F34BF93"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1427 MHz – 1432 MHz</w:t>
            </w:r>
          </w:p>
        </w:tc>
        <w:tc>
          <w:tcPr>
            <w:tcW w:w="1769" w:type="dxa"/>
            <w:shd w:val="clear" w:color="auto" w:fill="auto"/>
          </w:tcPr>
          <w:p w14:paraId="75A61A2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004558E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7BBEBA66" w14:textId="77777777" w:rsidTr="00D52058">
        <w:tc>
          <w:tcPr>
            <w:tcW w:w="2809" w:type="dxa"/>
            <w:shd w:val="clear" w:color="auto" w:fill="auto"/>
          </w:tcPr>
          <w:p w14:paraId="714EEEDB"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1710 MHz – 1780 MHz</w:t>
            </w:r>
          </w:p>
        </w:tc>
        <w:tc>
          <w:tcPr>
            <w:tcW w:w="3242" w:type="dxa"/>
            <w:shd w:val="clear" w:color="auto" w:fill="auto"/>
          </w:tcPr>
          <w:p w14:paraId="7C2E3853"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2110 MHz – 2200 MHz</w:t>
            </w:r>
          </w:p>
        </w:tc>
        <w:tc>
          <w:tcPr>
            <w:tcW w:w="1769" w:type="dxa"/>
            <w:shd w:val="clear" w:color="auto" w:fill="auto"/>
          </w:tcPr>
          <w:p w14:paraId="1433B03B"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1DFC8673"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522D40FD" w14:textId="77777777" w:rsidTr="00D52058">
        <w:tc>
          <w:tcPr>
            <w:tcW w:w="2809" w:type="dxa"/>
            <w:shd w:val="clear" w:color="auto" w:fill="auto"/>
          </w:tcPr>
          <w:p w14:paraId="5F01C5FA"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1695 MHz – 1710 MHz</w:t>
            </w:r>
          </w:p>
        </w:tc>
        <w:tc>
          <w:tcPr>
            <w:tcW w:w="3242" w:type="dxa"/>
            <w:shd w:val="clear" w:color="auto" w:fill="auto"/>
          </w:tcPr>
          <w:p w14:paraId="6214E973"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1995 MHz – 2020 MHz</w:t>
            </w:r>
          </w:p>
        </w:tc>
        <w:tc>
          <w:tcPr>
            <w:tcW w:w="1769" w:type="dxa"/>
            <w:shd w:val="clear" w:color="auto" w:fill="auto"/>
          </w:tcPr>
          <w:p w14:paraId="574CD49E"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39858432"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0C11A2B0" w14:textId="77777777" w:rsidTr="00D52058">
        <w:tc>
          <w:tcPr>
            <w:tcW w:w="2809" w:type="dxa"/>
            <w:shd w:val="clear" w:color="auto" w:fill="auto"/>
          </w:tcPr>
          <w:p w14:paraId="2D23070C"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1427 MHz – 1470 MHz</w:t>
            </w:r>
          </w:p>
        </w:tc>
        <w:tc>
          <w:tcPr>
            <w:tcW w:w="3242" w:type="dxa"/>
            <w:shd w:val="clear" w:color="auto" w:fill="auto"/>
          </w:tcPr>
          <w:p w14:paraId="33D228BC"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1475 MHz – 1518 MHz</w:t>
            </w:r>
          </w:p>
        </w:tc>
        <w:tc>
          <w:tcPr>
            <w:tcW w:w="1769" w:type="dxa"/>
            <w:shd w:val="clear" w:color="auto" w:fill="auto"/>
          </w:tcPr>
          <w:p w14:paraId="207171D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3B281746"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65784E58" w14:textId="77777777" w:rsidTr="00D52058">
        <w:tc>
          <w:tcPr>
            <w:tcW w:w="2809" w:type="dxa"/>
            <w:shd w:val="clear" w:color="auto" w:fill="auto"/>
          </w:tcPr>
          <w:p w14:paraId="1B9AEDA4"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3242" w:type="dxa"/>
            <w:shd w:val="clear" w:color="auto" w:fill="auto"/>
          </w:tcPr>
          <w:p w14:paraId="219B6CCB"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1432 MHz – 1517 MHz</w:t>
            </w:r>
          </w:p>
        </w:tc>
        <w:tc>
          <w:tcPr>
            <w:tcW w:w="1769" w:type="dxa"/>
            <w:shd w:val="clear" w:color="auto" w:fill="auto"/>
          </w:tcPr>
          <w:p w14:paraId="62A974C5"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SDL</w:t>
            </w:r>
          </w:p>
        </w:tc>
        <w:tc>
          <w:tcPr>
            <w:tcW w:w="1738" w:type="dxa"/>
            <w:shd w:val="clear" w:color="auto" w:fill="auto"/>
          </w:tcPr>
          <w:p w14:paraId="19F19F48"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6E5CA53E" w14:textId="77777777" w:rsidTr="00D52058">
        <w:tc>
          <w:tcPr>
            <w:tcW w:w="2809" w:type="dxa"/>
            <w:shd w:val="clear" w:color="auto" w:fill="auto"/>
          </w:tcPr>
          <w:p w14:paraId="536260DB"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3242" w:type="dxa"/>
            <w:shd w:val="clear" w:color="auto" w:fill="auto"/>
          </w:tcPr>
          <w:p w14:paraId="002A9811"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1427 MHz – 1432 MHz</w:t>
            </w:r>
          </w:p>
        </w:tc>
        <w:tc>
          <w:tcPr>
            <w:tcW w:w="1769" w:type="dxa"/>
            <w:shd w:val="clear" w:color="auto" w:fill="auto"/>
          </w:tcPr>
          <w:p w14:paraId="7D1863DE"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SDL</w:t>
            </w:r>
          </w:p>
        </w:tc>
        <w:tc>
          <w:tcPr>
            <w:tcW w:w="1738" w:type="dxa"/>
            <w:shd w:val="clear" w:color="auto" w:fill="auto"/>
          </w:tcPr>
          <w:p w14:paraId="2BBC357C"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0D6FA580" w14:textId="77777777" w:rsidTr="00D52058">
        <w:tc>
          <w:tcPr>
            <w:tcW w:w="6051" w:type="dxa"/>
            <w:gridSpan w:val="2"/>
            <w:shd w:val="clear" w:color="auto" w:fill="auto"/>
          </w:tcPr>
          <w:p w14:paraId="733C3B80"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3300 MHz – 4200 MHz</w:t>
            </w:r>
          </w:p>
        </w:tc>
        <w:tc>
          <w:tcPr>
            <w:tcW w:w="1769" w:type="dxa"/>
            <w:shd w:val="clear" w:color="auto" w:fill="auto"/>
          </w:tcPr>
          <w:p w14:paraId="68C380A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2F2A865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7286B5CC" w14:textId="77777777" w:rsidTr="00D52058">
        <w:tc>
          <w:tcPr>
            <w:tcW w:w="6051" w:type="dxa"/>
            <w:gridSpan w:val="2"/>
            <w:shd w:val="clear" w:color="auto" w:fill="auto"/>
          </w:tcPr>
          <w:p w14:paraId="0F2CCB56"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3300 MHz – 3800 MHz</w:t>
            </w:r>
          </w:p>
        </w:tc>
        <w:tc>
          <w:tcPr>
            <w:tcW w:w="1769" w:type="dxa"/>
            <w:shd w:val="clear" w:color="auto" w:fill="auto"/>
          </w:tcPr>
          <w:p w14:paraId="44815FAF"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3240945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7AC025A5" w14:textId="77777777" w:rsidTr="00D52058">
        <w:tc>
          <w:tcPr>
            <w:tcW w:w="6051" w:type="dxa"/>
            <w:gridSpan w:val="2"/>
            <w:shd w:val="clear" w:color="auto" w:fill="auto"/>
          </w:tcPr>
          <w:p w14:paraId="34F9532A"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4400 MHz – 5000 MHz</w:t>
            </w:r>
          </w:p>
        </w:tc>
        <w:tc>
          <w:tcPr>
            <w:tcW w:w="1769" w:type="dxa"/>
            <w:shd w:val="clear" w:color="auto" w:fill="auto"/>
          </w:tcPr>
          <w:p w14:paraId="5BF83611"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5C3F12C6"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64E22B78" w14:textId="77777777" w:rsidTr="00D52058">
        <w:tc>
          <w:tcPr>
            <w:tcW w:w="2809" w:type="dxa"/>
            <w:shd w:val="clear" w:color="auto" w:fill="auto"/>
          </w:tcPr>
          <w:p w14:paraId="3871247A"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1710 MHz – 1785 MHz</w:t>
            </w:r>
          </w:p>
        </w:tc>
        <w:tc>
          <w:tcPr>
            <w:tcW w:w="3242" w:type="dxa"/>
            <w:shd w:val="clear" w:color="auto" w:fill="auto"/>
          </w:tcPr>
          <w:p w14:paraId="679127C5"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1769" w:type="dxa"/>
            <w:shd w:val="clear" w:color="auto" w:fill="auto"/>
          </w:tcPr>
          <w:p w14:paraId="46AFAD66"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SUL</w:t>
            </w:r>
          </w:p>
        </w:tc>
        <w:tc>
          <w:tcPr>
            <w:tcW w:w="1738" w:type="dxa"/>
            <w:shd w:val="clear" w:color="auto" w:fill="auto"/>
          </w:tcPr>
          <w:p w14:paraId="5C9BED0E"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1BA51307" w14:textId="77777777" w:rsidTr="00D52058">
        <w:tc>
          <w:tcPr>
            <w:tcW w:w="2809" w:type="dxa"/>
            <w:shd w:val="clear" w:color="auto" w:fill="auto"/>
          </w:tcPr>
          <w:p w14:paraId="53AA7E53" w14:textId="77777777" w:rsidR="00ED06BD" w:rsidRPr="0020772B" w:rsidRDefault="00ED06BD" w:rsidP="00D52058">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1920 MHz – 1980 MHz</w:t>
            </w:r>
          </w:p>
        </w:tc>
        <w:tc>
          <w:tcPr>
            <w:tcW w:w="3242" w:type="dxa"/>
            <w:shd w:val="clear" w:color="auto" w:fill="auto"/>
          </w:tcPr>
          <w:p w14:paraId="4EBD06ED"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1769" w:type="dxa"/>
            <w:shd w:val="clear" w:color="auto" w:fill="auto"/>
          </w:tcPr>
          <w:p w14:paraId="44BF8498"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SUL</w:t>
            </w:r>
          </w:p>
        </w:tc>
        <w:tc>
          <w:tcPr>
            <w:tcW w:w="1738" w:type="dxa"/>
            <w:shd w:val="clear" w:color="auto" w:fill="auto"/>
          </w:tcPr>
          <w:p w14:paraId="024E948A"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186A1FFC" w14:textId="77777777" w:rsidTr="00D52058">
        <w:tc>
          <w:tcPr>
            <w:tcW w:w="6051" w:type="dxa"/>
            <w:gridSpan w:val="2"/>
            <w:shd w:val="clear" w:color="auto" w:fill="auto"/>
          </w:tcPr>
          <w:p w14:paraId="26D7C36C"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26.5 GHz – 29.5 GHz</w:t>
            </w:r>
          </w:p>
        </w:tc>
        <w:tc>
          <w:tcPr>
            <w:tcW w:w="1769" w:type="dxa"/>
            <w:shd w:val="clear" w:color="auto" w:fill="auto"/>
          </w:tcPr>
          <w:p w14:paraId="3E70C27A"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06E19DA9"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1FC2DD18" w14:textId="77777777" w:rsidTr="00D52058">
        <w:tc>
          <w:tcPr>
            <w:tcW w:w="6051" w:type="dxa"/>
            <w:gridSpan w:val="2"/>
            <w:shd w:val="clear" w:color="auto" w:fill="auto"/>
          </w:tcPr>
          <w:p w14:paraId="3A59B3E1"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24.25 GHz – 27.5 GHz</w:t>
            </w:r>
          </w:p>
        </w:tc>
        <w:tc>
          <w:tcPr>
            <w:tcW w:w="1769" w:type="dxa"/>
            <w:shd w:val="clear" w:color="auto" w:fill="auto"/>
          </w:tcPr>
          <w:p w14:paraId="1E569475"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7A8A1E8C"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r w:rsidR="00ED06BD" w:rsidRPr="0020772B" w14:paraId="4847869C" w14:textId="77777777" w:rsidTr="00D52058">
        <w:tc>
          <w:tcPr>
            <w:tcW w:w="6051" w:type="dxa"/>
            <w:gridSpan w:val="2"/>
            <w:shd w:val="clear" w:color="auto" w:fill="auto"/>
          </w:tcPr>
          <w:p w14:paraId="11A89B7E" w14:textId="77777777" w:rsidR="00ED06BD" w:rsidRPr="0020772B" w:rsidRDefault="00ED06BD" w:rsidP="00D52058">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37 GHz – 40 GHz</w:t>
            </w:r>
          </w:p>
        </w:tc>
        <w:tc>
          <w:tcPr>
            <w:tcW w:w="1769" w:type="dxa"/>
            <w:shd w:val="clear" w:color="auto" w:fill="auto"/>
          </w:tcPr>
          <w:p w14:paraId="0C61E5FA"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22C059F3" w14:textId="77777777" w:rsidR="00ED06BD" w:rsidRPr="0020772B" w:rsidRDefault="00ED06BD" w:rsidP="00D52058">
            <w:pPr>
              <w:tabs>
                <w:tab w:val="left" w:pos="90"/>
                <w:tab w:val="left" w:pos="1170"/>
              </w:tabs>
              <w:autoSpaceDE w:val="0"/>
              <w:autoSpaceDN w:val="0"/>
              <w:adjustRightInd w:val="0"/>
              <w:ind w:left="360" w:hanging="18"/>
              <w:rPr>
                <w:rFonts w:ascii="Bookman Old Style" w:hAnsi="Bookman Old Style"/>
                <w:bCs/>
                <w:color w:val="000000"/>
                <w:sz w:val="20"/>
              </w:rPr>
            </w:pPr>
          </w:p>
        </w:tc>
      </w:tr>
    </w:tbl>
    <w:p w14:paraId="7B03E583" w14:textId="77777777" w:rsidR="00ED06BD" w:rsidRDefault="00ED06BD" w:rsidP="00ED06BD">
      <w:pPr>
        <w:pStyle w:val="ListParagraph"/>
        <w:tabs>
          <w:tab w:val="left" w:pos="180"/>
        </w:tabs>
        <w:ind w:left="630"/>
        <w:jc w:val="both"/>
        <w:rPr>
          <w:b/>
          <w:bCs/>
        </w:rPr>
      </w:pPr>
    </w:p>
    <w:p w14:paraId="5A55DFF6" w14:textId="77777777" w:rsidR="00817CE7" w:rsidRDefault="00817CE7" w:rsidP="00817CE7">
      <w:pPr>
        <w:tabs>
          <w:tab w:val="left" w:pos="180"/>
        </w:tabs>
        <w:spacing w:after="200" w:line="276" w:lineRule="auto"/>
        <w:jc w:val="both"/>
        <w:rPr>
          <w:b/>
          <w:bCs/>
        </w:rPr>
      </w:pPr>
      <w:r>
        <w:rPr>
          <w:b/>
          <w:bCs/>
        </w:rPr>
        <w:t>Question 2:</w:t>
      </w:r>
    </w:p>
    <w:p w14:paraId="0EF955CB" w14:textId="783D14DA" w:rsidR="00ED06BD" w:rsidRPr="00817CE7" w:rsidRDefault="00ED06BD" w:rsidP="00817CE7">
      <w:pPr>
        <w:tabs>
          <w:tab w:val="left" w:pos="180"/>
        </w:tabs>
        <w:spacing w:after="200" w:line="276" w:lineRule="auto"/>
        <w:jc w:val="both"/>
      </w:pPr>
      <w:r w:rsidRPr="00817CE7">
        <w:t>Details of the bands allocated for IMT services in your country.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629"/>
        <w:gridCol w:w="1660"/>
        <w:gridCol w:w="1455"/>
        <w:gridCol w:w="3318"/>
      </w:tblGrid>
      <w:tr w:rsidR="00ED06BD" w:rsidRPr="00817CE7" w14:paraId="17BD0B79" w14:textId="77777777" w:rsidTr="00D52058">
        <w:tc>
          <w:tcPr>
            <w:tcW w:w="1120" w:type="dxa"/>
            <w:shd w:val="clear" w:color="auto" w:fill="auto"/>
          </w:tcPr>
          <w:p w14:paraId="0E5D03AC" w14:textId="77777777" w:rsidR="00ED06BD" w:rsidRPr="00817CE7" w:rsidRDefault="00ED06BD" w:rsidP="00D52058">
            <w:pPr>
              <w:pStyle w:val="ListParagraph"/>
              <w:tabs>
                <w:tab w:val="left" w:pos="180"/>
              </w:tabs>
              <w:ind w:left="0"/>
              <w:jc w:val="both"/>
            </w:pPr>
            <w:r w:rsidRPr="00817CE7">
              <w:t xml:space="preserve">Band </w:t>
            </w:r>
          </w:p>
        </w:tc>
        <w:tc>
          <w:tcPr>
            <w:tcW w:w="1670" w:type="dxa"/>
            <w:shd w:val="clear" w:color="auto" w:fill="auto"/>
          </w:tcPr>
          <w:p w14:paraId="2162966F" w14:textId="77777777" w:rsidR="00ED06BD" w:rsidRPr="00817CE7" w:rsidRDefault="00ED06BD" w:rsidP="00D52058">
            <w:pPr>
              <w:pStyle w:val="ListParagraph"/>
              <w:tabs>
                <w:tab w:val="left" w:pos="180"/>
              </w:tabs>
              <w:ind w:left="0"/>
              <w:jc w:val="both"/>
            </w:pPr>
            <w:r w:rsidRPr="00817CE7">
              <w:t>Uplink Frequency</w:t>
            </w:r>
          </w:p>
        </w:tc>
        <w:tc>
          <w:tcPr>
            <w:tcW w:w="1710" w:type="dxa"/>
            <w:shd w:val="clear" w:color="auto" w:fill="auto"/>
          </w:tcPr>
          <w:p w14:paraId="5E31D599" w14:textId="77777777" w:rsidR="00ED06BD" w:rsidRPr="00817CE7" w:rsidRDefault="00ED06BD" w:rsidP="00D52058">
            <w:pPr>
              <w:pStyle w:val="ListParagraph"/>
              <w:tabs>
                <w:tab w:val="left" w:pos="180"/>
              </w:tabs>
              <w:ind w:left="0"/>
              <w:jc w:val="both"/>
            </w:pPr>
            <w:r w:rsidRPr="00817CE7">
              <w:t>Downlink frequency</w:t>
            </w:r>
          </w:p>
        </w:tc>
        <w:tc>
          <w:tcPr>
            <w:tcW w:w="1530" w:type="dxa"/>
            <w:shd w:val="clear" w:color="auto" w:fill="auto"/>
          </w:tcPr>
          <w:p w14:paraId="38DC2E0B" w14:textId="77777777" w:rsidR="00ED06BD" w:rsidRPr="00817CE7" w:rsidRDefault="00ED06BD" w:rsidP="00D52058">
            <w:pPr>
              <w:pStyle w:val="ListParagraph"/>
              <w:tabs>
                <w:tab w:val="left" w:pos="180"/>
              </w:tabs>
              <w:ind w:left="0"/>
              <w:jc w:val="both"/>
            </w:pPr>
            <w:r w:rsidRPr="00817CE7">
              <w:t>Band Plan</w:t>
            </w:r>
          </w:p>
        </w:tc>
        <w:tc>
          <w:tcPr>
            <w:tcW w:w="3528" w:type="dxa"/>
            <w:shd w:val="clear" w:color="auto" w:fill="auto"/>
          </w:tcPr>
          <w:p w14:paraId="71DF1F34" w14:textId="77777777" w:rsidR="00ED06BD" w:rsidRPr="00817CE7" w:rsidRDefault="00ED06BD" w:rsidP="00D52058">
            <w:pPr>
              <w:pStyle w:val="ListParagraph"/>
              <w:tabs>
                <w:tab w:val="left" w:pos="180"/>
              </w:tabs>
              <w:ind w:left="0"/>
            </w:pPr>
            <w:r w:rsidRPr="00817CE7">
              <w:t>Which technology is currently deployed using this band</w:t>
            </w:r>
          </w:p>
        </w:tc>
      </w:tr>
      <w:tr w:rsidR="00ED06BD" w:rsidRPr="00817CE7" w14:paraId="25A50D13" w14:textId="77777777" w:rsidTr="00D52058">
        <w:tc>
          <w:tcPr>
            <w:tcW w:w="1120" w:type="dxa"/>
            <w:shd w:val="clear" w:color="auto" w:fill="auto"/>
          </w:tcPr>
          <w:p w14:paraId="4A6DE4EB" w14:textId="77777777" w:rsidR="00ED06BD" w:rsidRPr="00817CE7" w:rsidRDefault="00ED06BD" w:rsidP="00D52058">
            <w:pPr>
              <w:pStyle w:val="ListParagraph"/>
              <w:tabs>
                <w:tab w:val="left" w:pos="180"/>
              </w:tabs>
              <w:ind w:left="0"/>
              <w:jc w:val="both"/>
            </w:pPr>
          </w:p>
        </w:tc>
        <w:tc>
          <w:tcPr>
            <w:tcW w:w="1670" w:type="dxa"/>
            <w:shd w:val="clear" w:color="auto" w:fill="auto"/>
          </w:tcPr>
          <w:p w14:paraId="74F3DB8B" w14:textId="77777777" w:rsidR="00ED06BD" w:rsidRPr="00817CE7" w:rsidRDefault="00ED06BD" w:rsidP="00D52058">
            <w:pPr>
              <w:pStyle w:val="ListParagraph"/>
              <w:tabs>
                <w:tab w:val="left" w:pos="180"/>
              </w:tabs>
              <w:ind w:left="0"/>
              <w:jc w:val="both"/>
            </w:pPr>
          </w:p>
        </w:tc>
        <w:tc>
          <w:tcPr>
            <w:tcW w:w="1710" w:type="dxa"/>
            <w:shd w:val="clear" w:color="auto" w:fill="auto"/>
          </w:tcPr>
          <w:p w14:paraId="4A3A4AF9" w14:textId="77777777" w:rsidR="00ED06BD" w:rsidRPr="00817CE7" w:rsidRDefault="00ED06BD" w:rsidP="00D52058">
            <w:pPr>
              <w:pStyle w:val="ListParagraph"/>
              <w:tabs>
                <w:tab w:val="left" w:pos="180"/>
              </w:tabs>
              <w:ind w:left="0"/>
              <w:jc w:val="both"/>
            </w:pPr>
          </w:p>
        </w:tc>
        <w:tc>
          <w:tcPr>
            <w:tcW w:w="1530" w:type="dxa"/>
            <w:shd w:val="clear" w:color="auto" w:fill="auto"/>
          </w:tcPr>
          <w:p w14:paraId="395B0674" w14:textId="77777777" w:rsidR="00ED06BD" w:rsidRPr="00817CE7" w:rsidRDefault="00ED06BD" w:rsidP="00D52058">
            <w:pPr>
              <w:pStyle w:val="ListParagraph"/>
              <w:tabs>
                <w:tab w:val="left" w:pos="180"/>
              </w:tabs>
              <w:ind w:left="0"/>
              <w:jc w:val="both"/>
            </w:pPr>
          </w:p>
        </w:tc>
        <w:tc>
          <w:tcPr>
            <w:tcW w:w="3528" w:type="dxa"/>
            <w:shd w:val="clear" w:color="auto" w:fill="auto"/>
          </w:tcPr>
          <w:p w14:paraId="74135B5E" w14:textId="77777777" w:rsidR="00ED06BD" w:rsidRPr="00817CE7" w:rsidRDefault="00ED06BD" w:rsidP="00D52058">
            <w:pPr>
              <w:pStyle w:val="ListParagraph"/>
              <w:tabs>
                <w:tab w:val="left" w:pos="180"/>
              </w:tabs>
              <w:ind w:left="0"/>
            </w:pPr>
          </w:p>
        </w:tc>
      </w:tr>
      <w:tr w:rsidR="00ED06BD" w:rsidRPr="00817CE7" w14:paraId="2931DEE6" w14:textId="77777777" w:rsidTr="00D52058">
        <w:tc>
          <w:tcPr>
            <w:tcW w:w="1120" w:type="dxa"/>
            <w:shd w:val="clear" w:color="auto" w:fill="auto"/>
          </w:tcPr>
          <w:p w14:paraId="47F36958" w14:textId="77777777" w:rsidR="00ED06BD" w:rsidRPr="00817CE7" w:rsidRDefault="00ED06BD" w:rsidP="00D52058">
            <w:pPr>
              <w:pStyle w:val="ListParagraph"/>
              <w:tabs>
                <w:tab w:val="left" w:pos="180"/>
              </w:tabs>
              <w:ind w:left="0"/>
              <w:jc w:val="both"/>
            </w:pPr>
          </w:p>
        </w:tc>
        <w:tc>
          <w:tcPr>
            <w:tcW w:w="1670" w:type="dxa"/>
            <w:shd w:val="clear" w:color="auto" w:fill="auto"/>
          </w:tcPr>
          <w:p w14:paraId="601D2DD5" w14:textId="77777777" w:rsidR="00ED06BD" w:rsidRPr="00817CE7" w:rsidRDefault="00ED06BD" w:rsidP="00D52058">
            <w:pPr>
              <w:pStyle w:val="ListParagraph"/>
              <w:tabs>
                <w:tab w:val="left" w:pos="180"/>
              </w:tabs>
              <w:ind w:left="0"/>
              <w:jc w:val="both"/>
            </w:pPr>
          </w:p>
        </w:tc>
        <w:tc>
          <w:tcPr>
            <w:tcW w:w="1710" w:type="dxa"/>
            <w:shd w:val="clear" w:color="auto" w:fill="auto"/>
          </w:tcPr>
          <w:p w14:paraId="5A742E8D" w14:textId="77777777" w:rsidR="00ED06BD" w:rsidRPr="00817CE7" w:rsidRDefault="00ED06BD" w:rsidP="00D52058">
            <w:pPr>
              <w:pStyle w:val="ListParagraph"/>
              <w:tabs>
                <w:tab w:val="left" w:pos="180"/>
              </w:tabs>
              <w:ind w:left="0"/>
              <w:jc w:val="both"/>
            </w:pPr>
          </w:p>
        </w:tc>
        <w:tc>
          <w:tcPr>
            <w:tcW w:w="1530" w:type="dxa"/>
            <w:shd w:val="clear" w:color="auto" w:fill="auto"/>
          </w:tcPr>
          <w:p w14:paraId="362ABFD3" w14:textId="77777777" w:rsidR="00ED06BD" w:rsidRPr="00817CE7" w:rsidRDefault="00ED06BD" w:rsidP="00D52058">
            <w:pPr>
              <w:pStyle w:val="ListParagraph"/>
              <w:tabs>
                <w:tab w:val="left" w:pos="180"/>
              </w:tabs>
              <w:ind w:left="0"/>
              <w:jc w:val="both"/>
            </w:pPr>
          </w:p>
        </w:tc>
        <w:tc>
          <w:tcPr>
            <w:tcW w:w="3528" w:type="dxa"/>
            <w:shd w:val="clear" w:color="auto" w:fill="auto"/>
          </w:tcPr>
          <w:p w14:paraId="210DCB02" w14:textId="77777777" w:rsidR="00ED06BD" w:rsidRPr="00817CE7" w:rsidRDefault="00ED06BD" w:rsidP="00D52058">
            <w:pPr>
              <w:pStyle w:val="ListParagraph"/>
              <w:tabs>
                <w:tab w:val="left" w:pos="180"/>
              </w:tabs>
              <w:ind w:left="0"/>
            </w:pPr>
          </w:p>
        </w:tc>
      </w:tr>
      <w:tr w:rsidR="00ED06BD" w:rsidRPr="00817CE7" w14:paraId="425C3567" w14:textId="77777777" w:rsidTr="00D52058">
        <w:tc>
          <w:tcPr>
            <w:tcW w:w="1120" w:type="dxa"/>
            <w:shd w:val="clear" w:color="auto" w:fill="auto"/>
          </w:tcPr>
          <w:p w14:paraId="7940E8DB" w14:textId="77777777" w:rsidR="00ED06BD" w:rsidRPr="00817CE7" w:rsidRDefault="00ED06BD" w:rsidP="00D52058">
            <w:pPr>
              <w:pStyle w:val="ListParagraph"/>
              <w:tabs>
                <w:tab w:val="left" w:pos="180"/>
              </w:tabs>
              <w:ind w:left="0"/>
              <w:jc w:val="both"/>
            </w:pPr>
          </w:p>
        </w:tc>
        <w:tc>
          <w:tcPr>
            <w:tcW w:w="1670" w:type="dxa"/>
            <w:shd w:val="clear" w:color="auto" w:fill="auto"/>
          </w:tcPr>
          <w:p w14:paraId="4A320874" w14:textId="77777777" w:rsidR="00ED06BD" w:rsidRPr="00817CE7" w:rsidRDefault="00ED06BD" w:rsidP="00D52058">
            <w:pPr>
              <w:pStyle w:val="ListParagraph"/>
              <w:tabs>
                <w:tab w:val="left" w:pos="180"/>
              </w:tabs>
              <w:ind w:left="0"/>
              <w:jc w:val="both"/>
            </w:pPr>
          </w:p>
        </w:tc>
        <w:tc>
          <w:tcPr>
            <w:tcW w:w="1710" w:type="dxa"/>
            <w:shd w:val="clear" w:color="auto" w:fill="auto"/>
          </w:tcPr>
          <w:p w14:paraId="7C7B1D62" w14:textId="77777777" w:rsidR="00ED06BD" w:rsidRPr="00817CE7" w:rsidRDefault="00ED06BD" w:rsidP="00D52058">
            <w:pPr>
              <w:pStyle w:val="ListParagraph"/>
              <w:tabs>
                <w:tab w:val="left" w:pos="180"/>
              </w:tabs>
              <w:ind w:left="0"/>
              <w:jc w:val="both"/>
            </w:pPr>
          </w:p>
        </w:tc>
        <w:tc>
          <w:tcPr>
            <w:tcW w:w="1530" w:type="dxa"/>
            <w:shd w:val="clear" w:color="auto" w:fill="auto"/>
          </w:tcPr>
          <w:p w14:paraId="1A23313D" w14:textId="77777777" w:rsidR="00ED06BD" w:rsidRPr="00817CE7" w:rsidRDefault="00ED06BD" w:rsidP="00D52058">
            <w:pPr>
              <w:pStyle w:val="ListParagraph"/>
              <w:tabs>
                <w:tab w:val="left" w:pos="180"/>
              </w:tabs>
              <w:ind w:left="0"/>
              <w:jc w:val="both"/>
            </w:pPr>
          </w:p>
        </w:tc>
        <w:tc>
          <w:tcPr>
            <w:tcW w:w="3528" w:type="dxa"/>
            <w:shd w:val="clear" w:color="auto" w:fill="auto"/>
          </w:tcPr>
          <w:p w14:paraId="5324B5B8" w14:textId="77777777" w:rsidR="00ED06BD" w:rsidRPr="00817CE7" w:rsidRDefault="00ED06BD" w:rsidP="00D52058">
            <w:pPr>
              <w:pStyle w:val="ListParagraph"/>
              <w:tabs>
                <w:tab w:val="left" w:pos="180"/>
              </w:tabs>
              <w:ind w:left="0"/>
            </w:pPr>
          </w:p>
        </w:tc>
      </w:tr>
    </w:tbl>
    <w:p w14:paraId="667976EC" w14:textId="77777777" w:rsidR="00ED06BD" w:rsidRPr="00817CE7" w:rsidRDefault="00ED06BD" w:rsidP="00ED06BD">
      <w:pPr>
        <w:pStyle w:val="ListParagraph"/>
        <w:tabs>
          <w:tab w:val="left" w:pos="180"/>
        </w:tabs>
        <w:ind w:left="630"/>
        <w:jc w:val="both"/>
      </w:pPr>
    </w:p>
    <w:p w14:paraId="6554E4C4" w14:textId="19992559" w:rsidR="00817CE7" w:rsidRDefault="00817CE7" w:rsidP="00817CE7">
      <w:pPr>
        <w:tabs>
          <w:tab w:val="left" w:pos="180"/>
        </w:tabs>
        <w:spacing w:after="200" w:line="276" w:lineRule="auto"/>
        <w:jc w:val="both"/>
        <w:rPr>
          <w:b/>
          <w:bCs/>
        </w:rPr>
      </w:pPr>
      <w:r>
        <w:rPr>
          <w:b/>
          <w:bCs/>
        </w:rPr>
        <w:t>Question 3:</w:t>
      </w:r>
    </w:p>
    <w:p w14:paraId="549C1CE7" w14:textId="3CC7ED8C" w:rsidR="00ED06BD" w:rsidRPr="00817CE7" w:rsidRDefault="00ED06BD" w:rsidP="00817CE7">
      <w:pPr>
        <w:tabs>
          <w:tab w:val="left" w:pos="180"/>
        </w:tabs>
        <w:spacing w:after="200" w:line="276" w:lineRule="auto"/>
        <w:jc w:val="both"/>
      </w:pPr>
      <w:r w:rsidRPr="00817CE7">
        <w:t>(a) Has the spectrum assignment linked with service/ technology restrictions in mobile spectrum usage rights? If yes, please answer as per the Table below</w:t>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970"/>
        <w:gridCol w:w="2790"/>
        <w:gridCol w:w="2790"/>
      </w:tblGrid>
      <w:tr w:rsidR="00ED06BD" w:rsidRPr="00817CE7" w14:paraId="50C69CA9" w14:textId="77777777" w:rsidTr="00D52058">
        <w:tc>
          <w:tcPr>
            <w:tcW w:w="1350" w:type="dxa"/>
            <w:shd w:val="clear" w:color="auto" w:fill="auto"/>
          </w:tcPr>
          <w:p w14:paraId="040DAA94" w14:textId="77777777" w:rsidR="00ED06BD" w:rsidRPr="00817CE7" w:rsidRDefault="00ED06BD" w:rsidP="00D52058">
            <w:pPr>
              <w:pStyle w:val="ListParagraph"/>
              <w:tabs>
                <w:tab w:val="left" w:pos="180"/>
              </w:tabs>
              <w:ind w:left="0"/>
              <w:jc w:val="both"/>
              <w:rPr>
                <w:bCs/>
              </w:rPr>
            </w:pPr>
            <w:r w:rsidRPr="00817CE7">
              <w:rPr>
                <w:bCs/>
              </w:rPr>
              <w:lastRenderedPageBreak/>
              <w:t xml:space="preserve">Band </w:t>
            </w:r>
          </w:p>
        </w:tc>
        <w:tc>
          <w:tcPr>
            <w:tcW w:w="2970" w:type="dxa"/>
            <w:shd w:val="clear" w:color="auto" w:fill="auto"/>
          </w:tcPr>
          <w:p w14:paraId="1B55AF62" w14:textId="77777777" w:rsidR="00ED06BD" w:rsidRPr="00817CE7" w:rsidRDefault="00ED06BD" w:rsidP="00D52058">
            <w:pPr>
              <w:pStyle w:val="ListParagraph"/>
              <w:tabs>
                <w:tab w:val="left" w:pos="180"/>
              </w:tabs>
              <w:ind w:left="0"/>
              <w:jc w:val="both"/>
              <w:rPr>
                <w:bCs/>
              </w:rPr>
            </w:pPr>
            <w:r w:rsidRPr="00817CE7">
              <w:rPr>
                <w:bCs/>
              </w:rPr>
              <w:t>Service/technology restricted</w:t>
            </w:r>
          </w:p>
        </w:tc>
        <w:tc>
          <w:tcPr>
            <w:tcW w:w="2790" w:type="dxa"/>
            <w:shd w:val="clear" w:color="auto" w:fill="auto"/>
          </w:tcPr>
          <w:p w14:paraId="4135FE3F" w14:textId="77777777" w:rsidR="00ED06BD" w:rsidRPr="00817CE7" w:rsidRDefault="00ED06BD" w:rsidP="00D52058">
            <w:pPr>
              <w:pStyle w:val="ListParagraph"/>
              <w:tabs>
                <w:tab w:val="left" w:pos="180"/>
              </w:tabs>
              <w:ind w:left="0"/>
              <w:jc w:val="both"/>
              <w:rPr>
                <w:bCs/>
              </w:rPr>
            </w:pPr>
            <w:r w:rsidRPr="00817CE7">
              <w:rPr>
                <w:bCs/>
              </w:rPr>
              <w:t xml:space="preserve">Is restriction still there? If no, provide the year till which restriction existed. </w:t>
            </w:r>
          </w:p>
        </w:tc>
        <w:tc>
          <w:tcPr>
            <w:tcW w:w="2790" w:type="dxa"/>
          </w:tcPr>
          <w:p w14:paraId="4F6780D7" w14:textId="77777777" w:rsidR="00ED06BD" w:rsidRPr="00817CE7" w:rsidRDefault="00ED06BD" w:rsidP="00D52058">
            <w:pPr>
              <w:pStyle w:val="ListParagraph"/>
              <w:tabs>
                <w:tab w:val="left" w:pos="180"/>
              </w:tabs>
              <w:ind w:left="0"/>
              <w:jc w:val="both"/>
              <w:rPr>
                <w:bCs/>
              </w:rPr>
            </w:pPr>
            <w:r w:rsidRPr="00817CE7">
              <w:rPr>
                <w:bCs/>
              </w:rPr>
              <w:t xml:space="preserve">What regulatory procedure was adopted to remove this restriction, including any financial obligations on the licensed operators? </w:t>
            </w:r>
          </w:p>
        </w:tc>
      </w:tr>
      <w:tr w:rsidR="00ED06BD" w:rsidRPr="0020772B" w14:paraId="0DFA29AB" w14:textId="77777777" w:rsidTr="00D52058">
        <w:tc>
          <w:tcPr>
            <w:tcW w:w="1350" w:type="dxa"/>
            <w:shd w:val="clear" w:color="auto" w:fill="auto"/>
          </w:tcPr>
          <w:p w14:paraId="6E74D017" w14:textId="77777777" w:rsidR="00ED06BD" w:rsidRPr="0020772B" w:rsidRDefault="00ED06BD" w:rsidP="00D52058">
            <w:pPr>
              <w:pStyle w:val="ListParagraph"/>
              <w:tabs>
                <w:tab w:val="left" w:pos="180"/>
              </w:tabs>
              <w:ind w:left="0"/>
              <w:jc w:val="both"/>
              <w:rPr>
                <w:b/>
              </w:rPr>
            </w:pPr>
          </w:p>
        </w:tc>
        <w:tc>
          <w:tcPr>
            <w:tcW w:w="2970" w:type="dxa"/>
            <w:shd w:val="clear" w:color="auto" w:fill="auto"/>
          </w:tcPr>
          <w:p w14:paraId="125FF440" w14:textId="77777777" w:rsidR="00ED06BD" w:rsidRPr="0020772B" w:rsidRDefault="00ED06BD" w:rsidP="00D52058">
            <w:pPr>
              <w:pStyle w:val="ListParagraph"/>
              <w:tabs>
                <w:tab w:val="left" w:pos="180"/>
              </w:tabs>
              <w:ind w:left="0"/>
              <w:jc w:val="both"/>
              <w:rPr>
                <w:b/>
              </w:rPr>
            </w:pPr>
          </w:p>
        </w:tc>
        <w:tc>
          <w:tcPr>
            <w:tcW w:w="2790" w:type="dxa"/>
            <w:shd w:val="clear" w:color="auto" w:fill="auto"/>
          </w:tcPr>
          <w:p w14:paraId="0629F253" w14:textId="77777777" w:rsidR="00ED06BD" w:rsidRPr="0020772B" w:rsidRDefault="00ED06BD" w:rsidP="00D52058">
            <w:pPr>
              <w:pStyle w:val="ListParagraph"/>
              <w:tabs>
                <w:tab w:val="left" w:pos="180"/>
              </w:tabs>
              <w:ind w:left="0"/>
              <w:jc w:val="both"/>
              <w:rPr>
                <w:b/>
              </w:rPr>
            </w:pPr>
          </w:p>
        </w:tc>
        <w:tc>
          <w:tcPr>
            <w:tcW w:w="2790" w:type="dxa"/>
          </w:tcPr>
          <w:p w14:paraId="1242210A" w14:textId="77777777" w:rsidR="00ED06BD" w:rsidRPr="0084004B" w:rsidRDefault="00ED06BD" w:rsidP="00D52058">
            <w:pPr>
              <w:pStyle w:val="ListParagraph"/>
              <w:tabs>
                <w:tab w:val="left" w:pos="180"/>
              </w:tabs>
              <w:ind w:left="0"/>
              <w:jc w:val="both"/>
              <w:rPr>
                <w:b/>
              </w:rPr>
            </w:pPr>
          </w:p>
        </w:tc>
      </w:tr>
      <w:tr w:rsidR="00ED06BD" w:rsidRPr="0020772B" w14:paraId="05FC950D" w14:textId="77777777" w:rsidTr="00D52058">
        <w:tc>
          <w:tcPr>
            <w:tcW w:w="1350" w:type="dxa"/>
            <w:shd w:val="clear" w:color="auto" w:fill="auto"/>
          </w:tcPr>
          <w:p w14:paraId="511D3EF7" w14:textId="77777777" w:rsidR="00ED06BD" w:rsidRPr="0020772B" w:rsidRDefault="00ED06BD" w:rsidP="00D52058">
            <w:pPr>
              <w:pStyle w:val="ListParagraph"/>
              <w:tabs>
                <w:tab w:val="left" w:pos="180"/>
              </w:tabs>
              <w:ind w:left="0"/>
              <w:jc w:val="both"/>
              <w:rPr>
                <w:b/>
              </w:rPr>
            </w:pPr>
          </w:p>
        </w:tc>
        <w:tc>
          <w:tcPr>
            <w:tcW w:w="2970" w:type="dxa"/>
            <w:shd w:val="clear" w:color="auto" w:fill="auto"/>
          </w:tcPr>
          <w:p w14:paraId="6A056C42" w14:textId="77777777" w:rsidR="00ED06BD" w:rsidRPr="0020772B" w:rsidRDefault="00ED06BD" w:rsidP="00D52058">
            <w:pPr>
              <w:pStyle w:val="ListParagraph"/>
              <w:tabs>
                <w:tab w:val="left" w:pos="180"/>
              </w:tabs>
              <w:ind w:left="0"/>
              <w:jc w:val="both"/>
              <w:rPr>
                <w:b/>
              </w:rPr>
            </w:pPr>
          </w:p>
        </w:tc>
        <w:tc>
          <w:tcPr>
            <w:tcW w:w="2790" w:type="dxa"/>
            <w:shd w:val="clear" w:color="auto" w:fill="auto"/>
          </w:tcPr>
          <w:p w14:paraId="6D171AB5" w14:textId="77777777" w:rsidR="00ED06BD" w:rsidRPr="0020772B" w:rsidRDefault="00ED06BD" w:rsidP="00D52058">
            <w:pPr>
              <w:pStyle w:val="ListParagraph"/>
              <w:tabs>
                <w:tab w:val="left" w:pos="180"/>
              </w:tabs>
              <w:ind w:left="0"/>
              <w:jc w:val="both"/>
              <w:rPr>
                <w:b/>
              </w:rPr>
            </w:pPr>
          </w:p>
        </w:tc>
        <w:tc>
          <w:tcPr>
            <w:tcW w:w="2790" w:type="dxa"/>
          </w:tcPr>
          <w:p w14:paraId="2A687FD3" w14:textId="77777777" w:rsidR="00ED06BD" w:rsidRPr="0084004B" w:rsidRDefault="00ED06BD" w:rsidP="00D52058">
            <w:pPr>
              <w:pStyle w:val="ListParagraph"/>
              <w:tabs>
                <w:tab w:val="left" w:pos="180"/>
              </w:tabs>
              <w:ind w:left="0"/>
              <w:jc w:val="both"/>
              <w:rPr>
                <w:b/>
              </w:rPr>
            </w:pPr>
          </w:p>
        </w:tc>
      </w:tr>
      <w:tr w:rsidR="00ED06BD" w:rsidRPr="0020772B" w14:paraId="45B7B671" w14:textId="77777777" w:rsidTr="00D52058">
        <w:tc>
          <w:tcPr>
            <w:tcW w:w="1350" w:type="dxa"/>
            <w:shd w:val="clear" w:color="auto" w:fill="auto"/>
          </w:tcPr>
          <w:p w14:paraId="45EECD91" w14:textId="77777777" w:rsidR="00ED06BD" w:rsidRPr="0020772B" w:rsidRDefault="00ED06BD" w:rsidP="00D52058">
            <w:pPr>
              <w:pStyle w:val="ListParagraph"/>
              <w:tabs>
                <w:tab w:val="left" w:pos="180"/>
              </w:tabs>
              <w:ind w:left="0"/>
              <w:jc w:val="both"/>
              <w:rPr>
                <w:b/>
              </w:rPr>
            </w:pPr>
          </w:p>
        </w:tc>
        <w:tc>
          <w:tcPr>
            <w:tcW w:w="2970" w:type="dxa"/>
            <w:shd w:val="clear" w:color="auto" w:fill="auto"/>
          </w:tcPr>
          <w:p w14:paraId="75511634" w14:textId="77777777" w:rsidR="00ED06BD" w:rsidRPr="0020772B" w:rsidRDefault="00ED06BD" w:rsidP="00D52058">
            <w:pPr>
              <w:pStyle w:val="ListParagraph"/>
              <w:tabs>
                <w:tab w:val="left" w:pos="180"/>
              </w:tabs>
              <w:ind w:left="0"/>
              <w:jc w:val="both"/>
              <w:rPr>
                <w:b/>
              </w:rPr>
            </w:pPr>
          </w:p>
        </w:tc>
        <w:tc>
          <w:tcPr>
            <w:tcW w:w="2790" w:type="dxa"/>
            <w:shd w:val="clear" w:color="auto" w:fill="auto"/>
          </w:tcPr>
          <w:p w14:paraId="42CDC3A0" w14:textId="77777777" w:rsidR="00ED06BD" w:rsidRPr="0020772B" w:rsidRDefault="00ED06BD" w:rsidP="00D52058">
            <w:pPr>
              <w:pStyle w:val="ListParagraph"/>
              <w:tabs>
                <w:tab w:val="left" w:pos="180"/>
              </w:tabs>
              <w:ind w:left="0"/>
              <w:jc w:val="both"/>
              <w:rPr>
                <w:b/>
              </w:rPr>
            </w:pPr>
          </w:p>
        </w:tc>
        <w:tc>
          <w:tcPr>
            <w:tcW w:w="2790" w:type="dxa"/>
          </w:tcPr>
          <w:p w14:paraId="6AD698FB" w14:textId="77777777" w:rsidR="00ED06BD" w:rsidRPr="0084004B" w:rsidRDefault="00ED06BD" w:rsidP="00D52058">
            <w:pPr>
              <w:pStyle w:val="ListParagraph"/>
              <w:tabs>
                <w:tab w:val="left" w:pos="180"/>
              </w:tabs>
              <w:ind w:left="0"/>
              <w:jc w:val="both"/>
              <w:rPr>
                <w:b/>
              </w:rPr>
            </w:pPr>
          </w:p>
        </w:tc>
      </w:tr>
    </w:tbl>
    <w:p w14:paraId="33DEDE33" w14:textId="77777777" w:rsidR="00ED06BD" w:rsidRPr="00817CE7" w:rsidRDefault="00ED06BD" w:rsidP="00ED06BD">
      <w:pPr>
        <w:pStyle w:val="ListParagraph"/>
        <w:tabs>
          <w:tab w:val="left" w:pos="180"/>
        </w:tabs>
        <w:ind w:left="630"/>
        <w:jc w:val="both"/>
        <w:rPr>
          <w:bCs/>
        </w:rPr>
      </w:pPr>
    </w:p>
    <w:p w14:paraId="07FF1981" w14:textId="6778F460" w:rsidR="00ED06BD" w:rsidRDefault="00ED06BD" w:rsidP="00817CE7">
      <w:pPr>
        <w:tabs>
          <w:tab w:val="left" w:pos="180"/>
        </w:tabs>
        <w:jc w:val="both"/>
        <w:rPr>
          <w:bCs/>
        </w:rPr>
      </w:pPr>
      <w:r w:rsidRPr="00817CE7">
        <w:rPr>
          <w:bCs/>
        </w:rPr>
        <w:t>(b) If the country is already following a technology neutral regime and operators are following the natural up-gradation paths to provide Mobile Broadband in their own assigned spectrum, what regulatory procedures were adopted like QoS Enhancements, Monitoring compliance, Interference related issues OR any other major or monetary obligations?</w:t>
      </w:r>
    </w:p>
    <w:p w14:paraId="2643E343" w14:textId="77777777" w:rsidR="00817CE7" w:rsidRPr="00817CE7" w:rsidRDefault="00817CE7" w:rsidP="00817CE7">
      <w:pPr>
        <w:tabs>
          <w:tab w:val="left" w:pos="180"/>
        </w:tabs>
        <w:jc w:val="both"/>
        <w:rPr>
          <w:bCs/>
        </w:rPr>
      </w:pPr>
    </w:p>
    <w:p w14:paraId="60822E92" w14:textId="58343F9B" w:rsidR="00ED06BD" w:rsidRPr="00817CE7" w:rsidRDefault="00ED06BD" w:rsidP="00817CE7">
      <w:pPr>
        <w:tabs>
          <w:tab w:val="left" w:pos="180"/>
        </w:tabs>
        <w:jc w:val="both"/>
        <w:rPr>
          <w:bCs/>
        </w:rPr>
      </w:pPr>
      <w:r w:rsidRPr="00817CE7">
        <w:rPr>
          <w:bCs/>
        </w:rPr>
        <w:t>(c) If operators are awarded spectrum through Open auction, are they permitted to adopt any technology, which becomes available during the tenure of their license?</w:t>
      </w:r>
    </w:p>
    <w:p w14:paraId="042B58FF" w14:textId="0E01D0E2" w:rsidR="00817CE7" w:rsidRDefault="00817CE7" w:rsidP="00817CE7">
      <w:pPr>
        <w:tabs>
          <w:tab w:val="left" w:pos="180"/>
        </w:tabs>
        <w:jc w:val="both"/>
        <w:rPr>
          <w:b/>
        </w:rPr>
      </w:pPr>
    </w:p>
    <w:p w14:paraId="5EEA27D7" w14:textId="4432107C" w:rsidR="00817CE7" w:rsidRDefault="00817CE7" w:rsidP="00817CE7">
      <w:pPr>
        <w:tabs>
          <w:tab w:val="left" w:pos="180"/>
        </w:tabs>
        <w:spacing w:after="200" w:line="276" w:lineRule="auto"/>
        <w:jc w:val="both"/>
        <w:rPr>
          <w:b/>
          <w:bCs/>
        </w:rPr>
      </w:pPr>
      <w:r>
        <w:rPr>
          <w:b/>
          <w:bCs/>
        </w:rPr>
        <w:t xml:space="preserve">Question </w:t>
      </w:r>
      <w:r w:rsidR="00771E75">
        <w:rPr>
          <w:b/>
          <w:bCs/>
        </w:rPr>
        <w:t>4</w:t>
      </w:r>
      <w:r>
        <w:rPr>
          <w:b/>
          <w:bCs/>
        </w:rPr>
        <w:t>:</w:t>
      </w:r>
    </w:p>
    <w:p w14:paraId="7D418687" w14:textId="77777777" w:rsidR="00ED06BD" w:rsidRPr="00817CE7" w:rsidRDefault="00ED06BD" w:rsidP="00817CE7">
      <w:pPr>
        <w:tabs>
          <w:tab w:val="left" w:pos="180"/>
        </w:tabs>
        <w:spacing w:after="200" w:line="276" w:lineRule="auto"/>
        <w:jc w:val="both"/>
        <w:rPr>
          <w:bCs/>
        </w:rPr>
      </w:pPr>
      <w:r w:rsidRPr="00817CE7">
        <w:rPr>
          <w:bCs/>
        </w:rPr>
        <w:t>In the next 5 years, are there any plans for allocating new bands for IMT services (including 5G) in your country? Please specify, if any.</w:t>
      </w:r>
    </w:p>
    <w:p w14:paraId="512B22A8" w14:textId="1117DB9F" w:rsidR="00014F1E" w:rsidRDefault="00014F1E" w:rsidP="00014F1E">
      <w:pPr>
        <w:tabs>
          <w:tab w:val="left" w:pos="180"/>
        </w:tabs>
        <w:spacing w:after="200" w:line="276" w:lineRule="auto"/>
        <w:jc w:val="both"/>
        <w:rPr>
          <w:b/>
          <w:bCs/>
        </w:rPr>
      </w:pPr>
      <w:r>
        <w:rPr>
          <w:b/>
          <w:bCs/>
        </w:rPr>
        <w:t xml:space="preserve">Question </w:t>
      </w:r>
      <w:r w:rsidR="00771E75">
        <w:rPr>
          <w:b/>
          <w:bCs/>
        </w:rPr>
        <w:t>5</w:t>
      </w:r>
      <w:r>
        <w:rPr>
          <w:b/>
          <w:bCs/>
        </w:rPr>
        <w:t>:</w:t>
      </w:r>
    </w:p>
    <w:p w14:paraId="55D2F409" w14:textId="77777777" w:rsidR="00ED06BD" w:rsidRPr="00014F1E" w:rsidRDefault="00ED06BD" w:rsidP="00014F1E">
      <w:pPr>
        <w:tabs>
          <w:tab w:val="left" w:pos="180"/>
        </w:tabs>
        <w:spacing w:after="200" w:line="276" w:lineRule="auto"/>
        <w:jc w:val="both"/>
        <w:rPr>
          <w:bCs/>
        </w:rPr>
      </w:pPr>
      <w:r w:rsidRPr="00014F1E">
        <w:rPr>
          <w:bCs/>
        </w:rPr>
        <w:t xml:space="preserve">Is currently 3.5 GHz spectrum awarded in your country for BWA services? </w:t>
      </w:r>
    </w:p>
    <w:p w14:paraId="5E3C5FA6" w14:textId="54050ED8" w:rsidR="00014F1E" w:rsidRDefault="00014F1E" w:rsidP="00014F1E">
      <w:pPr>
        <w:tabs>
          <w:tab w:val="left" w:pos="180"/>
        </w:tabs>
        <w:spacing w:after="200" w:line="276" w:lineRule="auto"/>
        <w:jc w:val="both"/>
        <w:rPr>
          <w:b/>
          <w:bCs/>
        </w:rPr>
      </w:pPr>
      <w:r>
        <w:rPr>
          <w:b/>
          <w:bCs/>
        </w:rPr>
        <w:t xml:space="preserve">Question </w:t>
      </w:r>
      <w:r w:rsidR="00771E75">
        <w:rPr>
          <w:b/>
          <w:bCs/>
        </w:rPr>
        <w:t>6</w:t>
      </w:r>
      <w:r>
        <w:rPr>
          <w:b/>
          <w:bCs/>
        </w:rPr>
        <w:t>:</w:t>
      </w:r>
    </w:p>
    <w:p w14:paraId="18E8D503" w14:textId="77777777" w:rsidR="00ED06BD" w:rsidRPr="00014F1E" w:rsidRDefault="00ED06BD" w:rsidP="00014F1E">
      <w:pPr>
        <w:tabs>
          <w:tab w:val="left" w:pos="180"/>
        </w:tabs>
        <w:spacing w:after="200" w:line="276" w:lineRule="auto"/>
        <w:jc w:val="both"/>
      </w:pPr>
      <w:r w:rsidRPr="00014F1E">
        <w:t>Is spectrum assignment and service license bundled in your country?</w:t>
      </w:r>
    </w:p>
    <w:p w14:paraId="48EE223C" w14:textId="57AAECC8" w:rsidR="00014F1E" w:rsidRDefault="00014F1E" w:rsidP="00014F1E">
      <w:pPr>
        <w:tabs>
          <w:tab w:val="left" w:pos="180"/>
        </w:tabs>
        <w:spacing w:after="200" w:line="276" w:lineRule="auto"/>
        <w:jc w:val="both"/>
        <w:rPr>
          <w:b/>
          <w:bCs/>
        </w:rPr>
      </w:pPr>
      <w:r>
        <w:rPr>
          <w:b/>
          <w:bCs/>
        </w:rPr>
        <w:t xml:space="preserve">Question </w:t>
      </w:r>
      <w:r w:rsidR="00771E75">
        <w:rPr>
          <w:b/>
          <w:bCs/>
        </w:rPr>
        <w:t>7</w:t>
      </w:r>
      <w:r>
        <w:rPr>
          <w:b/>
          <w:bCs/>
        </w:rPr>
        <w:t>:</w:t>
      </w:r>
    </w:p>
    <w:p w14:paraId="3740A277" w14:textId="77DE6174" w:rsidR="00ED06BD" w:rsidRPr="00014F1E" w:rsidRDefault="00ED06BD" w:rsidP="00014F1E">
      <w:pPr>
        <w:tabs>
          <w:tab w:val="left" w:pos="180"/>
        </w:tabs>
        <w:spacing w:after="200" w:line="276" w:lineRule="auto"/>
        <w:jc w:val="both"/>
        <w:rPr>
          <w:bCs/>
        </w:rPr>
      </w:pPr>
      <w:r w:rsidRPr="00014F1E">
        <w:rPr>
          <w:bCs/>
        </w:rPr>
        <w:t xml:space="preserve">With the auction of more cellular spectrum in recent years, the existing operators are issued with a new license every time OR only spectrum with some additional Terms and Conditions like QoS and Roll out (coverage) are added in the license? </w:t>
      </w:r>
    </w:p>
    <w:p w14:paraId="578DCCD1" w14:textId="707716B7" w:rsidR="00014F1E" w:rsidRPr="00014F1E" w:rsidRDefault="00014F1E" w:rsidP="00014F1E">
      <w:pPr>
        <w:tabs>
          <w:tab w:val="left" w:pos="180"/>
        </w:tabs>
        <w:spacing w:after="200" w:line="276" w:lineRule="auto"/>
        <w:jc w:val="both"/>
        <w:rPr>
          <w:b/>
          <w:bCs/>
        </w:rPr>
      </w:pPr>
      <w:r w:rsidRPr="00014F1E">
        <w:rPr>
          <w:b/>
          <w:bCs/>
        </w:rPr>
        <w:t xml:space="preserve">Question </w:t>
      </w:r>
      <w:r w:rsidR="00771E75">
        <w:rPr>
          <w:b/>
          <w:bCs/>
        </w:rPr>
        <w:t>8</w:t>
      </w:r>
      <w:r w:rsidRPr="00014F1E">
        <w:rPr>
          <w:b/>
          <w:bCs/>
        </w:rPr>
        <w:t>:</w:t>
      </w:r>
    </w:p>
    <w:p w14:paraId="45A588EB" w14:textId="77777777" w:rsidR="00ED06BD" w:rsidRPr="00014F1E" w:rsidRDefault="00ED06BD" w:rsidP="00014F1E">
      <w:pPr>
        <w:tabs>
          <w:tab w:val="left" w:pos="180"/>
        </w:tabs>
        <w:spacing w:after="200" w:line="276" w:lineRule="auto"/>
        <w:jc w:val="both"/>
        <w:rPr>
          <w:bCs/>
        </w:rPr>
      </w:pPr>
      <w:r w:rsidRPr="00014F1E">
        <w:rPr>
          <w:bCs/>
        </w:rPr>
        <w:t>What is the method of Spectrum Assignment in your country? Please explain. (administratively/ auction/ any other method)</w:t>
      </w:r>
    </w:p>
    <w:p w14:paraId="06F62FD0" w14:textId="621CF1FB" w:rsidR="00014F1E" w:rsidRPr="00014F1E" w:rsidRDefault="00014F1E" w:rsidP="00014F1E">
      <w:pPr>
        <w:tabs>
          <w:tab w:val="left" w:pos="180"/>
        </w:tabs>
        <w:spacing w:after="200" w:line="276" w:lineRule="auto"/>
        <w:jc w:val="both"/>
        <w:rPr>
          <w:b/>
          <w:bCs/>
        </w:rPr>
      </w:pPr>
      <w:r w:rsidRPr="00014F1E">
        <w:rPr>
          <w:b/>
          <w:bCs/>
        </w:rPr>
        <w:t xml:space="preserve">Question </w:t>
      </w:r>
      <w:r w:rsidR="00771E75">
        <w:rPr>
          <w:b/>
          <w:bCs/>
        </w:rPr>
        <w:t>9</w:t>
      </w:r>
      <w:r w:rsidRPr="00014F1E">
        <w:rPr>
          <w:b/>
          <w:bCs/>
        </w:rPr>
        <w:t>:</w:t>
      </w:r>
    </w:p>
    <w:p w14:paraId="7A828977" w14:textId="77777777" w:rsidR="00ED06BD" w:rsidRPr="00014F1E" w:rsidRDefault="00ED06BD" w:rsidP="00014F1E">
      <w:pPr>
        <w:tabs>
          <w:tab w:val="left" w:pos="180"/>
        </w:tabs>
        <w:spacing w:after="200" w:line="276" w:lineRule="auto"/>
        <w:jc w:val="both"/>
        <w:rPr>
          <w:bCs/>
        </w:rPr>
      </w:pPr>
      <w:r w:rsidRPr="00014F1E">
        <w:rPr>
          <w:bCs/>
        </w:rPr>
        <w:t>What is the duration of Spectrum Assignment to the mobile operators?</w:t>
      </w:r>
    </w:p>
    <w:p w14:paraId="17338057" w14:textId="2FDB6A0B" w:rsidR="00014F1E" w:rsidRDefault="00014F1E" w:rsidP="00014F1E">
      <w:pPr>
        <w:tabs>
          <w:tab w:val="left" w:pos="180"/>
        </w:tabs>
        <w:spacing w:after="200" w:line="276" w:lineRule="auto"/>
        <w:jc w:val="both"/>
        <w:rPr>
          <w:b/>
        </w:rPr>
      </w:pPr>
      <w:r>
        <w:rPr>
          <w:b/>
        </w:rPr>
        <w:t>Question 1</w:t>
      </w:r>
      <w:r w:rsidR="00771E75">
        <w:rPr>
          <w:b/>
        </w:rPr>
        <w:t>0</w:t>
      </w:r>
      <w:r>
        <w:rPr>
          <w:b/>
        </w:rPr>
        <w:t>:</w:t>
      </w:r>
    </w:p>
    <w:p w14:paraId="50BC589F" w14:textId="5F714366" w:rsidR="00ED06BD" w:rsidRPr="00014F1E" w:rsidRDefault="00ED06BD" w:rsidP="00014F1E">
      <w:pPr>
        <w:tabs>
          <w:tab w:val="left" w:pos="180"/>
        </w:tabs>
        <w:spacing w:after="200" w:line="276" w:lineRule="auto"/>
        <w:jc w:val="both"/>
        <w:rPr>
          <w:bCs/>
        </w:rPr>
      </w:pPr>
      <w:r w:rsidRPr="00014F1E">
        <w:rPr>
          <w:bCs/>
        </w:rPr>
        <w:t xml:space="preserve">Is spectrum sharing and trading allowed in your country? </w:t>
      </w:r>
    </w:p>
    <w:p w14:paraId="64A0A599" w14:textId="77777777" w:rsidR="00ED06BD" w:rsidRPr="00014F1E" w:rsidRDefault="00ED06BD" w:rsidP="00014F1E">
      <w:pPr>
        <w:pStyle w:val="ListParagraph"/>
        <w:numPr>
          <w:ilvl w:val="0"/>
          <w:numId w:val="14"/>
        </w:numPr>
        <w:tabs>
          <w:tab w:val="left" w:pos="180"/>
        </w:tabs>
        <w:ind w:left="1349"/>
        <w:jc w:val="both"/>
        <w:rPr>
          <w:bCs/>
        </w:rPr>
      </w:pPr>
      <w:r w:rsidRPr="00014F1E">
        <w:rPr>
          <w:bCs/>
        </w:rPr>
        <w:t xml:space="preserve">If yes, provide the guidelines. </w:t>
      </w:r>
    </w:p>
    <w:p w14:paraId="01FDD69F" w14:textId="77777777" w:rsidR="00ED06BD" w:rsidRPr="00014F1E" w:rsidRDefault="00ED06BD" w:rsidP="00014F1E">
      <w:pPr>
        <w:pStyle w:val="ListParagraph"/>
        <w:numPr>
          <w:ilvl w:val="0"/>
          <w:numId w:val="14"/>
        </w:numPr>
        <w:tabs>
          <w:tab w:val="left" w:pos="180"/>
        </w:tabs>
        <w:ind w:left="1349"/>
        <w:jc w:val="both"/>
        <w:rPr>
          <w:bCs/>
        </w:rPr>
      </w:pPr>
      <w:r w:rsidRPr="00014F1E">
        <w:rPr>
          <w:bCs/>
        </w:rPr>
        <w:t xml:space="preserve">If no, are there any plans </w:t>
      </w:r>
      <w:proofErr w:type="gramStart"/>
      <w:r w:rsidRPr="00014F1E">
        <w:rPr>
          <w:bCs/>
        </w:rPr>
        <w:t>in the near future</w:t>
      </w:r>
      <w:proofErr w:type="gramEnd"/>
      <w:r w:rsidRPr="00014F1E">
        <w:rPr>
          <w:bCs/>
        </w:rPr>
        <w:t>?</w:t>
      </w:r>
    </w:p>
    <w:p w14:paraId="021F44CB" w14:textId="059F0A5D" w:rsidR="00ED06BD" w:rsidRDefault="00ED06BD" w:rsidP="00014F1E">
      <w:pPr>
        <w:pStyle w:val="ListParagraph"/>
        <w:numPr>
          <w:ilvl w:val="0"/>
          <w:numId w:val="14"/>
        </w:numPr>
        <w:tabs>
          <w:tab w:val="left" w:pos="180"/>
        </w:tabs>
        <w:ind w:left="1349"/>
        <w:jc w:val="both"/>
        <w:rPr>
          <w:bCs/>
        </w:rPr>
      </w:pPr>
      <w:r w:rsidRPr="00014F1E">
        <w:rPr>
          <w:bCs/>
        </w:rPr>
        <w:lastRenderedPageBreak/>
        <w:t xml:space="preserve">Is active infrastructure sharing allowed (with or without access spectrum </w:t>
      </w:r>
      <w:proofErr w:type="gramStart"/>
      <w:r w:rsidRPr="00014F1E">
        <w:rPr>
          <w:bCs/>
        </w:rPr>
        <w:t>sharing )</w:t>
      </w:r>
      <w:proofErr w:type="gramEnd"/>
      <w:r w:rsidRPr="00014F1E">
        <w:rPr>
          <w:bCs/>
        </w:rPr>
        <w:t>?</w:t>
      </w:r>
    </w:p>
    <w:p w14:paraId="415D3779" w14:textId="77777777" w:rsidR="00014F1E" w:rsidRPr="00014F1E" w:rsidRDefault="00014F1E" w:rsidP="00014F1E">
      <w:pPr>
        <w:pStyle w:val="ListParagraph"/>
        <w:tabs>
          <w:tab w:val="left" w:pos="180"/>
        </w:tabs>
        <w:ind w:left="1349"/>
        <w:jc w:val="both"/>
        <w:rPr>
          <w:bCs/>
        </w:rPr>
      </w:pPr>
    </w:p>
    <w:p w14:paraId="3F1A1F5E" w14:textId="39DC628F" w:rsidR="00014F1E" w:rsidRPr="00014F1E" w:rsidRDefault="00014F1E" w:rsidP="00014F1E">
      <w:pPr>
        <w:tabs>
          <w:tab w:val="left" w:pos="180"/>
        </w:tabs>
        <w:spacing w:after="200" w:line="276" w:lineRule="auto"/>
        <w:jc w:val="both"/>
        <w:rPr>
          <w:b/>
          <w:bCs/>
        </w:rPr>
      </w:pPr>
      <w:r w:rsidRPr="00014F1E">
        <w:rPr>
          <w:b/>
          <w:bCs/>
        </w:rPr>
        <w:t xml:space="preserve">Question </w:t>
      </w:r>
      <w:r>
        <w:rPr>
          <w:b/>
          <w:bCs/>
        </w:rPr>
        <w:t>1</w:t>
      </w:r>
      <w:r w:rsidR="00771E75">
        <w:rPr>
          <w:b/>
          <w:bCs/>
        </w:rPr>
        <w:t>1</w:t>
      </w:r>
      <w:r w:rsidRPr="00014F1E">
        <w:rPr>
          <w:b/>
          <w:bCs/>
        </w:rPr>
        <w:t>:</w:t>
      </w:r>
    </w:p>
    <w:p w14:paraId="049EC79D" w14:textId="77777777" w:rsidR="00ED06BD" w:rsidRPr="00014F1E" w:rsidRDefault="00ED06BD" w:rsidP="00014F1E">
      <w:pPr>
        <w:tabs>
          <w:tab w:val="left" w:pos="180"/>
        </w:tabs>
        <w:spacing w:after="200" w:line="276" w:lineRule="auto"/>
        <w:jc w:val="both"/>
      </w:pPr>
      <w:r w:rsidRPr="00014F1E">
        <w:t xml:space="preserve">Is spectrum allocated on PAN-country basis or regional basis to the mobile operators?  </w:t>
      </w:r>
    </w:p>
    <w:p w14:paraId="5A5C8E6C" w14:textId="77777777" w:rsidR="00ED06BD" w:rsidRPr="00014F1E" w:rsidRDefault="00ED06BD" w:rsidP="00ED06BD">
      <w:pPr>
        <w:pStyle w:val="ListParagraph"/>
        <w:numPr>
          <w:ilvl w:val="0"/>
          <w:numId w:val="15"/>
        </w:numPr>
        <w:tabs>
          <w:tab w:val="left" w:pos="180"/>
        </w:tabs>
        <w:spacing w:after="200" w:line="276" w:lineRule="auto"/>
        <w:jc w:val="both"/>
      </w:pPr>
      <w:r w:rsidRPr="00014F1E">
        <w:t>If PAN-country basis, how many TSPs are there and how much spectrum each TSP holds.</w:t>
      </w:r>
    </w:p>
    <w:p w14:paraId="2BD0A6E2" w14:textId="77777777" w:rsidR="00ED06BD" w:rsidRPr="00014F1E" w:rsidRDefault="00ED06BD" w:rsidP="00ED06BD">
      <w:pPr>
        <w:pStyle w:val="ListParagraph"/>
        <w:numPr>
          <w:ilvl w:val="0"/>
          <w:numId w:val="15"/>
        </w:numPr>
        <w:tabs>
          <w:tab w:val="left" w:pos="180"/>
        </w:tabs>
        <w:spacing w:after="200" w:line="276" w:lineRule="auto"/>
        <w:jc w:val="both"/>
      </w:pPr>
      <w:r w:rsidRPr="00014F1E">
        <w:t>If regional basis, please complete the table below:</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122"/>
        <w:gridCol w:w="4525"/>
      </w:tblGrid>
      <w:tr w:rsidR="00ED06BD" w:rsidRPr="00014F1E" w14:paraId="72B0D59E" w14:textId="77777777" w:rsidTr="00D52058">
        <w:trPr>
          <w:trHeight w:val="170"/>
        </w:trPr>
        <w:tc>
          <w:tcPr>
            <w:tcW w:w="959" w:type="dxa"/>
            <w:shd w:val="clear" w:color="auto" w:fill="auto"/>
          </w:tcPr>
          <w:p w14:paraId="7E9EEA10" w14:textId="77777777" w:rsidR="00ED06BD" w:rsidRPr="00014F1E" w:rsidRDefault="00ED06BD" w:rsidP="00D52058">
            <w:pPr>
              <w:pStyle w:val="ListParagraph"/>
              <w:tabs>
                <w:tab w:val="left" w:pos="180"/>
              </w:tabs>
              <w:ind w:left="0"/>
              <w:jc w:val="both"/>
            </w:pPr>
            <w:r w:rsidRPr="00014F1E">
              <w:t>Region</w:t>
            </w:r>
          </w:p>
        </w:tc>
        <w:tc>
          <w:tcPr>
            <w:tcW w:w="4122" w:type="dxa"/>
            <w:shd w:val="clear" w:color="auto" w:fill="auto"/>
          </w:tcPr>
          <w:p w14:paraId="31867055" w14:textId="77777777" w:rsidR="00ED06BD" w:rsidRPr="00014F1E" w:rsidRDefault="00ED06BD" w:rsidP="00D52058">
            <w:pPr>
              <w:pStyle w:val="ListParagraph"/>
              <w:tabs>
                <w:tab w:val="left" w:pos="180"/>
              </w:tabs>
              <w:ind w:left="0"/>
              <w:jc w:val="both"/>
            </w:pPr>
            <w:r w:rsidRPr="00014F1E">
              <w:t>No. of mobile operators in the Region</w:t>
            </w:r>
          </w:p>
        </w:tc>
        <w:tc>
          <w:tcPr>
            <w:tcW w:w="4525" w:type="dxa"/>
            <w:shd w:val="clear" w:color="auto" w:fill="auto"/>
          </w:tcPr>
          <w:p w14:paraId="0D9044EC" w14:textId="77777777" w:rsidR="00ED06BD" w:rsidRPr="00014F1E" w:rsidRDefault="00ED06BD" w:rsidP="00D52058">
            <w:pPr>
              <w:pStyle w:val="ListParagraph"/>
              <w:tabs>
                <w:tab w:val="left" w:pos="180"/>
              </w:tabs>
              <w:ind w:left="0"/>
              <w:jc w:val="both"/>
            </w:pPr>
            <w:r w:rsidRPr="00014F1E">
              <w:t>Spectrum holding (in MHz) operator-wise</w:t>
            </w:r>
          </w:p>
        </w:tc>
      </w:tr>
      <w:tr w:rsidR="00ED06BD" w:rsidRPr="00014F1E" w14:paraId="4D9CB17C" w14:textId="77777777" w:rsidTr="00D52058">
        <w:tc>
          <w:tcPr>
            <w:tcW w:w="959" w:type="dxa"/>
            <w:shd w:val="clear" w:color="auto" w:fill="auto"/>
          </w:tcPr>
          <w:p w14:paraId="04FFFDF8" w14:textId="77777777" w:rsidR="00ED06BD" w:rsidRPr="00014F1E" w:rsidRDefault="00ED06BD" w:rsidP="00D52058">
            <w:pPr>
              <w:pStyle w:val="ListParagraph"/>
              <w:tabs>
                <w:tab w:val="left" w:pos="180"/>
              </w:tabs>
              <w:ind w:left="0"/>
              <w:jc w:val="both"/>
            </w:pPr>
          </w:p>
        </w:tc>
        <w:tc>
          <w:tcPr>
            <w:tcW w:w="4122" w:type="dxa"/>
            <w:shd w:val="clear" w:color="auto" w:fill="auto"/>
          </w:tcPr>
          <w:p w14:paraId="6BBED866" w14:textId="77777777" w:rsidR="00ED06BD" w:rsidRPr="00014F1E" w:rsidRDefault="00ED06BD" w:rsidP="00D52058">
            <w:pPr>
              <w:pStyle w:val="ListParagraph"/>
              <w:tabs>
                <w:tab w:val="left" w:pos="180"/>
              </w:tabs>
              <w:ind w:left="0"/>
              <w:jc w:val="both"/>
            </w:pPr>
          </w:p>
        </w:tc>
        <w:tc>
          <w:tcPr>
            <w:tcW w:w="4525" w:type="dxa"/>
            <w:shd w:val="clear" w:color="auto" w:fill="auto"/>
          </w:tcPr>
          <w:p w14:paraId="1380C1EF" w14:textId="77777777" w:rsidR="00ED06BD" w:rsidRPr="00014F1E" w:rsidRDefault="00ED06BD" w:rsidP="00D52058">
            <w:pPr>
              <w:pStyle w:val="ListParagraph"/>
              <w:tabs>
                <w:tab w:val="left" w:pos="180"/>
              </w:tabs>
              <w:ind w:left="0"/>
              <w:jc w:val="both"/>
            </w:pPr>
          </w:p>
        </w:tc>
      </w:tr>
      <w:tr w:rsidR="00ED06BD" w:rsidRPr="00014F1E" w14:paraId="21EFB144" w14:textId="77777777" w:rsidTr="00D52058">
        <w:tc>
          <w:tcPr>
            <w:tcW w:w="959" w:type="dxa"/>
            <w:shd w:val="clear" w:color="auto" w:fill="auto"/>
          </w:tcPr>
          <w:p w14:paraId="0F51BCB7" w14:textId="77777777" w:rsidR="00ED06BD" w:rsidRPr="00014F1E" w:rsidRDefault="00ED06BD" w:rsidP="00D52058">
            <w:pPr>
              <w:pStyle w:val="ListParagraph"/>
              <w:tabs>
                <w:tab w:val="left" w:pos="180"/>
              </w:tabs>
              <w:ind w:left="0"/>
              <w:jc w:val="both"/>
            </w:pPr>
          </w:p>
        </w:tc>
        <w:tc>
          <w:tcPr>
            <w:tcW w:w="4122" w:type="dxa"/>
            <w:shd w:val="clear" w:color="auto" w:fill="auto"/>
          </w:tcPr>
          <w:p w14:paraId="4DC163B7" w14:textId="77777777" w:rsidR="00ED06BD" w:rsidRPr="00014F1E" w:rsidRDefault="00ED06BD" w:rsidP="00D52058">
            <w:pPr>
              <w:pStyle w:val="ListParagraph"/>
              <w:tabs>
                <w:tab w:val="left" w:pos="180"/>
              </w:tabs>
              <w:ind w:left="0"/>
              <w:jc w:val="both"/>
            </w:pPr>
          </w:p>
        </w:tc>
        <w:tc>
          <w:tcPr>
            <w:tcW w:w="4525" w:type="dxa"/>
            <w:shd w:val="clear" w:color="auto" w:fill="auto"/>
          </w:tcPr>
          <w:p w14:paraId="0F1B35E8" w14:textId="77777777" w:rsidR="00ED06BD" w:rsidRPr="00014F1E" w:rsidRDefault="00ED06BD" w:rsidP="00D52058">
            <w:pPr>
              <w:pStyle w:val="ListParagraph"/>
              <w:tabs>
                <w:tab w:val="left" w:pos="180"/>
              </w:tabs>
              <w:ind w:left="0"/>
              <w:jc w:val="both"/>
            </w:pPr>
          </w:p>
        </w:tc>
      </w:tr>
      <w:tr w:rsidR="00ED06BD" w:rsidRPr="00014F1E" w14:paraId="5ACC122E" w14:textId="77777777" w:rsidTr="00D52058">
        <w:tc>
          <w:tcPr>
            <w:tcW w:w="959" w:type="dxa"/>
            <w:shd w:val="clear" w:color="auto" w:fill="auto"/>
          </w:tcPr>
          <w:p w14:paraId="03704916" w14:textId="77777777" w:rsidR="00ED06BD" w:rsidRPr="00014F1E" w:rsidRDefault="00ED06BD" w:rsidP="00D52058">
            <w:pPr>
              <w:pStyle w:val="ListParagraph"/>
              <w:tabs>
                <w:tab w:val="left" w:pos="180"/>
              </w:tabs>
              <w:ind w:left="0"/>
              <w:jc w:val="both"/>
            </w:pPr>
          </w:p>
        </w:tc>
        <w:tc>
          <w:tcPr>
            <w:tcW w:w="4122" w:type="dxa"/>
            <w:shd w:val="clear" w:color="auto" w:fill="auto"/>
          </w:tcPr>
          <w:p w14:paraId="05B07A22" w14:textId="77777777" w:rsidR="00ED06BD" w:rsidRPr="00014F1E" w:rsidRDefault="00ED06BD" w:rsidP="00D52058">
            <w:pPr>
              <w:pStyle w:val="ListParagraph"/>
              <w:tabs>
                <w:tab w:val="left" w:pos="180"/>
              </w:tabs>
              <w:ind w:left="0"/>
              <w:jc w:val="both"/>
            </w:pPr>
          </w:p>
        </w:tc>
        <w:tc>
          <w:tcPr>
            <w:tcW w:w="4525" w:type="dxa"/>
            <w:shd w:val="clear" w:color="auto" w:fill="auto"/>
          </w:tcPr>
          <w:p w14:paraId="5E4A131C" w14:textId="77777777" w:rsidR="00ED06BD" w:rsidRPr="00014F1E" w:rsidRDefault="00ED06BD" w:rsidP="00D52058">
            <w:pPr>
              <w:pStyle w:val="ListParagraph"/>
              <w:tabs>
                <w:tab w:val="left" w:pos="180"/>
              </w:tabs>
              <w:ind w:left="0"/>
              <w:jc w:val="both"/>
            </w:pPr>
          </w:p>
        </w:tc>
      </w:tr>
    </w:tbl>
    <w:p w14:paraId="61E255F6" w14:textId="22AD0D85" w:rsidR="00ED06BD" w:rsidRDefault="00ED06BD" w:rsidP="00386A8B">
      <w:pPr>
        <w:tabs>
          <w:tab w:val="left" w:pos="180"/>
        </w:tabs>
        <w:jc w:val="both"/>
        <w:rPr>
          <w:b/>
        </w:rPr>
      </w:pPr>
    </w:p>
    <w:p w14:paraId="027A14D6" w14:textId="49CBBF40" w:rsidR="00386A8B" w:rsidRPr="00014F1E" w:rsidRDefault="00386A8B" w:rsidP="00386A8B">
      <w:pPr>
        <w:tabs>
          <w:tab w:val="left" w:pos="180"/>
        </w:tabs>
        <w:spacing w:after="200" w:line="276" w:lineRule="auto"/>
        <w:jc w:val="both"/>
        <w:rPr>
          <w:b/>
          <w:bCs/>
        </w:rPr>
      </w:pPr>
      <w:r w:rsidRPr="00014F1E">
        <w:rPr>
          <w:b/>
          <w:bCs/>
        </w:rPr>
        <w:t xml:space="preserve">Question </w:t>
      </w:r>
      <w:r>
        <w:rPr>
          <w:b/>
          <w:bCs/>
        </w:rPr>
        <w:t>1</w:t>
      </w:r>
      <w:r w:rsidR="00771E75">
        <w:rPr>
          <w:b/>
          <w:bCs/>
        </w:rPr>
        <w:t>2</w:t>
      </w:r>
      <w:r w:rsidRPr="00014F1E">
        <w:rPr>
          <w:b/>
          <w:bCs/>
        </w:rPr>
        <w:t>:</w:t>
      </w:r>
    </w:p>
    <w:p w14:paraId="4308A3BF" w14:textId="77777777" w:rsidR="00ED06BD" w:rsidRPr="00386A8B" w:rsidRDefault="00ED06BD" w:rsidP="00386A8B">
      <w:pPr>
        <w:tabs>
          <w:tab w:val="left" w:pos="180"/>
        </w:tabs>
        <w:spacing w:after="200" w:line="276" w:lineRule="auto"/>
        <w:jc w:val="both"/>
        <w:rPr>
          <w:bCs/>
        </w:rPr>
      </w:pPr>
      <w:r w:rsidRPr="00386A8B">
        <w:rPr>
          <w:bCs/>
        </w:rPr>
        <w:t>Do you have any policy/regulation regarding spectrum re-farming? If yes, please describe.</w:t>
      </w:r>
    </w:p>
    <w:p w14:paraId="266CE411" w14:textId="2435D0D3" w:rsidR="00386A8B" w:rsidRPr="00014F1E" w:rsidRDefault="00386A8B" w:rsidP="00386A8B">
      <w:pPr>
        <w:tabs>
          <w:tab w:val="left" w:pos="180"/>
        </w:tabs>
        <w:spacing w:after="200" w:line="276" w:lineRule="auto"/>
        <w:jc w:val="both"/>
        <w:rPr>
          <w:b/>
          <w:bCs/>
        </w:rPr>
      </w:pPr>
      <w:r w:rsidRPr="00014F1E">
        <w:rPr>
          <w:b/>
          <w:bCs/>
        </w:rPr>
        <w:t xml:space="preserve">Question </w:t>
      </w:r>
      <w:r>
        <w:rPr>
          <w:b/>
          <w:bCs/>
        </w:rPr>
        <w:t>1</w:t>
      </w:r>
      <w:r w:rsidR="00771E75">
        <w:rPr>
          <w:b/>
          <w:bCs/>
        </w:rPr>
        <w:t>3</w:t>
      </w:r>
      <w:r w:rsidRPr="00014F1E">
        <w:rPr>
          <w:b/>
          <w:bCs/>
        </w:rPr>
        <w:t>:</w:t>
      </w:r>
    </w:p>
    <w:p w14:paraId="3D7EA703" w14:textId="77777777" w:rsidR="00ED06BD" w:rsidRPr="00386A8B" w:rsidRDefault="00ED06BD" w:rsidP="00386A8B">
      <w:pPr>
        <w:tabs>
          <w:tab w:val="left" w:pos="180"/>
        </w:tabs>
        <w:jc w:val="both"/>
        <w:rPr>
          <w:bCs/>
        </w:rPr>
      </w:pPr>
      <w:r w:rsidRPr="00386A8B">
        <w:rPr>
          <w:bCs/>
        </w:rPr>
        <w:t xml:space="preserve">Has the spectrum re-farming been undertaken in your country? If yes, </w:t>
      </w:r>
    </w:p>
    <w:p w14:paraId="3ED9E2A6" w14:textId="77777777" w:rsidR="00ED06BD" w:rsidRPr="00386A8B" w:rsidRDefault="00ED06BD" w:rsidP="00386A8B">
      <w:pPr>
        <w:pStyle w:val="ListParagraph"/>
        <w:numPr>
          <w:ilvl w:val="0"/>
          <w:numId w:val="16"/>
        </w:numPr>
        <w:tabs>
          <w:tab w:val="left" w:pos="180"/>
        </w:tabs>
        <w:ind w:hanging="371"/>
        <w:jc w:val="both"/>
        <w:rPr>
          <w:bCs/>
        </w:rPr>
      </w:pPr>
      <w:r w:rsidRPr="00386A8B">
        <w:rPr>
          <w:bCs/>
        </w:rPr>
        <w:t>Please specify the bands and methodology of re-farming?</w:t>
      </w:r>
    </w:p>
    <w:p w14:paraId="47D8DBDC" w14:textId="77777777" w:rsidR="00ED06BD" w:rsidRPr="00386A8B" w:rsidRDefault="00ED06BD" w:rsidP="00386A8B">
      <w:pPr>
        <w:pStyle w:val="ListParagraph"/>
        <w:numPr>
          <w:ilvl w:val="0"/>
          <w:numId w:val="16"/>
        </w:numPr>
        <w:tabs>
          <w:tab w:val="left" w:pos="180"/>
        </w:tabs>
        <w:ind w:hanging="371"/>
        <w:jc w:val="both"/>
        <w:rPr>
          <w:bCs/>
        </w:rPr>
      </w:pPr>
      <w:r w:rsidRPr="00386A8B">
        <w:rPr>
          <w:bCs/>
        </w:rPr>
        <w:t>Please specify how your country has benefitted from spectrum re-farming (within own assigned spectrum) for transitioning to Mobile Broadband?</w:t>
      </w:r>
    </w:p>
    <w:p w14:paraId="657773CA" w14:textId="796F609C" w:rsidR="00ED06BD" w:rsidRDefault="00ED06BD" w:rsidP="00386A8B">
      <w:pPr>
        <w:pStyle w:val="ListParagraph"/>
        <w:numPr>
          <w:ilvl w:val="0"/>
          <w:numId w:val="16"/>
        </w:numPr>
        <w:tabs>
          <w:tab w:val="left" w:pos="180"/>
        </w:tabs>
        <w:ind w:hanging="371"/>
        <w:jc w:val="both"/>
        <w:rPr>
          <w:bCs/>
        </w:rPr>
      </w:pPr>
      <w:r w:rsidRPr="00386A8B">
        <w:rPr>
          <w:bCs/>
        </w:rPr>
        <w:t>How has your country benefitted from spectrum re-farming? Please specify.</w:t>
      </w:r>
    </w:p>
    <w:p w14:paraId="46276696" w14:textId="6B5FA738" w:rsidR="00386A8B" w:rsidRDefault="00386A8B" w:rsidP="00386A8B">
      <w:pPr>
        <w:tabs>
          <w:tab w:val="left" w:pos="180"/>
        </w:tabs>
        <w:jc w:val="both"/>
        <w:rPr>
          <w:bCs/>
        </w:rPr>
      </w:pPr>
    </w:p>
    <w:p w14:paraId="212A81F4" w14:textId="68D70A42" w:rsidR="00386A8B" w:rsidRPr="00014F1E" w:rsidRDefault="00386A8B" w:rsidP="00386A8B">
      <w:pPr>
        <w:tabs>
          <w:tab w:val="left" w:pos="180"/>
        </w:tabs>
        <w:spacing w:after="200" w:line="276" w:lineRule="auto"/>
        <w:jc w:val="both"/>
        <w:rPr>
          <w:b/>
          <w:bCs/>
        </w:rPr>
      </w:pPr>
      <w:r w:rsidRPr="00014F1E">
        <w:rPr>
          <w:b/>
          <w:bCs/>
        </w:rPr>
        <w:t xml:space="preserve">Question </w:t>
      </w:r>
      <w:r>
        <w:rPr>
          <w:b/>
          <w:bCs/>
        </w:rPr>
        <w:t>1</w:t>
      </w:r>
      <w:r w:rsidR="00771E75">
        <w:rPr>
          <w:b/>
          <w:bCs/>
        </w:rPr>
        <w:t>4</w:t>
      </w:r>
      <w:bookmarkStart w:id="0" w:name="_GoBack"/>
      <w:bookmarkEnd w:id="0"/>
      <w:r w:rsidRPr="00014F1E">
        <w:rPr>
          <w:b/>
          <w:bCs/>
        </w:rPr>
        <w:t>:</w:t>
      </w:r>
    </w:p>
    <w:p w14:paraId="32A209AA" w14:textId="77777777" w:rsidR="00ED06BD" w:rsidRPr="00386A8B" w:rsidRDefault="00ED06BD" w:rsidP="00386A8B">
      <w:pPr>
        <w:tabs>
          <w:tab w:val="left" w:pos="180"/>
        </w:tabs>
        <w:spacing w:after="200" w:line="276" w:lineRule="auto"/>
        <w:jc w:val="both"/>
        <w:rPr>
          <w:bCs/>
        </w:rPr>
      </w:pPr>
      <w:r w:rsidRPr="00386A8B">
        <w:rPr>
          <w:bCs/>
        </w:rPr>
        <w:t>Please provide any additional information on the topic, if not covered above.</w:t>
      </w:r>
    </w:p>
    <w:sectPr w:rsidR="00ED06BD" w:rsidRPr="00386A8B" w:rsidSect="007A3E29">
      <w:headerReference w:type="default" r:id="rId8"/>
      <w:footerReference w:type="even" r:id="rId9"/>
      <w:footerReference w:type="first" r:id="rId1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DDAF6" w14:textId="77777777" w:rsidR="00C813F2" w:rsidRDefault="00C813F2">
      <w:r>
        <w:separator/>
      </w:r>
    </w:p>
  </w:endnote>
  <w:endnote w:type="continuationSeparator" w:id="0">
    <w:p w14:paraId="246D4197" w14:textId="77777777" w:rsidR="00C813F2" w:rsidRDefault="00C8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034D"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192AA60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FAD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8FEE" w14:textId="77777777" w:rsidR="00C813F2" w:rsidRDefault="00C813F2">
      <w:r>
        <w:separator/>
      </w:r>
    </w:p>
  </w:footnote>
  <w:footnote w:type="continuationSeparator" w:id="0">
    <w:p w14:paraId="1062EA9F" w14:textId="77777777" w:rsidR="00C813F2" w:rsidRDefault="00C8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3AE4" w14:textId="77777777" w:rsidR="007E1FDD" w:rsidRDefault="007E1FDD" w:rsidP="008E3821">
    <w:pPr>
      <w:pStyle w:val="Header"/>
      <w:tabs>
        <w:tab w:val="clear" w:pos="4320"/>
        <w:tab w:val="clear" w:pos="8640"/>
      </w:tabs>
      <w:rPr>
        <w:lang w:eastAsia="ko-KR"/>
      </w:rPr>
    </w:pPr>
  </w:p>
  <w:p w14:paraId="52C4F39A"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D1A69"/>
    <w:multiLevelType w:val="hybridMultilevel"/>
    <w:tmpl w:val="48428C04"/>
    <w:lvl w:ilvl="0" w:tplc="3A8695A4">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 w15:restartNumberingAfterBreak="0">
    <w:nsid w:val="0CB832ED"/>
    <w:multiLevelType w:val="hybridMultilevel"/>
    <w:tmpl w:val="4AE81618"/>
    <w:lvl w:ilvl="0" w:tplc="4F92FE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35557F8"/>
    <w:multiLevelType w:val="hybridMultilevel"/>
    <w:tmpl w:val="1940E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0616D"/>
    <w:multiLevelType w:val="hybridMultilevel"/>
    <w:tmpl w:val="E3388E7E"/>
    <w:lvl w:ilvl="0" w:tplc="440281FA">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2" w15:restartNumberingAfterBreak="0">
    <w:nsid w:val="59572ECA"/>
    <w:multiLevelType w:val="hybridMultilevel"/>
    <w:tmpl w:val="88CA5150"/>
    <w:lvl w:ilvl="0" w:tplc="E780A554">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C5292"/>
    <w:multiLevelType w:val="hybridMultilevel"/>
    <w:tmpl w:val="E5BC2226"/>
    <w:lvl w:ilvl="0" w:tplc="809A1248">
      <w:start w:val="1"/>
      <w:numFmt w:val="bullet"/>
      <w:lvlText w:val=""/>
      <w:lvlJc w:val="left"/>
      <w:pPr>
        <w:tabs>
          <w:tab w:val="num" w:pos="720"/>
        </w:tabs>
        <w:ind w:left="720" w:hanging="360"/>
      </w:pPr>
      <w:rPr>
        <w:rFonts w:ascii="Wingdings" w:hAnsi="Wingdings" w:hint="default"/>
      </w:rPr>
    </w:lvl>
    <w:lvl w:ilvl="1" w:tplc="CD6AEBB2" w:tentative="1">
      <w:start w:val="1"/>
      <w:numFmt w:val="bullet"/>
      <w:lvlText w:val=""/>
      <w:lvlJc w:val="left"/>
      <w:pPr>
        <w:tabs>
          <w:tab w:val="num" w:pos="1440"/>
        </w:tabs>
        <w:ind w:left="1440" w:hanging="360"/>
      </w:pPr>
      <w:rPr>
        <w:rFonts w:ascii="Wingdings" w:hAnsi="Wingdings" w:hint="default"/>
      </w:rPr>
    </w:lvl>
    <w:lvl w:ilvl="2" w:tplc="C2AE40CE" w:tentative="1">
      <w:start w:val="1"/>
      <w:numFmt w:val="bullet"/>
      <w:lvlText w:val=""/>
      <w:lvlJc w:val="left"/>
      <w:pPr>
        <w:tabs>
          <w:tab w:val="num" w:pos="2160"/>
        </w:tabs>
        <w:ind w:left="2160" w:hanging="360"/>
      </w:pPr>
      <w:rPr>
        <w:rFonts w:ascii="Wingdings" w:hAnsi="Wingdings" w:hint="default"/>
      </w:rPr>
    </w:lvl>
    <w:lvl w:ilvl="3" w:tplc="862489DC" w:tentative="1">
      <w:start w:val="1"/>
      <w:numFmt w:val="bullet"/>
      <w:lvlText w:val=""/>
      <w:lvlJc w:val="left"/>
      <w:pPr>
        <w:tabs>
          <w:tab w:val="num" w:pos="2880"/>
        </w:tabs>
        <w:ind w:left="2880" w:hanging="360"/>
      </w:pPr>
      <w:rPr>
        <w:rFonts w:ascii="Wingdings" w:hAnsi="Wingdings" w:hint="default"/>
      </w:rPr>
    </w:lvl>
    <w:lvl w:ilvl="4" w:tplc="635A0F1E" w:tentative="1">
      <w:start w:val="1"/>
      <w:numFmt w:val="bullet"/>
      <w:lvlText w:val=""/>
      <w:lvlJc w:val="left"/>
      <w:pPr>
        <w:tabs>
          <w:tab w:val="num" w:pos="3600"/>
        </w:tabs>
        <w:ind w:left="3600" w:hanging="360"/>
      </w:pPr>
      <w:rPr>
        <w:rFonts w:ascii="Wingdings" w:hAnsi="Wingdings" w:hint="default"/>
      </w:rPr>
    </w:lvl>
    <w:lvl w:ilvl="5" w:tplc="42B0E2D2" w:tentative="1">
      <w:start w:val="1"/>
      <w:numFmt w:val="bullet"/>
      <w:lvlText w:val=""/>
      <w:lvlJc w:val="left"/>
      <w:pPr>
        <w:tabs>
          <w:tab w:val="num" w:pos="4320"/>
        </w:tabs>
        <w:ind w:left="4320" w:hanging="360"/>
      </w:pPr>
      <w:rPr>
        <w:rFonts w:ascii="Wingdings" w:hAnsi="Wingdings" w:hint="default"/>
      </w:rPr>
    </w:lvl>
    <w:lvl w:ilvl="6" w:tplc="5846F6B0" w:tentative="1">
      <w:start w:val="1"/>
      <w:numFmt w:val="bullet"/>
      <w:lvlText w:val=""/>
      <w:lvlJc w:val="left"/>
      <w:pPr>
        <w:tabs>
          <w:tab w:val="num" w:pos="5040"/>
        </w:tabs>
        <w:ind w:left="5040" w:hanging="360"/>
      </w:pPr>
      <w:rPr>
        <w:rFonts w:ascii="Wingdings" w:hAnsi="Wingdings" w:hint="default"/>
      </w:rPr>
    </w:lvl>
    <w:lvl w:ilvl="7" w:tplc="4B9AB4A0" w:tentative="1">
      <w:start w:val="1"/>
      <w:numFmt w:val="bullet"/>
      <w:lvlText w:val=""/>
      <w:lvlJc w:val="left"/>
      <w:pPr>
        <w:tabs>
          <w:tab w:val="num" w:pos="5760"/>
        </w:tabs>
        <w:ind w:left="5760" w:hanging="360"/>
      </w:pPr>
      <w:rPr>
        <w:rFonts w:ascii="Wingdings" w:hAnsi="Wingdings" w:hint="default"/>
      </w:rPr>
    </w:lvl>
    <w:lvl w:ilvl="8" w:tplc="F82660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6"/>
  </w:num>
  <w:num w:numId="3">
    <w:abstractNumId w:val="5"/>
  </w:num>
  <w:num w:numId="4">
    <w:abstractNumId w:val="13"/>
  </w:num>
  <w:num w:numId="5">
    <w:abstractNumId w:val="7"/>
  </w:num>
  <w:num w:numId="6">
    <w:abstractNumId w:val="9"/>
  </w:num>
  <w:num w:numId="7">
    <w:abstractNumId w:val="4"/>
  </w:num>
  <w:num w:numId="8">
    <w:abstractNumId w:val="3"/>
  </w:num>
  <w:num w:numId="9">
    <w:abstractNumId w:val="16"/>
  </w:num>
  <w:num w:numId="10">
    <w:abstractNumId w:val="0"/>
  </w:num>
  <w:num w:numId="11">
    <w:abstractNumId w:val="14"/>
  </w:num>
  <w:num w:numId="12">
    <w:abstractNumId w:val="10"/>
  </w:num>
  <w:num w:numId="13">
    <w:abstractNumId w:val="12"/>
  </w:num>
  <w:num w:numId="14">
    <w:abstractNumId w:val="1"/>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G1MLYwNDE2MrKwNDRR0lEKTi0uzszPAykwqgUAyTZv0SwAAAA="/>
  </w:docVars>
  <w:rsids>
    <w:rsidRoot w:val="00C15633"/>
    <w:rsid w:val="00014F1E"/>
    <w:rsid w:val="00024BAF"/>
    <w:rsid w:val="0003595B"/>
    <w:rsid w:val="000713CF"/>
    <w:rsid w:val="00075C14"/>
    <w:rsid w:val="00094B87"/>
    <w:rsid w:val="000A5418"/>
    <w:rsid w:val="000B1E8C"/>
    <w:rsid w:val="000D7C75"/>
    <w:rsid w:val="000F517C"/>
    <w:rsid w:val="000F5540"/>
    <w:rsid w:val="00133947"/>
    <w:rsid w:val="001539DD"/>
    <w:rsid w:val="00164353"/>
    <w:rsid w:val="001874C0"/>
    <w:rsid w:val="00196568"/>
    <w:rsid w:val="001A2F16"/>
    <w:rsid w:val="001B18C2"/>
    <w:rsid w:val="001D5D7E"/>
    <w:rsid w:val="001F5947"/>
    <w:rsid w:val="0021133C"/>
    <w:rsid w:val="0021588B"/>
    <w:rsid w:val="002216AC"/>
    <w:rsid w:val="00230738"/>
    <w:rsid w:val="00241BCF"/>
    <w:rsid w:val="00254A1B"/>
    <w:rsid w:val="0028045B"/>
    <w:rsid w:val="00283520"/>
    <w:rsid w:val="0028454D"/>
    <w:rsid w:val="00286912"/>
    <w:rsid w:val="00291C9E"/>
    <w:rsid w:val="002926D4"/>
    <w:rsid w:val="002C07DA"/>
    <w:rsid w:val="002C7EA9"/>
    <w:rsid w:val="00342F20"/>
    <w:rsid w:val="003540E0"/>
    <w:rsid w:val="003548C2"/>
    <w:rsid w:val="003809C7"/>
    <w:rsid w:val="00386A8B"/>
    <w:rsid w:val="003B03B2"/>
    <w:rsid w:val="003B6263"/>
    <w:rsid w:val="003C64A7"/>
    <w:rsid w:val="003D09B1"/>
    <w:rsid w:val="003D25E1"/>
    <w:rsid w:val="003D3FDA"/>
    <w:rsid w:val="00420822"/>
    <w:rsid w:val="00433392"/>
    <w:rsid w:val="00444170"/>
    <w:rsid w:val="0045458F"/>
    <w:rsid w:val="004633B4"/>
    <w:rsid w:val="00470568"/>
    <w:rsid w:val="004854EE"/>
    <w:rsid w:val="004B3553"/>
    <w:rsid w:val="00530E8C"/>
    <w:rsid w:val="00545933"/>
    <w:rsid w:val="0054610B"/>
    <w:rsid w:val="00557544"/>
    <w:rsid w:val="005606F6"/>
    <w:rsid w:val="005619C2"/>
    <w:rsid w:val="00577C0A"/>
    <w:rsid w:val="00587875"/>
    <w:rsid w:val="005C5EB6"/>
    <w:rsid w:val="005D6B2F"/>
    <w:rsid w:val="00607E2B"/>
    <w:rsid w:val="00610C48"/>
    <w:rsid w:val="006139D6"/>
    <w:rsid w:val="00623CE1"/>
    <w:rsid w:val="0063062B"/>
    <w:rsid w:val="006356EC"/>
    <w:rsid w:val="00667229"/>
    <w:rsid w:val="0067067A"/>
    <w:rsid w:val="006769C2"/>
    <w:rsid w:val="00682BE5"/>
    <w:rsid w:val="00690FED"/>
    <w:rsid w:val="006939A5"/>
    <w:rsid w:val="006E12FC"/>
    <w:rsid w:val="006E6E57"/>
    <w:rsid w:val="00712451"/>
    <w:rsid w:val="00731041"/>
    <w:rsid w:val="00732F08"/>
    <w:rsid w:val="0074190C"/>
    <w:rsid w:val="007467F6"/>
    <w:rsid w:val="00762576"/>
    <w:rsid w:val="00771E75"/>
    <w:rsid w:val="00791060"/>
    <w:rsid w:val="00795CF8"/>
    <w:rsid w:val="007A3E29"/>
    <w:rsid w:val="007B5626"/>
    <w:rsid w:val="007E1FDD"/>
    <w:rsid w:val="007E7497"/>
    <w:rsid w:val="007F08FF"/>
    <w:rsid w:val="007F49D9"/>
    <w:rsid w:val="0080570B"/>
    <w:rsid w:val="008148E1"/>
    <w:rsid w:val="00817CE7"/>
    <w:rsid w:val="008319BF"/>
    <w:rsid w:val="008337EA"/>
    <w:rsid w:val="008950FB"/>
    <w:rsid w:val="008A5EEE"/>
    <w:rsid w:val="008C319C"/>
    <w:rsid w:val="008D0E09"/>
    <w:rsid w:val="008E3821"/>
    <w:rsid w:val="008E6FD1"/>
    <w:rsid w:val="00962FFC"/>
    <w:rsid w:val="0097693B"/>
    <w:rsid w:val="009770DA"/>
    <w:rsid w:val="0099206E"/>
    <w:rsid w:val="00993355"/>
    <w:rsid w:val="009A4A6D"/>
    <w:rsid w:val="009B1C58"/>
    <w:rsid w:val="00A013A3"/>
    <w:rsid w:val="00A0503B"/>
    <w:rsid w:val="00A13265"/>
    <w:rsid w:val="00A55CC7"/>
    <w:rsid w:val="00A71136"/>
    <w:rsid w:val="00AA2D8E"/>
    <w:rsid w:val="00AA474C"/>
    <w:rsid w:val="00AD7E5F"/>
    <w:rsid w:val="00AE32C1"/>
    <w:rsid w:val="00B01AA1"/>
    <w:rsid w:val="00B30C81"/>
    <w:rsid w:val="00B3474C"/>
    <w:rsid w:val="00B439FC"/>
    <w:rsid w:val="00B4793B"/>
    <w:rsid w:val="00BC7506"/>
    <w:rsid w:val="00C15633"/>
    <w:rsid w:val="00C15799"/>
    <w:rsid w:val="00C20F4D"/>
    <w:rsid w:val="00C357AD"/>
    <w:rsid w:val="00C6069C"/>
    <w:rsid w:val="00C813F2"/>
    <w:rsid w:val="00C85119"/>
    <w:rsid w:val="00CB2C89"/>
    <w:rsid w:val="00CD5431"/>
    <w:rsid w:val="00CF2491"/>
    <w:rsid w:val="00D1252E"/>
    <w:rsid w:val="00D51162"/>
    <w:rsid w:val="00D57772"/>
    <w:rsid w:val="00D65135"/>
    <w:rsid w:val="00D671D3"/>
    <w:rsid w:val="00D72AE3"/>
    <w:rsid w:val="00D75A4D"/>
    <w:rsid w:val="00D8478B"/>
    <w:rsid w:val="00D86151"/>
    <w:rsid w:val="00DA7595"/>
    <w:rsid w:val="00DB0A68"/>
    <w:rsid w:val="00DC1F72"/>
    <w:rsid w:val="00DC43A3"/>
    <w:rsid w:val="00DD7C09"/>
    <w:rsid w:val="00DF791C"/>
    <w:rsid w:val="00E0124F"/>
    <w:rsid w:val="00E23809"/>
    <w:rsid w:val="00E545D9"/>
    <w:rsid w:val="00E65FC2"/>
    <w:rsid w:val="00E674D3"/>
    <w:rsid w:val="00E70FD0"/>
    <w:rsid w:val="00E80263"/>
    <w:rsid w:val="00E97330"/>
    <w:rsid w:val="00EA7027"/>
    <w:rsid w:val="00ED06BD"/>
    <w:rsid w:val="00F177A2"/>
    <w:rsid w:val="00F27A79"/>
    <w:rsid w:val="00F55EE0"/>
    <w:rsid w:val="00F625FF"/>
    <w:rsid w:val="00F84067"/>
    <w:rsid w:val="00F871F5"/>
    <w:rsid w:val="00FB4EC0"/>
    <w:rsid w:val="00FC156A"/>
    <w:rsid w:val="00FD45EC"/>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82FE9"/>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TRAI IT</cp:lastModifiedBy>
  <cp:revision>3</cp:revision>
  <cp:lastPrinted>2019-06-07T02:22:00Z</cp:lastPrinted>
  <dcterms:created xsi:type="dcterms:W3CDTF">2019-10-09T05:00:00Z</dcterms:created>
  <dcterms:modified xsi:type="dcterms:W3CDTF">2019-10-09T05:01:00Z</dcterms:modified>
</cp:coreProperties>
</file>