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531"/>
        <w:gridCol w:w="2799"/>
      </w:tblGrid>
      <w:tr w:rsidR="00A55CC7" w:rsidRPr="00A55CC7" w14:paraId="012D3470" w14:textId="77777777" w:rsidTr="00FA7CEC">
        <w:trPr>
          <w:cantSplit/>
        </w:trPr>
        <w:tc>
          <w:tcPr>
            <w:tcW w:w="1399" w:type="dxa"/>
            <w:vMerge w:val="restart"/>
          </w:tcPr>
          <w:p w14:paraId="1890E8A7" w14:textId="77777777" w:rsidR="00A55CC7" w:rsidRPr="00A55CC7" w:rsidRDefault="00A55CC7" w:rsidP="00A55CC7">
            <w:pPr>
              <w:widowControl w:val="0"/>
              <w:wordWrap w:val="0"/>
              <w:jc w:val="both"/>
              <w:rPr>
                <w:kern w:val="2"/>
                <w:lang w:eastAsia="ko-KR"/>
              </w:rPr>
            </w:pPr>
            <w:r w:rsidRPr="00A55CC7">
              <w:rPr>
                <w:noProof/>
                <w:kern w:val="2"/>
              </w:rPr>
              <w:drawing>
                <wp:inline distT="0" distB="0" distL="0" distR="0" wp14:anchorId="4D407632" wp14:editId="3D033ED8">
                  <wp:extent cx="762000" cy="714375"/>
                  <wp:effectExtent l="0" t="0" r="0" b="9525"/>
                  <wp:docPr id="5" name="Picture 5"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531" w:type="dxa"/>
          </w:tcPr>
          <w:p w14:paraId="0A3A12EE" w14:textId="77777777" w:rsidR="00A55CC7" w:rsidRPr="00A55CC7" w:rsidRDefault="00A55CC7" w:rsidP="00A55CC7">
            <w:pPr>
              <w:keepNext/>
              <w:widowControl w:val="0"/>
              <w:wordWrap w:val="0"/>
              <w:spacing w:line="276" w:lineRule="auto"/>
              <w:jc w:val="both"/>
              <w:outlineLvl w:val="7"/>
              <w:rPr>
                <w:bCs/>
                <w:kern w:val="2"/>
                <w:lang w:eastAsia="ko-KR"/>
              </w:rPr>
            </w:pPr>
            <w:r w:rsidRPr="00A55CC7">
              <w:rPr>
                <w:bCs/>
                <w:kern w:val="2"/>
                <w:lang w:eastAsia="ko-KR"/>
              </w:rPr>
              <w:t>ASIA-PACIFIC TELECOMMUNITY</w:t>
            </w:r>
          </w:p>
        </w:tc>
        <w:tc>
          <w:tcPr>
            <w:tcW w:w="2799" w:type="dxa"/>
          </w:tcPr>
          <w:p w14:paraId="70F4FA24" w14:textId="77777777" w:rsidR="00A55CC7" w:rsidRPr="00A55CC7" w:rsidRDefault="00A55CC7" w:rsidP="00A55CC7">
            <w:pPr>
              <w:rPr>
                <w:b/>
              </w:rPr>
            </w:pPr>
            <w:r w:rsidRPr="00A55CC7">
              <w:rPr>
                <w:b/>
              </w:rPr>
              <w:t>Document:</w:t>
            </w:r>
          </w:p>
        </w:tc>
      </w:tr>
      <w:tr w:rsidR="00A55CC7" w:rsidRPr="00A55CC7" w14:paraId="1DA08CE0" w14:textId="77777777" w:rsidTr="00FA7CEC">
        <w:trPr>
          <w:cantSplit/>
        </w:trPr>
        <w:tc>
          <w:tcPr>
            <w:tcW w:w="1399" w:type="dxa"/>
            <w:vMerge/>
          </w:tcPr>
          <w:p w14:paraId="3E415BD1" w14:textId="77777777" w:rsidR="00A55CC7" w:rsidRPr="00A55CC7" w:rsidRDefault="00A55CC7" w:rsidP="00A55CC7"/>
        </w:tc>
        <w:tc>
          <w:tcPr>
            <w:tcW w:w="5531" w:type="dxa"/>
          </w:tcPr>
          <w:p w14:paraId="6C6C446E" w14:textId="77777777" w:rsidR="00A55CC7" w:rsidRPr="00A55CC7" w:rsidRDefault="00A55CC7" w:rsidP="00A55CC7">
            <w:pPr>
              <w:spacing w:line="0" w:lineRule="atLeast"/>
            </w:pPr>
            <w:r w:rsidRPr="00A55CC7">
              <w:rPr>
                <w:b/>
              </w:rPr>
              <w:t>Meeting of the SATRC Working Group on Spectrum</w:t>
            </w:r>
          </w:p>
        </w:tc>
        <w:tc>
          <w:tcPr>
            <w:tcW w:w="2799" w:type="dxa"/>
          </w:tcPr>
          <w:p w14:paraId="108A1DA9" w14:textId="689627B8" w:rsidR="00A55CC7" w:rsidRPr="00A55CC7" w:rsidRDefault="00A55CC7" w:rsidP="00E23809">
            <w:pPr>
              <w:rPr>
                <w:b/>
                <w:bCs/>
              </w:rPr>
            </w:pPr>
            <w:r w:rsidRPr="00A55CC7">
              <w:rPr>
                <w:b/>
                <w:bCs/>
              </w:rPr>
              <w:t>SAPVII-SPEC1/</w:t>
            </w:r>
            <w:r w:rsidR="00141E87">
              <w:rPr>
                <w:b/>
                <w:bCs/>
              </w:rPr>
              <w:t>OUT</w:t>
            </w:r>
            <w:r w:rsidR="00E23809">
              <w:rPr>
                <w:b/>
                <w:bCs/>
              </w:rPr>
              <w:t>-</w:t>
            </w:r>
            <w:r w:rsidR="00141E87">
              <w:rPr>
                <w:b/>
                <w:bCs/>
              </w:rPr>
              <w:t>04</w:t>
            </w:r>
          </w:p>
        </w:tc>
      </w:tr>
      <w:tr w:rsidR="00A55CC7" w:rsidRPr="00A55CC7" w14:paraId="348AD5FF" w14:textId="77777777" w:rsidTr="00FA7CEC">
        <w:trPr>
          <w:cantSplit/>
          <w:trHeight w:val="219"/>
        </w:trPr>
        <w:tc>
          <w:tcPr>
            <w:tcW w:w="1399" w:type="dxa"/>
            <w:vMerge/>
          </w:tcPr>
          <w:p w14:paraId="334934DC" w14:textId="77777777" w:rsidR="00A55CC7" w:rsidRPr="00A55CC7" w:rsidRDefault="00A55CC7" w:rsidP="00A55CC7"/>
        </w:tc>
        <w:tc>
          <w:tcPr>
            <w:tcW w:w="5531" w:type="dxa"/>
          </w:tcPr>
          <w:p w14:paraId="1A7D9A57" w14:textId="77777777" w:rsidR="00A55CC7" w:rsidRPr="00A55CC7" w:rsidRDefault="00A55CC7" w:rsidP="00A55CC7">
            <w:r w:rsidRPr="00A55CC7">
              <w:t>11 – 12 June 2019, Tehran, Islamic Republic of Iran</w:t>
            </w:r>
          </w:p>
        </w:tc>
        <w:tc>
          <w:tcPr>
            <w:tcW w:w="2799" w:type="dxa"/>
          </w:tcPr>
          <w:p w14:paraId="5F96BAD8" w14:textId="1F4A04CE" w:rsidR="00A55CC7" w:rsidRPr="00A55CC7" w:rsidRDefault="00E23809" w:rsidP="00A55CC7">
            <w:pPr>
              <w:keepNext/>
              <w:outlineLvl w:val="0"/>
              <w:rPr>
                <w:bCs/>
                <w:u w:val="single"/>
              </w:rPr>
            </w:pPr>
            <w:r>
              <w:t>1</w:t>
            </w:r>
            <w:r w:rsidR="00141E87">
              <w:t>2</w:t>
            </w:r>
            <w:r w:rsidR="00A55CC7" w:rsidRPr="00A55CC7">
              <w:t xml:space="preserve"> </w:t>
            </w:r>
            <w:r w:rsidR="00A55CC7">
              <w:t>June</w:t>
            </w:r>
            <w:r w:rsidR="00A55CC7" w:rsidRPr="00A55CC7">
              <w:t xml:space="preserve"> 2019</w:t>
            </w:r>
          </w:p>
        </w:tc>
      </w:tr>
    </w:tbl>
    <w:p w14:paraId="7DF03FCC" w14:textId="77777777" w:rsidR="00133947" w:rsidRDefault="00133947" w:rsidP="00DA7595">
      <w:pPr>
        <w:rPr>
          <w:lang w:eastAsia="ko-KR"/>
        </w:rPr>
      </w:pPr>
    </w:p>
    <w:p w14:paraId="064209BC" w14:textId="77777777" w:rsidR="00DC1F72" w:rsidRDefault="00DC1F72" w:rsidP="00DC1F72">
      <w:pPr>
        <w:jc w:val="center"/>
        <w:rPr>
          <w:lang w:eastAsia="ko-KR"/>
        </w:rPr>
      </w:pPr>
    </w:p>
    <w:p w14:paraId="4F270119" w14:textId="75A7106D" w:rsidR="00FD45EC" w:rsidRDefault="00B439FC" w:rsidP="00FD45EC">
      <w:pPr>
        <w:tabs>
          <w:tab w:val="left" w:pos="180"/>
        </w:tabs>
        <w:jc w:val="center"/>
        <w:rPr>
          <w:bCs/>
        </w:rPr>
      </w:pPr>
      <w:r>
        <w:rPr>
          <w:bCs/>
        </w:rPr>
        <w:t>SATRC Working on Spectrum</w:t>
      </w:r>
    </w:p>
    <w:p w14:paraId="2E1E14C1" w14:textId="77777777" w:rsidR="00B439FC" w:rsidRPr="00B439FC" w:rsidRDefault="00B439FC" w:rsidP="00FD45EC">
      <w:pPr>
        <w:tabs>
          <w:tab w:val="left" w:pos="180"/>
        </w:tabs>
        <w:jc w:val="center"/>
        <w:rPr>
          <w:bCs/>
        </w:rPr>
      </w:pPr>
    </w:p>
    <w:p w14:paraId="1524876E" w14:textId="252E0B47" w:rsidR="00FD45EC" w:rsidRPr="00FD45EC" w:rsidRDefault="004F0EF2" w:rsidP="00FD45EC">
      <w:pPr>
        <w:tabs>
          <w:tab w:val="left" w:pos="180"/>
        </w:tabs>
        <w:jc w:val="center"/>
        <w:rPr>
          <w:b/>
          <w:bCs/>
        </w:rPr>
      </w:pPr>
      <w:bookmarkStart w:id="0" w:name="_GoBack"/>
      <w:bookmarkEnd w:id="0"/>
      <w:r>
        <w:rPr>
          <w:b/>
          <w:bCs/>
        </w:rPr>
        <w:t>WORK PLAN FOR THE WORK ITEMS</w:t>
      </w:r>
      <w:r w:rsidR="00FD45EC" w:rsidRPr="00FD45EC">
        <w:rPr>
          <w:b/>
          <w:bCs/>
        </w:rPr>
        <w:br/>
      </w:r>
    </w:p>
    <w:p w14:paraId="6AE6C25C" w14:textId="77777777" w:rsidR="00FD45EC" w:rsidRDefault="00FD45EC" w:rsidP="00FD45EC">
      <w:pPr>
        <w:tabs>
          <w:tab w:val="left" w:pos="180"/>
        </w:tabs>
        <w:ind w:left="360"/>
        <w:jc w:val="both"/>
        <w:rPr>
          <w:b/>
          <w:bCs/>
        </w:rPr>
      </w:pPr>
    </w:p>
    <w:p w14:paraId="49624487" w14:textId="5CC85D88" w:rsidR="00BB197D" w:rsidRDefault="004F0EF2" w:rsidP="00BB197D">
      <w:r>
        <w:t>Following workplan are proposed to be considered for the meeting of the SATRC Working Group on Spectrum:</w:t>
      </w:r>
    </w:p>
    <w:p w14:paraId="3DAF7EFC" w14:textId="77777777" w:rsidR="004F0EF2" w:rsidRDefault="004F0EF2" w:rsidP="00BB197D"/>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5"/>
        <w:gridCol w:w="7020"/>
      </w:tblGrid>
      <w:tr w:rsidR="004F0EF2" w:rsidRPr="004F0EF2" w14:paraId="0E8D74B4" w14:textId="77777777" w:rsidTr="004A66FD">
        <w:trPr>
          <w:trHeight w:val="448"/>
        </w:trPr>
        <w:tc>
          <w:tcPr>
            <w:tcW w:w="2425" w:type="dxa"/>
            <w:tcBorders>
              <w:top w:val="single" w:sz="4" w:space="0" w:color="auto"/>
              <w:left w:val="single" w:sz="4" w:space="0" w:color="auto"/>
              <w:bottom w:val="single" w:sz="4" w:space="0" w:color="auto"/>
              <w:right w:val="single" w:sz="4" w:space="0" w:color="auto"/>
            </w:tcBorders>
            <w:shd w:val="clear" w:color="auto" w:fill="F2F2F2"/>
            <w:hideMark/>
          </w:tcPr>
          <w:p w14:paraId="465E413E" w14:textId="77777777" w:rsidR="004F0EF2" w:rsidRPr="004F0EF2" w:rsidRDefault="004F0EF2" w:rsidP="004F0EF2">
            <w:pPr>
              <w:snapToGrid w:val="0"/>
              <w:spacing w:before="40" w:after="40"/>
              <w:rPr>
                <w:lang w:val="en-AU"/>
              </w:rPr>
            </w:pPr>
            <w:r w:rsidRPr="004F0EF2">
              <w:rPr>
                <w:b/>
                <w:lang w:val="en-AU"/>
              </w:rPr>
              <w:t xml:space="preserve">Work Item </w:t>
            </w:r>
          </w:p>
        </w:tc>
        <w:tc>
          <w:tcPr>
            <w:tcW w:w="7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F9B47A" w14:textId="77777777" w:rsidR="004F0EF2" w:rsidRPr="004F0EF2" w:rsidRDefault="004F0EF2" w:rsidP="004F0EF2">
            <w:pPr>
              <w:tabs>
                <w:tab w:val="left" w:pos="567"/>
                <w:tab w:val="left" w:pos="1134"/>
                <w:tab w:val="left" w:pos="1701"/>
                <w:tab w:val="left" w:pos="2268"/>
                <w:tab w:val="left" w:pos="2835"/>
              </w:tabs>
              <w:overflowPunct w:val="0"/>
              <w:autoSpaceDE w:val="0"/>
              <w:autoSpaceDN w:val="0"/>
              <w:adjustRightInd w:val="0"/>
              <w:spacing w:before="40" w:after="40"/>
              <w:rPr>
                <w:rFonts w:eastAsia="SimSun"/>
                <w:b/>
                <w:caps/>
                <w:lang w:val="en-GB" w:eastAsia="zh-CN"/>
              </w:rPr>
            </w:pPr>
            <w:r w:rsidRPr="004F0EF2">
              <w:rPr>
                <w:rFonts w:eastAsia="Times New Roman"/>
                <w:b/>
                <w:caps/>
                <w:lang w:val="en-AU" w:eastAsia="zh-CN"/>
              </w:rPr>
              <w:t>Assessment of current practices in spectrum management and developing spectrum roadmap</w:t>
            </w:r>
          </w:p>
        </w:tc>
      </w:tr>
      <w:tr w:rsidR="004F0EF2" w:rsidRPr="004F0EF2" w14:paraId="2F16E328" w14:textId="77777777" w:rsidTr="004A66FD">
        <w:trPr>
          <w:trHeight w:val="305"/>
        </w:trPr>
        <w:tc>
          <w:tcPr>
            <w:tcW w:w="2425" w:type="dxa"/>
            <w:tcBorders>
              <w:top w:val="single" w:sz="4" w:space="0" w:color="auto"/>
              <w:left w:val="single" w:sz="4" w:space="0" w:color="auto"/>
              <w:bottom w:val="single" w:sz="4" w:space="0" w:color="auto"/>
              <w:right w:val="single" w:sz="4" w:space="0" w:color="auto"/>
            </w:tcBorders>
            <w:hideMark/>
          </w:tcPr>
          <w:p w14:paraId="63C2E2B3" w14:textId="77777777" w:rsidR="004F0EF2" w:rsidRPr="004F0EF2" w:rsidRDefault="004F0EF2" w:rsidP="004F0EF2">
            <w:pPr>
              <w:snapToGrid w:val="0"/>
              <w:spacing w:before="40" w:after="40"/>
              <w:rPr>
                <w:b/>
                <w:lang w:val="en-AU"/>
              </w:rPr>
            </w:pPr>
            <w:r w:rsidRPr="004F0EF2">
              <w:rPr>
                <w:rFonts w:eastAsia="Batang"/>
                <w:b/>
                <w:sz w:val="22"/>
                <w:szCs w:val="22"/>
              </w:rPr>
              <w:t>Rapporteur(s)</w:t>
            </w:r>
          </w:p>
        </w:tc>
        <w:tc>
          <w:tcPr>
            <w:tcW w:w="7020" w:type="dxa"/>
            <w:tcBorders>
              <w:top w:val="single" w:sz="4" w:space="0" w:color="auto"/>
              <w:left w:val="single" w:sz="4" w:space="0" w:color="auto"/>
              <w:bottom w:val="single" w:sz="4" w:space="0" w:color="auto"/>
              <w:right w:val="single" w:sz="4" w:space="0" w:color="auto"/>
            </w:tcBorders>
            <w:hideMark/>
          </w:tcPr>
          <w:p w14:paraId="467FC78A" w14:textId="77777777" w:rsidR="004F0EF2" w:rsidRPr="004F0EF2" w:rsidRDefault="004F0EF2" w:rsidP="004F0EF2">
            <w:pPr>
              <w:overflowPunct w:val="0"/>
              <w:autoSpaceDE w:val="0"/>
              <w:autoSpaceDN w:val="0"/>
              <w:adjustRightInd w:val="0"/>
              <w:snapToGrid w:val="0"/>
              <w:spacing w:before="40" w:after="40"/>
              <w:textAlignment w:val="baseline"/>
              <w:rPr>
                <w:lang w:val="en-AU" w:eastAsia="ko-KR"/>
              </w:rPr>
            </w:pPr>
            <w:r w:rsidRPr="004F0EF2">
              <w:rPr>
                <w:lang w:val="en-AU" w:eastAsia="ko-KR"/>
              </w:rPr>
              <w:t xml:space="preserve">Mrs. Roja Kiran Basukala/ Mr. Hiranya Prasad Bastakoti/ Dr. Pradip Paudyal(NTA) and Mr. </w:t>
            </w:r>
            <w:proofErr w:type="spellStart"/>
            <w:r w:rsidRPr="004F0EF2">
              <w:rPr>
                <w:lang w:val="en-AU" w:eastAsia="ko-KR"/>
              </w:rPr>
              <w:t>Sebghatullah</w:t>
            </w:r>
            <w:proofErr w:type="spellEnd"/>
            <w:r w:rsidRPr="004F0EF2">
              <w:rPr>
                <w:lang w:val="en-AU" w:eastAsia="ko-KR"/>
              </w:rPr>
              <w:t xml:space="preserve"> Andar(WG Vice- Chairman)/ Mr. Fahimullah </w:t>
            </w:r>
            <w:proofErr w:type="spellStart"/>
            <w:r w:rsidRPr="004F0EF2">
              <w:rPr>
                <w:lang w:val="en-AU" w:eastAsia="ko-KR"/>
              </w:rPr>
              <w:t>Shagiwal</w:t>
            </w:r>
            <w:proofErr w:type="spellEnd"/>
            <w:r w:rsidRPr="004F0EF2">
              <w:rPr>
                <w:lang w:val="en-AU" w:eastAsia="ko-KR"/>
              </w:rPr>
              <w:t xml:space="preserve"> (ATRA)</w:t>
            </w:r>
          </w:p>
        </w:tc>
      </w:tr>
      <w:tr w:rsidR="004F0EF2" w:rsidRPr="004F0EF2" w14:paraId="6E108E42" w14:textId="77777777" w:rsidTr="004A66FD">
        <w:trPr>
          <w:trHeight w:val="233"/>
        </w:trPr>
        <w:tc>
          <w:tcPr>
            <w:tcW w:w="2425" w:type="dxa"/>
            <w:tcBorders>
              <w:top w:val="single" w:sz="4" w:space="0" w:color="auto"/>
              <w:left w:val="single" w:sz="4" w:space="0" w:color="auto"/>
              <w:bottom w:val="single" w:sz="4" w:space="0" w:color="auto"/>
              <w:right w:val="single" w:sz="4" w:space="0" w:color="auto"/>
            </w:tcBorders>
            <w:hideMark/>
          </w:tcPr>
          <w:p w14:paraId="1C155032"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Output</w:t>
            </w:r>
          </w:p>
        </w:tc>
        <w:tc>
          <w:tcPr>
            <w:tcW w:w="7020" w:type="dxa"/>
            <w:tcBorders>
              <w:top w:val="single" w:sz="4" w:space="0" w:color="auto"/>
              <w:left w:val="single" w:sz="4" w:space="0" w:color="auto"/>
              <w:bottom w:val="single" w:sz="4" w:space="0" w:color="auto"/>
              <w:right w:val="single" w:sz="4" w:space="0" w:color="auto"/>
            </w:tcBorders>
            <w:hideMark/>
          </w:tcPr>
          <w:p w14:paraId="78B25FC2" w14:textId="77777777" w:rsidR="004F0EF2" w:rsidRPr="004F0EF2" w:rsidRDefault="004F0EF2" w:rsidP="004F0EF2">
            <w:pPr>
              <w:overflowPunct w:val="0"/>
              <w:autoSpaceDE w:val="0"/>
              <w:autoSpaceDN w:val="0"/>
              <w:adjustRightInd w:val="0"/>
              <w:snapToGrid w:val="0"/>
              <w:spacing w:before="40" w:after="40"/>
              <w:textAlignment w:val="baseline"/>
              <w:rPr>
                <w:rFonts w:eastAsia="Times New Roman"/>
                <w:lang w:val="en-AU" w:eastAsia="zh-CN"/>
              </w:rPr>
            </w:pPr>
            <w:r w:rsidRPr="004F0EF2">
              <w:rPr>
                <w:lang w:val="en-AU" w:eastAsia="ko-KR"/>
              </w:rPr>
              <w:t>Report / Guideline / Recommendation</w:t>
            </w:r>
          </w:p>
        </w:tc>
      </w:tr>
      <w:tr w:rsidR="004F0EF2" w:rsidRPr="004F0EF2" w14:paraId="24F1D3B1" w14:textId="77777777" w:rsidTr="004A66FD">
        <w:trPr>
          <w:trHeight w:val="4094"/>
        </w:trPr>
        <w:tc>
          <w:tcPr>
            <w:tcW w:w="2425" w:type="dxa"/>
            <w:tcBorders>
              <w:top w:val="single" w:sz="4" w:space="0" w:color="auto"/>
              <w:left w:val="single" w:sz="4" w:space="0" w:color="auto"/>
              <w:bottom w:val="single" w:sz="4" w:space="0" w:color="auto"/>
              <w:right w:val="single" w:sz="4" w:space="0" w:color="auto"/>
            </w:tcBorders>
            <w:hideMark/>
          </w:tcPr>
          <w:p w14:paraId="0C2E72B1"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Background and Purpose</w:t>
            </w:r>
          </w:p>
          <w:p w14:paraId="6CF29563" w14:textId="77777777" w:rsidR="004F0EF2" w:rsidRPr="004F0EF2" w:rsidRDefault="004F0EF2" w:rsidP="004F0EF2">
            <w:pPr>
              <w:rPr>
                <w:rFonts w:eastAsia="휴먼명조"/>
                <w:lang w:val="en-AU"/>
              </w:rPr>
            </w:pPr>
          </w:p>
          <w:p w14:paraId="3159F3CC" w14:textId="77777777" w:rsidR="004F0EF2" w:rsidRPr="004F0EF2" w:rsidRDefault="004F0EF2" w:rsidP="004F0EF2">
            <w:pPr>
              <w:rPr>
                <w:rFonts w:eastAsia="휴먼명조"/>
                <w:lang w:val="en-AU"/>
              </w:rPr>
            </w:pPr>
          </w:p>
          <w:p w14:paraId="62EAA443" w14:textId="77777777" w:rsidR="004F0EF2" w:rsidRPr="004F0EF2" w:rsidRDefault="004F0EF2" w:rsidP="004F0EF2">
            <w:pPr>
              <w:rPr>
                <w:rFonts w:eastAsia="휴먼명조"/>
                <w:lang w:val="en-AU"/>
              </w:rPr>
            </w:pPr>
          </w:p>
          <w:p w14:paraId="5EAC7F4C" w14:textId="77777777" w:rsidR="004F0EF2" w:rsidRPr="004F0EF2" w:rsidRDefault="004F0EF2" w:rsidP="004F0EF2">
            <w:pPr>
              <w:rPr>
                <w:rFonts w:eastAsia="휴먼명조"/>
                <w:lang w:val="en-AU"/>
              </w:rPr>
            </w:pPr>
          </w:p>
          <w:p w14:paraId="1A9C6219" w14:textId="77777777" w:rsidR="004F0EF2" w:rsidRPr="004F0EF2" w:rsidRDefault="004F0EF2" w:rsidP="004F0EF2">
            <w:pPr>
              <w:rPr>
                <w:rFonts w:eastAsia="휴먼명조"/>
                <w:lang w:val="en-AU"/>
              </w:rPr>
            </w:pPr>
          </w:p>
          <w:p w14:paraId="7C6C2A9A" w14:textId="77777777" w:rsidR="004F0EF2" w:rsidRPr="004F0EF2" w:rsidRDefault="004F0EF2" w:rsidP="004F0EF2">
            <w:pPr>
              <w:rPr>
                <w:rFonts w:eastAsia="휴먼명조"/>
                <w:lang w:val="en-AU"/>
              </w:rPr>
            </w:pPr>
          </w:p>
          <w:p w14:paraId="5CAB47C3" w14:textId="77777777" w:rsidR="004F0EF2" w:rsidRPr="004F0EF2" w:rsidRDefault="004F0EF2" w:rsidP="004F0EF2">
            <w:pPr>
              <w:rPr>
                <w:rFonts w:eastAsia="휴먼명조"/>
                <w:lang w:val="en-AU"/>
              </w:rPr>
            </w:pPr>
          </w:p>
          <w:p w14:paraId="31ECDA62" w14:textId="77777777" w:rsidR="004F0EF2" w:rsidRPr="004F0EF2" w:rsidRDefault="004F0EF2" w:rsidP="004F0EF2">
            <w:pPr>
              <w:rPr>
                <w:rFonts w:eastAsia="휴먼명조"/>
                <w:lang w:val="en-AU"/>
              </w:rPr>
            </w:pPr>
          </w:p>
          <w:p w14:paraId="6682B392" w14:textId="77777777" w:rsidR="004F0EF2" w:rsidRPr="004F0EF2" w:rsidRDefault="004F0EF2" w:rsidP="004F0EF2">
            <w:pPr>
              <w:rPr>
                <w:rFonts w:eastAsia="휴먼명조"/>
                <w:lang w:val="en-AU"/>
              </w:rPr>
            </w:pPr>
          </w:p>
          <w:p w14:paraId="3F2FDD4D" w14:textId="77777777" w:rsidR="004F0EF2" w:rsidRPr="004F0EF2" w:rsidRDefault="004F0EF2" w:rsidP="004F0EF2">
            <w:pPr>
              <w:rPr>
                <w:rFonts w:eastAsia="휴먼명조"/>
                <w:lang w:val="en-AU"/>
              </w:rPr>
            </w:pPr>
          </w:p>
          <w:p w14:paraId="2A49B714" w14:textId="77777777" w:rsidR="004F0EF2" w:rsidRPr="004F0EF2" w:rsidRDefault="004F0EF2" w:rsidP="004F0EF2">
            <w:pPr>
              <w:rPr>
                <w:rFonts w:eastAsia="휴먼명조"/>
                <w:lang w:val="en-AU"/>
              </w:rPr>
            </w:pPr>
          </w:p>
          <w:p w14:paraId="69014784" w14:textId="77777777" w:rsidR="004F0EF2" w:rsidRPr="004F0EF2" w:rsidRDefault="004F0EF2" w:rsidP="004F0EF2">
            <w:pPr>
              <w:rPr>
                <w:rFonts w:eastAsia="휴먼명조"/>
                <w:lang w:val="en-AU"/>
              </w:rPr>
            </w:pPr>
          </w:p>
          <w:p w14:paraId="71217734" w14:textId="77777777" w:rsidR="004F0EF2" w:rsidRPr="004F0EF2" w:rsidRDefault="004F0EF2" w:rsidP="004F0EF2">
            <w:pPr>
              <w:rPr>
                <w:rFonts w:eastAsia="휴먼명조"/>
                <w:lang w:val="en-AU"/>
              </w:rPr>
            </w:pPr>
          </w:p>
          <w:p w14:paraId="2BE70771" w14:textId="77777777" w:rsidR="004F0EF2" w:rsidRPr="004F0EF2" w:rsidRDefault="004F0EF2" w:rsidP="004F0EF2">
            <w:pPr>
              <w:rPr>
                <w:rFonts w:eastAsia="휴먼명조"/>
                <w:lang w:val="en-AU"/>
              </w:rPr>
            </w:pPr>
          </w:p>
          <w:p w14:paraId="59155623" w14:textId="77777777" w:rsidR="004F0EF2" w:rsidRPr="004F0EF2" w:rsidRDefault="004F0EF2" w:rsidP="004F0EF2">
            <w:pPr>
              <w:rPr>
                <w:rFonts w:eastAsia="휴먼명조"/>
                <w:lang w:val="en-AU"/>
              </w:rPr>
            </w:pPr>
          </w:p>
          <w:p w14:paraId="22965F9F" w14:textId="77777777" w:rsidR="004F0EF2" w:rsidRPr="004F0EF2" w:rsidRDefault="004F0EF2" w:rsidP="004F0EF2">
            <w:pPr>
              <w:jc w:val="right"/>
              <w:rPr>
                <w:rFonts w:eastAsia="휴먼명조"/>
                <w:lang w:val="en-AU"/>
              </w:rPr>
            </w:pPr>
          </w:p>
        </w:tc>
        <w:tc>
          <w:tcPr>
            <w:tcW w:w="7020" w:type="dxa"/>
            <w:tcBorders>
              <w:top w:val="single" w:sz="4" w:space="0" w:color="auto"/>
              <w:left w:val="single" w:sz="4" w:space="0" w:color="auto"/>
              <w:bottom w:val="single" w:sz="4" w:space="0" w:color="auto"/>
              <w:right w:val="single" w:sz="4" w:space="0" w:color="auto"/>
            </w:tcBorders>
            <w:hideMark/>
          </w:tcPr>
          <w:p w14:paraId="7DDF279B" w14:textId="77777777" w:rsidR="004F0EF2" w:rsidRPr="004F0EF2" w:rsidRDefault="004F0EF2" w:rsidP="004F0EF2">
            <w:r w:rsidRPr="004F0EF2">
              <w:t>Wireless technology is evolving rapidly and spectrum management practices need to be modified as per time demand - with clear formulation of spectrum roadmaps.</w:t>
            </w:r>
          </w:p>
          <w:p w14:paraId="74FF6522" w14:textId="77777777" w:rsidR="004F0EF2" w:rsidRPr="004F0EF2" w:rsidRDefault="004F0EF2" w:rsidP="004F0EF2">
            <w:pPr>
              <w:jc w:val="both"/>
              <w:textAlignment w:val="top"/>
            </w:pPr>
            <w:r w:rsidRPr="004F0EF2">
              <w:t>To ensure that consumers and businesses have access to new wireless technologies and new services are introduced in timely manner. SATRC countries have put in place several spectrum management practices and strategies. However, this is becoming more challenging due to the pace of development in technology and services. In addition, the implementation of spectrum management framework and allocation often take a considerable amount of time to take effect.</w:t>
            </w:r>
          </w:p>
          <w:p w14:paraId="04D7C510" w14:textId="77777777" w:rsidR="004F0EF2" w:rsidRPr="004F0EF2" w:rsidRDefault="004F0EF2" w:rsidP="004F0EF2">
            <w:pPr>
              <w:jc w:val="both"/>
              <w:textAlignment w:val="top"/>
            </w:pPr>
          </w:p>
          <w:p w14:paraId="64AFA617" w14:textId="77777777" w:rsidR="004F0EF2" w:rsidRPr="004F0EF2" w:rsidRDefault="004F0EF2" w:rsidP="004F0EF2">
            <w:pPr>
              <w:jc w:val="both"/>
              <w:textAlignment w:val="top"/>
            </w:pPr>
            <w:r w:rsidRPr="004F0EF2">
              <w:t xml:space="preserve">A spectrum roadmap is essential to ensure there is enough spectrum to meet surging demand for mobile services.  Development of </w:t>
            </w:r>
            <w:proofErr w:type="spellStart"/>
            <w:r w:rsidRPr="004F0EF2">
              <w:t>Spectrun</w:t>
            </w:r>
            <w:proofErr w:type="spellEnd"/>
            <w:r w:rsidRPr="004F0EF2">
              <w:t xml:space="preserve"> Roadmap is required to SATRC members to forecast future and increase certainty about the regulators future allocation plans and spectrum management</w:t>
            </w:r>
          </w:p>
          <w:p w14:paraId="4183B1CC" w14:textId="77777777" w:rsidR="004F0EF2" w:rsidRPr="004F0EF2" w:rsidRDefault="004F0EF2" w:rsidP="004F0EF2">
            <w:pPr>
              <w:overflowPunct w:val="0"/>
              <w:autoSpaceDE w:val="0"/>
              <w:autoSpaceDN w:val="0"/>
              <w:adjustRightInd w:val="0"/>
              <w:snapToGrid w:val="0"/>
              <w:spacing w:before="120"/>
              <w:jc w:val="both"/>
              <w:textAlignment w:val="baseline"/>
              <w:rPr>
                <w:rFonts w:eastAsia="Batang"/>
                <w:lang w:eastAsia="ko-KR"/>
              </w:rPr>
            </w:pPr>
            <w:r w:rsidRPr="004F0EF2">
              <w:rPr>
                <w:rFonts w:eastAsia="Batang"/>
                <w:lang w:eastAsia="ko-KR"/>
              </w:rPr>
              <w:t>Therefore, it is imperative to assess the current spectrum management practices in SATRC countries and review it for further improvement by developing a spectrum Roadmap.</w:t>
            </w:r>
          </w:p>
          <w:p w14:paraId="7448B918" w14:textId="77777777" w:rsidR="004F0EF2" w:rsidRPr="004F0EF2" w:rsidRDefault="004F0EF2" w:rsidP="004F0EF2">
            <w:pPr>
              <w:overflowPunct w:val="0"/>
              <w:autoSpaceDE w:val="0"/>
              <w:autoSpaceDN w:val="0"/>
              <w:adjustRightInd w:val="0"/>
              <w:snapToGrid w:val="0"/>
              <w:spacing w:before="120"/>
              <w:jc w:val="both"/>
              <w:textAlignment w:val="baseline"/>
              <w:rPr>
                <w:lang w:val="en-AU" w:eastAsia="ko-KR"/>
              </w:rPr>
            </w:pPr>
          </w:p>
        </w:tc>
      </w:tr>
      <w:tr w:rsidR="004F0EF2" w:rsidRPr="004F0EF2" w14:paraId="3F3EC0F9"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6C52FE72"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Scope</w:t>
            </w:r>
          </w:p>
        </w:tc>
        <w:tc>
          <w:tcPr>
            <w:tcW w:w="7020" w:type="dxa"/>
            <w:tcBorders>
              <w:top w:val="single" w:sz="4" w:space="0" w:color="auto"/>
              <w:left w:val="single" w:sz="4" w:space="0" w:color="auto"/>
              <w:bottom w:val="single" w:sz="4" w:space="0" w:color="auto"/>
              <w:right w:val="single" w:sz="4" w:space="0" w:color="auto"/>
            </w:tcBorders>
            <w:hideMark/>
          </w:tcPr>
          <w:p w14:paraId="46F850C0" w14:textId="77777777" w:rsidR="004F0EF2" w:rsidRPr="004F0EF2" w:rsidRDefault="004F0EF2" w:rsidP="004F0EF2">
            <w:pPr>
              <w:jc w:val="both"/>
              <w:textAlignment w:val="top"/>
              <w:rPr>
                <w:lang w:val="en-AU" w:eastAsia="ko-KR"/>
              </w:rPr>
            </w:pPr>
            <w:r w:rsidRPr="004F0EF2">
              <w:rPr>
                <w:lang w:val="en-AU" w:eastAsia="ko-KR"/>
              </w:rPr>
              <w:t xml:space="preserve">This work item shall assess current practices of spectrum management framework in SATRC countries. The study shall also include an analysis of the inventory of spectrum management to assess </w:t>
            </w:r>
            <w:r w:rsidRPr="004F0EF2">
              <w:t xml:space="preserve">spectrum allocation, spectrum assignment procedures, spectrum pricing, spectrum monitoring, international frequency co-ordination, spectrum engineering, spectrum </w:t>
            </w:r>
            <w:proofErr w:type="spellStart"/>
            <w:r w:rsidRPr="004F0EF2">
              <w:t>refarming</w:t>
            </w:r>
            <w:proofErr w:type="spellEnd"/>
            <w:r w:rsidRPr="004F0EF2">
              <w:t xml:space="preserve">, organizational framework etc. in SATRC countries.  The study shall </w:t>
            </w:r>
            <w:r w:rsidRPr="004F0EF2">
              <w:rPr>
                <w:lang w:val="en-AU" w:eastAsia="ko-KR"/>
              </w:rPr>
              <w:t xml:space="preserve">also develop -spectrum Roadmap to meet surging demand of mobile services and to forecast future spectrum allocation plans for spectrum management. </w:t>
            </w:r>
          </w:p>
        </w:tc>
      </w:tr>
      <w:tr w:rsidR="004F0EF2" w:rsidRPr="004F0EF2" w14:paraId="4962B648"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657DE786" w14:textId="77777777" w:rsidR="004F0EF2" w:rsidRPr="004F0EF2" w:rsidRDefault="004F0EF2" w:rsidP="004F0EF2">
            <w:pPr>
              <w:snapToGrid w:val="0"/>
              <w:spacing w:before="40" w:after="40"/>
              <w:rPr>
                <w:rFonts w:eastAsia="휴먼명조"/>
                <w:b/>
                <w:color w:val="000000"/>
                <w:lang w:val="en-AU" w:eastAsia="ko-KR"/>
              </w:rPr>
            </w:pPr>
            <w:r w:rsidRPr="004F0EF2">
              <w:rPr>
                <w:rFonts w:eastAsia="휴먼명조"/>
                <w:b/>
                <w:color w:val="000000"/>
                <w:lang w:val="en-AU"/>
              </w:rPr>
              <w:t>Time Frame</w:t>
            </w:r>
          </w:p>
        </w:tc>
        <w:tc>
          <w:tcPr>
            <w:tcW w:w="7020" w:type="dxa"/>
            <w:tcBorders>
              <w:top w:val="single" w:sz="4" w:space="0" w:color="auto"/>
              <w:left w:val="single" w:sz="4" w:space="0" w:color="auto"/>
              <w:bottom w:val="single" w:sz="4" w:space="0" w:color="auto"/>
              <w:right w:val="single" w:sz="4" w:space="0" w:color="auto"/>
            </w:tcBorders>
            <w:hideMark/>
          </w:tcPr>
          <w:p w14:paraId="2A27DC11"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Drafting the questionnaire by lead experts (May.2019)</w:t>
            </w:r>
          </w:p>
          <w:p w14:paraId="56325097"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Circulation of the questionnaire to WG experts (June….2019)</w:t>
            </w:r>
          </w:p>
          <w:p w14:paraId="634A9795"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lastRenderedPageBreak/>
              <w:t xml:space="preserve">Response to the questionnaires (September…….2019) </w:t>
            </w:r>
          </w:p>
          <w:p w14:paraId="3FA60A18"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Development of the interim Report ( November………2019)</w:t>
            </w:r>
          </w:p>
          <w:p w14:paraId="5FDE01D3"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Discussion on the interim report and comments by experts (January………..2020)</w:t>
            </w:r>
          </w:p>
          <w:p w14:paraId="62F8E3F3"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Update of the interim report and development of the first draft of the final Report (March…….2020)</w:t>
            </w:r>
          </w:p>
          <w:p w14:paraId="014DDB7D"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Consideration of the first draft of the final Report at the 2nd Meeting of the WG (May…….2020)</w:t>
            </w:r>
          </w:p>
          <w:p w14:paraId="22EA07B4"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Consideration of the second draft of the final Report (August 2020)</w:t>
            </w:r>
          </w:p>
          <w:p w14:paraId="07364E33"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 xml:space="preserve">Draft final report (October…..2020) </w:t>
            </w:r>
          </w:p>
        </w:tc>
      </w:tr>
      <w:tr w:rsidR="004F0EF2" w:rsidRPr="004F0EF2" w14:paraId="005077F7"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6AF7CFBE"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lastRenderedPageBreak/>
              <w:t>Utilization of Output</w:t>
            </w:r>
          </w:p>
        </w:tc>
        <w:tc>
          <w:tcPr>
            <w:tcW w:w="7020" w:type="dxa"/>
            <w:tcBorders>
              <w:top w:val="single" w:sz="4" w:space="0" w:color="auto"/>
              <w:left w:val="single" w:sz="4" w:space="0" w:color="auto"/>
              <w:bottom w:val="single" w:sz="4" w:space="0" w:color="auto"/>
              <w:right w:val="single" w:sz="4" w:space="0" w:color="auto"/>
            </w:tcBorders>
          </w:tcPr>
          <w:p w14:paraId="3FE99D9D" w14:textId="77777777" w:rsidR="004F0EF2" w:rsidRPr="004F0EF2" w:rsidRDefault="004F0EF2" w:rsidP="004F0EF2">
            <w:pPr>
              <w:overflowPunct w:val="0"/>
              <w:autoSpaceDE w:val="0"/>
              <w:autoSpaceDN w:val="0"/>
              <w:adjustRightInd w:val="0"/>
              <w:snapToGrid w:val="0"/>
              <w:spacing w:before="40" w:after="40"/>
              <w:textAlignment w:val="baseline"/>
              <w:rPr>
                <w:lang w:val="en-AU" w:eastAsia="ko-KR"/>
              </w:rPr>
            </w:pPr>
            <w:r w:rsidRPr="004F0EF2">
              <w:rPr>
                <w:bCs/>
                <w:lang w:val="en-AU" w:eastAsia="ko-KR"/>
              </w:rPr>
              <w:t>Policy makers, Regulators and Service providers</w:t>
            </w:r>
          </w:p>
        </w:tc>
      </w:tr>
    </w:tbl>
    <w:p w14:paraId="0DB91662" w14:textId="77777777" w:rsidR="004F0EF2" w:rsidRDefault="004F0EF2" w:rsidP="00BB197D"/>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5"/>
        <w:gridCol w:w="7020"/>
      </w:tblGrid>
      <w:tr w:rsidR="004F0EF2" w:rsidRPr="004F0EF2" w14:paraId="793F3ACF" w14:textId="77777777" w:rsidTr="004A66FD">
        <w:trPr>
          <w:trHeight w:val="448"/>
        </w:trPr>
        <w:tc>
          <w:tcPr>
            <w:tcW w:w="2425" w:type="dxa"/>
            <w:tcBorders>
              <w:top w:val="single" w:sz="4" w:space="0" w:color="auto"/>
              <w:left w:val="single" w:sz="4" w:space="0" w:color="auto"/>
              <w:bottom w:val="single" w:sz="4" w:space="0" w:color="auto"/>
              <w:right w:val="single" w:sz="4" w:space="0" w:color="auto"/>
            </w:tcBorders>
            <w:shd w:val="clear" w:color="auto" w:fill="F2F2F2"/>
            <w:hideMark/>
          </w:tcPr>
          <w:p w14:paraId="2CCFAA7D" w14:textId="77777777" w:rsidR="004F0EF2" w:rsidRPr="004F0EF2" w:rsidRDefault="004F0EF2" w:rsidP="004F0EF2">
            <w:pPr>
              <w:snapToGrid w:val="0"/>
              <w:spacing w:before="40" w:after="40"/>
              <w:rPr>
                <w:lang w:val="en-AU"/>
              </w:rPr>
            </w:pPr>
            <w:r w:rsidRPr="004F0EF2">
              <w:rPr>
                <w:b/>
                <w:lang w:val="en-AU"/>
              </w:rPr>
              <w:t xml:space="preserve">Work Item </w:t>
            </w:r>
          </w:p>
        </w:tc>
        <w:tc>
          <w:tcPr>
            <w:tcW w:w="7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CC49FD" w14:textId="77777777" w:rsidR="004F0EF2" w:rsidRPr="004F0EF2" w:rsidRDefault="004F0EF2" w:rsidP="004F0EF2">
            <w:pPr>
              <w:tabs>
                <w:tab w:val="left" w:pos="567"/>
                <w:tab w:val="left" w:pos="1134"/>
                <w:tab w:val="left" w:pos="1701"/>
                <w:tab w:val="left" w:pos="2268"/>
                <w:tab w:val="left" w:pos="2835"/>
              </w:tabs>
              <w:overflowPunct w:val="0"/>
              <w:autoSpaceDE w:val="0"/>
              <w:autoSpaceDN w:val="0"/>
              <w:adjustRightInd w:val="0"/>
              <w:spacing w:before="40" w:after="40"/>
              <w:rPr>
                <w:rFonts w:eastAsia="SimSun"/>
                <w:b/>
                <w:caps/>
                <w:lang w:val="en-GB" w:eastAsia="zh-CN"/>
              </w:rPr>
            </w:pPr>
            <w:r w:rsidRPr="004F0EF2">
              <w:rPr>
                <w:rFonts w:eastAsia="SimSun"/>
                <w:b/>
                <w:caps/>
                <w:lang w:val="en-GB" w:eastAsia="zh-CN"/>
              </w:rPr>
              <w:t>Spectrum re-farming</w:t>
            </w:r>
          </w:p>
        </w:tc>
      </w:tr>
      <w:tr w:rsidR="004F0EF2" w:rsidRPr="004F0EF2" w14:paraId="360D61A3" w14:textId="77777777" w:rsidTr="004A66FD">
        <w:trPr>
          <w:trHeight w:val="305"/>
        </w:trPr>
        <w:tc>
          <w:tcPr>
            <w:tcW w:w="2425" w:type="dxa"/>
            <w:tcBorders>
              <w:top w:val="single" w:sz="4" w:space="0" w:color="auto"/>
              <w:left w:val="single" w:sz="4" w:space="0" w:color="auto"/>
              <w:bottom w:val="single" w:sz="4" w:space="0" w:color="auto"/>
              <w:right w:val="single" w:sz="4" w:space="0" w:color="auto"/>
            </w:tcBorders>
            <w:hideMark/>
          </w:tcPr>
          <w:p w14:paraId="09C0177B" w14:textId="77777777" w:rsidR="004F0EF2" w:rsidRPr="004F0EF2" w:rsidRDefault="004F0EF2" w:rsidP="004F0EF2">
            <w:pPr>
              <w:snapToGrid w:val="0"/>
              <w:spacing w:before="40" w:after="40"/>
              <w:rPr>
                <w:b/>
                <w:lang w:val="en-AU"/>
              </w:rPr>
            </w:pPr>
            <w:r w:rsidRPr="004F0EF2">
              <w:rPr>
                <w:rFonts w:eastAsia="Batang"/>
                <w:b/>
                <w:sz w:val="22"/>
                <w:szCs w:val="22"/>
              </w:rPr>
              <w:t>Rapporteur(s)</w:t>
            </w:r>
          </w:p>
        </w:tc>
        <w:tc>
          <w:tcPr>
            <w:tcW w:w="7020" w:type="dxa"/>
            <w:tcBorders>
              <w:top w:val="single" w:sz="4" w:space="0" w:color="auto"/>
              <w:left w:val="single" w:sz="4" w:space="0" w:color="auto"/>
              <w:bottom w:val="single" w:sz="4" w:space="0" w:color="auto"/>
              <w:right w:val="single" w:sz="4" w:space="0" w:color="auto"/>
            </w:tcBorders>
            <w:hideMark/>
          </w:tcPr>
          <w:p w14:paraId="29517BF6" w14:textId="77777777" w:rsidR="004F0EF2" w:rsidRPr="004F0EF2" w:rsidRDefault="004F0EF2" w:rsidP="004F0EF2">
            <w:pPr>
              <w:overflowPunct w:val="0"/>
              <w:autoSpaceDE w:val="0"/>
              <w:autoSpaceDN w:val="0"/>
              <w:adjustRightInd w:val="0"/>
              <w:snapToGrid w:val="0"/>
              <w:spacing w:before="40" w:after="40"/>
              <w:textAlignment w:val="baseline"/>
              <w:rPr>
                <w:lang w:val="en-AU" w:eastAsia="ko-KR"/>
              </w:rPr>
            </w:pPr>
            <w:r w:rsidRPr="004F0EF2">
              <w:rPr>
                <w:lang w:val="en-AU" w:eastAsia="ko-KR"/>
              </w:rPr>
              <w:t xml:space="preserve">Mr. S.T. Abbas (WG Chairman)/ Mr. Pramod Kumar/ Ms. Rachna Mathur (TRAI) and Mrs. Roja Kiran Basukala/ Mr. Hiranya Prasad Bastakoti/ Dr. Pradip Paudyal(NTA)and </w:t>
            </w:r>
            <w:proofErr w:type="spellStart"/>
            <w:r w:rsidRPr="004F0EF2">
              <w:rPr>
                <w:lang w:val="en-AU" w:eastAsia="ko-KR"/>
              </w:rPr>
              <w:t>SyedaShafaq</w:t>
            </w:r>
            <w:proofErr w:type="spellEnd"/>
            <w:r w:rsidRPr="004F0EF2">
              <w:rPr>
                <w:lang w:val="en-AU" w:eastAsia="ko-KR"/>
              </w:rPr>
              <w:t xml:space="preserve"> Karim (PTA)</w:t>
            </w:r>
          </w:p>
        </w:tc>
      </w:tr>
      <w:tr w:rsidR="004F0EF2" w:rsidRPr="004F0EF2" w14:paraId="4CC98644" w14:textId="77777777" w:rsidTr="004A66FD">
        <w:trPr>
          <w:trHeight w:val="233"/>
        </w:trPr>
        <w:tc>
          <w:tcPr>
            <w:tcW w:w="2425" w:type="dxa"/>
            <w:tcBorders>
              <w:top w:val="single" w:sz="4" w:space="0" w:color="auto"/>
              <w:left w:val="single" w:sz="4" w:space="0" w:color="auto"/>
              <w:bottom w:val="single" w:sz="4" w:space="0" w:color="auto"/>
              <w:right w:val="single" w:sz="4" w:space="0" w:color="auto"/>
            </w:tcBorders>
            <w:hideMark/>
          </w:tcPr>
          <w:p w14:paraId="3A6778D1"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Output</w:t>
            </w:r>
          </w:p>
        </w:tc>
        <w:tc>
          <w:tcPr>
            <w:tcW w:w="7020" w:type="dxa"/>
            <w:tcBorders>
              <w:top w:val="single" w:sz="4" w:space="0" w:color="auto"/>
              <w:left w:val="single" w:sz="4" w:space="0" w:color="auto"/>
              <w:bottom w:val="single" w:sz="4" w:space="0" w:color="auto"/>
              <w:right w:val="single" w:sz="4" w:space="0" w:color="auto"/>
            </w:tcBorders>
            <w:hideMark/>
          </w:tcPr>
          <w:p w14:paraId="2E92B228" w14:textId="77777777" w:rsidR="004F0EF2" w:rsidRPr="004F0EF2" w:rsidRDefault="004F0EF2" w:rsidP="004F0EF2">
            <w:pPr>
              <w:overflowPunct w:val="0"/>
              <w:autoSpaceDE w:val="0"/>
              <w:autoSpaceDN w:val="0"/>
              <w:adjustRightInd w:val="0"/>
              <w:snapToGrid w:val="0"/>
              <w:spacing w:before="40" w:after="40"/>
              <w:textAlignment w:val="baseline"/>
              <w:rPr>
                <w:rFonts w:eastAsia="Times New Roman"/>
                <w:lang w:val="en-AU" w:eastAsia="zh-CN"/>
              </w:rPr>
            </w:pPr>
            <w:r w:rsidRPr="004F0EF2">
              <w:rPr>
                <w:lang w:val="en-AU" w:eastAsia="ko-KR"/>
              </w:rPr>
              <w:t>Report / Guideline / Recommendation</w:t>
            </w:r>
          </w:p>
        </w:tc>
      </w:tr>
      <w:tr w:rsidR="004F0EF2" w:rsidRPr="004F0EF2" w14:paraId="51B11561"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6A30C175"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Background and Purpose</w:t>
            </w:r>
          </w:p>
          <w:p w14:paraId="6B7A8EC7" w14:textId="77777777" w:rsidR="004F0EF2" w:rsidRPr="004F0EF2" w:rsidRDefault="004F0EF2" w:rsidP="004F0EF2">
            <w:pPr>
              <w:rPr>
                <w:rFonts w:eastAsia="휴먼명조"/>
                <w:lang w:val="en-AU"/>
              </w:rPr>
            </w:pPr>
          </w:p>
          <w:p w14:paraId="57C44A00" w14:textId="77777777" w:rsidR="004F0EF2" w:rsidRPr="004F0EF2" w:rsidRDefault="004F0EF2" w:rsidP="004F0EF2">
            <w:pPr>
              <w:rPr>
                <w:rFonts w:eastAsia="휴먼명조"/>
                <w:lang w:val="en-AU"/>
              </w:rPr>
            </w:pPr>
          </w:p>
          <w:p w14:paraId="2057B672" w14:textId="77777777" w:rsidR="004F0EF2" w:rsidRPr="004F0EF2" w:rsidRDefault="004F0EF2" w:rsidP="004F0EF2">
            <w:pPr>
              <w:rPr>
                <w:rFonts w:eastAsia="휴먼명조"/>
                <w:lang w:val="en-AU"/>
              </w:rPr>
            </w:pPr>
          </w:p>
          <w:p w14:paraId="5FFF0216" w14:textId="77777777" w:rsidR="004F0EF2" w:rsidRPr="004F0EF2" w:rsidRDefault="004F0EF2" w:rsidP="004F0EF2">
            <w:pPr>
              <w:rPr>
                <w:rFonts w:eastAsia="휴먼명조"/>
                <w:lang w:val="en-AU"/>
              </w:rPr>
            </w:pPr>
          </w:p>
          <w:p w14:paraId="54FFFB8E" w14:textId="77777777" w:rsidR="004F0EF2" w:rsidRPr="004F0EF2" w:rsidRDefault="004F0EF2" w:rsidP="004F0EF2">
            <w:pPr>
              <w:rPr>
                <w:rFonts w:eastAsia="휴먼명조"/>
                <w:lang w:val="en-AU"/>
              </w:rPr>
            </w:pPr>
          </w:p>
          <w:p w14:paraId="7B625032" w14:textId="77777777" w:rsidR="004F0EF2" w:rsidRPr="004F0EF2" w:rsidRDefault="004F0EF2" w:rsidP="004F0EF2">
            <w:pPr>
              <w:rPr>
                <w:rFonts w:eastAsia="휴먼명조"/>
                <w:lang w:val="en-AU"/>
              </w:rPr>
            </w:pPr>
          </w:p>
          <w:p w14:paraId="05AB97A9" w14:textId="77777777" w:rsidR="004F0EF2" w:rsidRPr="004F0EF2" w:rsidRDefault="004F0EF2" w:rsidP="004F0EF2">
            <w:pPr>
              <w:rPr>
                <w:rFonts w:eastAsia="휴먼명조"/>
                <w:lang w:val="en-AU"/>
              </w:rPr>
            </w:pPr>
          </w:p>
          <w:p w14:paraId="22E5EDDC" w14:textId="77777777" w:rsidR="004F0EF2" w:rsidRPr="004F0EF2" w:rsidRDefault="004F0EF2" w:rsidP="004F0EF2">
            <w:pPr>
              <w:rPr>
                <w:rFonts w:eastAsia="휴먼명조"/>
                <w:lang w:val="en-AU"/>
              </w:rPr>
            </w:pPr>
          </w:p>
          <w:p w14:paraId="69E2E4FD" w14:textId="77777777" w:rsidR="004F0EF2" w:rsidRPr="004F0EF2" w:rsidRDefault="004F0EF2" w:rsidP="004F0EF2">
            <w:pPr>
              <w:rPr>
                <w:rFonts w:eastAsia="휴먼명조"/>
                <w:lang w:val="en-AU"/>
              </w:rPr>
            </w:pPr>
          </w:p>
          <w:p w14:paraId="4077B678" w14:textId="77777777" w:rsidR="004F0EF2" w:rsidRPr="004F0EF2" w:rsidRDefault="004F0EF2" w:rsidP="004F0EF2">
            <w:pPr>
              <w:rPr>
                <w:rFonts w:eastAsia="휴먼명조"/>
                <w:lang w:val="en-AU"/>
              </w:rPr>
            </w:pPr>
          </w:p>
          <w:p w14:paraId="4B9FFD66" w14:textId="77777777" w:rsidR="004F0EF2" w:rsidRPr="004F0EF2" w:rsidRDefault="004F0EF2" w:rsidP="004F0EF2">
            <w:pPr>
              <w:rPr>
                <w:rFonts w:eastAsia="휴먼명조"/>
                <w:lang w:val="en-AU"/>
              </w:rPr>
            </w:pPr>
          </w:p>
          <w:p w14:paraId="53C909CB" w14:textId="77777777" w:rsidR="004F0EF2" w:rsidRPr="004F0EF2" w:rsidRDefault="004F0EF2" w:rsidP="004F0EF2">
            <w:pPr>
              <w:rPr>
                <w:rFonts w:eastAsia="휴먼명조"/>
                <w:lang w:val="en-AU"/>
              </w:rPr>
            </w:pPr>
          </w:p>
          <w:p w14:paraId="6289A57C" w14:textId="77777777" w:rsidR="004F0EF2" w:rsidRPr="004F0EF2" w:rsidRDefault="004F0EF2" w:rsidP="004F0EF2">
            <w:pPr>
              <w:rPr>
                <w:rFonts w:eastAsia="휴먼명조"/>
                <w:lang w:val="en-AU"/>
              </w:rPr>
            </w:pPr>
          </w:p>
          <w:p w14:paraId="559E5FBC" w14:textId="77777777" w:rsidR="004F0EF2" w:rsidRPr="004F0EF2" w:rsidRDefault="004F0EF2" w:rsidP="004F0EF2">
            <w:pPr>
              <w:rPr>
                <w:rFonts w:eastAsia="휴먼명조"/>
                <w:lang w:val="en-AU"/>
              </w:rPr>
            </w:pPr>
          </w:p>
          <w:p w14:paraId="37CB9965" w14:textId="77777777" w:rsidR="004F0EF2" w:rsidRPr="004F0EF2" w:rsidRDefault="004F0EF2" w:rsidP="004F0EF2">
            <w:pPr>
              <w:rPr>
                <w:rFonts w:eastAsia="휴먼명조"/>
                <w:lang w:val="en-AU"/>
              </w:rPr>
            </w:pPr>
          </w:p>
          <w:p w14:paraId="18C89953" w14:textId="77777777" w:rsidR="004F0EF2" w:rsidRPr="004F0EF2" w:rsidRDefault="004F0EF2" w:rsidP="004F0EF2">
            <w:pPr>
              <w:jc w:val="right"/>
              <w:rPr>
                <w:rFonts w:eastAsia="휴먼명조"/>
                <w:lang w:val="en-AU"/>
              </w:rPr>
            </w:pPr>
          </w:p>
        </w:tc>
        <w:tc>
          <w:tcPr>
            <w:tcW w:w="7020" w:type="dxa"/>
            <w:tcBorders>
              <w:top w:val="single" w:sz="4" w:space="0" w:color="auto"/>
              <w:left w:val="single" w:sz="4" w:space="0" w:color="auto"/>
              <w:bottom w:val="single" w:sz="4" w:space="0" w:color="auto"/>
              <w:right w:val="single" w:sz="4" w:space="0" w:color="auto"/>
            </w:tcBorders>
            <w:hideMark/>
          </w:tcPr>
          <w:p w14:paraId="62AED2A0" w14:textId="77777777" w:rsidR="004F0EF2" w:rsidRPr="004F0EF2" w:rsidRDefault="004F0EF2" w:rsidP="004F0EF2">
            <w:pPr>
              <w:jc w:val="both"/>
              <w:textAlignment w:val="top"/>
              <w:rPr>
                <w:rFonts w:eastAsia="Times New Roman"/>
                <w:lang w:eastAsia="ja-JP"/>
              </w:rPr>
            </w:pPr>
            <w:r w:rsidRPr="004F0EF2">
              <w:rPr>
                <w:rFonts w:eastAsia="Times New Roman"/>
                <w:lang w:eastAsia="ja-JP"/>
              </w:rPr>
              <w:t xml:space="preserve">With the current advancement in mobile communication technologies, current mobile broadband networks offer much higher spectrum efficiency compared with traditional GSM and CDMA (2G) systems. </w:t>
            </w:r>
            <w:r w:rsidRPr="004F0EF2">
              <w:rPr>
                <w:rFonts w:eastAsia="Times New Roman" w:cs="Mangal"/>
                <w:lang w:eastAsia="ja-JP" w:bidi="ne-NP"/>
              </w:rPr>
              <w:t xml:space="preserve">There is global trend of switching off 2G Networks gradually with the increase in mobile broadband networks. Some </w:t>
            </w:r>
            <w:r w:rsidRPr="004F0EF2">
              <w:rPr>
                <w:rFonts w:eastAsia="Times New Roman"/>
                <w:lang w:eastAsia="ja-JP"/>
              </w:rPr>
              <w:t xml:space="preserve">Regulators have adopted technology neutral principles in those bands.  While implementing technology neutral in </w:t>
            </w:r>
            <w:proofErr w:type="gramStart"/>
            <w:r w:rsidRPr="004F0EF2">
              <w:rPr>
                <w:rFonts w:eastAsia="Times New Roman"/>
                <w:lang w:eastAsia="ja-JP"/>
              </w:rPr>
              <w:t>traditional  technology</w:t>
            </w:r>
            <w:proofErr w:type="gramEnd"/>
            <w:r w:rsidRPr="004F0EF2">
              <w:rPr>
                <w:rFonts w:eastAsia="Times New Roman"/>
                <w:lang w:eastAsia="ja-JP"/>
              </w:rPr>
              <w:t xml:space="preserve"> specific frequency bands, </w:t>
            </w:r>
            <w:proofErr w:type="spellStart"/>
            <w:r w:rsidRPr="004F0EF2">
              <w:rPr>
                <w:rFonts w:eastAsia="Times New Roman"/>
                <w:lang w:eastAsia="ja-JP"/>
              </w:rPr>
              <w:t>refarming</w:t>
            </w:r>
            <w:proofErr w:type="spellEnd"/>
            <w:r w:rsidRPr="004F0EF2">
              <w:rPr>
                <w:rFonts w:eastAsia="Times New Roman"/>
                <w:lang w:eastAsia="ja-JP"/>
              </w:rPr>
              <w:t xml:space="preserve"> dying technology specific bands like GSM,  CDMA, WiMAX  etc. is a natural solution for mobile broadband coverage.</w:t>
            </w:r>
          </w:p>
          <w:p w14:paraId="67D33D48" w14:textId="77777777" w:rsidR="004F0EF2" w:rsidRPr="004F0EF2" w:rsidRDefault="004F0EF2" w:rsidP="004F0EF2">
            <w:pPr>
              <w:spacing w:before="80"/>
              <w:jc w:val="both"/>
              <w:textAlignment w:val="top"/>
              <w:rPr>
                <w:rFonts w:eastAsia="Times New Roman"/>
                <w:lang w:eastAsia="ja-JP"/>
              </w:rPr>
            </w:pPr>
            <w:proofErr w:type="spellStart"/>
            <w:r w:rsidRPr="004F0EF2">
              <w:rPr>
                <w:rFonts w:eastAsia="Times New Roman"/>
                <w:lang w:eastAsia="ja-JP"/>
              </w:rPr>
              <w:t>Refarming</w:t>
            </w:r>
            <w:proofErr w:type="spellEnd"/>
            <w:r w:rsidRPr="004F0EF2">
              <w:rPr>
                <w:rFonts w:eastAsia="Times New Roman"/>
                <w:lang w:eastAsia="ja-JP"/>
              </w:rPr>
              <w:t xml:space="preserve"> is a strategy where telecom service providers reuse their frequency resources to introduce latest radio communication technologies to improve the spectral efficiency and data throughput. For example 900 MHz </w:t>
            </w:r>
            <w:proofErr w:type="spellStart"/>
            <w:r w:rsidRPr="004F0EF2">
              <w:rPr>
                <w:rFonts w:eastAsia="Times New Roman"/>
                <w:lang w:eastAsia="ja-JP"/>
              </w:rPr>
              <w:t>refarming</w:t>
            </w:r>
            <w:proofErr w:type="spellEnd"/>
            <w:r w:rsidRPr="004F0EF2">
              <w:rPr>
                <w:rFonts w:eastAsia="Times New Roman"/>
                <w:lang w:eastAsia="ja-JP"/>
              </w:rPr>
              <w:t xml:space="preserve"> solution is that service providers free about 5 MHz of GSM in 900 MHz band and deploy UMTS or LTE in 900 MHz Band.</w:t>
            </w:r>
          </w:p>
          <w:p w14:paraId="2DE2E858" w14:textId="77777777" w:rsidR="004F0EF2" w:rsidRPr="004F0EF2" w:rsidRDefault="004F0EF2" w:rsidP="004F0EF2">
            <w:pPr>
              <w:spacing w:before="80"/>
              <w:jc w:val="both"/>
              <w:textAlignment w:val="top"/>
              <w:rPr>
                <w:rFonts w:eastAsia="Times New Roman"/>
                <w:lang w:eastAsia="ja-JP"/>
              </w:rPr>
            </w:pPr>
            <w:r w:rsidRPr="004F0EF2">
              <w:rPr>
                <w:rFonts w:eastAsia="Times New Roman"/>
                <w:lang w:eastAsia="ja-JP"/>
              </w:rPr>
              <w:t xml:space="preserve">-Spectrum </w:t>
            </w:r>
            <w:proofErr w:type="spellStart"/>
            <w:r w:rsidRPr="004F0EF2">
              <w:rPr>
                <w:rFonts w:eastAsia="Times New Roman"/>
                <w:lang w:eastAsia="ja-JP"/>
              </w:rPr>
              <w:t>refarming</w:t>
            </w:r>
            <w:proofErr w:type="spellEnd"/>
            <w:r w:rsidRPr="004F0EF2">
              <w:rPr>
                <w:rFonts w:eastAsia="Times New Roman"/>
                <w:lang w:eastAsia="ja-JP"/>
              </w:rPr>
              <w:t xml:space="preserve"> requires careful planning and management to guarantee a smooth transition to mobile broadband networks. To solve this issue, this study will look into following areas:</w:t>
            </w:r>
          </w:p>
          <w:p w14:paraId="74F8551A" w14:textId="77777777" w:rsidR="004F0EF2" w:rsidRPr="004F0EF2" w:rsidRDefault="004F0EF2" w:rsidP="004F0EF2">
            <w:pPr>
              <w:jc w:val="both"/>
              <w:textAlignment w:val="top"/>
              <w:rPr>
                <w:rFonts w:eastAsia="Times New Roman"/>
                <w:lang w:eastAsia="ja-JP"/>
              </w:rPr>
            </w:pPr>
            <w:r w:rsidRPr="004F0EF2">
              <w:rPr>
                <w:rFonts w:eastAsia="Times New Roman"/>
                <w:lang w:eastAsia="ja-JP"/>
              </w:rPr>
              <w:t xml:space="preserve">    - Spectrum Migration Strategy</w:t>
            </w:r>
          </w:p>
          <w:p w14:paraId="75E5BE2E" w14:textId="77777777" w:rsidR="004F0EF2" w:rsidRPr="004F0EF2" w:rsidRDefault="004F0EF2" w:rsidP="004F0EF2">
            <w:pPr>
              <w:jc w:val="both"/>
              <w:textAlignment w:val="top"/>
              <w:rPr>
                <w:rFonts w:eastAsia="Times New Roman"/>
                <w:lang w:eastAsia="ja-JP"/>
              </w:rPr>
            </w:pPr>
            <w:r w:rsidRPr="004F0EF2">
              <w:rPr>
                <w:rFonts w:eastAsia="Times New Roman"/>
                <w:lang w:eastAsia="ja-JP"/>
              </w:rPr>
              <w:t xml:space="preserve">    - Technical Methods to re-arrange existing traditional  spectrum bands</w:t>
            </w:r>
          </w:p>
          <w:p w14:paraId="09BDCEBE" w14:textId="77777777" w:rsidR="004F0EF2" w:rsidRPr="004F0EF2" w:rsidRDefault="004F0EF2" w:rsidP="004F0EF2">
            <w:pPr>
              <w:overflowPunct w:val="0"/>
              <w:autoSpaceDE w:val="0"/>
              <w:autoSpaceDN w:val="0"/>
              <w:adjustRightInd w:val="0"/>
              <w:snapToGrid w:val="0"/>
              <w:spacing w:before="120"/>
              <w:jc w:val="both"/>
              <w:textAlignment w:val="baseline"/>
              <w:rPr>
                <w:lang w:val="en-AU"/>
              </w:rPr>
            </w:pPr>
          </w:p>
        </w:tc>
      </w:tr>
      <w:tr w:rsidR="004F0EF2" w:rsidRPr="004F0EF2" w14:paraId="026E6BED"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118E1996"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Scope</w:t>
            </w:r>
          </w:p>
        </w:tc>
        <w:tc>
          <w:tcPr>
            <w:tcW w:w="7020" w:type="dxa"/>
            <w:tcBorders>
              <w:top w:val="single" w:sz="4" w:space="0" w:color="auto"/>
              <w:left w:val="single" w:sz="4" w:space="0" w:color="auto"/>
              <w:bottom w:val="single" w:sz="4" w:space="0" w:color="auto"/>
              <w:right w:val="single" w:sz="4" w:space="0" w:color="auto"/>
            </w:tcBorders>
            <w:hideMark/>
          </w:tcPr>
          <w:p w14:paraId="13783FD3" w14:textId="77777777" w:rsidR="004F0EF2" w:rsidRPr="004F0EF2" w:rsidRDefault="004F0EF2" w:rsidP="004F0EF2">
            <w:pPr>
              <w:overflowPunct w:val="0"/>
              <w:autoSpaceDE w:val="0"/>
              <w:autoSpaceDN w:val="0"/>
              <w:adjustRightInd w:val="0"/>
              <w:snapToGrid w:val="0"/>
              <w:spacing w:before="40" w:after="40"/>
              <w:textAlignment w:val="baseline"/>
              <w:rPr>
                <w:rFonts w:eastAsia="Times New Roman"/>
                <w:lang w:val="en-AU" w:eastAsia="zh-CN"/>
              </w:rPr>
            </w:pPr>
            <w:r w:rsidRPr="004F0EF2">
              <w:rPr>
                <w:rFonts w:eastAsia="Times New Roman"/>
                <w:lang w:val="en-AU" w:eastAsia="zh-CN"/>
              </w:rPr>
              <w:t>The suggested scope of study can include the following:</w:t>
            </w:r>
          </w:p>
          <w:p w14:paraId="07353B33" w14:textId="77777777" w:rsidR="004F0EF2" w:rsidRPr="004F0EF2" w:rsidRDefault="004F0EF2" w:rsidP="004F0EF2">
            <w:pPr>
              <w:widowControl w:val="0"/>
              <w:numPr>
                <w:ilvl w:val="1"/>
                <w:numId w:val="15"/>
              </w:numPr>
              <w:overflowPunct w:val="0"/>
              <w:autoSpaceDE w:val="0"/>
              <w:autoSpaceDN w:val="0"/>
              <w:adjustRightInd w:val="0"/>
              <w:snapToGrid w:val="0"/>
              <w:spacing w:before="40" w:after="40"/>
              <w:jc w:val="both"/>
              <w:textAlignment w:val="baseline"/>
              <w:rPr>
                <w:lang w:val="en-AU" w:eastAsia="ko-KR"/>
              </w:rPr>
            </w:pPr>
            <w:r w:rsidRPr="004F0EF2">
              <w:rPr>
                <w:rFonts w:eastAsia="SimSun"/>
                <w:bCs/>
                <w:lang w:eastAsia="zh-CN"/>
              </w:rPr>
              <w:t>Review status of traditional technology specific bands usage within SATRC members.</w:t>
            </w:r>
          </w:p>
          <w:p w14:paraId="202CDA30" w14:textId="77777777" w:rsidR="004F0EF2" w:rsidRPr="004F0EF2" w:rsidRDefault="004F0EF2" w:rsidP="004F0EF2">
            <w:pPr>
              <w:widowControl w:val="0"/>
              <w:numPr>
                <w:ilvl w:val="1"/>
                <w:numId w:val="15"/>
              </w:numPr>
              <w:overflowPunct w:val="0"/>
              <w:autoSpaceDE w:val="0"/>
              <w:autoSpaceDN w:val="0"/>
              <w:adjustRightInd w:val="0"/>
              <w:snapToGrid w:val="0"/>
              <w:spacing w:before="40" w:after="40"/>
              <w:jc w:val="both"/>
              <w:textAlignment w:val="baseline"/>
              <w:rPr>
                <w:lang w:val="en-AU" w:eastAsia="ko-KR"/>
              </w:rPr>
            </w:pPr>
            <w:r w:rsidRPr="004F0EF2">
              <w:rPr>
                <w:rFonts w:eastAsia="SimSun"/>
                <w:bCs/>
                <w:lang w:eastAsia="zh-CN"/>
              </w:rPr>
              <w:t>Technical methods to re-arrange existing technology specific spectrum bands.</w:t>
            </w:r>
          </w:p>
          <w:p w14:paraId="73BB21ED" w14:textId="77777777" w:rsidR="004F0EF2" w:rsidRPr="004F0EF2" w:rsidRDefault="004F0EF2" w:rsidP="004F0EF2">
            <w:pPr>
              <w:widowControl w:val="0"/>
              <w:numPr>
                <w:ilvl w:val="1"/>
                <w:numId w:val="15"/>
              </w:numPr>
              <w:overflowPunct w:val="0"/>
              <w:autoSpaceDE w:val="0"/>
              <w:autoSpaceDN w:val="0"/>
              <w:adjustRightInd w:val="0"/>
              <w:snapToGrid w:val="0"/>
              <w:spacing w:before="40" w:after="40"/>
              <w:jc w:val="both"/>
              <w:textAlignment w:val="baseline"/>
              <w:rPr>
                <w:lang w:val="en-AU" w:eastAsia="ko-KR"/>
              </w:rPr>
            </w:pPr>
            <w:r w:rsidRPr="004F0EF2">
              <w:rPr>
                <w:rFonts w:eastAsia="SimSun"/>
                <w:bCs/>
                <w:lang w:eastAsia="zh-CN"/>
              </w:rPr>
              <w:t>Migration strategy, including possible dying out technology Network Switch Off time frame.</w:t>
            </w:r>
          </w:p>
          <w:p w14:paraId="6D116DAB" w14:textId="77777777" w:rsidR="004F0EF2" w:rsidRPr="004F0EF2" w:rsidRDefault="004F0EF2" w:rsidP="004F0EF2">
            <w:pPr>
              <w:widowControl w:val="0"/>
              <w:numPr>
                <w:ilvl w:val="1"/>
                <w:numId w:val="15"/>
              </w:numPr>
              <w:overflowPunct w:val="0"/>
              <w:autoSpaceDE w:val="0"/>
              <w:autoSpaceDN w:val="0"/>
              <w:adjustRightInd w:val="0"/>
              <w:snapToGrid w:val="0"/>
              <w:spacing w:before="40" w:after="40"/>
              <w:jc w:val="both"/>
              <w:textAlignment w:val="baseline"/>
              <w:rPr>
                <w:lang w:val="en-AU" w:eastAsia="ko-KR"/>
              </w:rPr>
            </w:pPr>
            <w:r w:rsidRPr="004F0EF2">
              <w:rPr>
                <w:rFonts w:eastAsia="SimSun"/>
                <w:bCs/>
                <w:lang w:eastAsia="zh-CN"/>
              </w:rPr>
              <w:t>Case studies of several successful re</w:t>
            </w:r>
            <w:r w:rsidRPr="004F0EF2">
              <w:rPr>
                <w:rFonts w:eastAsia="MS Mincho"/>
                <w:bCs/>
                <w:lang w:eastAsia="ja-JP"/>
              </w:rPr>
              <w:t>-</w:t>
            </w:r>
            <w:r w:rsidRPr="004F0EF2">
              <w:rPr>
                <w:rFonts w:eastAsia="SimSun"/>
                <w:bCs/>
                <w:lang w:eastAsia="zh-CN"/>
              </w:rPr>
              <w:t>farming.</w:t>
            </w:r>
          </w:p>
          <w:p w14:paraId="50A91A9A" w14:textId="77777777" w:rsidR="004F0EF2" w:rsidRPr="004F0EF2" w:rsidRDefault="004F0EF2" w:rsidP="004F0EF2">
            <w:pPr>
              <w:widowControl w:val="0"/>
              <w:numPr>
                <w:ilvl w:val="1"/>
                <w:numId w:val="15"/>
              </w:numPr>
              <w:overflowPunct w:val="0"/>
              <w:autoSpaceDE w:val="0"/>
              <w:autoSpaceDN w:val="0"/>
              <w:adjustRightInd w:val="0"/>
              <w:snapToGrid w:val="0"/>
              <w:spacing w:before="40" w:after="40"/>
              <w:jc w:val="both"/>
              <w:textAlignment w:val="baseline"/>
              <w:rPr>
                <w:lang w:val="en-AU" w:eastAsia="ko-KR"/>
              </w:rPr>
            </w:pPr>
            <w:r w:rsidRPr="004F0EF2">
              <w:rPr>
                <w:lang w:val="en-AU" w:eastAsia="ko-KR"/>
              </w:rPr>
              <w:lastRenderedPageBreak/>
              <w:t>Other inputs can be included here based on feedback from SATRC members</w:t>
            </w:r>
          </w:p>
        </w:tc>
      </w:tr>
      <w:tr w:rsidR="004F0EF2" w:rsidRPr="004F0EF2" w14:paraId="1853D2A4"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612F1EBD" w14:textId="77777777" w:rsidR="004F0EF2" w:rsidRPr="004F0EF2" w:rsidRDefault="004F0EF2" w:rsidP="004F0EF2">
            <w:pPr>
              <w:snapToGrid w:val="0"/>
              <w:spacing w:before="40" w:after="40"/>
              <w:rPr>
                <w:rFonts w:eastAsia="휴먼명조"/>
                <w:b/>
                <w:color w:val="000000"/>
                <w:lang w:val="en-AU" w:eastAsia="ko-KR"/>
              </w:rPr>
            </w:pPr>
            <w:r w:rsidRPr="004F0EF2">
              <w:rPr>
                <w:rFonts w:eastAsia="휴먼명조"/>
                <w:b/>
                <w:color w:val="000000"/>
                <w:lang w:val="en-AU"/>
              </w:rPr>
              <w:lastRenderedPageBreak/>
              <w:t>Time Frame</w:t>
            </w:r>
          </w:p>
        </w:tc>
        <w:tc>
          <w:tcPr>
            <w:tcW w:w="7020" w:type="dxa"/>
            <w:tcBorders>
              <w:top w:val="single" w:sz="4" w:space="0" w:color="auto"/>
              <w:left w:val="single" w:sz="4" w:space="0" w:color="auto"/>
              <w:bottom w:val="single" w:sz="4" w:space="0" w:color="auto"/>
              <w:right w:val="single" w:sz="4" w:space="0" w:color="auto"/>
            </w:tcBorders>
            <w:hideMark/>
          </w:tcPr>
          <w:p w14:paraId="67BB28FA"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Drafting the questionnaire by lead experts (May…….2019)</w:t>
            </w:r>
          </w:p>
          <w:p w14:paraId="121FFA61"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Circulation of the questionnaire to WG experts (June…….2019)</w:t>
            </w:r>
          </w:p>
          <w:p w14:paraId="6FD522DE"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 xml:space="preserve">Response to the questionnaires (…September….2019) </w:t>
            </w:r>
          </w:p>
          <w:p w14:paraId="5EA7915D"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Development of the interim Report ( …November……2019)</w:t>
            </w:r>
          </w:p>
          <w:p w14:paraId="5D807A38"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Discussion on the interim report and comments by experts (…January……..2020)</w:t>
            </w:r>
          </w:p>
          <w:p w14:paraId="24DDA397"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Update of the interim report and development of the first draft of the final Report (…March….2020)</w:t>
            </w:r>
          </w:p>
          <w:p w14:paraId="65D9AB40"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Consideration of the first draft of the final Report at the 2nd Meeting of the WG (May…….2020)</w:t>
            </w:r>
          </w:p>
          <w:p w14:paraId="6A8B9675"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Consideration of the second draft of the final Report ( August 2020)</w:t>
            </w:r>
          </w:p>
          <w:p w14:paraId="0817E90A"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Draft final report (October…..2020)</w:t>
            </w:r>
          </w:p>
        </w:tc>
      </w:tr>
      <w:tr w:rsidR="004F0EF2" w:rsidRPr="004F0EF2" w14:paraId="4EF77558"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62C4A548"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Utilization of Output</w:t>
            </w:r>
          </w:p>
        </w:tc>
        <w:tc>
          <w:tcPr>
            <w:tcW w:w="7020" w:type="dxa"/>
            <w:tcBorders>
              <w:top w:val="single" w:sz="4" w:space="0" w:color="auto"/>
              <w:left w:val="single" w:sz="4" w:space="0" w:color="auto"/>
              <w:bottom w:val="single" w:sz="4" w:space="0" w:color="auto"/>
              <w:right w:val="single" w:sz="4" w:space="0" w:color="auto"/>
            </w:tcBorders>
          </w:tcPr>
          <w:p w14:paraId="2D05B4D7" w14:textId="77777777" w:rsidR="004F0EF2" w:rsidRPr="004F0EF2" w:rsidRDefault="004F0EF2" w:rsidP="004F0EF2">
            <w:pPr>
              <w:overflowPunct w:val="0"/>
              <w:autoSpaceDE w:val="0"/>
              <w:autoSpaceDN w:val="0"/>
              <w:adjustRightInd w:val="0"/>
              <w:snapToGrid w:val="0"/>
              <w:spacing w:before="40" w:after="40"/>
              <w:textAlignment w:val="baseline"/>
              <w:rPr>
                <w:lang w:val="en-AU" w:eastAsia="ko-KR"/>
              </w:rPr>
            </w:pPr>
            <w:r w:rsidRPr="004F0EF2">
              <w:rPr>
                <w:bCs/>
                <w:lang w:val="en-AU" w:eastAsia="ko-KR"/>
              </w:rPr>
              <w:t>Policy makers, Regulators and Service providers</w:t>
            </w:r>
          </w:p>
        </w:tc>
      </w:tr>
    </w:tbl>
    <w:p w14:paraId="2A16EFBC" w14:textId="77777777" w:rsidR="004F0EF2" w:rsidRDefault="004F0EF2" w:rsidP="00BB197D"/>
    <w:p w14:paraId="7BEAB8DA" w14:textId="77777777" w:rsidR="004F0EF2" w:rsidRDefault="004F0EF2" w:rsidP="00BB197D"/>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5"/>
        <w:gridCol w:w="7020"/>
      </w:tblGrid>
      <w:tr w:rsidR="004F0EF2" w:rsidRPr="004F0EF2" w14:paraId="166C4C7B" w14:textId="77777777" w:rsidTr="004A66FD">
        <w:trPr>
          <w:trHeight w:val="448"/>
        </w:trPr>
        <w:tc>
          <w:tcPr>
            <w:tcW w:w="2425" w:type="dxa"/>
            <w:tcBorders>
              <w:top w:val="single" w:sz="4" w:space="0" w:color="auto"/>
              <w:left w:val="single" w:sz="4" w:space="0" w:color="auto"/>
              <w:bottom w:val="single" w:sz="4" w:space="0" w:color="auto"/>
              <w:right w:val="single" w:sz="4" w:space="0" w:color="auto"/>
            </w:tcBorders>
            <w:shd w:val="clear" w:color="auto" w:fill="F2F2F2"/>
            <w:hideMark/>
          </w:tcPr>
          <w:p w14:paraId="499BA835" w14:textId="77777777" w:rsidR="004F0EF2" w:rsidRPr="004F0EF2" w:rsidRDefault="004F0EF2" w:rsidP="004F0EF2">
            <w:pPr>
              <w:snapToGrid w:val="0"/>
              <w:spacing w:before="40" w:after="40"/>
              <w:rPr>
                <w:lang w:val="en-AU"/>
              </w:rPr>
            </w:pPr>
            <w:r w:rsidRPr="004F0EF2">
              <w:rPr>
                <w:b/>
                <w:lang w:val="en-AU"/>
              </w:rPr>
              <w:t xml:space="preserve">Work Item </w:t>
            </w:r>
          </w:p>
        </w:tc>
        <w:tc>
          <w:tcPr>
            <w:tcW w:w="7020" w:type="dxa"/>
            <w:tcBorders>
              <w:top w:val="single" w:sz="4" w:space="0" w:color="auto"/>
              <w:left w:val="single" w:sz="4" w:space="0" w:color="auto"/>
              <w:bottom w:val="single" w:sz="4" w:space="0" w:color="auto"/>
              <w:right w:val="single" w:sz="4" w:space="0" w:color="auto"/>
            </w:tcBorders>
            <w:shd w:val="clear" w:color="auto" w:fill="F2F2F2"/>
            <w:vAlign w:val="center"/>
          </w:tcPr>
          <w:p w14:paraId="7390D5F0" w14:textId="77777777" w:rsidR="004F0EF2" w:rsidRPr="004F0EF2" w:rsidRDefault="004F0EF2" w:rsidP="004F0EF2">
            <w:pPr>
              <w:tabs>
                <w:tab w:val="left" w:pos="567"/>
                <w:tab w:val="left" w:pos="1134"/>
                <w:tab w:val="left" w:pos="1701"/>
                <w:tab w:val="left" w:pos="2268"/>
                <w:tab w:val="left" w:pos="2835"/>
              </w:tabs>
              <w:overflowPunct w:val="0"/>
              <w:autoSpaceDE w:val="0"/>
              <w:autoSpaceDN w:val="0"/>
              <w:adjustRightInd w:val="0"/>
              <w:spacing w:before="40" w:after="40"/>
              <w:rPr>
                <w:rFonts w:eastAsia="SimSun"/>
                <w:b/>
                <w:caps/>
                <w:lang w:val="en-GB" w:eastAsia="zh-CN"/>
              </w:rPr>
            </w:pPr>
            <w:r w:rsidRPr="004F0EF2">
              <w:rPr>
                <w:rFonts w:eastAsia="SimSun"/>
                <w:b/>
                <w:caps/>
                <w:lang w:val="en-GB" w:eastAsia="zh-CN"/>
              </w:rPr>
              <w:t>Spectrum considerations for the deployment of IoT</w:t>
            </w:r>
          </w:p>
        </w:tc>
      </w:tr>
      <w:tr w:rsidR="004F0EF2" w:rsidRPr="004F0EF2" w14:paraId="695F4550" w14:textId="77777777" w:rsidTr="004A66FD">
        <w:trPr>
          <w:trHeight w:val="305"/>
        </w:trPr>
        <w:tc>
          <w:tcPr>
            <w:tcW w:w="2425" w:type="dxa"/>
            <w:tcBorders>
              <w:top w:val="single" w:sz="4" w:space="0" w:color="auto"/>
              <w:left w:val="single" w:sz="4" w:space="0" w:color="auto"/>
              <w:bottom w:val="single" w:sz="4" w:space="0" w:color="auto"/>
              <w:right w:val="single" w:sz="4" w:space="0" w:color="auto"/>
            </w:tcBorders>
            <w:hideMark/>
          </w:tcPr>
          <w:p w14:paraId="53BEBA90" w14:textId="77777777" w:rsidR="004F0EF2" w:rsidRPr="004F0EF2" w:rsidRDefault="004F0EF2" w:rsidP="004F0EF2">
            <w:pPr>
              <w:snapToGrid w:val="0"/>
              <w:spacing w:before="40" w:after="40"/>
              <w:rPr>
                <w:b/>
                <w:lang w:val="en-AU"/>
              </w:rPr>
            </w:pPr>
            <w:r w:rsidRPr="004F0EF2">
              <w:rPr>
                <w:rFonts w:eastAsia="Batang"/>
                <w:b/>
                <w:sz w:val="22"/>
                <w:szCs w:val="22"/>
              </w:rPr>
              <w:t>Rapporteur(s)</w:t>
            </w:r>
          </w:p>
        </w:tc>
        <w:tc>
          <w:tcPr>
            <w:tcW w:w="7020" w:type="dxa"/>
            <w:tcBorders>
              <w:top w:val="single" w:sz="4" w:space="0" w:color="auto"/>
              <w:left w:val="single" w:sz="4" w:space="0" w:color="auto"/>
              <w:bottom w:val="single" w:sz="4" w:space="0" w:color="auto"/>
              <w:right w:val="single" w:sz="4" w:space="0" w:color="auto"/>
            </w:tcBorders>
            <w:hideMark/>
          </w:tcPr>
          <w:p w14:paraId="570802C6" w14:textId="77777777" w:rsidR="004F0EF2" w:rsidRPr="004F0EF2" w:rsidRDefault="004F0EF2" w:rsidP="004F0EF2">
            <w:pPr>
              <w:overflowPunct w:val="0"/>
              <w:autoSpaceDE w:val="0"/>
              <w:autoSpaceDN w:val="0"/>
              <w:adjustRightInd w:val="0"/>
              <w:snapToGrid w:val="0"/>
              <w:spacing w:before="40" w:after="40"/>
              <w:textAlignment w:val="baseline"/>
              <w:rPr>
                <w:lang w:val="en-AU" w:eastAsia="ko-KR"/>
              </w:rPr>
            </w:pPr>
            <w:r w:rsidRPr="004F0EF2">
              <w:rPr>
                <w:lang w:val="en-AU" w:eastAsia="ko-KR"/>
              </w:rPr>
              <w:t xml:space="preserve">Ms. Maryam Espandar(WG Vice- Chairman)/Mr. </w:t>
            </w:r>
            <w:proofErr w:type="spellStart"/>
            <w:r w:rsidRPr="004F0EF2">
              <w:rPr>
                <w:lang w:val="en-AU" w:eastAsia="ko-KR"/>
              </w:rPr>
              <w:t>Adib</w:t>
            </w:r>
            <w:proofErr w:type="spellEnd"/>
            <w:r w:rsidRPr="004F0EF2">
              <w:rPr>
                <w:lang w:val="en-AU" w:eastAsia="ko-KR"/>
              </w:rPr>
              <w:t xml:space="preserve"> </w:t>
            </w:r>
            <w:proofErr w:type="spellStart"/>
            <w:r w:rsidRPr="004F0EF2">
              <w:rPr>
                <w:lang w:val="en-AU" w:eastAsia="ko-KR"/>
              </w:rPr>
              <w:t>Kamrani</w:t>
            </w:r>
            <w:proofErr w:type="spellEnd"/>
            <w:r w:rsidRPr="004F0EF2">
              <w:rPr>
                <w:lang w:val="en-AU" w:eastAsia="ko-KR"/>
              </w:rPr>
              <w:t xml:space="preserve"> / Ms. Zahra Mortazavi (CRA) and Lt. Col. Md Aminul Hoque/ Mohammad  Farhan Alam (BTRC), Pakistan Telecommunications Authority (PTA)</w:t>
            </w:r>
          </w:p>
        </w:tc>
      </w:tr>
      <w:tr w:rsidR="004F0EF2" w:rsidRPr="004F0EF2" w14:paraId="0E499175" w14:textId="77777777" w:rsidTr="004A66FD">
        <w:trPr>
          <w:trHeight w:val="233"/>
        </w:trPr>
        <w:tc>
          <w:tcPr>
            <w:tcW w:w="2425" w:type="dxa"/>
            <w:tcBorders>
              <w:top w:val="single" w:sz="4" w:space="0" w:color="auto"/>
              <w:left w:val="single" w:sz="4" w:space="0" w:color="auto"/>
              <w:bottom w:val="single" w:sz="4" w:space="0" w:color="auto"/>
              <w:right w:val="single" w:sz="4" w:space="0" w:color="auto"/>
            </w:tcBorders>
            <w:hideMark/>
          </w:tcPr>
          <w:p w14:paraId="06F2F0AC"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Output</w:t>
            </w:r>
          </w:p>
        </w:tc>
        <w:tc>
          <w:tcPr>
            <w:tcW w:w="7020" w:type="dxa"/>
            <w:tcBorders>
              <w:top w:val="single" w:sz="4" w:space="0" w:color="auto"/>
              <w:left w:val="single" w:sz="4" w:space="0" w:color="auto"/>
              <w:bottom w:val="single" w:sz="4" w:space="0" w:color="auto"/>
              <w:right w:val="single" w:sz="4" w:space="0" w:color="auto"/>
            </w:tcBorders>
            <w:hideMark/>
          </w:tcPr>
          <w:p w14:paraId="3107AB76" w14:textId="77777777" w:rsidR="004F0EF2" w:rsidRPr="004F0EF2" w:rsidRDefault="004F0EF2" w:rsidP="004F0EF2">
            <w:pPr>
              <w:overflowPunct w:val="0"/>
              <w:autoSpaceDE w:val="0"/>
              <w:autoSpaceDN w:val="0"/>
              <w:adjustRightInd w:val="0"/>
              <w:snapToGrid w:val="0"/>
              <w:spacing w:before="40" w:after="40"/>
              <w:textAlignment w:val="baseline"/>
              <w:rPr>
                <w:rFonts w:eastAsia="Times New Roman"/>
                <w:lang w:val="en-AU" w:eastAsia="zh-CN"/>
              </w:rPr>
            </w:pPr>
            <w:r w:rsidRPr="004F0EF2">
              <w:rPr>
                <w:lang w:val="en-AU" w:eastAsia="ko-KR"/>
              </w:rPr>
              <w:t>Report / Guideline / Recommendation</w:t>
            </w:r>
          </w:p>
        </w:tc>
      </w:tr>
      <w:tr w:rsidR="004F0EF2" w:rsidRPr="004F0EF2" w14:paraId="39B5E481"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375DE2D6"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Background and Purpose</w:t>
            </w:r>
          </w:p>
          <w:p w14:paraId="27D40176" w14:textId="77777777" w:rsidR="004F0EF2" w:rsidRPr="004F0EF2" w:rsidRDefault="004F0EF2" w:rsidP="004F0EF2">
            <w:pPr>
              <w:rPr>
                <w:rFonts w:eastAsia="휴먼명조"/>
                <w:lang w:val="en-AU"/>
              </w:rPr>
            </w:pPr>
          </w:p>
          <w:p w14:paraId="0B48DDEB" w14:textId="77777777" w:rsidR="004F0EF2" w:rsidRPr="004F0EF2" w:rsidRDefault="004F0EF2" w:rsidP="004F0EF2">
            <w:pPr>
              <w:rPr>
                <w:rFonts w:eastAsia="휴먼명조"/>
                <w:lang w:val="en-AU"/>
              </w:rPr>
            </w:pPr>
          </w:p>
          <w:p w14:paraId="05762FE1" w14:textId="77777777" w:rsidR="004F0EF2" w:rsidRPr="004F0EF2" w:rsidRDefault="004F0EF2" w:rsidP="004F0EF2">
            <w:pPr>
              <w:rPr>
                <w:rFonts w:eastAsia="휴먼명조"/>
                <w:lang w:val="en-AU"/>
              </w:rPr>
            </w:pPr>
          </w:p>
          <w:p w14:paraId="2217845C" w14:textId="77777777" w:rsidR="004F0EF2" w:rsidRPr="004F0EF2" w:rsidRDefault="004F0EF2" w:rsidP="004F0EF2">
            <w:pPr>
              <w:rPr>
                <w:rFonts w:eastAsia="휴먼명조"/>
                <w:lang w:val="en-AU"/>
              </w:rPr>
            </w:pPr>
          </w:p>
          <w:p w14:paraId="7B3D8B0B" w14:textId="77777777" w:rsidR="004F0EF2" w:rsidRPr="004F0EF2" w:rsidRDefault="004F0EF2" w:rsidP="004F0EF2">
            <w:pPr>
              <w:rPr>
                <w:rFonts w:eastAsia="휴먼명조"/>
                <w:lang w:val="en-AU"/>
              </w:rPr>
            </w:pPr>
          </w:p>
          <w:p w14:paraId="030C2C19" w14:textId="77777777" w:rsidR="004F0EF2" w:rsidRPr="004F0EF2" w:rsidRDefault="004F0EF2" w:rsidP="004F0EF2">
            <w:pPr>
              <w:rPr>
                <w:rFonts w:eastAsia="휴먼명조"/>
                <w:lang w:val="en-AU"/>
              </w:rPr>
            </w:pPr>
          </w:p>
          <w:p w14:paraId="05045B61" w14:textId="77777777" w:rsidR="004F0EF2" w:rsidRPr="004F0EF2" w:rsidRDefault="004F0EF2" w:rsidP="004F0EF2">
            <w:pPr>
              <w:rPr>
                <w:rFonts w:eastAsia="휴먼명조"/>
                <w:lang w:val="en-AU"/>
              </w:rPr>
            </w:pPr>
          </w:p>
          <w:p w14:paraId="133256BC" w14:textId="77777777" w:rsidR="004F0EF2" w:rsidRPr="004F0EF2" w:rsidRDefault="004F0EF2" w:rsidP="004F0EF2">
            <w:pPr>
              <w:rPr>
                <w:rFonts w:eastAsia="휴먼명조"/>
                <w:lang w:val="en-AU"/>
              </w:rPr>
            </w:pPr>
          </w:p>
          <w:p w14:paraId="0D362123" w14:textId="77777777" w:rsidR="004F0EF2" w:rsidRPr="004F0EF2" w:rsidRDefault="004F0EF2" w:rsidP="004F0EF2">
            <w:pPr>
              <w:rPr>
                <w:rFonts w:eastAsia="휴먼명조"/>
                <w:lang w:val="en-AU"/>
              </w:rPr>
            </w:pPr>
          </w:p>
          <w:p w14:paraId="70A204CE" w14:textId="77777777" w:rsidR="004F0EF2" w:rsidRPr="004F0EF2" w:rsidRDefault="004F0EF2" w:rsidP="004F0EF2">
            <w:pPr>
              <w:rPr>
                <w:rFonts w:eastAsia="휴먼명조"/>
                <w:lang w:val="en-AU"/>
              </w:rPr>
            </w:pPr>
          </w:p>
          <w:p w14:paraId="129F472A" w14:textId="77777777" w:rsidR="004F0EF2" w:rsidRPr="004F0EF2" w:rsidRDefault="004F0EF2" w:rsidP="004F0EF2">
            <w:pPr>
              <w:rPr>
                <w:rFonts w:eastAsia="휴먼명조"/>
                <w:lang w:val="en-AU"/>
              </w:rPr>
            </w:pPr>
          </w:p>
          <w:p w14:paraId="0379DCEB" w14:textId="77777777" w:rsidR="004F0EF2" w:rsidRPr="004F0EF2" w:rsidRDefault="004F0EF2" w:rsidP="004F0EF2">
            <w:pPr>
              <w:rPr>
                <w:rFonts w:eastAsia="휴먼명조"/>
                <w:lang w:val="en-AU"/>
              </w:rPr>
            </w:pPr>
          </w:p>
          <w:p w14:paraId="751CE1DC" w14:textId="77777777" w:rsidR="004F0EF2" w:rsidRPr="004F0EF2" w:rsidRDefault="004F0EF2" w:rsidP="004F0EF2">
            <w:pPr>
              <w:rPr>
                <w:rFonts w:eastAsia="휴먼명조"/>
                <w:lang w:val="en-AU"/>
              </w:rPr>
            </w:pPr>
          </w:p>
          <w:p w14:paraId="7011A17E" w14:textId="77777777" w:rsidR="004F0EF2" w:rsidRPr="004F0EF2" w:rsidRDefault="004F0EF2" w:rsidP="004F0EF2">
            <w:pPr>
              <w:rPr>
                <w:rFonts w:eastAsia="휴먼명조"/>
                <w:lang w:val="en-AU"/>
              </w:rPr>
            </w:pPr>
          </w:p>
          <w:p w14:paraId="6F6D4041" w14:textId="77777777" w:rsidR="004F0EF2" w:rsidRPr="004F0EF2" w:rsidRDefault="004F0EF2" w:rsidP="004F0EF2">
            <w:pPr>
              <w:rPr>
                <w:rFonts w:eastAsia="휴먼명조"/>
                <w:lang w:val="en-AU"/>
              </w:rPr>
            </w:pPr>
          </w:p>
          <w:p w14:paraId="4D46E397" w14:textId="77777777" w:rsidR="004F0EF2" w:rsidRPr="004F0EF2" w:rsidRDefault="004F0EF2" w:rsidP="004F0EF2">
            <w:pPr>
              <w:jc w:val="right"/>
              <w:rPr>
                <w:rFonts w:eastAsia="휴먼명조"/>
                <w:lang w:val="en-AU"/>
              </w:rPr>
            </w:pPr>
          </w:p>
        </w:tc>
        <w:tc>
          <w:tcPr>
            <w:tcW w:w="7020" w:type="dxa"/>
            <w:tcBorders>
              <w:top w:val="single" w:sz="4" w:space="0" w:color="auto"/>
              <w:left w:val="single" w:sz="4" w:space="0" w:color="auto"/>
              <w:bottom w:val="single" w:sz="4" w:space="0" w:color="auto"/>
              <w:right w:val="single" w:sz="4" w:space="0" w:color="auto"/>
            </w:tcBorders>
            <w:hideMark/>
          </w:tcPr>
          <w:p w14:paraId="3395F9F0" w14:textId="77777777" w:rsidR="004F0EF2" w:rsidRPr="004F0EF2" w:rsidRDefault="004F0EF2" w:rsidP="004F0EF2">
            <w:pPr>
              <w:jc w:val="both"/>
              <w:textAlignment w:val="top"/>
              <w:rPr>
                <w:rFonts w:eastAsia="Times New Roman"/>
                <w:lang w:eastAsia="ja-JP"/>
              </w:rPr>
            </w:pPr>
            <w:r w:rsidRPr="004F0EF2">
              <w:t xml:space="preserve">Internet of Things (IoT) which is driving the next big acceleration in the volume of connected devices is leading the need for more spectrum. The number of devices and the nature of traffic </w:t>
            </w:r>
            <w:r w:rsidRPr="004F0EF2">
              <w:rPr>
                <w:rFonts w:eastAsia="Times New Roman"/>
                <w:lang w:eastAsia="ja-JP"/>
              </w:rPr>
              <w:t xml:space="preserve">will thus require far more spectrum than is available today for both narrowband and broadband IoT. Also, there is a need for greater harmonization of licensed and unlicensed band choice. Having to implement fewer bands lowers device cost, which in turn lowers the bar for mass-market acceptance. </w:t>
            </w:r>
          </w:p>
          <w:p w14:paraId="1BA23D1D" w14:textId="77777777" w:rsidR="004F0EF2" w:rsidRPr="004F0EF2" w:rsidRDefault="004F0EF2" w:rsidP="004F0EF2">
            <w:pPr>
              <w:jc w:val="both"/>
              <w:textAlignment w:val="top"/>
              <w:rPr>
                <w:rFonts w:eastAsia="Times New Roman"/>
                <w:lang w:eastAsia="ja-JP"/>
              </w:rPr>
            </w:pPr>
          </w:p>
          <w:p w14:paraId="3A0F3B9B" w14:textId="77777777" w:rsidR="004F0EF2" w:rsidRPr="004F0EF2" w:rsidRDefault="004F0EF2" w:rsidP="004F0EF2">
            <w:pPr>
              <w:jc w:val="both"/>
              <w:textAlignment w:val="top"/>
              <w:rPr>
                <w:rFonts w:eastAsia="Times New Roman"/>
                <w:lang w:eastAsia="ja-JP"/>
              </w:rPr>
            </w:pPr>
            <w:r w:rsidRPr="004F0EF2">
              <w:rPr>
                <w:rFonts w:eastAsia="Times New Roman"/>
                <w:lang w:eastAsia="ja-JP"/>
              </w:rPr>
              <w:t>The purpose of work item is encouragement of SATRC members to conduct the appropriate studies on spectrum requirement for the Internet of Things (IoT) by focusing on the following issues and share their information with other members:</w:t>
            </w:r>
          </w:p>
          <w:p w14:paraId="756E7A61" w14:textId="77777777" w:rsidR="004F0EF2" w:rsidRPr="004F0EF2" w:rsidRDefault="004F0EF2" w:rsidP="004F0EF2">
            <w:pPr>
              <w:numPr>
                <w:ilvl w:val="0"/>
                <w:numId w:val="16"/>
              </w:numPr>
              <w:contextualSpacing/>
              <w:jc w:val="both"/>
              <w:rPr>
                <w:rFonts w:eastAsia="Batang"/>
                <w:lang w:eastAsia="ko-KR"/>
              </w:rPr>
            </w:pPr>
            <w:r w:rsidRPr="004F0EF2">
              <w:rPr>
                <w:rFonts w:eastAsia="Batang"/>
                <w:lang w:eastAsia="ko-KR"/>
              </w:rPr>
              <w:t>Current spectrum situation (</w:t>
            </w:r>
            <w:r w:rsidRPr="004F0EF2">
              <w:rPr>
                <w:rFonts w:eastAsia="Times New Roman"/>
                <w:lang w:eastAsia="ja-JP"/>
              </w:rPr>
              <w:t xml:space="preserve">licensed and unlicensed bands) </w:t>
            </w:r>
            <w:r w:rsidRPr="004F0EF2">
              <w:rPr>
                <w:rFonts w:eastAsia="Batang"/>
                <w:lang w:eastAsia="ko-KR"/>
              </w:rPr>
              <w:t xml:space="preserve">and </w:t>
            </w:r>
            <w:r w:rsidRPr="004F0EF2">
              <w:t>regulations</w:t>
            </w:r>
            <w:r w:rsidRPr="004F0EF2">
              <w:rPr>
                <w:rFonts w:eastAsia="Batang"/>
                <w:lang w:eastAsia="ko-KR"/>
              </w:rPr>
              <w:t xml:space="preserve"> of IoT in SATRC countries</w:t>
            </w:r>
          </w:p>
          <w:p w14:paraId="2A59C99C" w14:textId="77777777" w:rsidR="004F0EF2" w:rsidRPr="004F0EF2" w:rsidRDefault="004F0EF2" w:rsidP="004F0EF2">
            <w:pPr>
              <w:numPr>
                <w:ilvl w:val="0"/>
                <w:numId w:val="16"/>
              </w:numPr>
              <w:contextualSpacing/>
              <w:jc w:val="both"/>
              <w:rPr>
                <w:rFonts w:eastAsia="Batang"/>
                <w:lang w:eastAsia="ko-KR"/>
              </w:rPr>
            </w:pPr>
            <w:r w:rsidRPr="004F0EF2">
              <w:t>Identification of new frequency bands for IoT</w:t>
            </w:r>
          </w:p>
          <w:p w14:paraId="51982E94" w14:textId="77777777" w:rsidR="004F0EF2" w:rsidRPr="004F0EF2" w:rsidRDefault="004F0EF2" w:rsidP="004F0EF2">
            <w:pPr>
              <w:numPr>
                <w:ilvl w:val="0"/>
                <w:numId w:val="16"/>
              </w:numPr>
              <w:contextualSpacing/>
              <w:jc w:val="both"/>
              <w:rPr>
                <w:rFonts w:eastAsia="Batang"/>
                <w:lang w:eastAsia="ko-KR"/>
              </w:rPr>
            </w:pPr>
            <w:r w:rsidRPr="004F0EF2">
              <w:rPr>
                <w:rFonts w:eastAsia="Batang"/>
                <w:lang w:eastAsia="ko-KR"/>
              </w:rPr>
              <w:t>New technologies and standards for IoT</w:t>
            </w:r>
          </w:p>
          <w:p w14:paraId="563FB37D" w14:textId="77777777" w:rsidR="004F0EF2" w:rsidRPr="004F0EF2" w:rsidRDefault="004F0EF2" w:rsidP="004F0EF2">
            <w:pPr>
              <w:numPr>
                <w:ilvl w:val="0"/>
                <w:numId w:val="16"/>
              </w:numPr>
              <w:contextualSpacing/>
              <w:jc w:val="both"/>
              <w:rPr>
                <w:rFonts w:eastAsia="Batang"/>
                <w:lang w:eastAsia="ko-KR"/>
              </w:rPr>
            </w:pPr>
            <w:r w:rsidRPr="004F0EF2">
              <w:t>Modification of existing regulations</w:t>
            </w:r>
          </w:p>
          <w:p w14:paraId="64D5A670" w14:textId="77777777" w:rsidR="004F0EF2" w:rsidRPr="004F0EF2" w:rsidRDefault="004F0EF2" w:rsidP="004F0EF2">
            <w:pPr>
              <w:numPr>
                <w:ilvl w:val="0"/>
                <w:numId w:val="16"/>
              </w:numPr>
              <w:contextualSpacing/>
              <w:jc w:val="both"/>
              <w:rPr>
                <w:rFonts w:eastAsia="Batang"/>
                <w:lang w:eastAsia="ko-KR"/>
              </w:rPr>
            </w:pPr>
            <w:r w:rsidRPr="004F0EF2">
              <w:rPr>
                <w:rFonts w:eastAsia="Times New Roman"/>
                <w:lang w:eastAsia="ja-JP"/>
              </w:rPr>
              <w:t xml:space="preserve">Harmonization of </w:t>
            </w:r>
            <w:r w:rsidRPr="004F0EF2">
              <w:t>frequency bands of IoT</w:t>
            </w:r>
          </w:p>
          <w:p w14:paraId="735F0355" w14:textId="77777777" w:rsidR="004F0EF2" w:rsidRPr="004F0EF2" w:rsidRDefault="004F0EF2" w:rsidP="004F0EF2">
            <w:pPr>
              <w:numPr>
                <w:ilvl w:val="0"/>
                <w:numId w:val="16"/>
              </w:numPr>
              <w:contextualSpacing/>
              <w:jc w:val="both"/>
              <w:rPr>
                <w:rFonts w:eastAsia="Batang"/>
                <w:lang w:eastAsia="ko-KR"/>
              </w:rPr>
            </w:pPr>
            <w:r w:rsidRPr="004F0EF2">
              <w:t>WRC-19 Outcomes</w:t>
            </w:r>
          </w:p>
          <w:p w14:paraId="1F0FBC42" w14:textId="77777777" w:rsidR="004F0EF2" w:rsidRPr="004F0EF2" w:rsidRDefault="004F0EF2" w:rsidP="004F0EF2">
            <w:pPr>
              <w:overflowPunct w:val="0"/>
              <w:autoSpaceDE w:val="0"/>
              <w:autoSpaceDN w:val="0"/>
              <w:adjustRightInd w:val="0"/>
              <w:snapToGrid w:val="0"/>
              <w:spacing w:before="120"/>
              <w:jc w:val="both"/>
              <w:textAlignment w:val="baseline"/>
              <w:rPr>
                <w:rFonts w:eastAsia="Times New Roman"/>
                <w:lang w:eastAsia="ja-JP"/>
              </w:rPr>
            </w:pPr>
            <w:r w:rsidRPr="004F0EF2">
              <w:rPr>
                <w:rFonts w:eastAsia="Times New Roman"/>
                <w:lang w:eastAsia="ja-JP"/>
              </w:rPr>
              <w:t xml:space="preserve">Future plan of </w:t>
            </w:r>
            <w:r w:rsidRPr="004F0EF2">
              <w:rPr>
                <w:rFonts w:eastAsia="Batang"/>
                <w:lang w:eastAsia="ko-KR"/>
              </w:rPr>
              <w:t xml:space="preserve">SATRC countries regarding the </w:t>
            </w:r>
            <w:r w:rsidRPr="004F0EF2">
              <w:rPr>
                <w:rFonts w:eastAsia="Times New Roman"/>
                <w:lang w:eastAsia="ja-JP"/>
              </w:rPr>
              <w:t>Spectrum Requirement</w:t>
            </w:r>
            <w:r w:rsidRPr="004F0EF2">
              <w:rPr>
                <w:rFonts w:eastAsia="Batang"/>
                <w:lang w:eastAsia="ko-KR"/>
              </w:rPr>
              <w:t xml:space="preserve"> for IoT</w:t>
            </w:r>
          </w:p>
        </w:tc>
      </w:tr>
      <w:tr w:rsidR="004F0EF2" w:rsidRPr="004F0EF2" w14:paraId="2735AFB5"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120BE901"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t>Scope</w:t>
            </w:r>
          </w:p>
        </w:tc>
        <w:tc>
          <w:tcPr>
            <w:tcW w:w="7020" w:type="dxa"/>
            <w:tcBorders>
              <w:top w:val="single" w:sz="4" w:space="0" w:color="auto"/>
              <w:left w:val="single" w:sz="4" w:space="0" w:color="auto"/>
              <w:bottom w:val="single" w:sz="4" w:space="0" w:color="auto"/>
              <w:right w:val="single" w:sz="4" w:space="0" w:color="auto"/>
            </w:tcBorders>
            <w:hideMark/>
          </w:tcPr>
          <w:p w14:paraId="6DF6916B" w14:textId="77777777" w:rsidR="004F0EF2" w:rsidRPr="004F0EF2" w:rsidRDefault="004F0EF2" w:rsidP="004F0EF2">
            <w:pPr>
              <w:widowControl w:val="0"/>
              <w:overflowPunct w:val="0"/>
              <w:autoSpaceDE w:val="0"/>
              <w:autoSpaceDN w:val="0"/>
              <w:adjustRightInd w:val="0"/>
              <w:snapToGrid w:val="0"/>
              <w:spacing w:before="40" w:after="40"/>
              <w:jc w:val="both"/>
              <w:textAlignment w:val="baseline"/>
              <w:rPr>
                <w:lang w:val="en-AU" w:eastAsia="ko-KR"/>
              </w:rPr>
            </w:pPr>
            <w:r w:rsidRPr="004F0EF2">
              <w:rPr>
                <w:rFonts w:eastAsia="Times New Roman"/>
                <w:lang w:eastAsia="ja-JP"/>
              </w:rPr>
              <w:t>The report shall address issues mentioned above regarding the spectrum requirement for the Internet of Things (IoT)</w:t>
            </w:r>
          </w:p>
        </w:tc>
      </w:tr>
      <w:tr w:rsidR="004F0EF2" w:rsidRPr="004F0EF2" w14:paraId="6F6BDAA4"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51A273B7" w14:textId="77777777" w:rsidR="004F0EF2" w:rsidRPr="004F0EF2" w:rsidRDefault="004F0EF2" w:rsidP="004F0EF2">
            <w:pPr>
              <w:snapToGrid w:val="0"/>
              <w:spacing w:before="40" w:after="40"/>
              <w:rPr>
                <w:rFonts w:eastAsia="휴먼명조"/>
                <w:b/>
                <w:color w:val="000000"/>
                <w:lang w:val="en-AU" w:eastAsia="ko-KR"/>
              </w:rPr>
            </w:pPr>
            <w:r w:rsidRPr="004F0EF2">
              <w:rPr>
                <w:rFonts w:eastAsia="휴먼명조"/>
                <w:b/>
                <w:color w:val="000000"/>
                <w:lang w:val="en-AU"/>
              </w:rPr>
              <w:t>Time Frame</w:t>
            </w:r>
          </w:p>
        </w:tc>
        <w:tc>
          <w:tcPr>
            <w:tcW w:w="7020" w:type="dxa"/>
            <w:tcBorders>
              <w:top w:val="single" w:sz="4" w:space="0" w:color="auto"/>
              <w:left w:val="single" w:sz="4" w:space="0" w:color="auto"/>
              <w:bottom w:val="single" w:sz="4" w:space="0" w:color="auto"/>
              <w:right w:val="single" w:sz="4" w:space="0" w:color="auto"/>
            </w:tcBorders>
            <w:hideMark/>
          </w:tcPr>
          <w:p w14:paraId="603E1FD3"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Drafting the questionnaire by lead experts (May…….2019)</w:t>
            </w:r>
          </w:p>
          <w:p w14:paraId="4A57D484"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lastRenderedPageBreak/>
              <w:t>Circulation of the questionnaire to WG experts (June…….2019)</w:t>
            </w:r>
          </w:p>
          <w:p w14:paraId="2680B741"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 xml:space="preserve">Response to the questionnaires (…September….2019) </w:t>
            </w:r>
          </w:p>
          <w:p w14:paraId="3302F049"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Development of the interim Report ( …November……2019)</w:t>
            </w:r>
          </w:p>
          <w:p w14:paraId="12C8F8CA"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Discussion on the interim report and comments by experts (…January……..2020)</w:t>
            </w:r>
          </w:p>
          <w:p w14:paraId="42FD0FCF"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Update of the interim report and development of the first draft of the final Report (…March….2020)</w:t>
            </w:r>
          </w:p>
          <w:p w14:paraId="01545B69"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Consideration of the first draft of the final Report at the 2nd Meeting of the WG (May…….2020)</w:t>
            </w:r>
          </w:p>
          <w:p w14:paraId="1C436B24"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Consideration of the second draft of the final Report ( August 2020)</w:t>
            </w:r>
          </w:p>
          <w:p w14:paraId="61720D0F" w14:textId="77777777" w:rsidR="004F0EF2" w:rsidRPr="004F0EF2" w:rsidRDefault="004F0EF2" w:rsidP="004F0EF2">
            <w:pPr>
              <w:numPr>
                <w:ilvl w:val="0"/>
                <w:numId w:val="14"/>
              </w:numPr>
              <w:overflowPunct w:val="0"/>
              <w:autoSpaceDE w:val="0"/>
              <w:autoSpaceDN w:val="0"/>
              <w:adjustRightInd w:val="0"/>
              <w:snapToGrid w:val="0"/>
              <w:textAlignment w:val="baseline"/>
              <w:rPr>
                <w:rFonts w:eastAsia="Times New Roman"/>
                <w:lang w:val="en-AU" w:eastAsia="zh-CN"/>
              </w:rPr>
            </w:pPr>
            <w:r w:rsidRPr="004F0EF2">
              <w:rPr>
                <w:rFonts w:eastAsia="Times New Roman"/>
                <w:lang w:val="en-AU" w:eastAsia="zh-CN"/>
              </w:rPr>
              <w:t>Draft final report (October…..2020)</w:t>
            </w:r>
          </w:p>
        </w:tc>
      </w:tr>
      <w:tr w:rsidR="004F0EF2" w:rsidRPr="004F0EF2" w14:paraId="71704A99" w14:textId="77777777" w:rsidTr="004A66FD">
        <w:trPr>
          <w:trHeight w:val="339"/>
        </w:trPr>
        <w:tc>
          <w:tcPr>
            <w:tcW w:w="2425" w:type="dxa"/>
            <w:tcBorders>
              <w:top w:val="single" w:sz="4" w:space="0" w:color="auto"/>
              <w:left w:val="single" w:sz="4" w:space="0" w:color="auto"/>
              <w:bottom w:val="single" w:sz="4" w:space="0" w:color="auto"/>
              <w:right w:val="single" w:sz="4" w:space="0" w:color="auto"/>
            </w:tcBorders>
            <w:hideMark/>
          </w:tcPr>
          <w:p w14:paraId="17AFB42D" w14:textId="77777777" w:rsidR="004F0EF2" w:rsidRPr="004F0EF2" w:rsidRDefault="004F0EF2" w:rsidP="004F0EF2">
            <w:pPr>
              <w:snapToGrid w:val="0"/>
              <w:spacing w:before="40" w:after="40"/>
              <w:rPr>
                <w:rFonts w:eastAsia="휴먼명조"/>
                <w:b/>
                <w:color w:val="000000"/>
                <w:lang w:val="en-AU"/>
              </w:rPr>
            </w:pPr>
            <w:r w:rsidRPr="004F0EF2">
              <w:rPr>
                <w:rFonts w:eastAsia="휴먼명조"/>
                <w:b/>
                <w:color w:val="000000"/>
                <w:lang w:val="en-AU"/>
              </w:rPr>
              <w:lastRenderedPageBreak/>
              <w:t>Utilization of Output</w:t>
            </w:r>
          </w:p>
        </w:tc>
        <w:tc>
          <w:tcPr>
            <w:tcW w:w="7020" w:type="dxa"/>
            <w:tcBorders>
              <w:top w:val="single" w:sz="4" w:space="0" w:color="auto"/>
              <w:left w:val="single" w:sz="4" w:space="0" w:color="auto"/>
              <w:bottom w:val="single" w:sz="4" w:space="0" w:color="auto"/>
              <w:right w:val="single" w:sz="4" w:space="0" w:color="auto"/>
            </w:tcBorders>
          </w:tcPr>
          <w:p w14:paraId="4A9FD9B8" w14:textId="77777777" w:rsidR="004F0EF2" w:rsidRPr="004F0EF2" w:rsidRDefault="004F0EF2" w:rsidP="004F0EF2">
            <w:pPr>
              <w:overflowPunct w:val="0"/>
              <w:autoSpaceDE w:val="0"/>
              <w:autoSpaceDN w:val="0"/>
              <w:adjustRightInd w:val="0"/>
              <w:snapToGrid w:val="0"/>
              <w:spacing w:before="40" w:after="40"/>
              <w:textAlignment w:val="baseline"/>
              <w:rPr>
                <w:lang w:val="en-AU" w:eastAsia="ko-KR"/>
              </w:rPr>
            </w:pPr>
            <w:r w:rsidRPr="004F0EF2">
              <w:rPr>
                <w:bCs/>
                <w:lang w:val="en-AU" w:eastAsia="ko-KR"/>
              </w:rPr>
              <w:t>Policy makers, Regulators and Service providers</w:t>
            </w:r>
          </w:p>
        </w:tc>
      </w:tr>
    </w:tbl>
    <w:p w14:paraId="065D97A0" w14:textId="77777777" w:rsidR="004F0EF2" w:rsidRDefault="004F0EF2" w:rsidP="00BB197D"/>
    <w:p w14:paraId="7E0D3C1F" w14:textId="77777777" w:rsidR="004F0EF2" w:rsidRDefault="004F0EF2" w:rsidP="00BB197D"/>
    <w:p w14:paraId="2FA92EAF" w14:textId="77777777" w:rsidR="00BB197D" w:rsidRDefault="00BB197D" w:rsidP="00FD45EC">
      <w:pPr>
        <w:tabs>
          <w:tab w:val="left" w:pos="180"/>
        </w:tabs>
        <w:ind w:left="360"/>
        <w:jc w:val="both"/>
        <w:rPr>
          <w:b/>
          <w:bCs/>
        </w:rPr>
      </w:pPr>
    </w:p>
    <w:sectPr w:rsidR="00BB197D" w:rsidSect="007A3E29">
      <w:headerReference w:type="default" r:id="rId8"/>
      <w:footerReference w:type="even" r:id="rId9"/>
      <w:footerReference w:type="first" r:id="rId1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17AD" w14:textId="77777777" w:rsidR="00656140" w:rsidRDefault="00656140">
      <w:r>
        <w:separator/>
      </w:r>
    </w:p>
  </w:endnote>
  <w:endnote w:type="continuationSeparator" w:id="0">
    <w:p w14:paraId="532F8278" w14:textId="77777777" w:rsidR="00656140" w:rsidRDefault="0065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Arial Unicode MS"/>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휴먼명조">
    <w:altName w:val="Arial Unicode MS"/>
    <w:charset w:val="81"/>
    <w:family w:val="roman"/>
    <w:pitch w:val="variable"/>
    <w:sig w:usb0="00000000" w:usb1="29D77CFB"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034D"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192AA60C"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FAD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B2B9A" w14:textId="77777777" w:rsidR="00656140" w:rsidRDefault="00656140">
      <w:r>
        <w:separator/>
      </w:r>
    </w:p>
  </w:footnote>
  <w:footnote w:type="continuationSeparator" w:id="0">
    <w:p w14:paraId="5D13A746" w14:textId="77777777" w:rsidR="00656140" w:rsidRDefault="0065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3AE4" w14:textId="77777777" w:rsidR="007E1FDD" w:rsidRDefault="007E1FDD" w:rsidP="008E3821">
    <w:pPr>
      <w:pStyle w:val="Header"/>
      <w:tabs>
        <w:tab w:val="clear" w:pos="4320"/>
        <w:tab w:val="clear" w:pos="8640"/>
      </w:tabs>
      <w:rPr>
        <w:lang w:eastAsia="ko-KR"/>
      </w:rPr>
    </w:pPr>
  </w:p>
  <w:p w14:paraId="52C4F39A"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32428D"/>
    <w:multiLevelType w:val="hybridMultilevel"/>
    <w:tmpl w:val="AACCEBA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810"/>
        </w:tabs>
        <w:ind w:left="81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78822BF"/>
    <w:multiLevelType w:val="hybridMultilevel"/>
    <w:tmpl w:val="3EA4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557F8"/>
    <w:multiLevelType w:val="hybridMultilevel"/>
    <w:tmpl w:val="1940E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F05D0"/>
    <w:multiLevelType w:val="hybridMultilevel"/>
    <w:tmpl w:val="42F630CA"/>
    <w:lvl w:ilvl="0" w:tplc="A7227732">
      <w:start w:val="24"/>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72ECA"/>
    <w:multiLevelType w:val="hybridMultilevel"/>
    <w:tmpl w:val="88CA5150"/>
    <w:lvl w:ilvl="0" w:tplc="E780A554">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7"/>
  </w:num>
  <w:num w:numId="2">
    <w:abstractNumId w:val="5"/>
  </w:num>
  <w:num w:numId="3">
    <w:abstractNumId w:val="4"/>
  </w:num>
  <w:num w:numId="4">
    <w:abstractNumId w:val="13"/>
  </w:num>
  <w:num w:numId="5">
    <w:abstractNumId w:val="6"/>
  </w:num>
  <w:num w:numId="6">
    <w:abstractNumId w:val="8"/>
  </w:num>
  <w:num w:numId="7">
    <w:abstractNumId w:val="3"/>
  </w:num>
  <w:num w:numId="8">
    <w:abstractNumId w:val="1"/>
  </w:num>
  <w:num w:numId="9">
    <w:abstractNumId w:val="15"/>
  </w:num>
  <w:num w:numId="10">
    <w:abstractNumId w:val="0"/>
  </w:num>
  <w:num w:numId="11">
    <w:abstractNumId w:val="14"/>
  </w:num>
  <w:num w:numId="12">
    <w:abstractNumId w:val="10"/>
  </w:num>
  <w:num w:numId="13">
    <w:abstractNumId w:val="12"/>
  </w:num>
  <w:num w:numId="14">
    <w:abstractNumId w:val="9"/>
  </w:num>
  <w:num w:numId="1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G1MLYwNDE2MrKwNDRR0lEKTi0uzszPAykwqgUAyTZv0SwAAAA="/>
  </w:docVars>
  <w:rsids>
    <w:rsidRoot w:val="00C15633"/>
    <w:rsid w:val="0003595B"/>
    <w:rsid w:val="000713CF"/>
    <w:rsid w:val="00075C14"/>
    <w:rsid w:val="00094B87"/>
    <w:rsid w:val="000A5418"/>
    <w:rsid w:val="000B1E8C"/>
    <w:rsid w:val="000D7C75"/>
    <w:rsid w:val="000F517C"/>
    <w:rsid w:val="000F5540"/>
    <w:rsid w:val="00133947"/>
    <w:rsid w:val="00141E87"/>
    <w:rsid w:val="001539DD"/>
    <w:rsid w:val="00164353"/>
    <w:rsid w:val="001874C0"/>
    <w:rsid w:val="00196568"/>
    <w:rsid w:val="001A2F16"/>
    <w:rsid w:val="001B18C2"/>
    <w:rsid w:val="001D5D7E"/>
    <w:rsid w:val="001F5947"/>
    <w:rsid w:val="0021133C"/>
    <w:rsid w:val="0021588B"/>
    <w:rsid w:val="002216AC"/>
    <w:rsid w:val="00230738"/>
    <w:rsid w:val="00241BCF"/>
    <w:rsid w:val="00254A1B"/>
    <w:rsid w:val="00283520"/>
    <w:rsid w:val="0028454D"/>
    <w:rsid w:val="00286912"/>
    <w:rsid w:val="00291C9E"/>
    <w:rsid w:val="002926D4"/>
    <w:rsid w:val="002C07DA"/>
    <w:rsid w:val="002C7EA9"/>
    <w:rsid w:val="00342F20"/>
    <w:rsid w:val="003540E0"/>
    <w:rsid w:val="003548C2"/>
    <w:rsid w:val="003809C7"/>
    <w:rsid w:val="003B03B2"/>
    <w:rsid w:val="003B6263"/>
    <w:rsid w:val="003C64A7"/>
    <w:rsid w:val="003D09B1"/>
    <w:rsid w:val="003D25E1"/>
    <w:rsid w:val="003D3FDA"/>
    <w:rsid w:val="00420822"/>
    <w:rsid w:val="00433392"/>
    <w:rsid w:val="00444170"/>
    <w:rsid w:val="0045458F"/>
    <w:rsid w:val="004633B4"/>
    <w:rsid w:val="00470568"/>
    <w:rsid w:val="004854EE"/>
    <w:rsid w:val="004B12A7"/>
    <w:rsid w:val="004B3553"/>
    <w:rsid w:val="004F0EF2"/>
    <w:rsid w:val="00530E8C"/>
    <w:rsid w:val="00545933"/>
    <w:rsid w:val="0054610B"/>
    <w:rsid w:val="00557544"/>
    <w:rsid w:val="005606F6"/>
    <w:rsid w:val="00577C0A"/>
    <w:rsid w:val="00587875"/>
    <w:rsid w:val="005C4A42"/>
    <w:rsid w:val="005C5EB6"/>
    <w:rsid w:val="005D6B2F"/>
    <w:rsid w:val="00607E2B"/>
    <w:rsid w:val="00610C48"/>
    <w:rsid w:val="006139D6"/>
    <w:rsid w:val="00623CE1"/>
    <w:rsid w:val="0063062B"/>
    <w:rsid w:val="00656140"/>
    <w:rsid w:val="00667229"/>
    <w:rsid w:val="0067067A"/>
    <w:rsid w:val="006769C2"/>
    <w:rsid w:val="00682BE5"/>
    <w:rsid w:val="00690FED"/>
    <w:rsid w:val="006939A5"/>
    <w:rsid w:val="006E12FC"/>
    <w:rsid w:val="006E6E57"/>
    <w:rsid w:val="00712451"/>
    <w:rsid w:val="00731041"/>
    <w:rsid w:val="00732F08"/>
    <w:rsid w:val="0074190C"/>
    <w:rsid w:val="007467F6"/>
    <w:rsid w:val="00762576"/>
    <w:rsid w:val="00791060"/>
    <w:rsid w:val="007A3E29"/>
    <w:rsid w:val="007B5626"/>
    <w:rsid w:val="007C34AB"/>
    <w:rsid w:val="007E1FDD"/>
    <w:rsid w:val="007E7497"/>
    <w:rsid w:val="007F08FF"/>
    <w:rsid w:val="0080570B"/>
    <w:rsid w:val="008148E1"/>
    <w:rsid w:val="008319BF"/>
    <w:rsid w:val="008337EA"/>
    <w:rsid w:val="008950FB"/>
    <w:rsid w:val="008A5EEE"/>
    <w:rsid w:val="008C319C"/>
    <w:rsid w:val="008D0E09"/>
    <w:rsid w:val="008E3821"/>
    <w:rsid w:val="008E6FD1"/>
    <w:rsid w:val="00962FFC"/>
    <w:rsid w:val="0097693B"/>
    <w:rsid w:val="009770DA"/>
    <w:rsid w:val="0099206E"/>
    <w:rsid w:val="00993355"/>
    <w:rsid w:val="009A4A6D"/>
    <w:rsid w:val="009B1C58"/>
    <w:rsid w:val="00A013A3"/>
    <w:rsid w:val="00A0503B"/>
    <w:rsid w:val="00A13265"/>
    <w:rsid w:val="00A55CC7"/>
    <w:rsid w:val="00A62F41"/>
    <w:rsid w:val="00A71136"/>
    <w:rsid w:val="00AA2D8E"/>
    <w:rsid w:val="00AA474C"/>
    <w:rsid w:val="00AD7E5F"/>
    <w:rsid w:val="00B01AA1"/>
    <w:rsid w:val="00B30C81"/>
    <w:rsid w:val="00B3474C"/>
    <w:rsid w:val="00B439FC"/>
    <w:rsid w:val="00B4793B"/>
    <w:rsid w:val="00BB197D"/>
    <w:rsid w:val="00BC7506"/>
    <w:rsid w:val="00C15633"/>
    <w:rsid w:val="00C15799"/>
    <w:rsid w:val="00C20F4D"/>
    <w:rsid w:val="00C357AD"/>
    <w:rsid w:val="00C422EB"/>
    <w:rsid w:val="00C6069C"/>
    <w:rsid w:val="00C85119"/>
    <w:rsid w:val="00CB4125"/>
    <w:rsid w:val="00CD5431"/>
    <w:rsid w:val="00CF2491"/>
    <w:rsid w:val="00D1252E"/>
    <w:rsid w:val="00D51162"/>
    <w:rsid w:val="00D57772"/>
    <w:rsid w:val="00D65135"/>
    <w:rsid w:val="00D671D3"/>
    <w:rsid w:val="00D72AE3"/>
    <w:rsid w:val="00D75A4D"/>
    <w:rsid w:val="00D8478B"/>
    <w:rsid w:val="00D86151"/>
    <w:rsid w:val="00DA7595"/>
    <w:rsid w:val="00DB0A68"/>
    <w:rsid w:val="00DC1F72"/>
    <w:rsid w:val="00DC43A3"/>
    <w:rsid w:val="00DD7C09"/>
    <w:rsid w:val="00DF791C"/>
    <w:rsid w:val="00E0124F"/>
    <w:rsid w:val="00E23809"/>
    <w:rsid w:val="00E545D9"/>
    <w:rsid w:val="00E65FC2"/>
    <w:rsid w:val="00E674D3"/>
    <w:rsid w:val="00E70FD0"/>
    <w:rsid w:val="00E80263"/>
    <w:rsid w:val="00E97330"/>
    <w:rsid w:val="00EA7027"/>
    <w:rsid w:val="00EB6186"/>
    <w:rsid w:val="00F27A79"/>
    <w:rsid w:val="00F625FF"/>
    <w:rsid w:val="00F84067"/>
    <w:rsid w:val="00F871F5"/>
    <w:rsid w:val="00FC156A"/>
    <w:rsid w:val="00FD45EC"/>
    <w:rsid w:val="00FE3DE5"/>
    <w:rsid w:val="00FF697B"/>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82FE9"/>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Forhadul Parvez</cp:lastModifiedBy>
  <cp:revision>3</cp:revision>
  <cp:lastPrinted>2019-06-07T02:22:00Z</cp:lastPrinted>
  <dcterms:created xsi:type="dcterms:W3CDTF">2019-10-08T03:39:00Z</dcterms:created>
  <dcterms:modified xsi:type="dcterms:W3CDTF">2019-10-08T03:39:00Z</dcterms:modified>
</cp:coreProperties>
</file>