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933F1A" w:rsidRPr="00891D0B" w14:paraId="0B4787B7" w14:textId="77777777" w:rsidTr="0047212F">
        <w:trPr>
          <w:cantSplit/>
          <w:trHeight w:val="288"/>
        </w:trPr>
        <w:tc>
          <w:tcPr>
            <w:tcW w:w="1399" w:type="dxa"/>
            <w:vMerge w:val="restart"/>
          </w:tcPr>
          <w:p w14:paraId="70726BA4" w14:textId="77777777" w:rsidR="00933F1A" w:rsidRPr="00891D0B" w:rsidRDefault="00933F1A" w:rsidP="0047212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 wp14:anchorId="182FA51D" wp14:editId="76DE1715">
                  <wp:extent cx="762635" cy="716280"/>
                  <wp:effectExtent l="0" t="0" r="0" b="762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logogreen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70985A34" w14:textId="77777777" w:rsidR="00933F1A" w:rsidRPr="00891D0B" w:rsidRDefault="00933F1A" w:rsidP="0047212F">
            <w:pPr>
              <w:spacing w:before="40"/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160" w:type="dxa"/>
          </w:tcPr>
          <w:p w14:paraId="1FC95ED3" w14:textId="312DFFEB" w:rsidR="00933F1A" w:rsidRPr="00891D0B" w:rsidRDefault="00933F1A" w:rsidP="0047212F">
            <w:pPr>
              <w:pStyle w:val="Heading8"/>
              <w:spacing w:before="40"/>
              <w:rPr>
                <w:sz w:val="24"/>
                <w:szCs w:val="24"/>
              </w:rPr>
            </w:pPr>
          </w:p>
        </w:tc>
      </w:tr>
      <w:tr w:rsidR="00933F1A" w:rsidRPr="007E1FDD" w14:paraId="0D69B399" w14:textId="77777777" w:rsidTr="0047212F">
        <w:trPr>
          <w:cantSplit/>
          <w:trHeight w:val="504"/>
        </w:trPr>
        <w:tc>
          <w:tcPr>
            <w:tcW w:w="1399" w:type="dxa"/>
            <w:vMerge/>
          </w:tcPr>
          <w:p w14:paraId="522E40C2" w14:textId="77777777" w:rsidR="00933F1A" w:rsidRPr="00891D0B" w:rsidRDefault="00933F1A" w:rsidP="0047212F"/>
        </w:tc>
        <w:tc>
          <w:tcPr>
            <w:tcW w:w="5760" w:type="dxa"/>
            <w:vAlign w:val="center"/>
          </w:tcPr>
          <w:p w14:paraId="5377450B" w14:textId="77777777" w:rsidR="00933F1A" w:rsidRDefault="00933F1A" w:rsidP="0047212F">
            <w:pPr>
              <w:spacing w:before="40"/>
              <w:rPr>
                <w:b/>
              </w:rPr>
            </w:pPr>
            <w:r>
              <w:rPr>
                <w:b/>
              </w:rPr>
              <w:t xml:space="preserve">The 27th Meeting of the APT Wireless Group </w:t>
            </w:r>
          </w:p>
          <w:p w14:paraId="21A0866C" w14:textId="77777777" w:rsidR="00933F1A" w:rsidRPr="00891D0B" w:rsidRDefault="00933F1A" w:rsidP="0047212F">
            <w:pPr>
              <w:spacing w:before="40"/>
            </w:pPr>
            <w:r>
              <w:rPr>
                <w:b/>
              </w:rPr>
              <w:t>(AWG-27)</w:t>
            </w:r>
          </w:p>
        </w:tc>
        <w:tc>
          <w:tcPr>
            <w:tcW w:w="2160" w:type="dxa"/>
          </w:tcPr>
          <w:p w14:paraId="2651A564" w14:textId="333C399E" w:rsidR="00933F1A" w:rsidRDefault="00933F1A" w:rsidP="0047212F">
            <w:pPr>
              <w:spacing w:before="40"/>
              <w:rPr>
                <w:b/>
                <w:bCs/>
                <w:lang w:val="fr-FR"/>
              </w:rPr>
            </w:pPr>
          </w:p>
          <w:p w14:paraId="2542C419" w14:textId="77777777" w:rsidR="00933F1A" w:rsidRPr="007E1FDD" w:rsidRDefault="00933F1A" w:rsidP="0047212F">
            <w:pPr>
              <w:rPr>
                <w:b/>
                <w:bCs/>
                <w:lang w:val="en-GB"/>
              </w:rPr>
            </w:pPr>
          </w:p>
        </w:tc>
      </w:tr>
      <w:tr w:rsidR="00933F1A" w:rsidRPr="007E1FDD" w14:paraId="184B34A7" w14:textId="77777777" w:rsidTr="0047212F">
        <w:trPr>
          <w:cantSplit/>
          <w:trHeight w:val="288"/>
        </w:trPr>
        <w:tc>
          <w:tcPr>
            <w:tcW w:w="1399" w:type="dxa"/>
            <w:vMerge/>
          </w:tcPr>
          <w:p w14:paraId="2B1BB71F" w14:textId="77777777" w:rsidR="00933F1A" w:rsidRPr="007E1FDD" w:rsidRDefault="00933F1A" w:rsidP="0047212F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614CDF20" w14:textId="77777777" w:rsidR="00933F1A" w:rsidRPr="00712451" w:rsidRDefault="00933F1A" w:rsidP="0047212F">
            <w:pPr>
              <w:spacing w:before="40"/>
              <w:rPr>
                <w:b/>
              </w:rPr>
            </w:pPr>
            <w:r>
              <w:t>22 – 30 March 2021</w:t>
            </w:r>
            <w:r w:rsidRPr="00891D0B">
              <w:t xml:space="preserve">, </w:t>
            </w:r>
            <w:r w:rsidRPr="00EC249E">
              <w:rPr>
                <w:bCs/>
              </w:rPr>
              <w:t>Virtual</w:t>
            </w:r>
            <w:r>
              <w:rPr>
                <w:bCs/>
              </w:rPr>
              <w:t>/Online</w:t>
            </w:r>
            <w:r w:rsidRPr="00EC249E">
              <w:rPr>
                <w:bCs/>
              </w:rPr>
              <w:t xml:space="preserve"> Meeting</w:t>
            </w:r>
          </w:p>
        </w:tc>
        <w:tc>
          <w:tcPr>
            <w:tcW w:w="2160" w:type="dxa"/>
            <w:vAlign w:val="bottom"/>
          </w:tcPr>
          <w:p w14:paraId="5D18B7AC" w14:textId="58E902A8" w:rsidR="00933F1A" w:rsidRPr="007E1FDD" w:rsidRDefault="00A44708" w:rsidP="0047212F">
            <w:pPr>
              <w:spacing w:before="40"/>
              <w:rPr>
                <w:bCs/>
              </w:rPr>
            </w:pPr>
            <w:r>
              <w:rPr>
                <w:bCs/>
              </w:rPr>
              <w:t>30</w:t>
            </w:r>
            <w:r w:rsidR="00933F1A">
              <w:rPr>
                <w:bCs/>
              </w:rPr>
              <w:t xml:space="preserve"> March </w:t>
            </w:r>
            <w:r w:rsidR="00933F1A" w:rsidRPr="007E1FDD">
              <w:rPr>
                <w:bCs/>
              </w:rPr>
              <w:t>20</w:t>
            </w:r>
            <w:r w:rsidR="00933F1A">
              <w:rPr>
                <w:bCs/>
              </w:rPr>
              <w:t>21</w:t>
            </w:r>
          </w:p>
        </w:tc>
      </w:tr>
    </w:tbl>
    <w:p w14:paraId="5609AF9A" w14:textId="77777777"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14:paraId="4CA28A3A" w14:textId="59C91074" w:rsidR="0066188A" w:rsidRPr="000750A6" w:rsidRDefault="000750A6" w:rsidP="00A545C5">
      <w:pPr>
        <w:rPr>
          <w:lang w:val="fr-FR"/>
        </w:rPr>
      </w:pPr>
      <w:r w:rsidRPr="000750A6">
        <w:t xml:space="preserve">Source: </w:t>
      </w:r>
      <w:r w:rsidRPr="000750A6">
        <w:rPr>
          <w:lang w:val="fr-FR"/>
        </w:rPr>
        <w:t>AWG-27/OUT-12</w:t>
      </w:r>
    </w:p>
    <w:p w14:paraId="6C310F8A" w14:textId="77777777" w:rsidR="000750A6" w:rsidRPr="00A126DD" w:rsidRDefault="000750A6" w:rsidP="00A545C5">
      <w:pPr>
        <w:jc w:val="center"/>
      </w:pPr>
    </w:p>
    <w:p w14:paraId="441F2DEA" w14:textId="77777777" w:rsidR="00531C33" w:rsidRPr="00A126DD" w:rsidRDefault="00531C33" w:rsidP="00A545C5">
      <w:pPr>
        <w:jc w:val="center"/>
        <w:rPr>
          <w:lang w:eastAsia="zh-CN"/>
        </w:rPr>
      </w:pPr>
    </w:p>
    <w:p w14:paraId="7B314112" w14:textId="77777777" w:rsidR="00531C33" w:rsidRPr="00A126DD" w:rsidRDefault="00531C33" w:rsidP="00A545C5">
      <w:pPr>
        <w:jc w:val="center"/>
        <w:rPr>
          <w:lang w:eastAsia="ko-KR"/>
        </w:rPr>
      </w:pPr>
      <w:bookmarkStart w:id="0" w:name="_Hlk67916364"/>
      <w:r w:rsidRPr="00A126DD">
        <w:rPr>
          <w:b/>
          <w:bCs/>
          <w:lang w:eastAsia="ko-KR"/>
        </w:rPr>
        <w:t xml:space="preserve">DRAFT APT RECOMMENDATION ON </w:t>
      </w:r>
      <w:r w:rsidR="001E676C" w:rsidRPr="00A126DD">
        <w:rPr>
          <w:b/>
          <w:lang w:eastAsia="ko-KR"/>
        </w:rPr>
        <w:t>LICENSED SHARED ACCESS (LSA)</w:t>
      </w:r>
    </w:p>
    <w:bookmarkEnd w:id="0"/>
    <w:p w14:paraId="5A53B95F" w14:textId="77777777" w:rsidR="00531C33" w:rsidRDefault="00531C33" w:rsidP="00A545C5">
      <w:pPr>
        <w:rPr>
          <w:lang w:eastAsia="ko-KR"/>
        </w:rPr>
      </w:pPr>
    </w:p>
    <w:p w14:paraId="60AE20F3" w14:textId="30217AA8" w:rsidR="00A545C5" w:rsidRDefault="00531C33" w:rsidP="00A545C5">
      <w:r>
        <w:t>The Asia</w:t>
      </w:r>
      <w:r w:rsidR="00E77068">
        <w:t>-</w:t>
      </w:r>
      <w:r>
        <w:t xml:space="preserve">Pacific Telecommunity (APT), </w:t>
      </w:r>
    </w:p>
    <w:p w14:paraId="0F6B4671" w14:textId="77777777" w:rsidR="00A545C5" w:rsidRDefault="00A545C5" w:rsidP="00A545C5"/>
    <w:p w14:paraId="5ACDC590" w14:textId="6D70D161" w:rsidR="00531C33" w:rsidRDefault="00A545C5" w:rsidP="00A545C5">
      <w:pPr>
        <w:pStyle w:val="call"/>
        <w:tabs>
          <w:tab w:val="clear" w:pos="794"/>
        </w:tabs>
        <w:spacing w:before="0"/>
        <w:ind w:left="720"/>
        <w:rPr>
          <w:rFonts w:eastAsia="BatangChe"/>
          <w:sz w:val="24"/>
          <w:szCs w:val="24"/>
          <w:lang w:val="en-US"/>
        </w:rPr>
      </w:pPr>
      <w:r>
        <w:rPr>
          <w:rFonts w:eastAsia="BatangChe"/>
          <w:sz w:val="24"/>
          <w:szCs w:val="24"/>
          <w:lang w:val="en-US"/>
        </w:rPr>
        <w:t>c</w:t>
      </w:r>
      <w:r w:rsidR="00531C33">
        <w:rPr>
          <w:rFonts w:eastAsia="BatangChe"/>
          <w:sz w:val="24"/>
          <w:szCs w:val="24"/>
          <w:lang w:val="en-US" w:eastAsia="en-US"/>
        </w:rPr>
        <w:t>onsidering</w:t>
      </w:r>
    </w:p>
    <w:p w14:paraId="637135DC" w14:textId="77777777" w:rsidR="00A545C5" w:rsidRPr="00A545C5" w:rsidRDefault="00A545C5" w:rsidP="00A545C5">
      <w:pPr>
        <w:rPr>
          <w:lang w:eastAsia="ko-KR"/>
        </w:rPr>
      </w:pPr>
    </w:p>
    <w:p w14:paraId="23210A18" w14:textId="77777777" w:rsidR="00531C33" w:rsidRDefault="00E33206" w:rsidP="00A545C5">
      <w:pPr>
        <w:jc w:val="both"/>
        <w:rPr>
          <w:lang w:eastAsia="ko-KR"/>
        </w:rPr>
      </w:pPr>
      <w:r w:rsidRPr="00E33206">
        <w:rPr>
          <w:i/>
          <w:lang w:eastAsia="zh-CN"/>
        </w:rPr>
        <w:t>a)</w:t>
      </w:r>
      <w:r>
        <w:rPr>
          <w:lang w:eastAsia="zh-CN"/>
        </w:rPr>
        <w:tab/>
      </w:r>
      <w:r w:rsidR="00531C33">
        <w:rPr>
          <w:rFonts w:hint="eastAsia"/>
          <w:lang w:eastAsia="zh-CN"/>
        </w:rPr>
        <w:t xml:space="preserve">that </w:t>
      </w:r>
      <w:r w:rsidR="00531C33">
        <w:rPr>
          <w:lang w:eastAsia="zh-CN"/>
        </w:rPr>
        <w:t>IMT frequency arrangements are being considered and adopted globally</w:t>
      </w:r>
      <w:r w:rsidR="00531C33">
        <w:rPr>
          <w:rFonts w:hint="eastAsia"/>
          <w:lang w:eastAsia="zh-CN"/>
        </w:rPr>
        <w:t>;</w:t>
      </w:r>
    </w:p>
    <w:p w14:paraId="458CF9F5" w14:textId="77777777" w:rsidR="00531C33" w:rsidRDefault="00531C33" w:rsidP="00A545C5">
      <w:pPr>
        <w:ind w:left="720"/>
        <w:jc w:val="both"/>
        <w:rPr>
          <w:lang w:eastAsia="ko-KR"/>
        </w:rPr>
      </w:pPr>
    </w:p>
    <w:p w14:paraId="4C5E1188" w14:textId="780BCA29" w:rsidR="00531C33" w:rsidRDefault="00E33206" w:rsidP="00A545C5">
      <w:pPr>
        <w:jc w:val="both"/>
        <w:rPr>
          <w:lang w:eastAsia="ko-KR"/>
        </w:rPr>
      </w:pPr>
      <w:r w:rsidRPr="00E33206">
        <w:rPr>
          <w:i/>
          <w:lang w:eastAsia="ko-KR"/>
        </w:rPr>
        <w:t>b)</w:t>
      </w:r>
      <w:r>
        <w:rPr>
          <w:lang w:eastAsia="ko-KR"/>
        </w:rPr>
        <w:tab/>
      </w:r>
      <w:r w:rsidR="00531C33">
        <w:rPr>
          <w:lang w:eastAsia="ko-KR"/>
        </w:rPr>
        <w:t xml:space="preserve">that </w:t>
      </w:r>
      <w:r w:rsidR="00EE0E54">
        <w:rPr>
          <w:lang w:eastAsia="ko-KR"/>
        </w:rPr>
        <w:t xml:space="preserve">if </w:t>
      </w:r>
      <w:r w:rsidR="00531C33">
        <w:rPr>
          <w:lang w:eastAsia="ko-KR"/>
        </w:rPr>
        <w:t xml:space="preserve">more of the </w:t>
      </w:r>
      <w:r w:rsidR="00F2559B">
        <w:rPr>
          <w:lang w:eastAsia="ko-KR"/>
        </w:rPr>
        <w:t xml:space="preserve">bands identified for </w:t>
      </w:r>
      <w:r w:rsidR="00531C33">
        <w:rPr>
          <w:lang w:eastAsia="ko-KR"/>
        </w:rPr>
        <w:t xml:space="preserve">IMT that </w:t>
      </w:r>
      <w:r w:rsidR="007179D6">
        <w:rPr>
          <w:lang w:eastAsia="ko-KR"/>
        </w:rPr>
        <w:t>are</w:t>
      </w:r>
      <w:r w:rsidR="00531C33">
        <w:rPr>
          <w:lang w:eastAsia="ko-KR"/>
        </w:rPr>
        <w:t xml:space="preserve"> </w:t>
      </w:r>
      <w:r w:rsidR="000C230D">
        <w:rPr>
          <w:lang w:eastAsia="ko-KR"/>
        </w:rPr>
        <w:t xml:space="preserve">made available </w:t>
      </w:r>
      <w:r w:rsidR="00531C33">
        <w:rPr>
          <w:lang w:eastAsia="ko-KR"/>
        </w:rPr>
        <w:t>for IMT</w:t>
      </w:r>
      <w:r w:rsidR="001F5894">
        <w:rPr>
          <w:lang w:eastAsia="ko-KR"/>
        </w:rPr>
        <w:t xml:space="preserve"> </w:t>
      </w:r>
      <w:r w:rsidR="007179D6">
        <w:rPr>
          <w:lang w:eastAsia="ko-KR"/>
        </w:rPr>
        <w:t>by an administration</w:t>
      </w:r>
      <w:r w:rsidR="00531C33">
        <w:rPr>
          <w:lang w:eastAsia="ko-KR"/>
        </w:rPr>
        <w:t>, the</w:t>
      </w:r>
      <w:r w:rsidR="00EE0E54">
        <w:rPr>
          <w:lang w:eastAsia="ko-KR"/>
        </w:rPr>
        <w:t>re is increased potential for a</w:t>
      </w:r>
      <w:r w:rsidR="00531C33">
        <w:rPr>
          <w:lang w:eastAsia="ko-KR"/>
        </w:rPr>
        <w:t xml:space="preserve"> better </w:t>
      </w:r>
      <w:r w:rsidR="001F5894">
        <w:rPr>
          <w:lang w:eastAsia="ko-KR"/>
        </w:rPr>
        <w:t xml:space="preserve">IMT </w:t>
      </w:r>
      <w:r w:rsidR="00531C33">
        <w:rPr>
          <w:lang w:eastAsia="ko-KR"/>
        </w:rPr>
        <w:t>user experience</w:t>
      </w:r>
      <w:r w:rsidR="00DD713D">
        <w:rPr>
          <w:lang w:eastAsia="ko-KR"/>
        </w:rPr>
        <w:t>,</w:t>
      </w:r>
      <w:r w:rsidR="00531C33">
        <w:rPr>
          <w:lang w:eastAsia="ko-KR"/>
        </w:rPr>
        <w:t xml:space="preserve"> and higher capacity </w:t>
      </w:r>
      <w:r w:rsidR="00DD713D">
        <w:rPr>
          <w:lang w:eastAsia="ko-KR"/>
        </w:rPr>
        <w:t>and data-throug</w:t>
      </w:r>
      <w:r w:rsidR="001F5894">
        <w:rPr>
          <w:lang w:eastAsia="ko-KR"/>
        </w:rPr>
        <w:t>h</w:t>
      </w:r>
      <w:r w:rsidR="00DD713D">
        <w:rPr>
          <w:lang w:eastAsia="ko-KR"/>
        </w:rPr>
        <w:t xml:space="preserve">put </w:t>
      </w:r>
      <w:r w:rsidR="00531C33">
        <w:rPr>
          <w:lang w:eastAsia="ko-KR"/>
        </w:rPr>
        <w:t>that can be provided to mobile broadband users</w:t>
      </w:r>
      <w:r w:rsidR="00361B0E">
        <w:rPr>
          <w:lang w:eastAsia="ko-KR"/>
        </w:rPr>
        <w:t>;</w:t>
      </w:r>
      <w:r w:rsidR="00531C33">
        <w:rPr>
          <w:lang w:eastAsia="ko-KR"/>
        </w:rPr>
        <w:t xml:space="preserve"> </w:t>
      </w:r>
    </w:p>
    <w:p w14:paraId="4FD36CF7" w14:textId="77777777" w:rsidR="00531C33" w:rsidRPr="00A545C5" w:rsidRDefault="00531C33" w:rsidP="00A545C5">
      <w:pPr>
        <w:pStyle w:val="ListParagraph"/>
        <w:spacing w:before="0"/>
        <w:rPr>
          <w:rFonts w:cstheme="minorBidi"/>
          <w:cs/>
          <w:lang w:eastAsia="ko-KR" w:bidi="th-TH"/>
        </w:rPr>
      </w:pPr>
    </w:p>
    <w:p w14:paraId="7D082268" w14:textId="77777777" w:rsidR="00531C33" w:rsidRDefault="00E33206" w:rsidP="00A545C5">
      <w:pPr>
        <w:jc w:val="both"/>
        <w:rPr>
          <w:lang w:eastAsia="ko-KR"/>
        </w:rPr>
      </w:pPr>
      <w:r w:rsidRPr="00E33206">
        <w:rPr>
          <w:i/>
          <w:lang w:eastAsia="ko-KR"/>
        </w:rPr>
        <w:t>c)</w:t>
      </w:r>
      <w:r>
        <w:rPr>
          <w:lang w:eastAsia="ko-KR"/>
        </w:rPr>
        <w:tab/>
      </w:r>
      <w:r w:rsidR="00531C33">
        <w:rPr>
          <w:lang w:eastAsia="ko-KR"/>
        </w:rPr>
        <w:t xml:space="preserve">that many of the bands </w:t>
      </w:r>
      <w:r w:rsidR="00F2559B">
        <w:rPr>
          <w:lang w:eastAsia="ko-KR"/>
        </w:rPr>
        <w:t xml:space="preserve">already </w:t>
      </w:r>
      <w:r w:rsidR="00531C33">
        <w:rPr>
          <w:lang w:eastAsia="ko-KR"/>
        </w:rPr>
        <w:t xml:space="preserve">identified for IMT are </w:t>
      </w:r>
      <w:r w:rsidR="00E42BDF">
        <w:rPr>
          <w:lang w:eastAsia="ko-KR"/>
        </w:rPr>
        <w:t>encumbered</w:t>
      </w:r>
      <w:r w:rsidR="00531C33">
        <w:rPr>
          <w:lang w:eastAsia="ko-KR"/>
        </w:rPr>
        <w:t xml:space="preserve"> by other services;</w:t>
      </w:r>
    </w:p>
    <w:p w14:paraId="3C1CF873" w14:textId="77777777" w:rsidR="00531C33" w:rsidRDefault="00531C33" w:rsidP="00A545C5">
      <w:pPr>
        <w:pStyle w:val="ListParagraph"/>
        <w:spacing w:before="0"/>
        <w:rPr>
          <w:lang w:eastAsia="ko-KR"/>
        </w:rPr>
      </w:pPr>
    </w:p>
    <w:p w14:paraId="3E74399B" w14:textId="295588DD" w:rsidR="00531C33" w:rsidRDefault="00E33206" w:rsidP="00A545C5">
      <w:pPr>
        <w:jc w:val="both"/>
        <w:rPr>
          <w:lang w:eastAsia="ko-KR"/>
        </w:rPr>
      </w:pPr>
      <w:r w:rsidRPr="00E33206">
        <w:rPr>
          <w:i/>
          <w:lang w:eastAsia="ko-KR"/>
        </w:rPr>
        <w:t>d)</w:t>
      </w:r>
      <w:r>
        <w:rPr>
          <w:lang w:eastAsia="ko-KR"/>
        </w:rPr>
        <w:tab/>
      </w:r>
      <w:r w:rsidR="00531C33">
        <w:rPr>
          <w:lang w:eastAsia="ko-KR"/>
        </w:rPr>
        <w:t>that</w:t>
      </w:r>
      <w:r w:rsidR="002B36AA">
        <w:rPr>
          <w:lang w:eastAsia="ko-KR"/>
        </w:rPr>
        <w:t>, in some cases,</w:t>
      </w:r>
      <w:r w:rsidR="00531C33">
        <w:rPr>
          <w:lang w:eastAsia="ko-KR"/>
        </w:rPr>
        <w:t xml:space="preserve"> </w:t>
      </w:r>
      <w:r w:rsidR="004D219E">
        <w:rPr>
          <w:lang w:eastAsia="ko-KR"/>
        </w:rPr>
        <w:t>where a band already identified for IMT is still not available to IMT systems</w:t>
      </w:r>
      <w:r w:rsidR="000C230D">
        <w:rPr>
          <w:lang w:eastAsia="ko-KR"/>
        </w:rPr>
        <w:t xml:space="preserve"> in </w:t>
      </w:r>
      <w:r w:rsidR="006F6981">
        <w:rPr>
          <w:lang w:eastAsia="ko-KR"/>
        </w:rPr>
        <w:t>a nation</w:t>
      </w:r>
      <w:r w:rsidR="004D219E">
        <w:rPr>
          <w:lang w:eastAsia="ko-KR"/>
        </w:rPr>
        <w:t xml:space="preserve">, the </w:t>
      </w:r>
      <w:r w:rsidR="00531C33">
        <w:rPr>
          <w:lang w:eastAsia="ko-KR"/>
        </w:rPr>
        <w:t xml:space="preserve">incumbent </w:t>
      </w:r>
      <w:r w:rsidR="004D219E">
        <w:rPr>
          <w:lang w:eastAsia="ko-KR"/>
        </w:rPr>
        <w:t>services may be unable to</w:t>
      </w:r>
      <w:r w:rsidR="00531C33">
        <w:rPr>
          <w:lang w:eastAsia="ko-KR"/>
        </w:rPr>
        <w:t xml:space="preserve"> vacate the band </w:t>
      </w:r>
      <w:r w:rsidR="004D219E">
        <w:rPr>
          <w:lang w:eastAsia="ko-KR"/>
        </w:rPr>
        <w:t xml:space="preserve">in the </w:t>
      </w:r>
      <w:r w:rsidR="00531C33">
        <w:rPr>
          <w:lang w:eastAsia="ko-KR"/>
        </w:rPr>
        <w:t xml:space="preserve">foreseeable </w:t>
      </w:r>
      <w:r w:rsidR="004D219E">
        <w:rPr>
          <w:lang w:eastAsia="ko-KR"/>
        </w:rPr>
        <w:t>future</w:t>
      </w:r>
      <w:r w:rsidR="00531C33">
        <w:rPr>
          <w:lang w:eastAsia="ko-KR"/>
        </w:rPr>
        <w:t>;</w:t>
      </w:r>
    </w:p>
    <w:p w14:paraId="0BD2C362" w14:textId="77777777" w:rsidR="00531C33" w:rsidRDefault="00531C33" w:rsidP="00A545C5">
      <w:pPr>
        <w:pStyle w:val="ListParagraph"/>
        <w:spacing w:before="0"/>
        <w:rPr>
          <w:lang w:eastAsia="ko-KR"/>
        </w:rPr>
      </w:pPr>
    </w:p>
    <w:p w14:paraId="2F9E3270" w14:textId="2529F38A" w:rsidR="00531C33" w:rsidRDefault="00E33206" w:rsidP="00A545C5">
      <w:pPr>
        <w:jc w:val="both"/>
        <w:rPr>
          <w:lang w:eastAsia="ko-KR"/>
        </w:rPr>
      </w:pPr>
      <w:r w:rsidRPr="00E33206">
        <w:rPr>
          <w:i/>
          <w:lang w:eastAsia="ko-KR"/>
        </w:rPr>
        <w:t>e)</w:t>
      </w:r>
      <w:r>
        <w:rPr>
          <w:lang w:eastAsia="ko-KR"/>
        </w:rPr>
        <w:tab/>
      </w:r>
      <w:r w:rsidR="00531C33">
        <w:rPr>
          <w:lang w:eastAsia="ko-KR"/>
        </w:rPr>
        <w:t xml:space="preserve">that in some </w:t>
      </w:r>
      <w:r w:rsidR="00E42BDF">
        <w:rPr>
          <w:lang w:eastAsia="ko-KR"/>
        </w:rPr>
        <w:t xml:space="preserve">cases </w:t>
      </w:r>
      <w:r w:rsidR="00AB2A35">
        <w:rPr>
          <w:lang w:eastAsia="ko-KR"/>
        </w:rPr>
        <w:t>non-IMT</w:t>
      </w:r>
      <w:r w:rsidR="00531C33">
        <w:rPr>
          <w:lang w:eastAsia="ko-KR"/>
        </w:rPr>
        <w:t xml:space="preserve"> u</w:t>
      </w:r>
      <w:r w:rsidR="002B36AA">
        <w:rPr>
          <w:lang w:eastAsia="ko-KR"/>
        </w:rPr>
        <w:t>se</w:t>
      </w:r>
      <w:r w:rsidR="00531C33">
        <w:rPr>
          <w:lang w:eastAsia="ko-KR"/>
        </w:rPr>
        <w:t xml:space="preserve"> </w:t>
      </w:r>
      <w:r w:rsidR="00AB2A35">
        <w:rPr>
          <w:lang w:eastAsia="ko-KR"/>
        </w:rPr>
        <w:t xml:space="preserve">of </w:t>
      </w:r>
      <w:r w:rsidR="00531C33">
        <w:rPr>
          <w:lang w:eastAsia="ko-KR"/>
        </w:rPr>
        <w:t xml:space="preserve">the spectrum </w:t>
      </w:r>
      <w:r w:rsidR="00AB2A35">
        <w:rPr>
          <w:lang w:eastAsia="ko-KR"/>
        </w:rPr>
        <w:t xml:space="preserve">is </w:t>
      </w:r>
      <w:r w:rsidR="00531C33">
        <w:rPr>
          <w:lang w:eastAsia="ko-KR"/>
        </w:rPr>
        <w:t xml:space="preserve">limited </w:t>
      </w:r>
      <w:r w:rsidR="00AB2A35">
        <w:rPr>
          <w:lang w:eastAsia="ko-KR"/>
        </w:rPr>
        <w:t xml:space="preserve">to specific </w:t>
      </w:r>
      <w:r w:rsidR="00531C33">
        <w:rPr>
          <w:lang w:eastAsia="ko-KR"/>
        </w:rPr>
        <w:t xml:space="preserve">geographic areas </w:t>
      </w:r>
      <w:r w:rsidR="00AB2A35">
        <w:rPr>
          <w:lang w:eastAsia="ko-KR"/>
        </w:rPr>
        <w:t>and/</w:t>
      </w:r>
      <w:r w:rsidR="00531C33">
        <w:rPr>
          <w:lang w:eastAsia="ko-KR"/>
        </w:rPr>
        <w:t xml:space="preserve">or for </w:t>
      </w:r>
      <w:r w:rsidR="00AB2A35">
        <w:rPr>
          <w:lang w:eastAsia="ko-KR"/>
        </w:rPr>
        <w:t>short durations</w:t>
      </w:r>
      <w:r w:rsidR="00531C33">
        <w:rPr>
          <w:lang w:eastAsia="ko-KR"/>
        </w:rPr>
        <w:t>;</w:t>
      </w:r>
    </w:p>
    <w:p w14:paraId="6301B020" w14:textId="77777777" w:rsidR="00531C33" w:rsidRDefault="00531C33" w:rsidP="00A545C5">
      <w:pPr>
        <w:pStyle w:val="ListParagraph"/>
        <w:spacing w:before="0"/>
        <w:rPr>
          <w:lang w:eastAsia="ko-KR"/>
        </w:rPr>
      </w:pPr>
    </w:p>
    <w:p w14:paraId="52CEB9BA" w14:textId="77577C27" w:rsidR="00531C33" w:rsidRDefault="00E33206" w:rsidP="00A545C5">
      <w:pPr>
        <w:jc w:val="both"/>
        <w:rPr>
          <w:lang w:eastAsia="ko-KR"/>
        </w:rPr>
      </w:pPr>
      <w:r w:rsidRPr="00E33206">
        <w:rPr>
          <w:i/>
          <w:lang w:eastAsia="ko-KR"/>
        </w:rPr>
        <w:t>f)</w:t>
      </w:r>
      <w:r>
        <w:rPr>
          <w:lang w:eastAsia="ko-KR"/>
        </w:rPr>
        <w:tab/>
      </w:r>
      <w:r w:rsidR="00531C33">
        <w:rPr>
          <w:lang w:eastAsia="ko-KR"/>
        </w:rPr>
        <w:t xml:space="preserve">that </w:t>
      </w:r>
      <w:r w:rsidR="004D219E">
        <w:rPr>
          <w:lang w:eastAsia="ko-KR"/>
        </w:rPr>
        <w:t>implementing</w:t>
      </w:r>
      <w:r w:rsidR="00531C33">
        <w:rPr>
          <w:lang w:eastAsia="ko-KR"/>
        </w:rPr>
        <w:t xml:space="preserve"> a </w:t>
      </w:r>
      <w:r w:rsidR="004D219E">
        <w:rPr>
          <w:lang w:eastAsia="ko-KR"/>
        </w:rPr>
        <w:t xml:space="preserve">more flexible </w:t>
      </w:r>
      <w:r w:rsidR="00531C33">
        <w:rPr>
          <w:lang w:eastAsia="ko-KR"/>
        </w:rPr>
        <w:t xml:space="preserve">licensing scheme that enables </w:t>
      </w:r>
      <w:r w:rsidR="004D219E">
        <w:rPr>
          <w:lang w:eastAsia="ko-KR"/>
        </w:rPr>
        <w:t xml:space="preserve">earliest </w:t>
      </w:r>
      <w:r w:rsidR="00531C33">
        <w:rPr>
          <w:lang w:eastAsia="ko-KR"/>
        </w:rPr>
        <w:t xml:space="preserve">access to spectrum identified for IMT may be beneficial for </w:t>
      </w:r>
      <w:r w:rsidR="001E7FE5">
        <w:rPr>
          <w:lang w:eastAsia="ko-KR"/>
        </w:rPr>
        <w:t>a</w:t>
      </w:r>
      <w:r w:rsidR="00531C33">
        <w:rPr>
          <w:lang w:eastAsia="ko-KR"/>
        </w:rPr>
        <w:t>dministrations;</w:t>
      </w:r>
    </w:p>
    <w:p w14:paraId="5FB8094F" w14:textId="77777777" w:rsidR="00531C33" w:rsidRPr="004D219E" w:rsidRDefault="00531C33" w:rsidP="00A545C5">
      <w:pPr>
        <w:pStyle w:val="ListParagraph"/>
        <w:spacing w:before="0"/>
        <w:rPr>
          <w:lang w:val="en-US" w:eastAsia="ko-KR"/>
        </w:rPr>
      </w:pPr>
    </w:p>
    <w:p w14:paraId="3249F564" w14:textId="55E59690" w:rsidR="00531C33" w:rsidRDefault="00E33206" w:rsidP="00A545C5">
      <w:pPr>
        <w:jc w:val="both"/>
        <w:rPr>
          <w:lang w:eastAsia="ko-KR"/>
        </w:rPr>
      </w:pPr>
      <w:r w:rsidRPr="00E33206">
        <w:rPr>
          <w:i/>
          <w:lang w:eastAsia="ko-KR"/>
        </w:rPr>
        <w:t>g)</w:t>
      </w:r>
      <w:r>
        <w:rPr>
          <w:lang w:eastAsia="ko-KR"/>
        </w:rPr>
        <w:tab/>
      </w:r>
      <w:r w:rsidR="00531C33">
        <w:rPr>
          <w:lang w:eastAsia="ko-KR"/>
        </w:rPr>
        <w:t>that using harmonized band</w:t>
      </w:r>
      <w:r w:rsidR="00AB2A35">
        <w:rPr>
          <w:lang w:eastAsia="ko-KR"/>
        </w:rPr>
        <w:t>s that have been</w:t>
      </w:r>
      <w:r w:rsidR="004D219E">
        <w:rPr>
          <w:lang w:eastAsia="ko-KR"/>
        </w:rPr>
        <w:t xml:space="preserve"> </w:t>
      </w:r>
      <w:r w:rsidR="00531C33">
        <w:rPr>
          <w:lang w:eastAsia="ko-KR"/>
        </w:rPr>
        <w:t xml:space="preserve">identified for IMT provides greater </w:t>
      </w:r>
      <w:r w:rsidR="00531C33">
        <w:t xml:space="preserve">opportunity </w:t>
      </w:r>
      <w:r w:rsidR="00AB2A35">
        <w:t>for economies</w:t>
      </w:r>
      <w:r w:rsidR="004D219E">
        <w:t>-</w:t>
      </w:r>
      <w:r w:rsidR="00531C33">
        <w:t>of</w:t>
      </w:r>
      <w:r w:rsidR="004D219E">
        <w:t>-</w:t>
      </w:r>
      <w:r w:rsidR="00531C33">
        <w:t xml:space="preserve">scale </w:t>
      </w:r>
      <w:r w:rsidR="00AB2A35">
        <w:t xml:space="preserve">for </w:t>
      </w:r>
      <w:r w:rsidR="004D219E">
        <w:t xml:space="preserve">IMT </w:t>
      </w:r>
      <w:r w:rsidR="00AB2A35">
        <w:t>equipment</w:t>
      </w:r>
      <w:r w:rsidR="00531C33">
        <w:rPr>
          <w:lang w:eastAsia="ko-KR"/>
        </w:rPr>
        <w:t>;</w:t>
      </w:r>
    </w:p>
    <w:p w14:paraId="5A57C110" w14:textId="77777777" w:rsidR="00531C33" w:rsidRDefault="00531C33" w:rsidP="00A545C5">
      <w:pPr>
        <w:pStyle w:val="ListParagraph"/>
        <w:spacing w:before="0"/>
        <w:rPr>
          <w:lang w:eastAsia="ko-KR"/>
        </w:rPr>
      </w:pPr>
    </w:p>
    <w:p w14:paraId="73966471" w14:textId="7242EEB5" w:rsidR="00531C33" w:rsidRDefault="00E33206" w:rsidP="00A545C5">
      <w:pPr>
        <w:jc w:val="both"/>
        <w:rPr>
          <w:lang w:eastAsia="ko-KR"/>
        </w:rPr>
      </w:pPr>
      <w:r w:rsidRPr="00E33206">
        <w:rPr>
          <w:i/>
          <w:lang w:eastAsia="ko-KR"/>
        </w:rPr>
        <w:t>h)</w:t>
      </w:r>
      <w:r>
        <w:rPr>
          <w:lang w:eastAsia="ko-KR"/>
        </w:rPr>
        <w:tab/>
      </w:r>
      <w:r w:rsidR="00531C33">
        <w:rPr>
          <w:lang w:eastAsia="ko-KR"/>
        </w:rPr>
        <w:t xml:space="preserve">that </w:t>
      </w:r>
      <w:r w:rsidR="00876F5A">
        <w:rPr>
          <w:lang w:eastAsia="ko-KR"/>
        </w:rPr>
        <w:t xml:space="preserve">spectrum access for </w:t>
      </w:r>
      <w:r w:rsidR="004D219E">
        <w:rPr>
          <w:lang w:eastAsia="ko-KR"/>
        </w:rPr>
        <w:t>different services</w:t>
      </w:r>
      <w:r w:rsidR="002B36AA">
        <w:rPr>
          <w:lang w:eastAsia="ko-KR"/>
        </w:rPr>
        <w:t xml:space="preserve"> using various</w:t>
      </w:r>
      <w:r w:rsidR="004D219E">
        <w:rPr>
          <w:lang w:eastAsia="ko-KR"/>
        </w:rPr>
        <w:t xml:space="preserve"> licensing schemes remains a matter </w:t>
      </w:r>
      <w:r w:rsidR="001E7FE5">
        <w:rPr>
          <w:lang w:eastAsia="ko-KR"/>
        </w:rPr>
        <w:t xml:space="preserve">of  </w:t>
      </w:r>
      <w:r w:rsidR="004D219E">
        <w:rPr>
          <w:lang w:eastAsia="ko-KR"/>
        </w:rPr>
        <w:t>national decision</w:t>
      </w:r>
      <w:r w:rsidR="00531C33">
        <w:rPr>
          <w:lang w:eastAsia="ko-KR"/>
        </w:rPr>
        <w:t xml:space="preserve">; </w:t>
      </w:r>
    </w:p>
    <w:p w14:paraId="6B9836E3" w14:textId="77777777" w:rsidR="00531C33" w:rsidRPr="000C5FD8" w:rsidRDefault="00531C33" w:rsidP="00A545C5">
      <w:pPr>
        <w:pStyle w:val="ListParagraph"/>
        <w:spacing w:before="0"/>
        <w:rPr>
          <w:lang w:val="en-US" w:eastAsia="ko-KR"/>
        </w:rPr>
      </w:pPr>
    </w:p>
    <w:p w14:paraId="497E9BC6" w14:textId="3B99FBC0" w:rsidR="00531C33" w:rsidRDefault="00E33206" w:rsidP="00A545C5">
      <w:pPr>
        <w:jc w:val="both"/>
        <w:rPr>
          <w:lang w:eastAsia="ko-KR"/>
        </w:rPr>
      </w:pPr>
      <w:r w:rsidRPr="00E33206">
        <w:rPr>
          <w:i/>
          <w:lang w:eastAsia="ko-KR"/>
        </w:rPr>
        <w:t>i)</w:t>
      </w:r>
      <w:r>
        <w:rPr>
          <w:lang w:eastAsia="ko-KR"/>
        </w:rPr>
        <w:tab/>
      </w:r>
      <w:r w:rsidR="00531C33">
        <w:rPr>
          <w:lang w:eastAsia="ko-KR"/>
        </w:rPr>
        <w:t xml:space="preserve">that </w:t>
      </w:r>
      <w:r w:rsidR="009C443B">
        <w:rPr>
          <w:lang w:eastAsia="ko-KR"/>
        </w:rPr>
        <w:t>APT R</w:t>
      </w:r>
      <w:r w:rsidR="00262641">
        <w:rPr>
          <w:lang w:eastAsia="ko-KR"/>
        </w:rPr>
        <w:t xml:space="preserve">eport </w:t>
      </w:r>
      <w:r w:rsidR="009C443B">
        <w:rPr>
          <w:lang w:eastAsia="ko-KR"/>
        </w:rPr>
        <w:t>APT/AWG/REP-</w:t>
      </w:r>
      <w:r w:rsidR="00262641">
        <w:rPr>
          <w:lang w:eastAsia="ko-KR"/>
        </w:rPr>
        <w:t>68 on “</w:t>
      </w:r>
      <w:r w:rsidR="00262641" w:rsidRPr="00262641">
        <w:rPr>
          <w:lang w:eastAsia="ko-KR"/>
        </w:rPr>
        <w:t>Authorized/Licensed Shared Access as a National Solution to Access Spectrum for IMT</w:t>
      </w:r>
      <w:r w:rsidR="00A65B96">
        <w:rPr>
          <w:lang w:eastAsia="ko-KR"/>
        </w:rPr>
        <w:t xml:space="preserve">” </w:t>
      </w:r>
      <w:r w:rsidR="00531C33">
        <w:rPr>
          <w:lang w:eastAsia="ko-KR"/>
        </w:rPr>
        <w:t xml:space="preserve">describes a </w:t>
      </w:r>
      <w:r w:rsidR="004D219E">
        <w:rPr>
          <w:lang w:eastAsia="ko-KR"/>
        </w:rPr>
        <w:t>L</w:t>
      </w:r>
      <w:r w:rsidR="00531C33">
        <w:rPr>
          <w:lang w:eastAsia="ko-KR"/>
        </w:rPr>
        <w:t xml:space="preserve">icensed </w:t>
      </w:r>
      <w:r w:rsidR="004D219E">
        <w:rPr>
          <w:lang w:eastAsia="ko-KR"/>
        </w:rPr>
        <w:t>S</w:t>
      </w:r>
      <w:r w:rsidR="00531C33">
        <w:rPr>
          <w:lang w:eastAsia="ko-KR"/>
        </w:rPr>
        <w:t xml:space="preserve">hared </w:t>
      </w:r>
      <w:r w:rsidR="004D219E">
        <w:rPr>
          <w:lang w:eastAsia="ko-KR"/>
        </w:rPr>
        <w:t>A</w:t>
      </w:r>
      <w:r w:rsidR="00531C33">
        <w:rPr>
          <w:lang w:eastAsia="ko-KR"/>
        </w:rPr>
        <w:t>ccess (LSA) concept including the relevant building blocks and functionality required;</w:t>
      </w:r>
    </w:p>
    <w:p w14:paraId="192AD7C5" w14:textId="77777777" w:rsidR="00531C33" w:rsidRDefault="00531C33" w:rsidP="00A545C5">
      <w:pPr>
        <w:pStyle w:val="ListParagraph"/>
        <w:spacing w:before="0"/>
        <w:rPr>
          <w:lang w:eastAsia="ko-KR"/>
        </w:rPr>
      </w:pPr>
    </w:p>
    <w:p w14:paraId="1BA45611" w14:textId="3E5FD839" w:rsidR="00531C33" w:rsidRDefault="00E33206" w:rsidP="00A545C5">
      <w:pPr>
        <w:jc w:val="both"/>
        <w:rPr>
          <w:lang w:eastAsia="ko-KR"/>
        </w:rPr>
      </w:pPr>
      <w:r w:rsidRPr="00B049AC">
        <w:rPr>
          <w:i/>
          <w:iCs/>
          <w:lang w:eastAsia="ko-KR"/>
        </w:rPr>
        <w:t>j)</w:t>
      </w:r>
      <w:r>
        <w:rPr>
          <w:lang w:eastAsia="ko-KR"/>
        </w:rPr>
        <w:tab/>
      </w:r>
      <w:r w:rsidR="00531C33">
        <w:rPr>
          <w:lang w:eastAsia="ko-KR"/>
        </w:rPr>
        <w:t xml:space="preserve">that </w:t>
      </w:r>
      <w:r w:rsidR="000C059B" w:rsidRPr="000C059B">
        <w:rPr>
          <w:lang w:eastAsia="ko-KR"/>
        </w:rPr>
        <w:t xml:space="preserve">Report ITU-R SM.2404-0 was approved in 2017 and that </w:t>
      </w:r>
      <w:r w:rsidR="00531C33">
        <w:rPr>
          <w:lang w:eastAsia="ko-KR"/>
        </w:rPr>
        <w:t xml:space="preserve">LSA is </w:t>
      </w:r>
      <w:r w:rsidR="004D219E">
        <w:rPr>
          <w:lang w:eastAsia="ko-KR"/>
        </w:rPr>
        <w:t xml:space="preserve">also being </w:t>
      </w:r>
      <w:r w:rsidR="00531C33">
        <w:rPr>
          <w:lang w:eastAsia="ko-KR"/>
        </w:rPr>
        <w:t xml:space="preserve">studied </w:t>
      </w:r>
      <w:r w:rsidR="004D219E">
        <w:rPr>
          <w:lang w:eastAsia="ko-KR"/>
        </w:rPr>
        <w:t>with</w:t>
      </w:r>
      <w:r w:rsidR="00531C33">
        <w:rPr>
          <w:lang w:eastAsia="ko-KR"/>
        </w:rPr>
        <w:t xml:space="preserve">in </w:t>
      </w:r>
      <w:r w:rsidR="004D219E">
        <w:rPr>
          <w:lang w:eastAsia="ko-KR"/>
        </w:rPr>
        <w:t xml:space="preserve">the </w:t>
      </w:r>
      <w:r w:rsidR="00531C33">
        <w:rPr>
          <w:lang w:eastAsia="ko-KR"/>
        </w:rPr>
        <w:t xml:space="preserve">ITU-R as an </w:t>
      </w:r>
      <w:r w:rsidR="004D219E">
        <w:rPr>
          <w:lang w:eastAsia="ko-KR"/>
        </w:rPr>
        <w:t>additional</w:t>
      </w:r>
      <w:r w:rsidR="00531C33">
        <w:rPr>
          <w:lang w:eastAsia="ko-KR"/>
        </w:rPr>
        <w:t xml:space="preserve"> spectrum regulatory tool to support </w:t>
      </w:r>
      <w:r w:rsidR="004D219E">
        <w:rPr>
          <w:lang w:eastAsia="ko-KR"/>
        </w:rPr>
        <w:t>further deployment of IMT systems</w:t>
      </w:r>
      <w:r w:rsidR="00361B0E">
        <w:rPr>
          <w:lang w:eastAsia="ko-KR"/>
        </w:rPr>
        <w:t>;</w:t>
      </w:r>
      <w:r w:rsidR="00531C33">
        <w:rPr>
          <w:lang w:eastAsia="ko-KR"/>
        </w:rPr>
        <w:t xml:space="preserve"> </w:t>
      </w:r>
    </w:p>
    <w:p w14:paraId="0A86982E" w14:textId="77777777" w:rsidR="00531C33" w:rsidRDefault="00531C33" w:rsidP="00A545C5">
      <w:pPr>
        <w:pStyle w:val="ListParagraph"/>
        <w:spacing w:before="0"/>
        <w:rPr>
          <w:lang w:eastAsia="ko-KR"/>
        </w:rPr>
      </w:pPr>
    </w:p>
    <w:p w14:paraId="6888D38E" w14:textId="0CCC906A" w:rsidR="00531C33" w:rsidRDefault="00E33206" w:rsidP="00A545C5">
      <w:pPr>
        <w:jc w:val="both"/>
        <w:rPr>
          <w:lang w:eastAsia="ko-KR"/>
        </w:rPr>
      </w:pPr>
      <w:r w:rsidRPr="00B049AC">
        <w:rPr>
          <w:i/>
          <w:iCs/>
          <w:lang w:eastAsia="ko-KR"/>
        </w:rPr>
        <w:t>k)</w:t>
      </w:r>
      <w:r>
        <w:rPr>
          <w:lang w:eastAsia="ko-KR"/>
        </w:rPr>
        <w:tab/>
      </w:r>
      <w:r w:rsidR="00531C33">
        <w:rPr>
          <w:lang w:eastAsia="ko-KR"/>
        </w:rPr>
        <w:t>that LSA is defined in other regional regulatory bodies to</w:t>
      </w:r>
      <w:r w:rsidR="00876F5A">
        <w:rPr>
          <w:lang w:eastAsia="ko-KR"/>
        </w:rPr>
        <w:t xml:space="preserve"> assist </w:t>
      </w:r>
      <w:r w:rsidR="008B114E">
        <w:rPr>
          <w:lang w:eastAsia="ko-KR"/>
        </w:rPr>
        <w:t>a</w:t>
      </w:r>
      <w:r w:rsidR="00876F5A">
        <w:rPr>
          <w:lang w:eastAsia="ko-KR"/>
        </w:rPr>
        <w:t>dministrations to</w:t>
      </w:r>
      <w:r w:rsidR="00531C33">
        <w:rPr>
          <w:lang w:eastAsia="ko-KR"/>
        </w:rPr>
        <w:t xml:space="preserve"> </w:t>
      </w:r>
      <w:r w:rsidR="00361B0E">
        <w:rPr>
          <w:lang w:eastAsia="ko-KR"/>
        </w:rPr>
        <w:t xml:space="preserve">bring </w:t>
      </w:r>
      <w:r w:rsidR="00876F5A">
        <w:rPr>
          <w:lang w:eastAsia="ko-KR"/>
        </w:rPr>
        <w:t xml:space="preserve">IMT </w:t>
      </w:r>
      <w:r w:rsidR="00361B0E">
        <w:rPr>
          <w:lang w:eastAsia="ko-KR"/>
        </w:rPr>
        <w:t xml:space="preserve">into use </w:t>
      </w:r>
      <w:r w:rsidR="00876F5A">
        <w:rPr>
          <w:lang w:eastAsia="ko-KR"/>
        </w:rPr>
        <w:t xml:space="preserve">in </w:t>
      </w:r>
      <w:r w:rsidR="00361B0E">
        <w:rPr>
          <w:lang w:eastAsia="ko-KR"/>
        </w:rPr>
        <w:t>bands already identified for IMT</w:t>
      </w:r>
      <w:r w:rsidR="00876F5A">
        <w:rPr>
          <w:lang w:eastAsia="ko-KR"/>
        </w:rPr>
        <w:t>,</w:t>
      </w:r>
      <w:r w:rsidR="00361B0E">
        <w:rPr>
          <w:lang w:eastAsia="ko-KR"/>
        </w:rPr>
        <w:t xml:space="preserve"> </w:t>
      </w:r>
      <w:r w:rsidR="00876F5A">
        <w:rPr>
          <w:lang w:eastAsia="ko-KR"/>
        </w:rPr>
        <w:t xml:space="preserve">in a timely manner, </w:t>
      </w:r>
      <w:r w:rsidR="00361B0E">
        <w:rPr>
          <w:lang w:eastAsia="ko-KR"/>
        </w:rPr>
        <w:t>while minimizing impact on incumbent services</w:t>
      </w:r>
      <w:r>
        <w:rPr>
          <w:lang w:eastAsia="ko-KR"/>
        </w:rPr>
        <w:t>,</w:t>
      </w:r>
      <w:r w:rsidR="00531C33">
        <w:rPr>
          <w:lang w:eastAsia="ko-KR"/>
        </w:rPr>
        <w:t xml:space="preserve"> </w:t>
      </w:r>
    </w:p>
    <w:p w14:paraId="6428ED4A" w14:textId="6D4EB478" w:rsidR="00531C33" w:rsidRDefault="00531C33" w:rsidP="00A545C5">
      <w:pPr>
        <w:jc w:val="both"/>
        <w:rPr>
          <w:lang w:eastAsia="ko-KR"/>
        </w:rPr>
      </w:pPr>
    </w:p>
    <w:p w14:paraId="7F6E4006" w14:textId="77777777" w:rsidR="00A545C5" w:rsidRDefault="00A545C5" w:rsidP="00A545C5">
      <w:pPr>
        <w:jc w:val="both"/>
        <w:rPr>
          <w:lang w:eastAsia="ko-KR"/>
        </w:rPr>
      </w:pPr>
    </w:p>
    <w:p w14:paraId="11240FA5" w14:textId="77777777" w:rsidR="00531C33" w:rsidRPr="009107F1" w:rsidRDefault="00531C33" w:rsidP="00A545C5">
      <w:pPr>
        <w:ind w:left="720"/>
        <w:jc w:val="both"/>
        <w:rPr>
          <w:i/>
        </w:rPr>
      </w:pPr>
      <w:r w:rsidRPr="009107F1">
        <w:rPr>
          <w:i/>
        </w:rPr>
        <w:lastRenderedPageBreak/>
        <w:t>recommends that APT administrations:</w:t>
      </w:r>
    </w:p>
    <w:p w14:paraId="2F78E5AA" w14:textId="77777777" w:rsidR="00531C33" w:rsidRPr="009B235A" w:rsidRDefault="00531C33" w:rsidP="00A545C5">
      <w:pPr>
        <w:rPr>
          <w:lang w:eastAsia="zh-CN"/>
        </w:rPr>
      </w:pPr>
    </w:p>
    <w:p w14:paraId="4C0F717D" w14:textId="1ECCF353" w:rsidR="00531C33" w:rsidRDefault="00E33206" w:rsidP="00A545C5">
      <w:pPr>
        <w:tabs>
          <w:tab w:val="left" w:pos="720"/>
        </w:tabs>
        <w:jc w:val="both"/>
        <w:rPr>
          <w:lang w:eastAsia="ko-KR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531C33">
        <w:rPr>
          <w:lang w:eastAsia="zh-CN"/>
        </w:rPr>
        <w:t xml:space="preserve">Consider </w:t>
      </w:r>
      <w:r w:rsidR="00262641">
        <w:rPr>
          <w:lang w:eastAsia="ko-KR"/>
        </w:rPr>
        <w:t>AWG Report 68</w:t>
      </w:r>
      <w:r w:rsidR="00531C33">
        <w:rPr>
          <w:lang w:eastAsia="ko-KR"/>
        </w:rPr>
        <w:t xml:space="preserve"> </w:t>
      </w:r>
      <w:r w:rsidR="00531C33">
        <w:rPr>
          <w:lang w:eastAsia="zh-CN"/>
        </w:rPr>
        <w:t xml:space="preserve">to understand opportunities to enable licensed shared access (LSA) </w:t>
      </w:r>
      <w:r w:rsidR="00126A11">
        <w:rPr>
          <w:lang w:eastAsia="zh-CN"/>
        </w:rPr>
        <w:t xml:space="preserve">in </w:t>
      </w:r>
      <w:r w:rsidR="000270F5">
        <w:rPr>
          <w:lang w:eastAsia="zh-CN"/>
        </w:rPr>
        <w:t xml:space="preserve">spectrum already identified for </w:t>
      </w:r>
      <w:r w:rsidR="00531C33">
        <w:rPr>
          <w:lang w:eastAsia="zh-CN"/>
        </w:rPr>
        <w:t>IMT that cannot be vacated by incumbents in a timely manner;</w:t>
      </w:r>
    </w:p>
    <w:p w14:paraId="0781B43C" w14:textId="77777777" w:rsidR="00531C33" w:rsidRDefault="00531C33" w:rsidP="00A545C5">
      <w:pPr>
        <w:ind w:left="720"/>
        <w:jc w:val="both"/>
        <w:rPr>
          <w:lang w:eastAsia="ko-KR"/>
        </w:rPr>
      </w:pPr>
    </w:p>
    <w:p w14:paraId="15EC23E3" w14:textId="066FEC52" w:rsidR="00531C33" w:rsidRDefault="00E33206" w:rsidP="00A545C5">
      <w:pPr>
        <w:tabs>
          <w:tab w:val="left" w:pos="720"/>
        </w:tabs>
        <w:jc w:val="both"/>
        <w:rPr>
          <w:lang w:eastAsia="ko-KR"/>
        </w:rPr>
      </w:pPr>
      <w:r>
        <w:rPr>
          <w:lang w:eastAsia="ko-KR"/>
        </w:rPr>
        <w:t>2</w:t>
      </w:r>
      <w:r>
        <w:rPr>
          <w:lang w:eastAsia="ko-KR"/>
        </w:rPr>
        <w:tab/>
      </w:r>
      <w:r w:rsidR="00531C33">
        <w:rPr>
          <w:lang w:eastAsia="ko-KR"/>
        </w:rPr>
        <w:t>Consider</w:t>
      </w:r>
      <w:r w:rsidR="00531C33" w:rsidRPr="00BA5C11">
        <w:rPr>
          <w:lang w:eastAsia="ko-KR"/>
        </w:rPr>
        <w:t xml:space="preserve"> </w:t>
      </w:r>
      <w:r w:rsidR="00531C33">
        <w:rPr>
          <w:lang w:eastAsia="ko-KR"/>
        </w:rPr>
        <w:t xml:space="preserve">LSA </w:t>
      </w:r>
      <w:r w:rsidR="00531C33" w:rsidRPr="00BA5C11">
        <w:rPr>
          <w:lang w:eastAsia="ko-KR"/>
        </w:rPr>
        <w:t>whe</w:t>
      </w:r>
      <w:r w:rsidR="00531C33">
        <w:rPr>
          <w:lang w:eastAsia="ko-KR"/>
        </w:rPr>
        <w:t>n</w:t>
      </w:r>
      <w:r w:rsidR="00531C33" w:rsidRPr="00BA5C11">
        <w:rPr>
          <w:lang w:eastAsia="ko-KR"/>
        </w:rPr>
        <w:t xml:space="preserve"> a</w:t>
      </w:r>
      <w:r w:rsidR="00531C33">
        <w:rPr>
          <w:lang w:eastAsia="ko-KR"/>
        </w:rPr>
        <w:t xml:space="preserve"> </w:t>
      </w:r>
      <w:r w:rsidR="00531C33" w:rsidRPr="00BA5C11">
        <w:rPr>
          <w:lang w:eastAsia="ko-KR"/>
        </w:rPr>
        <w:t xml:space="preserve">frequency band </w:t>
      </w:r>
      <w:r w:rsidR="00361B0E">
        <w:rPr>
          <w:lang w:eastAsia="ko-KR"/>
        </w:rPr>
        <w:t xml:space="preserve">already </w:t>
      </w:r>
      <w:r w:rsidR="00531C33">
        <w:rPr>
          <w:lang w:eastAsia="ko-KR"/>
        </w:rPr>
        <w:t xml:space="preserve">identified for IMT </w:t>
      </w:r>
      <w:r w:rsidR="00531C33" w:rsidRPr="00BA5C11">
        <w:rPr>
          <w:lang w:eastAsia="ko-KR"/>
        </w:rPr>
        <w:t>can</w:t>
      </w:r>
      <w:r w:rsidR="00531C33">
        <w:rPr>
          <w:lang w:eastAsia="ko-KR"/>
        </w:rPr>
        <w:t>not be vacated for IMT use</w:t>
      </w:r>
      <w:r w:rsidR="00531C33" w:rsidRPr="00BA5C11">
        <w:rPr>
          <w:lang w:eastAsia="ko-KR"/>
        </w:rPr>
        <w:t xml:space="preserve"> for a foreseeable period of time</w:t>
      </w:r>
      <w:r w:rsidR="00531C33">
        <w:rPr>
          <w:lang w:eastAsia="ko-KR"/>
        </w:rPr>
        <w:t>;</w:t>
      </w:r>
    </w:p>
    <w:p w14:paraId="1F2976E3" w14:textId="77777777" w:rsidR="00531C33" w:rsidRDefault="00531C33" w:rsidP="00A545C5">
      <w:pPr>
        <w:rPr>
          <w:lang w:eastAsia="ko-KR"/>
        </w:rPr>
      </w:pPr>
    </w:p>
    <w:p w14:paraId="14C29784" w14:textId="6A0C2BEF" w:rsidR="004C006E" w:rsidRDefault="00E33206" w:rsidP="00A545C5">
      <w:pPr>
        <w:tabs>
          <w:tab w:val="left" w:pos="720"/>
        </w:tabs>
        <w:jc w:val="both"/>
        <w:rPr>
          <w:lang w:eastAsia="ko-KR"/>
        </w:rPr>
      </w:pPr>
      <w:r>
        <w:rPr>
          <w:lang w:val="en-GB" w:eastAsia="ko-KR"/>
        </w:rPr>
        <w:t>3</w:t>
      </w:r>
      <w:r>
        <w:rPr>
          <w:lang w:val="en-GB" w:eastAsia="ko-KR"/>
        </w:rPr>
        <w:tab/>
      </w:r>
      <w:r w:rsidR="004C006E">
        <w:rPr>
          <w:lang w:val="en-GB" w:eastAsia="ko-KR"/>
        </w:rPr>
        <w:t xml:space="preserve">Consider using </w:t>
      </w:r>
      <w:r w:rsidR="00361B0E">
        <w:rPr>
          <w:lang w:eastAsia="ko-KR"/>
        </w:rPr>
        <w:t>LSA for different types of geographical area licensing such as nation</w:t>
      </w:r>
      <w:r w:rsidR="00FC5E36">
        <w:rPr>
          <w:lang w:eastAsia="ko-KR"/>
        </w:rPr>
        <w:t xml:space="preserve">wide </w:t>
      </w:r>
      <w:r w:rsidR="00361B0E">
        <w:rPr>
          <w:lang w:eastAsia="ko-KR"/>
        </w:rPr>
        <w:t>or local areas</w:t>
      </w:r>
      <w:r w:rsidR="004C006E">
        <w:rPr>
          <w:lang w:eastAsia="ko-KR"/>
        </w:rPr>
        <w:t xml:space="preserve"> </w:t>
      </w:r>
      <w:r w:rsidR="001043F9">
        <w:rPr>
          <w:lang w:eastAsia="ko-KR"/>
        </w:rPr>
        <w:t>using</w:t>
      </w:r>
      <w:r w:rsidR="004C006E">
        <w:rPr>
          <w:lang w:eastAsia="ko-KR"/>
        </w:rPr>
        <w:t xml:space="preserve"> an architecture based on functional blocks that includes an LSA repository and LSA controller as described in the </w:t>
      </w:r>
      <w:r w:rsidR="00262641">
        <w:rPr>
          <w:lang w:eastAsia="ko-KR"/>
        </w:rPr>
        <w:t>Report</w:t>
      </w:r>
      <w:r w:rsidR="009C443B">
        <w:rPr>
          <w:lang w:eastAsia="ko-KR"/>
        </w:rPr>
        <w:t xml:space="preserve"> APT/AWG/REP-</w:t>
      </w:r>
      <w:r w:rsidR="00262641">
        <w:rPr>
          <w:lang w:eastAsia="ko-KR"/>
        </w:rPr>
        <w:t>68</w:t>
      </w:r>
      <w:r w:rsidR="009C443B">
        <w:rPr>
          <w:lang w:eastAsia="ko-KR"/>
        </w:rPr>
        <w:t>.</w:t>
      </w:r>
    </w:p>
    <w:p w14:paraId="083B6D83" w14:textId="77777777" w:rsidR="00967F28" w:rsidRDefault="00967F28" w:rsidP="00A545C5">
      <w:pPr>
        <w:tabs>
          <w:tab w:val="left" w:pos="1134"/>
        </w:tabs>
        <w:ind w:left="720"/>
        <w:jc w:val="both"/>
        <w:rPr>
          <w:lang w:eastAsia="ko-KR"/>
        </w:rPr>
      </w:pPr>
    </w:p>
    <w:p w14:paraId="6AE4E3CC" w14:textId="77777777" w:rsidR="003578AB" w:rsidRDefault="003578AB" w:rsidP="00A545C5">
      <w:pPr>
        <w:tabs>
          <w:tab w:val="left" w:pos="1096"/>
        </w:tabs>
        <w:rPr>
          <w:rFonts w:eastAsiaTheme="minorEastAsia"/>
          <w:szCs w:val="20"/>
          <w:lang w:val="en-GB" w:eastAsia="ko-KR"/>
        </w:rPr>
      </w:pPr>
    </w:p>
    <w:p w14:paraId="6A040590" w14:textId="77777777" w:rsidR="00A126DD" w:rsidRDefault="00801242" w:rsidP="00A545C5">
      <w:pPr>
        <w:tabs>
          <w:tab w:val="left" w:pos="1096"/>
        </w:tabs>
        <w:jc w:val="center"/>
      </w:pPr>
      <w:r>
        <w:rPr>
          <w:rFonts w:eastAsiaTheme="minorEastAsia"/>
          <w:szCs w:val="20"/>
          <w:lang w:val="en-GB" w:eastAsia="ko-KR"/>
        </w:rPr>
        <w:t>_______________</w:t>
      </w:r>
    </w:p>
    <w:p w14:paraId="37565A47" w14:textId="77777777" w:rsidR="00801242" w:rsidRPr="00A126DD" w:rsidRDefault="00801242" w:rsidP="00A545C5">
      <w:pPr>
        <w:tabs>
          <w:tab w:val="left" w:pos="915"/>
        </w:tabs>
      </w:pPr>
    </w:p>
    <w:sectPr w:rsidR="00801242" w:rsidRPr="00A126DD" w:rsidSect="000750A6">
      <w:headerReference w:type="default" r:id="rId9"/>
      <w:footerReference w:type="even" r:id="rId10"/>
      <w:footerReference w:type="default" r:id="rId11"/>
      <w:pgSz w:w="11909" w:h="16834" w:code="9"/>
      <w:pgMar w:top="1195" w:right="1152" w:bottom="11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8621" w14:textId="77777777" w:rsidR="00361FDE" w:rsidRDefault="00361FDE">
      <w:r>
        <w:separator/>
      </w:r>
    </w:p>
  </w:endnote>
  <w:endnote w:type="continuationSeparator" w:id="0">
    <w:p w14:paraId="34F1D745" w14:textId="77777777" w:rsidR="00361FDE" w:rsidRDefault="0036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AC3E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99AF9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2EB" w14:textId="78D00481" w:rsidR="0097693B" w:rsidRDefault="003771CA" w:rsidP="003771CA">
    <w:pPr>
      <w:pStyle w:val="Footer"/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  </w:t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A126DD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A126DD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6DF4" w14:textId="77777777" w:rsidR="00361FDE" w:rsidRDefault="00361FDE">
      <w:r>
        <w:separator/>
      </w:r>
    </w:p>
  </w:footnote>
  <w:footnote w:type="continuationSeparator" w:id="0">
    <w:p w14:paraId="7BA229A9" w14:textId="77777777" w:rsidR="00361FDE" w:rsidRDefault="0036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A9EA" w14:textId="77777777"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14:paraId="574158C3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783652"/>
    <w:multiLevelType w:val="hybridMultilevel"/>
    <w:tmpl w:val="663C9448"/>
    <w:lvl w:ilvl="0" w:tplc="9A16E6DE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 w:tplc="AAC6F8BC">
      <w:start w:val="1"/>
      <w:numFmt w:val="bullet"/>
      <w:lvlText w:val="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9180A39"/>
    <w:multiLevelType w:val="hybridMultilevel"/>
    <w:tmpl w:val="8D1E6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D4100"/>
    <w:multiLevelType w:val="hybridMultilevel"/>
    <w:tmpl w:val="D0222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AAC6F8BC">
      <w:start w:val="1"/>
      <w:numFmt w:val="bullet"/>
      <w:lvlText w:val="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0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07"/>
    <w:rsid w:val="000011E8"/>
    <w:rsid w:val="000270F5"/>
    <w:rsid w:val="00032A21"/>
    <w:rsid w:val="0003595B"/>
    <w:rsid w:val="000750A6"/>
    <w:rsid w:val="000A4256"/>
    <w:rsid w:val="000A6769"/>
    <w:rsid w:val="000C059B"/>
    <w:rsid w:val="000C230D"/>
    <w:rsid w:val="000C5FD8"/>
    <w:rsid w:val="000D6B9B"/>
    <w:rsid w:val="000F14DC"/>
    <w:rsid w:val="000F4A19"/>
    <w:rsid w:val="000F5540"/>
    <w:rsid w:val="001043F9"/>
    <w:rsid w:val="00116229"/>
    <w:rsid w:val="001203C4"/>
    <w:rsid w:val="00121F5A"/>
    <w:rsid w:val="00126A11"/>
    <w:rsid w:val="00140231"/>
    <w:rsid w:val="0014723B"/>
    <w:rsid w:val="00166771"/>
    <w:rsid w:val="0018079A"/>
    <w:rsid w:val="00196568"/>
    <w:rsid w:val="001B18C2"/>
    <w:rsid w:val="001D5D7E"/>
    <w:rsid w:val="001E62E0"/>
    <w:rsid w:val="001E676C"/>
    <w:rsid w:val="001E7FE5"/>
    <w:rsid w:val="001F5894"/>
    <w:rsid w:val="001F7DC5"/>
    <w:rsid w:val="002458F8"/>
    <w:rsid w:val="00254A1B"/>
    <w:rsid w:val="00262641"/>
    <w:rsid w:val="00262EAB"/>
    <w:rsid w:val="0028454D"/>
    <w:rsid w:val="0029206E"/>
    <w:rsid w:val="002926D4"/>
    <w:rsid w:val="002B36AA"/>
    <w:rsid w:val="002C07DA"/>
    <w:rsid w:val="002C7EA9"/>
    <w:rsid w:val="002D1CA6"/>
    <w:rsid w:val="002F2C66"/>
    <w:rsid w:val="00354D88"/>
    <w:rsid w:val="00356F34"/>
    <w:rsid w:val="003578AB"/>
    <w:rsid w:val="00361B0E"/>
    <w:rsid w:val="00361FDE"/>
    <w:rsid w:val="003771CA"/>
    <w:rsid w:val="003A232C"/>
    <w:rsid w:val="003B3F1B"/>
    <w:rsid w:val="003B401C"/>
    <w:rsid w:val="003B6263"/>
    <w:rsid w:val="003C64A7"/>
    <w:rsid w:val="003D3FDA"/>
    <w:rsid w:val="003D4768"/>
    <w:rsid w:val="003F2317"/>
    <w:rsid w:val="00417062"/>
    <w:rsid w:val="00420822"/>
    <w:rsid w:val="00422BBC"/>
    <w:rsid w:val="0045458F"/>
    <w:rsid w:val="00463364"/>
    <w:rsid w:val="00486F61"/>
    <w:rsid w:val="004A1628"/>
    <w:rsid w:val="004C006E"/>
    <w:rsid w:val="004D219E"/>
    <w:rsid w:val="004F050A"/>
    <w:rsid w:val="00525CC8"/>
    <w:rsid w:val="00530E8C"/>
    <w:rsid w:val="00531C33"/>
    <w:rsid w:val="00545CF7"/>
    <w:rsid w:val="00587875"/>
    <w:rsid w:val="005A33DF"/>
    <w:rsid w:val="005C7E76"/>
    <w:rsid w:val="00603633"/>
    <w:rsid w:val="0060367E"/>
    <w:rsid w:val="00607E2B"/>
    <w:rsid w:val="00611EC6"/>
    <w:rsid w:val="00614171"/>
    <w:rsid w:val="00627E64"/>
    <w:rsid w:val="0063056F"/>
    <w:rsid w:val="0063062B"/>
    <w:rsid w:val="00641E9F"/>
    <w:rsid w:val="0065189B"/>
    <w:rsid w:val="0066188A"/>
    <w:rsid w:val="00667229"/>
    <w:rsid w:val="0067040A"/>
    <w:rsid w:val="00681898"/>
    <w:rsid w:val="00682BE5"/>
    <w:rsid w:val="00692591"/>
    <w:rsid w:val="006C7006"/>
    <w:rsid w:val="006C7574"/>
    <w:rsid w:val="006D5F17"/>
    <w:rsid w:val="006F6981"/>
    <w:rsid w:val="0070088F"/>
    <w:rsid w:val="007179D6"/>
    <w:rsid w:val="0074190C"/>
    <w:rsid w:val="00747655"/>
    <w:rsid w:val="007608A2"/>
    <w:rsid w:val="00762576"/>
    <w:rsid w:val="007712E1"/>
    <w:rsid w:val="007946C5"/>
    <w:rsid w:val="007A2FB0"/>
    <w:rsid w:val="007E6C90"/>
    <w:rsid w:val="007F7740"/>
    <w:rsid w:val="00801242"/>
    <w:rsid w:val="0080570B"/>
    <w:rsid w:val="008148E1"/>
    <w:rsid w:val="00824651"/>
    <w:rsid w:val="00865017"/>
    <w:rsid w:val="00876F5A"/>
    <w:rsid w:val="0088109B"/>
    <w:rsid w:val="00895888"/>
    <w:rsid w:val="00895AFE"/>
    <w:rsid w:val="008B114E"/>
    <w:rsid w:val="008B1981"/>
    <w:rsid w:val="008D0E09"/>
    <w:rsid w:val="00906EB0"/>
    <w:rsid w:val="00922A59"/>
    <w:rsid w:val="00925160"/>
    <w:rsid w:val="009256A5"/>
    <w:rsid w:val="00933F1A"/>
    <w:rsid w:val="00963B3C"/>
    <w:rsid w:val="00967F28"/>
    <w:rsid w:val="0097693B"/>
    <w:rsid w:val="009A4A6D"/>
    <w:rsid w:val="009C3A88"/>
    <w:rsid w:val="009C443B"/>
    <w:rsid w:val="009C5683"/>
    <w:rsid w:val="00A126DD"/>
    <w:rsid w:val="00A24F6D"/>
    <w:rsid w:val="00A35C07"/>
    <w:rsid w:val="00A438A8"/>
    <w:rsid w:val="00A44708"/>
    <w:rsid w:val="00A44BFA"/>
    <w:rsid w:val="00A53045"/>
    <w:rsid w:val="00A545C5"/>
    <w:rsid w:val="00A548EF"/>
    <w:rsid w:val="00A65B96"/>
    <w:rsid w:val="00A903E1"/>
    <w:rsid w:val="00A948CF"/>
    <w:rsid w:val="00AA27CE"/>
    <w:rsid w:val="00AA41DB"/>
    <w:rsid w:val="00AA474C"/>
    <w:rsid w:val="00AB032C"/>
    <w:rsid w:val="00AB2A35"/>
    <w:rsid w:val="00AC6B96"/>
    <w:rsid w:val="00AD7E5F"/>
    <w:rsid w:val="00B049AC"/>
    <w:rsid w:val="00B25D6A"/>
    <w:rsid w:val="00B267F5"/>
    <w:rsid w:val="00B30C81"/>
    <w:rsid w:val="00B62ECD"/>
    <w:rsid w:val="00BA6C6A"/>
    <w:rsid w:val="00BB4D83"/>
    <w:rsid w:val="00BB5AE0"/>
    <w:rsid w:val="00BD2DE5"/>
    <w:rsid w:val="00BF663E"/>
    <w:rsid w:val="00C122E6"/>
    <w:rsid w:val="00C15633"/>
    <w:rsid w:val="00C161D0"/>
    <w:rsid w:val="00C357AD"/>
    <w:rsid w:val="00C64FF5"/>
    <w:rsid w:val="00CA18E8"/>
    <w:rsid w:val="00CA6F0F"/>
    <w:rsid w:val="00CD5431"/>
    <w:rsid w:val="00CD75B4"/>
    <w:rsid w:val="00CE74EB"/>
    <w:rsid w:val="00CF2491"/>
    <w:rsid w:val="00D57772"/>
    <w:rsid w:val="00D60DE6"/>
    <w:rsid w:val="00D75A4D"/>
    <w:rsid w:val="00D80EFB"/>
    <w:rsid w:val="00D8478B"/>
    <w:rsid w:val="00D86151"/>
    <w:rsid w:val="00DA7595"/>
    <w:rsid w:val="00DB0A68"/>
    <w:rsid w:val="00DB1098"/>
    <w:rsid w:val="00DC43A3"/>
    <w:rsid w:val="00DC5403"/>
    <w:rsid w:val="00DD0067"/>
    <w:rsid w:val="00DD68FC"/>
    <w:rsid w:val="00DD713D"/>
    <w:rsid w:val="00DE4D0D"/>
    <w:rsid w:val="00DF5532"/>
    <w:rsid w:val="00E035A1"/>
    <w:rsid w:val="00E0553B"/>
    <w:rsid w:val="00E06ABC"/>
    <w:rsid w:val="00E11CD0"/>
    <w:rsid w:val="00E33206"/>
    <w:rsid w:val="00E412B5"/>
    <w:rsid w:val="00E42BDF"/>
    <w:rsid w:val="00E674D3"/>
    <w:rsid w:val="00E77068"/>
    <w:rsid w:val="00EC1A88"/>
    <w:rsid w:val="00ED52C6"/>
    <w:rsid w:val="00EE0E54"/>
    <w:rsid w:val="00EF6B27"/>
    <w:rsid w:val="00F2559B"/>
    <w:rsid w:val="00F373F5"/>
    <w:rsid w:val="00F43B18"/>
    <w:rsid w:val="00F80501"/>
    <w:rsid w:val="00F82AAF"/>
    <w:rsid w:val="00F84067"/>
    <w:rsid w:val="00F96975"/>
    <w:rsid w:val="00FC2CE0"/>
    <w:rsid w:val="00FC5E36"/>
    <w:rsid w:val="00FD592E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60D0B"/>
  <w15:chartTrackingRefBased/>
  <w15:docId w15:val="{C02F445C-78DF-47F1-87BE-0E15CE1E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all">
    <w:name w:val="call"/>
    <w:basedOn w:val="Normal"/>
    <w:next w:val="Normal"/>
    <w:rsid w:val="00531C33"/>
    <w:pPr>
      <w:keepNext/>
      <w:keepLines/>
      <w:tabs>
        <w:tab w:val="left" w:pos="794"/>
      </w:tabs>
      <w:overflowPunct w:val="0"/>
      <w:autoSpaceDE w:val="0"/>
      <w:autoSpaceDN w:val="0"/>
      <w:adjustRightInd w:val="0"/>
      <w:spacing w:before="227"/>
      <w:ind w:left="794"/>
    </w:pPr>
    <w:rPr>
      <w:rFonts w:eastAsia="Batang"/>
      <w:i/>
      <w:sz w:val="20"/>
      <w:szCs w:val="20"/>
      <w:lang w:val="en-GB" w:eastAsia="ko-KR"/>
    </w:rPr>
  </w:style>
  <w:style w:type="paragraph" w:styleId="ListParagraph">
    <w:name w:val="List Paragraph"/>
    <w:basedOn w:val="Normal"/>
    <w:uiPriority w:val="34"/>
    <w:qFormat/>
    <w:rsid w:val="00531C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Theme="minorEastAsia"/>
      <w:szCs w:val="20"/>
      <w:lang w:val="en-GB"/>
    </w:rPr>
  </w:style>
  <w:style w:type="paragraph" w:styleId="BalloonText">
    <w:name w:val="Balloon Text"/>
    <w:basedOn w:val="Normal"/>
    <w:link w:val="BalloonTextChar"/>
    <w:rsid w:val="00531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C33"/>
    <w:rPr>
      <w:rFonts w:ascii="Segoe UI" w:eastAsia="BatangChe" w:hAnsi="Segoe UI" w:cs="Segoe UI"/>
      <w:sz w:val="18"/>
      <w:szCs w:val="18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33F1A"/>
    <w:rPr>
      <w:rFonts w:eastAsia="BatangChe"/>
      <w:b/>
      <w:bCs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103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pers\Downloads\AWG-21_Document_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960A-AAE3-415C-9A67-EFE2D043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AWG-21_Document_Template (1)</Template>
  <TotalTime>19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APT Secretariat</dc:creator>
  <cp:keywords/>
  <cp:lastModifiedBy>Tawhid Hussain</cp:lastModifiedBy>
  <cp:revision>9</cp:revision>
  <cp:lastPrinted>1899-12-31T23:00:00Z</cp:lastPrinted>
  <dcterms:created xsi:type="dcterms:W3CDTF">2021-03-29T12:21:00Z</dcterms:created>
  <dcterms:modified xsi:type="dcterms:W3CDTF">2021-04-28T13:15:00Z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D:\Works\2 국제회의\20180409 AWG-23\SWG Sharing Study\AWG-21-OUT-30Rev.1_LSA-recommendation_WD.docx</vt:lpwstr>
  </property>
</Properties>
</file>