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0" w:type="dxa"/>
          <w:right w:w="0" w:type="dxa"/>
        </w:tblCellMar>
        <w:tblLook w:val="04A0" w:firstRow="1" w:lastRow="0" w:firstColumn="1" w:lastColumn="0" w:noHBand="0" w:noVBand="1"/>
      </w:tblPr>
      <w:tblGrid>
        <w:gridCol w:w="1440"/>
        <w:gridCol w:w="5328"/>
        <w:gridCol w:w="2448"/>
      </w:tblGrid>
      <w:tr w:rsidR="00382004" w:rsidRPr="00E97594" w14:paraId="10DD371B" w14:textId="77777777" w:rsidTr="00C900BC">
        <w:trPr>
          <w:cantSplit/>
          <w:trHeight w:val="288"/>
        </w:trPr>
        <w:tc>
          <w:tcPr>
            <w:tcW w:w="1440" w:type="dxa"/>
            <w:vMerge w:val="restart"/>
            <w:hideMark/>
          </w:tcPr>
          <w:p w14:paraId="1D49AAF4" w14:textId="77777777" w:rsidR="00382004" w:rsidRPr="00E97594" w:rsidRDefault="00382004" w:rsidP="00B60BFF">
            <w:pPr>
              <w:pStyle w:val="Note"/>
              <w:widowControl w:val="0"/>
              <w:tabs>
                <w:tab w:val="clear" w:pos="284"/>
                <w:tab w:val="clear" w:pos="1871"/>
                <w:tab w:val="clear" w:pos="2268"/>
              </w:tabs>
              <w:spacing w:before="0"/>
              <w:rPr>
                <w:noProof w:val="0"/>
                <w:kern w:val="2"/>
                <w:sz w:val="24"/>
                <w:szCs w:val="24"/>
              </w:rPr>
            </w:pPr>
            <w:r w:rsidRPr="00E97594">
              <w:rPr>
                <w:kern w:val="2"/>
                <w:sz w:val="24"/>
                <w:szCs w:val="24"/>
                <w:lang w:eastAsia="ja-JP"/>
              </w:rPr>
              <w:drawing>
                <wp:inline distT="0" distB="0" distL="0" distR="0" wp14:anchorId="7F5F151D" wp14:editId="7DB9E61A">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2E300B23" w14:textId="77777777" w:rsidR="00382004" w:rsidRPr="00E97594" w:rsidRDefault="00382004" w:rsidP="00B60BFF">
            <w:r w:rsidRPr="00E97594">
              <w:t>ASIA-PACIFIC TELECOMMUNITY</w:t>
            </w:r>
          </w:p>
        </w:tc>
        <w:tc>
          <w:tcPr>
            <w:tcW w:w="2448" w:type="dxa"/>
          </w:tcPr>
          <w:p w14:paraId="042815E9" w14:textId="77777777" w:rsidR="00382004" w:rsidRPr="00E97594" w:rsidRDefault="00382004" w:rsidP="00B60BFF">
            <w:r w:rsidRPr="00E97594">
              <w:rPr>
                <w:b/>
                <w:lang w:val="fr-FR"/>
              </w:rPr>
              <w:t>Document No.:</w:t>
            </w:r>
          </w:p>
        </w:tc>
      </w:tr>
      <w:tr w:rsidR="00382004" w:rsidRPr="00E97594" w14:paraId="7F804B85" w14:textId="77777777" w:rsidTr="00C900BC">
        <w:trPr>
          <w:cantSplit/>
          <w:trHeight w:val="576"/>
        </w:trPr>
        <w:tc>
          <w:tcPr>
            <w:tcW w:w="1440" w:type="dxa"/>
            <w:vMerge/>
            <w:vAlign w:val="center"/>
            <w:hideMark/>
          </w:tcPr>
          <w:p w14:paraId="1197C7C6" w14:textId="77777777" w:rsidR="00382004" w:rsidRPr="00E97594" w:rsidRDefault="00382004" w:rsidP="00B60BFF">
            <w:pPr>
              <w:rPr>
                <w:kern w:val="2"/>
                <w:lang w:eastAsia="ko-KR"/>
              </w:rPr>
            </w:pPr>
          </w:p>
        </w:tc>
        <w:tc>
          <w:tcPr>
            <w:tcW w:w="5328" w:type="dxa"/>
            <w:hideMark/>
          </w:tcPr>
          <w:p w14:paraId="06D7BCEB" w14:textId="5FE6B72C" w:rsidR="00382004" w:rsidRPr="00E97594" w:rsidRDefault="00382004" w:rsidP="00EA6162">
            <w:r w:rsidRPr="00E97594">
              <w:rPr>
                <w:b/>
              </w:rPr>
              <w:t xml:space="preserve">The </w:t>
            </w:r>
            <w:r w:rsidR="003A3B9E">
              <w:rPr>
                <w:b/>
              </w:rPr>
              <w:t>2nd</w:t>
            </w:r>
            <w:r w:rsidRPr="00E97594">
              <w:rPr>
                <w:b/>
              </w:rPr>
              <w:t xml:space="preserve"> Meeting of the APT Preparatory Group</w:t>
            </w:r>
            <w:r w:rsidR="00EA6162">
              <w:rPr>
                <w:b/>
              </w:rPr>
              <w:br/>
            </w:r>
            <w:r w:rsidRPr="00E97594">
              <w:rPr>
                <w:b/>
              </w:rPr>
              <w:t>for WT</w:t>
            </w:r>
            <w:r w:rsidR="00294C06">
              <w:rPr>
                <w:b/>
              </w:rPr>
              <w:t>DC</w:t>
            </w:r>
            <w:r w:rsidRPr="00E97594">
              <w:rPr>
                <w:b/>
              </w:rPr>
              <w:t>-2</w:t>
            </w:r>
            <w:r w:rsidR="00294C06">
              <w:rPr>
                <w:b/>
              </w:rPr>
              <w:t>1</w:t>
            </w:r>
            <w:r w:rsidRPr="00E97594">
              <w:rPr>
                <w:b/>
              </w:rPr>
              <w:t xml:space="preserve"> (</w:t>
            </w:r>
            <w:r w:rsidR="00294C06">
              <w:rPr>
                <w:b/>
              </w:rPr>
              <w:t xml:space="preserve">APT </w:t>
            </w:r>
            <w:r w:rsidRPr="00E97594">
              <w:rPr>
                <w:b/>
              </w:rPr>
              <w:t>WT</w:t>
            </w:r>
            <w:r w:rsidR="00294C06">
              <w:rPr>
                <w:b/>
              </w:rPr>
              <w:t>DC</w:t>
            </w:r>
            <w:r w:rsidRPr="00E97594">
              <w:rPr>
                <w:b/>
              </w:rPr>
              <w:t>2</w:t>
            </w:r>
            <w:r w:rsidR="00294C06">
              <w:rPr>
                <w:b/>
              </w:rPr>
              <w:t>1</w:t>
            </w:r>
            <w:r w:rsidRPr="00E97594">
              <w:rPr>
                <w:b/>
              </w:rPr>
              <w:t>-</w:t>
            </w:r>
            <w:r w:rsidR="003A3B9E">
              <w:rPr>
                <w:b/>
              </w:rPr>
              <w:t>2</w:t>
            </w:r>
            <w:r w:rsidRPr="00E97594">
              <w:rPr>
                <w:b/>
              </w:rPr>
              <w:t>)</w:t>
            </w:r>
          </w:p>
        </w:tc>
        <w:tc>
          <w:tcPr>
            <w:tcW w:w="2448" w:type="dxa"/>
            <w:hideMark/>
          </w:tcPr>
          <w:p w14:paraId="43D731BB" w14:textId="12DCD615" w:rsidR="00C3695D" w:rsidRDefault="00382004" w:rsidP="00B60BFF">
            <w:pPr>
              <w:ind w:right="-63"/>
              <w:rPr>
                <w:b/>
                <w:bCs/>
                <w:lang w:val="en-GB"/>
              </w:rPr>
            </w:pPr>
            <w:r w:rsidRPr="0095411B">
              <w:rPr>
                <w:b/>
                <w:bCs/>
                <w:lang w:val="en-GB"/>
              </w:rPr>
              <w:t>APT WT</w:t>
            </w:r>
            <w:r w:rsidR="00294C06">
              <w:rPr>
                <w:b/>
                <w:bCs/>
                <w:lang w:val="en-GB"/>
              </w:rPr>
              <w:t>DC</w:t>
            </w:r>
            <w:r w:rsidR="00022F2A">
              <w:rPr>
                <w:b/>
                <w:bCs/>
                <w:lang w:val="en-GB"/>
              </w:rPr>
              <w:t>2</w:t>
            </w:r>
            <w:r w:rsidR="00294C06">
              <w:rPr>
                <w:b/>
                <w:bCs/>
                <w:lang w:val="en-GB"/>
              </w:rPr>
              <w:t>1-</w:t>
            </w:r>
            <w:r w:rsidR="003A3B9E">
              <w:rPr>
                <w:b/>
                <w:bCs/>
                <w:lang w:val="en-GB"/>
              </w:rPr>
              <w:t>2</w:t>
            </w:r>
            <w:r w:rsidRPr="0095411B">
              <w:rPr>
                <w:b/>
                <w:bCs/>
                <w:lang w:val="en-GB"/>
              </w:rPr>
              <w:t>/</w:t>
            </w:r>
          </w:p>
          <w:p w14:paraId="1D772983" w14:textId="7F7099EF" w:rsidR="00382004" w:rsidRPr="0095411B" w:rsidRDefault="00382004" w:rsidP="00B60BFF">
            <w:pPr>
              <w:ind w:right="-63"/>
              <w:rPr>
                <w:b/>
                <w:bCs/>
                <w:lang w:val="en-GB"/>
              </w:rPr>
            </w:pPr>
            <w:r w:rsidRPr="0095411B">
              <w:rPr>
                <w:b/>
                <w:bCs/>
                <w:lang w:val="en-GB"/>
              </w:rPr>
              <w:t>INP-</w:t>
            </w:r>
            <w:r w:rsidR="009C05C2">
              <w:rPr>
                <w:b/>
                <w:bCs/>
                <w:lang w:val="en-GB"/>
              </w:rPr>
              <w:t>xx</w:t>
            </w:r>
          </w:p>
        </w:tc>
      </w:tr>
      <w:tr w:rsidR="00382004" w:rsidRPr="00E97594" w14:paraId="28ADDC51" w14:textId="77777777" w:rsidTr="00C900BC">
        <w:trPr>
          <w:cantSplit/>
          <w:trHeight w:val="288"/>
        </w:trPr>
        <w:tc>
          <w:tcPr>
            <w:tcW w:w="1440" w:type="dxa"/>
            <w:vMerge/>
            <w:vAlign w:val="center"/>
            <w:hideMark/>
          </w:tcPr>
          <w:p w14:paraId="77DE31B6" w14:textId="77777777" w:rsidR="00382004" w:rsidRPr="00E97594" w:rsidRDefault="00382004" w:rsidP="00B60BFF">
            <w:pPr>
              <w:rPr>
                <w:kern w:val="2"/>
                <w:lang w:eastAsia="ko-KR"/>
              </w:rPr>
            </w:pPr>
          </w:p>
        </w:tc>
        <w:tc>
          <w:tcPr>
            <w:tcW w:w="5328" w:type="dxa"/>
            <w:hideMark/>
          </w:tcPr>
          <w:p w14:paraId="222611D3" w14:textId="446095A1" w:rsidR="00382004" w:rsidRPr="00E97594" w:rsidRDefault="00294C06" w:rsidP="00294C06">
            <w:r>
              <w:t>24</w:t>
            </w:r>
            <w:r w:rsidR="003A3B9E">
              <w:t>-26 February</w:t>
            </w:r>
            <w:r>
              <w:t xml:space="preserve"> </w:t>
            </w:r>
            <w:r w:rsidR="00022F2A">
              <w:t>202</w:t>
            </w:r>
            <w:r w:rsidR="003A3B9E">
              <w:t>1</w:t>
            </w:r>
            <w:r w:rsidR="00022F2A">
              <w:t>, Virtual</w:t>
            </w:r>
            <w:r w:rsidR="003A3B9E">
              <w:t>/Online</w:t>
            </w:r>
            <w:r w:rsidR="00022F2A">
              <w:t xml:space="preserve"> Meeting</w:t>
            </w:r>
          </w:p>
        </w:tc>
        <w:tc>
          <w:tcPr>
            <w:tcW w:w="2448" w:type="dxa"/>
            <w:hideMark/>
          </w:tcPr>
          <w:p w14:paraId="29868520" w14:textId="66FC9507" w:rsidR="00382004" w:rsidRPr="0095411B" w:rsidRDefault="00450A95" w:rsidP="00294C06">
            <w:pPr>
              <w:rPr>
                <w:bCs/>
              </w:rPr>
            </w:pPr>
            <w:r>
              <w:rPr>
                <w:bCs/>
              </w:rPr>
              <w:t>25</w:t>
            </w:r>
            <w:r w:rsidR="003A3B9E">
              <w:rPr>
                <w:bCs/>
              </w:rPr>
              <w:t xml:space="preserve"> </w:t>
            </w:r>
            <w:r w:rsidR="009C05C2">
              <w:rPr>
                <w:bCs/>
              </w:rPr>
              <w:t>January</w:t>
            </w:r>
            <w:r w:rsidR="003A3B9E">
              <w:rPr>
                <w:bCs/>
              </w:rPr>
              <w:t xml:space="preserve"> </w:t>
            </w:r>
            <w:r w:rsidR="00382004" w:rsidRPr="0095411B">
              <w:rPr>
                <w:bCs/>
              </w:rPr>
              <w:t>20</w:t>
            </w:r>
            <w:r w:rsidR="00022F2A">
              <w:rPr>
                <w:bCs/>
              </w:rPr>
              <w:t>2</w:t>
            </w:r>
            <w:r w:rsidR="003A3B9E">
              <w:rPr>
                <w:bCs/>
              </w:rPr>
              <w:t>1</w:t>
            </w:r>
          </w:p>
        </w:tc>
      </w:tr>
    </w:tbl>
    <w:p w14:paraId="152B8F78" w14:textId="35FB5C85" w:rsidR="00382004" w:rsidRDefault="00382004" w:rsidP="00382004">
      <w:pPr>
        <w:jc w:val="center"/>
        <w:rPr>
          <w:lang w:eastAsia="ko-KR"/>
        </w:rPr>
      </w:pPr>
    </w:p>
    <w:p w14:paraId="05AA0289" w14:textId="43703721" w:rsidR="009C05C2" w:rsidRPr="009472CF" w:rsidRDefault="009C05C2" w:rsidP="009C05C2">
      <w:pPr>
        <w:jc w:val="center"/>
        <w:rPr>
          <w:rFonts w:eastAsiaTheme="minorEastAsia"/>
          <w:bCs/>
          <w:lang w:eastAsia="ja-JP"/>
        </w:rPr>
      </w:pPr>
      <w:r>
        <w:rPr>
          <w:bCs/>
        </w:rPr>
        <w:t xml:space="preserve">Chairman of Working Group </w:t>
      </w:r>
      <w:r w:rsidR="000B51E7">
        <w:rPr>
          <w:bCs/>
        </w:rPr>
        <w:t>1</w:t>
      </w:r>
    </w:p>
    <w:p w14:paraId="662FF70B" w14:textId="77777777" w:rsidR="009C05C2" w:rsidRDefault="009C05C2" w:rsidP="009C05C2">
      <w:pPr>
        <w:jc w:val="center"/>
        <w:rPr>
          <w:bCs/>
        </w:rPr>
      </w:pPr>
    </w:p>
    <w:p w14:paraId="59254074" w14:textId="3D37D8BD" w:rsidR="009C05C2" w:rsidRDefault="009472CF" w:rsidP="009C05C2">
      <w:pPr>
        <w:jc w:val="center"/>
        <w:rPr>
          <w:b/>
        </w:rPr>
      </w:pPr>
      <w:r>
        <w:rPr>
          <w:b/>
        </w:rPr>
        <w:t xml:space="preserve">ISSUE PAPER OF WORKING GROUP </w:t>
      </w:r>
      <w:r w:rsidR="00005196">
        <w:rPr>
          <w:rFonts w:eastAsiaTheme="minorEastAsia"/>
          <w:b/>
          <w:lang w:eastAsia="ja-JP"/>
        </w:rPr>
        <w:t>1</w:t>
      </w:r>
    </w:p>
    <w:p w14:paraId="05268BB8" w14:textId="77777777" w:rsidR="009C05C2" w:rsidRDefault="009C05C2" w:rsidP="009C05C2">
      <w:pPr>
        <w:jc w:val="center"/>
        <w:rPr>
          <w:bCs/>
        </w:rPr>
      </w:pPr>
    </w:p>
    <w:p w14:paraId="32CAC2B3" w14:textId="77777777" w:rsidR="009C05C2" w:rsidRPr="00601C15" w:rsidRDefault="009C05C2" w:rsidP="009C05C2"/>
    <w:p w14:paraId="279C10FD" w14:textId="0E3996D1" w:rsidR="009C05C2" w:rsidRDefault="009C05C2" w:rsidP="009C05C2">
      <w:pPr>
        <w:pStyle w:val="Level1"/>
        <w:numPr>
          <w:ilvl w:val="0"/>
          <w:numId w:val="9"/>
        </w:numPr>
        <w:ind w:left="360"/>
        <w:rPr>
          <w:b/>
          <w:bCs/>
        </w:rPr>
      </w:pPr>
      <w:r w:rsidRPr="00A745F7">
        <w:rPr>
          <w:b/>
          <w:bCs/>
        </w:rPr>
        <w:t>ABSTRACT</w:t>
      </w:r>
    </w:p>
    <w:p w14:paraId="525B8185" w14:textId="77777777" w:rsidR="005455D0" w:rsidRPr="005455D0" w:rsidRDefault="005455D0" w:rsidP="005455D0"/>
    <w:p w14:paraId="07877061" w14:textId="23DCF948" w:rsidR="009472CF" w:rsidRPr="001A696A" w:rsidRDefault="009472CF" w:rsidP="009472CF">
      <w:pPr>
        <w:tabs>
          <w:tab w:val="right" w:pos="1418"/>
        </w:tabs>
        <w:jc w:val="both"/>
        <w:rPr>
          <w:bCs/>
        </w:rPr>
      </w:pPr>
      <w:r w:rsidRPr="00786496">
        <w:rPr>
          <w:bCs/>
        </w:rPr>
        <w:t>1</w:t>
      </w:r>
      <w:r w:rsidR="00D84DFB">
        <w:rPr>
          <w:rFonts w:eastAsiaTheme="minorEastAsia" w:hint="eastAsia"/>
          <w:bCs/>
          <w:lang w:eastAsia="ja-JP"/>
        </w:rPr>
        <w:t xml:space="preserve">.1    </w:t>
      </w:r>
      <w:r w:rsidRPr="00786496">
        <w:rPr>
          <w:bCs/>
        </w:rPr>
        <w:t>The 1</w:t>
      </w:r>
      <w:r w:rsidRPr="00786496">
        <w:rPr>
          <w:bCs/>
          <w:vertAlign w:val="superscript"/>
        </w:rPr>
        <w:t>st</w:t>
      </w:r>
      <w:r>
        <w:rPr>
          <w:bCs/>
        </w:rPr>
        <w:t xml:space="preserve"> </w:t>
      </w:r>
      <w:r w:rsidR="00D84DFB">
        <w:rPr>
          <w:bCs/>
        </w:rPr>
        <w:t>Meeting of the APT P</w:t>
      </w:r>
      <w:r w:rsidRPr="00786496">
        <w:rPr>
          <w:bCs/>
        </w:rPr>
        <w:t>re</w:t>
      </w:r>
      <w:r>
        <w:rPr>
          <w:bCs/>
        </w:rPr>
        <w:t xml:space="preserve">paratory </w:t>
      </w:r>
      <w:r w:rsidR="00D84DFB">
        <w:rPr>
          <w:bCs/>
        </w:rPr>
        <w:t>Group for WTDC-21</w:t>
      </w:r>
      <w:r w:rsidRPr="00786496">
        <w:rPr>
          <w:bCs/>
        </w:rPr>
        <w:t xml:space="preserve"> </w:t>
      </w:r>
      <w:r>
        <w:rPr>
          <w:bCs/>
        </w:rPr>
        <w:t>(</w:t>
      </w:r>
      <w:r w:rsidR="00D84DFB">
        <w:rPr>
          <w:bCs/>
        </w:rPr>
        <w:t xml:space="preserve">APT </w:t>
      </w:r>
      <w:r>
        <w:rPr>
          <w:bCs/>
        </w:rPr>
        <w:t>WTDC21</w:t>
      </w:r>
      <w:r w:rsidRPr="00786496">
        <w:rPr>
          <w:bCs/>
        </w:rPr>
        <w:t>-1) considered the structure and terms of re</w:t>
      </w:r>
      <w:r>
        <w:rPr>
          <w:bCs/>
        </w:rPr>
        <w:t xml:space="preserve">ference for the Working Groups. </w:t>
      </w:r>
      <w:r w:rsidRPr="00786496">
        <w:rPr>
          <w:bCs/>
        </w:rPr>
        <w:t xml:space="preserve">According to decisions of the aforementioned meeting, Working Group </w:t>
      </w:r>
      <w:r w:rsidR="00005196">
        <w:rPr>
          <w:bCs/>
        </w:rPr>
        <w:t>1</w:t>
      </w:r>
      <w:r w:rsidRPr="00786496">
        <w:rPr>
          <w:bCs/>
        </w:rPr>
        <w:t xml:space="preserve"> (WG</w:t>
      </w:r>
      <w:r w:rsidR="00005196">
        <w:rPr>
          <w:bCs/>
        </w:rPr>
        <w:t>1</w:t>
      </w:r>
      <w:r w:rsidRPr="00786496">
        <w:rPr>
          <w:bCs/>
        </w:rPr>
        <w:t>) will consider</w:t>
      </w:r>
      <w:r w:rsidR="005455D0">
        <w:rPr>
          <w:bCs/>
        </w:rPr>
        <w:t xml:space="preserve"> ITU-D </w:t>
      </w:r>
      <w:r w:rsidR="005455D0" w:rsidRPr="00605173">
        <w:rPr>
          <w:rFonts w:eastAsia="휴먼명조"/>
          <w:bCs/>
          <w:lang w:val="en-AU"/>
        </w:rPr>
        <w:t>Programmes, Study Groups and Associated Questions</w:t>
      </w:r>
      <w:r w:rsidRPr="001A696A">
        <w:rPr>
          <w:bCs/>
        </w:rPr>
        <w:t>.</w:t>
      </w:r>
    </w:p>
    <w:p w14:paraId="71EEF481" w14:textId="77777777" w:rsidR="009472CF" w:rsidRPr="001A696A" w:rsidRDefault="009472CF" w:rsidP="009472CF">
      <w:pPr>
        <w:rPr>
          <w:bCs/>
        </w:rPr>
      </w:pPr>
    </w:p>
    <w:p w14:paraId="7726ECB3" w14:textId="0943EF22" w:rsidR="009472CF" w:rsidRPr="001A696A" w:rsidRDefault="00D84DFB" w:rsidP="009472CF">
      <w:pPr>
        <w:jc w:val="both"/>
        <w:rPr>
          <w:bCs/>
        </w:rPr>
      </w:pPr>
      <w:r>
        <w:rPr>
          <w:bCs/>
        </w:rPr>
        <w:t xml:space="preserve">1.2    </w:t>
      </w:r>
      <w:r w:rsidR="009472CF" w:rsidRPr="001A696A">
        <w:rPr>
          <w:bCs/>
        </w:rPr>
        <w:t>This issue paper intends to stimulate discussion</w:t>
      </w:r>
      <w:r w:rsidR="009472CF">
        <w:rPr>
          <w:bCs/>
        </w:rPr>
        <w:t>s</w:t>
      </w:r>
      <w:r w:rsidR="009472CF" w:rsidRPr="001A696A">
        <w:rPr>
          <w:bCs/>
        </w:rPr>
        <w:t xml:space="preserve"> </w:t>
      </w:r>
      <w:r w:rsidR="009472CF">
        <w:rPr>
          <w:bCs/>
        </w:rPr>
        <w:t>and identify possible issues relevant to WG</w:t>
      </w:r>
      <w:r w:rsidR="005455D0">
        <w:rPr>
          <w:bCs/>
        </w:rPr>
        <w:t>1</w:t>
      </w:r>
      <w:r w:rsidR="009472CF">
        <w:rPr>
          <w:bCs/>
        </w:rPr>
        <w:t xml:space="preserve"> that can be developed into </w:t>
      </w:r>
      <w:r w:rsidR="009472CF" w:rsidRPr="001A696A">
        <w:rPr>
          <w:bCs/>
        </w:rPr>
        <w:t>APT Co</w:t>
      </w:r>
      <w:r w:rsidR="009472CF">
        <w:rPr>
          <w:bCs/>
        </w:rPr>
        <w:t xml:space="preserve">mmon Proposals (ACPs). </w:t>
      </w:r>
      <w:r w:rsidR="009472CF" w:rsidRPr="001A696A">
        <w:rPr>
          <w:bCs/>
        </w:rPr>
        <w:t xml:space="preserve">APT Members are encouraged to actively participate in discussions and provide comments on this paper.  </w:t>
      </w:r>
    </w:p>
    <w:p w14:paraId="45722F1B" w14:textId="1D79DFAF" w:rsidR="009C05C2" w:rsidRDefault="009C05C2" w:rsidP="009C05C2"/>
    <w:p w14:paraId="55BDB431" w14:textId="1B849F5A" w:rsidR="009C05C2" w:rsidRDefault="009C05C2" w:rsidP="009C05C2">
      <w:pPr>
        <w:pStyle w:val="Level1"/>
        <w:numPr>
          <w:ilvl w:val="0"/>
          <w:numId w:val="9"/>
        </w:numPr>
        <w:ind w:left="360"/>
        <w:rPr>
          <w:b/>
          <w:bCs/>
        </w:rPr>
      </w:pPr>
      <w:r w:rsidRPr="00A745F7">
        <w:rPr>
          <w:b/>
          <w:bCs/>
        </w:rPr>
        <w:t>INTRODUCTION/BACKGROUND</w:t>
      </w:r>
    </w:p>
    <w:p w14:paraId="49E1FB30" w14:textId="77777777" w:rsidR="005455D0" w:rsidRPr="005455D0" w:rsidRDefault="005455D0" w:rsidP="005455D0"/>
    <w:p w14:paraId="2F3E39E7" w14:textId="0A0638BA" w:rsidR="00D84DFB" w:rsidRDefault="00D84DFB" w:rsidP="00D84DFB">
      <w:r>
        <w:t xml:space="preserve">2.1    APT WTDC21-1 was held on 24 July 2020 as a virtual meeting, which agreed to the structure and </w:t>
      </w:r>
      <w:r w:rsidR="004F0EF2">
        <w:t>the Terms of R</w:t>
      </w:r>
      <w:r>
        <w:t>eference for the prep</w:t>
      </w:r>
      <w:r w:rsidR="004F0EF2">
        <w:t>aratory process.  The specific Terms of R</w:t>
      </w:r>
      <w:r>
        <w:t>eference for WG</w:t>
      </w:r>
      <w:r w:rsidR="005455D0">
        <w:t>1</w:t>
      </w:r>
      <w:r>
        <w:t xml:space="preserve"> are </w:t>
      </w:r>
      <w:r w:rsidR="004F0EF2">
        <w:t>to</w:t>
      </w:r>
      <w:r>
        <w:t>:</w:t>
      </w:r>
    </w:p>
    <w:p w14:paraId="3C1405F1" w14:textId="380523DE" w:rsidR="004F0EF2" w:rsidRDefault="004F0EF2" w:rsidP="00D84DFB"/>
    <w:p w14:paraId="1771DF77" w14:textId="56590234" w:rsidR="005455D0" w:rsidRPr="00605173" w:rsidRDefault="005455D0" w:rsidP="005455D0">
      <w:pPr>
        <w:numPr>
          <w:ilvl w:val="0"/>
          <w:numId w:val="10"/>
        </w:numPr>
        <w:ind w:left="1170"/>
        <w:jc w:val="both"/>
      </w:pPr>
      <w:r w:rsidRPr="00605173">
        <w:t>Consider matters relating to ITU-D Programmes, Study Groups and Associated Questions taking</w:t>
      </w:r>
      <w:r>
        <w:t xml:space="preserve"> </w:t>
      </w:r>
      <w:r w:rsidRPr="00605173">
        <w:t>into account</w:t>
      </w:r>
      <w:r>
        <w:t>s</w:t>
      </w:r>
      <w:r w:rsidRPr="00605173">
        <w:t xml:space="preserve"> the strategic goals and objectives of the ITU in particular to those of ITU-D;</w:t>
      </w:r>
    </w:p>
    <w:p w14:paraId="0696A808" w14:textId="77777777" w:rsidR="005455D0" w:rsidRPr="00605173" w:rsidRDefault="005455D0" w:rsidP="005455D0">
      <w:pPr>
        <w:numPr>
          <w:ilvl w:val="0"/>
          <w:numId w:val="10"/>
        </w:numPr>
        <w:ind w:left="1170"/>
        <w:jc w:val="both"/>
      </w:pPr>
      <w:r w:rsidRPr="00605173">
        <w:t>Assess the achievements of the relevant parts of the Buenos Aires Action</w:t>
      </w:r>
      <w:r w:rsidRPr="00605173">
        <w:rPr>
          <w:rFonts w:hint="eastAsia"/>
        </w:rPr>
        <w:t xml:space="preserve"> Plan</w:t>
      </w:r>
      <w:r w:rsidRPr="00605173">
        <w:t xml:space="preserve">; </w:t>
      </w:r>
    </w:p>
    <w:p w14:paraId="5CB8FF8A" w14:textId="77777777" w:rsidR="005455D0" w:rsidRPr="00605173" w:rsidRDefault="005455D0" w:rsidP="005455D0">
      <w:pPr>
        <w:numPr>
          <w:ilvl w:val="0"/>
          <w:numId w:val="10"/>
        </w:numPr>
        <w:ind w:left="1170"/>
        <w:jc w:val="both"/>
      </w:pPr>
      <w:r w:rsidRPr="00605173">
        <w:t>Consider Resolutions, Recommendations and Decisions</w:t>
      </w:r>
      <w:r w:rsidRPr="00605173">
        <w:rPr>
          <w:rFonts w:hint="eastAsia"/>
        </w:rPr>
        <w:t xml:space="preserve"> </w:t>
      </w:r>
      <w:r w:rsidRPr="00605173">
        <w:t>relating to ITU-D relevant to the activities of this WG;</w:t>
      </w:r>
    </w:p>
    <w:p w14:paraId="403039A8" w14:textId="77777777" w:rsidR="005455D0" w:rsidRPr="00605173" w:rsidRDefault="005455D0" w:rsidP="005455D0">
      <w:pPr>
        <w:numPr>
          <w:ilvl w:val="0"/>
          <w:numId w:val="10"/>
        </w:numPr>
        <w:ind w:left="1170"/>
        <w:jc w:val="both"/>
      </w:pPr>
      <w:r w:rsidRPr="00605173">
        <w:t>Identify priority areas and key issues required for development and preparation of the draft common proposals.</w:t>
      </w:r>
    </w:p>
    <w:p w14:paraId="28DCA213" w14:textId="47D2B6BE" w:rsidR="009C05C2" w:rsidRDefault="009C05C2" w:rsidP="009C05C2"/>
    <w:p w14:paraId="33426914" w14:textId="6DE5A180" w:rsidR="009C05C2" w:rsidRDefault="009C05C2" w:rsidP="009C05C2">
      <w:pPr>
        <w:pStyle w:val="Level1"/>
        <w:numPr>
          <w:ilvl w:val="0"/>
          <w:numId w:val="9"/>
        </w:numPr>
        <w:ind w:left="360"/>
        <w:rPr>
          <w:b/>
          <w:bCs/>
        </w:rPr>
      </w:pPr>
      <w:r w:rsidRPr="00A745F7">
        <w:rPr>
          <w:b/>
          <w:bCs/>
        </w:rPr>
        <w:t>ISSUES</w:t>
      </w:r>
    </w:p>
    <w:p w14:paraId="1D71AE41" w14:textId="77777777" w:rsidR="00DA2AD5" w:rsidRPr="00DA2AD5" w:rsidRDefault="00DA2AD5" w:rsidP="00DA2AD5"/>
    <w:p w14:paraId="2481315B" w14:textId="1DED946B" w:rsidR="00DA2AD5" w:rsidRDefault="002A2CE3" w:rsidP="00FC3163">
      <w:pPr>
        <w:jc w:val="both"/>
      </w:pPr>
      <w:r>
        <w:t>3.1</w:t>
      </w:r>
      <w:r w:rsidR="00057148">
        <w:t xml:space="preserve"> </w:t>
      </w:r>
      <w:r w:rsidR="0073360D">
        <w:t xml:space="preserve">The Number of Study Groups and their titles </w:t>
      </w:r>
    </w:p>
    <w:p w14:paraId="7B5FD365" w14:textId="77777777" w:rsidR="00DA2AD5" w:rsidRDefault="00DA2AD5" w:rsidP="00FC3163">
      <w:pPr>
        <w:jc w:val="both"/>
      </w:pPr>
    </w:p>
    <w:p w14:paraId="09EF7744" w14:textId="0671EF04" w:rsidR="002F6B79" w:rsidRDefault="0022492E" w:rsidP="00FC3163">
      <w:pPr>
        <w:jc w:val="both"/>
      </w:pPr>
      <w:r>
        <w:rPr>
          <w:iCs/>
        </w:rPr>
        <w:t xml:space="preserve">ITU-D has two study groups, each was tasked with studying a number of important study topics and questions. </w:t>
      </w:r>
      <w:r w:rsidR="003645D6" w:rsidRPr="003645D6">
        <w:t>Considering the fact that resources in international organizations are limited and no new funds are envisaged,</w:t>
      </w:r>
      <w:r w:rsidR="003645D6">
        <w:t xml:space="preserve"> the</w:t>
      </w:r>
      <w:r w:rsidR="002F6B79">
        <w:t>r</w:t>
      </w:r>
      <w:r w:rsidR="003645D6">
        <w:t xml:space="preserve">e is </w:t>
      </w:r>
      <w:r w:rsidR="002F6B79">
        <w:t>no ongoing</w:t>
      </w:r>
      <w:r w:rsidR="003645D6">
        <w:t xml:space="preserve"> discussion</w:t>
      </w:r>
      <w:r w:rsidR="002F6B79">
        <w:t>s</w:t>
      </w:r>
      <w:r w:rsidR="003645D6">
        <w:t xml:space="preserve"> </w:t>
      </w:r>
      <w:r w:rsidR="002F6B79">
        <w:t xml:space="preserve">about </w:t>
      </w:r>
      <w:r w:rsidR="003645D6">
        <w:t>add</w:t>
      </w:r>
      <w:r w:rsidR="002F6B79">
        <w:t>ing</w:t>
      </w:r>
      <w:r w:rsidR="003645D6">
        <w:t xml:space="preserve"> the number of Study Groups of ITU-D.</w:t>
      </w:r>
      <w:r w:rsidR="002F6B79">
        <w:t xml:space="preserve"> </w:t>
      </w:r>
      <w:r w:rsidR="002F6B79">
        <w:rPr>
          <w:lang w:eastAsia="ko-KR"/>
        </w:rPr>
        <w:t>A</w:t>
      </w:r>
      <w:r w:rsidR="003645D6" w:rsidRPr="003645D6">
        <w:t>s additional study groups would require reallocation of resources from regional initiatives and projects,</w:t>
      </w:r>
      <w:r w:rsidR="002F6B79">
        <w:t xml:space="preserve"> </w:t>
      </w:r>
      <w:r w:rsidR="002F6B79" w:rsidRPr="002F6B79">
        <w:t>it</w:t>
      </w:r>
      <w:r w:rsidR="003645D6" w:rsidRPr="002F6B79">
        <w:rPr>
          <w:bCs/>
        </w:rPr>
        <w:t xml:space="preserve"> is advisable </w:t>
      </w:r>
      <w:r w:rsidR="003F14B4">
        <w:rPr>
          <w:bCs/>
        </w:rPr>
        <w:t xml:space="preserve">that </w:t>
      </w:r>
      <w:r w:rsidR="003645D6" w:rsidRPr="002F6B79">
        <w:rPr>
          <w:bCs/>
        </w:rPr>
        <w:t>the Asia Pacific Region to propose</w:t>
      </w:r>
      <w:r w:rsidR="003F14B4">
        <w:rPr>
          <w:bCs/>
        </w:rPr>
        <w:t xml:space="preserve"> to keep the same</w:t>
      </w:r>
      <w:r w:rsidR="003645D6" w:rsidRPr="002F6B79">
        <w:rPr>
          <w:bCs/>
        </w:rPr>
        <w:t xml:space="preserve"> number of study groups for the next study period.</w:t>
      </w:r>
      <w:r w:rsidR="002F6B79">
        <w:rPr>
          <w:bCs/>
        </w:rPr>
        <w:t xml:space="preserve"> However, it is possible to suggest the new title of Study groups once </w:t>
      </w:r>
      <w:r w:rsidR="003F14B4">
        <w:rPr>
          <w:bCs/>
        </w:rPr>
        <w:t xml:space="preserve">we finish discussions on </w:t>
      </w:r>
      <w:r w:rsidR="002F6B79">
        <w:rPr>
          <w:bCs/>
        </w:rPr>
        <w:t xml:space="preserve">future </w:t>
      </w:r>
      <w:r w:rsidR="00897045">
        <w:rPr>
          <w:bCs/>
        </w:rPr>
        <w:t>Question</w:t>
      </w:r>
      <w:r w:rsidR="002F6B79">
        <w:rPr>
          <w:bCs/>
        </w:rPr>
        <w:t xml:space="preserve">s of Study groups. </w:t>
      </w:r>
      <w:r w:rsidR="002F6B79">
        <w:t>The current ITU-D Study Groups are as follows;</w:t>
      </w:r>
    </w:p>
    <w:p w14:paraId="3C051E31" w14:textId="77777777" w:rsidR="002F6B79" w:rsidRDefault="002F6B79" w:rsidP="00FC3163">
      <w:pPr>
        <w:jc w:val="both"/>
      </w:pPr>
    </w:p>
    <w:p w14:paraId="42BF21A7" w14:textId="77777777" w:rsidR="002F6B79" w:rsidRDefault="002F6B79" w:rsidP="00FC3163">
      <w:pPr>
        <w:jc w:val="both"/>
      </w:pPr>
      <w:r w:rsidRPr="00242D9F">
        <w:rPr>
          <w:u w:val="single"/>
        </w:rPr>
        <w:t>Study Group 1</w:t>
      </w:r>
      <w:r>
        <w:rPr>
          <w:u w:val="single"/>
        </w:rPr>
        <w:t xml:space="preserve"> (SG1)</w:t>
      </w:r>
      <w:r>
        <w:t xml:space="preserve">: Enabling environment for the development of telecommunications/ICTs </w:t>
      </w:r>
    </w:p>
    <w:p w14:paraId="14DDAB11" w14:textId="5BEB1643" w:rsidR="00057148" w:rsidRDefault="002F6B79" w:rsidP="00FC3163">
      <w:pPr>
        <w:jc w:val="both"/>
      </w:pPr>
      <w:r w:rsidRPr="00242D9F">
        <w:rPr>
          <w:u w:val="single"/>
        </w:rPr>
        <w:lastRenderedPageBreak/>
        <w:t>Study Group 2</w:t>
      </w:r>
      <w:r>
        <w:rPr>
          <w:u w:val="single"/>
        </w:rPr>
        <w:t xml:space="preserve"> (SG2)</w:t>
      </w:r>
      <w:r>
        <w:t>: ICT applications, cybersecurity, emergency telecommunications and climate-change adaptation.</w:t>
      </w:r>
    </w:p>
    <w:p w14:paraId="64C1EFD0" w14:textId="77777777" w:rsidR="0022492E" w:rsidRPr="00155BE2" w:rsidRDefault="0022492E" w:rsidP="00FC3163">
      <w:pPr>
        <w:jc w:val="both"/>
      </w:pPr>
    </w:p>
    <w:p w14:paraId="557D82D2" w14:textId="4B69B48D" w:rsidR="0073360D" w:rsidRDefault="00057148" w:rsidP="00FC3163">
      <w:pPr>
        <w:jc w:val="both"/>
        <w:rPr>
          <w:lang w:eastAsia="ko-KR"/>
        </w:rPr>
      </w:pPr>
      <w:r>
        <w:rPr>
          <w:rFonts w:hint="eastAsia"/>
          <w:lang w:eastAsia="ko-KR"/>
        </w:rPr>
        <w:t>3</w:t>
      </w:r>
      <w:r>
        <w:rPr>
          <w:lang w:eastAsia="ko-KR"/>
        </w:rPr>
        <w:t xml:space="preserve">.2 </w:t>
      </w:r>
      <w:r w:rsidR="003645D6">
        <w:rPr>
          <w:lang w:eastAsia="ko-KR"/>
        </w:rPr>
        <w:t xml:space="preserve">Questions </w:t>
      </w:r>
      <w:r w:rsidRPr="00057148">
        <w:rPr>
          <w:lang w:eastAsia="ko-KR"/>
        </w:rPr>
        <w:t>for the next study period (20</w:t>
      </w:r>
      <w:r w:rsidR="003645D6">
        <w:rPr>
          <w:lang w:eastAsia="ko-KR"/>
        </w:rPr>
        <w:t>22</w:t>
      </w:r>
      <w:r w:rsidRPr="00057148">
        <w:rPr>
          <w:lang w:eastAsia="ko-KR"/>
        </w:rPr>
        <w:t>-202</w:t>
      </w:r>
      <w:r w:rsidR="003645D6">
        <w:rPr>
          <w:lang w:eastAsia="ko-KR"/>
        </w:rPr>
        <w:t>5</w:t>
      </w:r>
      <w:r w:rsidRPr="00057148">
        <w:rPr>
          <w:lang w:eastAsia="ko-KR"/>
        </w:rPr>
        <w:t>)</w:t>
      </w:r>
    </w:p>
    <w:p w14:paraId="5211B5CE" w14:textId="0ED2F5E4" w:rsidR="00057148" w:rsidRDefault="00057148" w:rsidP="00FC3163">
      <w:pPr>
        <w:jc w:val="both"/>
        <w:rPr>
          <w:lang w:eastAsia="ko-KR"/>
        </w:rPr>
      </w:pPr>
    </w:p>
    <w:p w14:paraId="573348A8" w14:textId="348C173C" w:rsidR="007A5561" w:rsidRDefault="00B53C4B" w:rsidP="00FC3163">
      <w:pPr>
        <w:jc w:val="both"/>
      </w:pPr>
      <w:bookmarkStart w:id="0" w:name="_Hlk62458382"/>
      <w:r w:rsidRPr="007A5561">
        <w:t xml:space="preserve">The </w:t>
      </w:r>
      <w:r w:rsidR="007A5561">
        <w:t xml:space="preserve">Study Group Questions </w:t>
      </w:r>
      <w:r w:rsidR="00E82914">
        <w:t>assigned by the WTDC-17 and the issues and expected outputs of each Questions are identified at Section 5 of Buenos Aires Action Plan. It is highly recommend that APT Members to review the Section 5 of Buenos Aires Action Plan</w:t>
      </w:r>
      <w:r w:rsidR="00885F46">
        <w:t>(especially the topics and scope of each Questions)</w:t>
      </w:r>
      <w:r w:rsidR="00E82914">
        <w:t xml:space="preserve"> before suggesting </w:t>
      </w:r>
      <w:r w:rsidR="00885F46">
        <w:t>new or revised Questions.</w:t>
      </w:r>
    </w:p>
    <w:p w14:paraId="7D64382D" w14:textId="77777777" w:rsidR="00885F46" w:rsidRPr="007A5561" w:rsidRDefault="00885F46" w:rsidP="00FC3163">
      <w:pPr>
        <w:jc w:val="both"/>
      </w:pPr>
    </w:p>
    <w:p w14:paraId="58ADA4B4" w14:textId="489E8F75" w:rsidR="00885F46" w:rsidRDefault="00885F46" w:rsidP="00FC3163">
      <w:pPr>
        <w:jc w:val="both"/>
        <w:rPr>
          <w:lang w:val="en-GB" w:eastAsia="ko-KR"/>
        </w:rPr>
      </w:pPr>
      <w:r w:rsidRPr="0005226D">
        <w:t>During the ITU</w:t>
      </w:r>
      <w:r w:rsidR="00046461">
        <w:t>-D Study Gr</w:t>
      </w:r>
      <w:r w:rsidR="00EC4D91">
        <w:t xml:space="preserve">oups meetings held in 2020, the future of questions has been discussed briefly and the preliminary views reported to TDAG virtual meetings from 2 to 5 June in 2020 as the </w:t>
      </w:r>
      <w:hyperlink r:id="rId9" w:history="1">
        <w:r w:rsidR="00EC4D91" w:rsidRPr="00CB7BB5">
          <w:rPr>
            <w:rStyle w:val="Hyperlink"/>
          </w:rPr>
          <w:t>SG1 Chairperson’s report</w:t>
        </w:r>
      </w:hyperlink>
      <w:r w:rsidR="00061BD0" w:rsidRPr="00061BD0">
        <w:rPr>
          <w:bCs/>
          <w:color w:val="000000"/>
        </w:rPr>
        <w:t>(</w:t>
      </w:r>
      <w:r w:rsidR="00684197">
        <w:rPr>
          <w:bCs/>
          <w:color w:val="000000"/>
        </w:rPr>
        <w:t xml:space="preserve">refer to </w:t>
      </w:r>
      <w:r w:rsidR="00061BD0" w:rsidRPr="00061BD0">
        <w:rPr>
          <w:bCs/>
          <w:color w:val="000000"/>
        </w:rPr>
        <w:t xml:space="preserve">ANNEX </w:t>
      </w:r>
      <w:r w:rsidR="00061BD0" w:rsidRPr="00061BD0">
        <w:rPr>
          <w:rFonts w:eastAsiaTheme="minorEastAsia"/>
          <w:bCs/>
          <w:color w:val="000000"/>
          <w:lang w:eastAsia="ja-JP"/>
        </w:rPr>
        <w:t>Ⅱ</w:t>
      </w:r>
      <w:r w:rsidR="00061BD0" w:rsidRPr="00061BD0">
        <w:rPr>
          <w:rFonts w:eastAsiaTheme="minorEastAsia"/>
          <w:bCs/>
          <w:lang w:eastAsia="ja-JP"/>
        </w:rPr>
        <w:t>).</w:t>
      </w:r>
      <w:r w:rsidR="00061BD0" w:rsidRPr="00061BD0">
        <w:rPr>
          <w:rStyle w:val="Hyperlink"/>
          <w:color w:val="auto"/>
        </w:rPr>
        <w:t xml:space="preserve"> </w:t>
      </w:r>
      <w:r w:rsidR="00061BD0" w:rsidRPr="00061BD0">
        <w:t xml:space="preserve">Discussion of new ideas for </w:t>
      </w:r>
      <w:r w:rsidR="00061BD0">
        <w:t xml:space="preserve">future </w:t>
      </w:r>
      <w:r w:rsidR="00061BD0" w:rsidRPr="00061BD0">
        <w:t>Questions</w:t>
      </w:r>
      <w:r w:rsidR="00061BD0">
        <w:t xml:space="preserve"> of </w:t>
      </w:r>
      <w:r w:rsidR="00061BD0" w:rsidRPr="0005226D">
        <w:t>ITU</w:t>
      </w:r>
      <w:r w:rsidR="00061BD0">
        <w:t xml:space="preserve">-D Study Groups continued over the course of the </w:t>
      </w:r>
      <w:r w:rsidR="00061BD0">
        <w:rPr>
          <w:rFonts w:hint="eastAsia"/>
          <w:lang w:eastAsia="ko-KR"/>
        </w:rPr>
        <w:t>S</w:t>
      </w:r>
      <w:r w:rsidR="00061BD0">
        <w:rPr>
          <w:lang w:eastAsia="ko-KR"/>
        </w:rPr>
        <w:t xml:space="preserve">G1 and SG 2 rapporteur group meetings in 2020. It was expressed during the meeting that future Questions </w:t>
      </w:r>
      <w:r w:rsidR="00371A66">
        <w:rPr>
          <w:lang w:eastAsia="ko-KR"/>
        </w:rPr>
        <w:t xml:space="preserve">should be as unique as possible </w:t>
      </w:r>
      <w:r w:rsidR="00371A66" w:rsidRPr="00371A66">
        <w:rPr>
          <w:lang w:val="en-GB" w:eastAsia="ko-KR"/>
        </w:rPr>
        <w:t>so that experts can be engaged with specific knowledge on such topics and in order to avoid duplication of work across the various Questions. Others highlighted the need to not restrict thinking on the structure of the Questions to what is currently available. Moreover, the importance of considering future developments and needs when crafting the Questions was highlighted to ensure that the studies are relevant and useful at the time when they are released in 5-6 years’ time</w:t>
      </w:r>
      <w:r w:rsidR="00371A66">
        <w:rPr>
          <w:lang w:val="en-GB" w:eastAsia="ko-KR"/>
        </w:rPr>
        <w:t>. The results of these discussion will be reported to the annual SG meeting in 2021.</w:t>
      </w:r>
    </w:p>
    <w:p w14:paraId="0F0D135E" w14:textId="0F6919A4" w:rsidR="00305BDA" w:rsidRDefault="00305BDA" w:rsidP="00FC3163">
      <w:pPr>
        <w:jc w:val="both"/>
        <w:rPr>
          <w:lang w:val="en-GB" w:eastAsia="ko-KR"/>
        </w:rPr>
      </w:pPr>
    </w:p>
    <w:p w14:paraId="4E0962F2" w14:textId="2498D1DF" w:rsidR="00305BDA" w:rsidRDefault="00305BDA" w:rsidP="00FC3163">
      <w:pPr>
        <w:jc w:val="both"/>
        <w:rPr>
          <w:lang w:eastAsia="ko-KR"/>
        </w:rPr>
      </w:pPr>
      <w:r>
        <w:rPr>
          <w:rFonts w:hint="eastAsia"/>
          <w:lang w:eastAsia="ko-KR"/>
        </w:rPr>
        <w:t>3</w:t>
      </w:r>
      <w:r>
        <w:rPr>
          <w:lang w:eastAsia="ko-KR"/>
        </w:rPr>
        <w:t>.3 Th</w:t>
      </w:r>
      <w:r w:rsidR="00C2794C">
        <w:rPr>
          <w:lang w:eastAsia="ko-KR"/>
        </w:rPr>
        <w:t>ematic Priorities</w:t>
      </w:r>
    </w:p>
    <w:p w14:paraId="15B80BCA" w14:textId="35B4143E" w:rsidR="00C2794C" w:rsidRDefault="00C2794C" w:rsidP="00FC3163">
      <w:pPr>
        <w:jc w:val="both"/>
        <w:rPr>
          <w:lang w:val="en-GB" w:eastAsia="ko-KR"/>
        </w:rPr>
      </w:pPr>
    </w:p>
    <w:p w14:paraId="319812DB" w14:textId="4D9FC21C" w:rsidR="00AD767E" w:rsidRPr="00B74608" w:rsidRDefault="00C2794C" w:rsidP="00FC3163">
      <w:pPr>
        <w:spacing w:before="120"/>
        <w:jc w:val="both"/>
        <w:rPr>
          <w:rFonts w:cstheme="minorHAnsi"/>
          <w:lang w:val="en-CA"/>
        </w:rPr>
      </w:pPr>
      <w:r w:rsidRPr="00B74608">
        <w:rPr>
          <w:rFonts w:cstheme="minorHAnsi"/>
        </w:rPr>
        <w:t xml:space="preserve">The </w:t>
      </w:r>
      <w:r w:rsidRPr="006B36C8">
        <w:rPr>
          <w:rFonts w:cstheme="minorHAnsi"/>
        </w:rPr>
        <w:t>27th meeting of the Telecommunication Development Advisory Group (TDAG</w:t>
      </w:r>
      <w:r w:rsidRPr="00B74608">
        <w:rPr>
          <w:rFonts w:cstheme="minorHAnsi"/>
        </w:rPr>
        <w:t xml:space="preserve">) </w:t>
      </w:r>
      <w:r>
        <w:rPr>
          <w:rFonts w:cstheme="minorHAnsi"/>
        </w:rPr>
        <w:t xml:space="preserve">took place </w:t>
      </w:r>
      <w:r w:rsidRPr="00B74608">
        <w:rPr>
          <w:rFonts w:cstheme="minorHAnsi"/>
        </w:rPr>
        <w:t>on 23</w:t>
      </w:r>
      <w:r>
        <w:rPr>
          <w:rFonts w:cstheme="minorHAnsi"/>
        </w:rPr>
        <w:t> </w:t>
      </w:r>
      <w:r w:rsidRPr="00B74608">
        <w:rPr>
          <w:rFonts w:cstheme="minorHAnsi"/>
        </w:rPr>
        <w:t>November</w:t>
      </w:r>
      <w:r>
        <w:rPr>
          <w:rFonts w:cstheme="minorHAnsi"/>
        </w:rPr>
        <w:t> </w:t>
      </w:r>
      <w:r w:rsidRPr="00B74608">
        <w:rPr>
          <w:rFonts w:cstheme="minorHAnsi"/>
        </w:rPr>
        <w:t>2020</w:t>
      </w:r>
      <w:r>
        <w:rPr>
          <w:rFonts w:cstheme="minorHAnsi"/>
        </w:rPr>
        <w:t xml:space="preserve">. </w:t>
      </w:r>
      <w:r w:rsidR="008226C5">
        <w:rPr>
          <w:rFonts w:cstheme="minorHAnsi"/>
        </w:rPr>
        <w:t xml:space="preserve">At this meeting, </w:t>
      </w:r>
      <w:r w:rsidR="00F46500">
        <w:rPr>
          <w:rFonts w:cstheme="minorHAnsi"/>
        </w:rPr>
        <w:t>TDAG unanimously endorsed “Connecting the unconnected to achieve Sustainable Development” as the overall theme for the World Telecommunication Development Conference (WTDC-21),</w:t>
      </w:r>
      <w:r w:rsidR="00F46500">
        <w:rPr>
          <w:rFonts w:cstheme="minorHAnsi"/>
          <w:lang w:eastAsia="en-GB"/>
        </w:rPr>
        <w:t xml:space="preserve"> scheduled to take place in Addis Ababa Ethiopia from 8 to 19 November 2021.</w:t>
      </w:r>
      <w:r w:rsidR="00F46500">
        <w:rPr>
          <w:rFonts w:cstheme="minorHAnsi"/>
        </w:rPr>
        <w:t xml:space="preserve"> </w:t>
      </w:r>
      <w:r w:rsidR="008226C5">
        <w:rPr>
          <w:rFonts w:cstheme="minorHAnsi"/>
        </w:rPr>
        <w:t xml:space="preserve">TDAG </w:t>
      </w:r>
      <w:r w:rsidR="00F46500">
        <w:rPr>
          <w:rFonts w:cstheme="minorHAnsi"/>
        </w:rPr>
        <w:t xml:space="preserve">also </w:t>
      </w:r>
      <w:r w:rsidR="008226C5">
        <w:rPr>
          <w:rFonts w:cstheme="minorHAnsi"/>
        </w:rPr>
        <w:t xml:space="preserve">agreed that </w:t>
      </w:r>
      <w:r w:rsidR="008226C5" w:rsidRPr="00AE73DF">
        <w:rPr>
          <w:rFonts w:cstheme="minorHAnsi"/>
        </w:rPr>
        <w:t>the ITU-D input to the Strategic Plan being elaborated by TDAG in the lead-up to the PP-22</w:t>
      </w:r>
      <w:r w:rsidR="008226C5">
        <w:rPr>
          <w:rFonts w:cstheme="minorHAnsi"/>
        </w:rPr>
        <w:t xml:space="preserve">. </w:t>
      </w:r>
      <w:r w:rsidR="00AD767E">
        <w:rPr>
          <w:rFonts w:cstheme="minorHAnsi"/>
        </w:rPr>
        <w:t xml:space="preserve">APT </w:t>
      </w:r>
      <w:r w:rsidR="00AD767E">
        <w:rPr>
          <w:rFonts w:cstheme="minorHAnsi"/>
          <w:lang w:eastAsia="ko-KR"/>
        </w:rPr>
        <w:t xml:space="preserve">members are urged to </w:t>
      </w:r>
      <w:r w:rsidR="00FC3163">
        <w:rPr>
          <w:rFonts w:cstheme="minorHAnsi"/>
          <w:lang w:eastAsia="ko-KR"/>
        </w:rPr>
        <w:t xml:space="preserve">participate in </w:t>
      </w:r>
      <w:r w:rsidR="00FC3163" w:rsidRPr="00DA4D4A">
        <w:rPr>
          <w:rFonts w:ascii="Calibri" w:hAnsi="Calibri" w:cs="Calibri"/>
          <w:lang w:val="en-CA"/>
        </w:rPr>
        <w:t xml:space="preserve">TDAG Working Group on Strategic and Operational Plan (TDAG-WG-SOP) </w:t>
      </w:r>
      <w:r w:rsidR="00FC3163">
        <w:rPr>
          <w:rFonts w:ascii="Calibri" w:hAnsi="Calibri" w:cs="Calibri"/>
          <w:lang w:val="en-CA"/>
        </w:rPr>
        <w:t xml:space="preserve"> for its discussion and </w:t>
      </w:r>
      <w:r w:rsidR="00AD767E">
        <w:rPr>
          <w:rFonts w:cstheme="minorHAnsi"/>
          <w:lang w:eastAsia="ko-KR"/>
        </w:rPr>
        <w:t xml:space="preserve">review the proposed </w:t>
      </w:r>
      <w:hyperlink r:id="rId10" w:history="1">
        <w:r w:rsidR="00AD767E" w:rsidRPr="002F5556">
          <w:rPr>
            <w:rStyle w:val="Hyperlink"/>
            <w:rFonts w:cstheme="minorHAnsi"/>
            <w:shd w:val="clear" w:color="auto" w:fill="FFFFFF"/>
          </w:rPr>
          <w:t>ITU Strategic Plan Workflow</w:t>
        </w:r>
      </w:hyperlink>
      <w:r w:rsidR="00AD767E">
        <w:rPr>
          <w:rFonts w:cstheme="minorHAnsi"/>
          <w:shd w:val="clear" w:color="auto" w:fill="FFFFFF"/>
        </w:rPr>
        <w:t xml:space="preserve">, </w:t>
      </w:r>
      <w:r w:rsidR="00AD767E" w:rsidRPr="002F5556">
        <w:rPr>
          <w:rFonts w:cstheme="minorHAnsi"/>
          <w:shd w:val="clear" w:color="auto" w:fill="FFFFFF"/>
        </w:rPr>
        <w:t xml:space="preserve">which </w:t>
      </w:r>
      <w:r w:rsidR="00AD767E" w:rsidRPr="002F5556">
        <w:rPr>
          <w:rFonts w:cstheme="minorHAnsi"/>
          <w:lang w:val="en-CA"/>
        </w:rPr>
        <w:t xml:space="preserve">clarifies the timelines for member proposals on the ITU-D component of the </w:t>
      </w:r>
      <w:r w:rsidR="00AD767E">
        <w:rPr>
          <w:rFonts w:cstheme="minorHAnsi"/>
          <w:lang w:val="en-CA"/>
        </w:rPr>
        <w:t xml:space="preserve">ITU </w:t>
      </w:r>
      <w:r w:rsidR="00AD767E" w:rsidRPr="002F5556">
        <w:rPr>
          <w:rFonts w:cstheme="minorHAnsi"/>
          <w:lang w:val="en-CA"/>
        </w:rPr>
        <w:t>strategic plan</w:t>
      </w:r>
      <w:r w:rsidR="00FC3163">
        <w:rPr>
          <w:rFonts w:cstheme="minorHAnsi"/>
          <w:lang w:val="en-CA"/>
        </w:rPr>
        <w:t>.</w:t>
      </w:r>
    </w:p>
    <w:p w14:paraId="5879625E" w14:textId="5BDC558E" w:rsidR="00C2794C" w:rsidRPr="00AD767E" w:rsidRDefault="00C2794C" w:rsidP="00FC3163">
      <w:pPr>
        <w:jc w:val="both"/>
        <w:rPr>
          <w:lang w:val="en-CA" w:eastAsia="ko-KR"/>
        </w:rPr>
      </w:pPr>
    </w:p>
    <w:p w14:paraId="5DE4E9D6" w14:textId="04E677C7" w:rsidR="00D91F98" w:rsidRDefault="00B5420F" w:rsidP="00FC3163">
      <w:pPr>
        <w:jc w:val="both"/>
        <w:rPr>
          <w:rFonts w:eastAsiaTheme="minorEastAsia"/>
          <w:bCs/>
          <w:color w:val="000000"/>
          <w:lang w:eastAsia="ja-JP"/>
        </w:rPr>
      </w:pPr>
      <w:r>
        <w:rPr>
          <w:lang w:val="en-GB" w:eastAsia="ko-KR"/>
        </w:rPr>
        <w:t xml:space="preserve">The Section 2 of Buenos Aires Action Plan </w:t>
      </w:r>
      <w:r w:rsidR="00C7739F">
        <w:rPr>
          <w:rFonts w:eastAsia="Calibri" w:cs="Calibri"/>
        </w:rPr>
        <w:t>specifie</w:t>
      </w:r>
      <w:r w:rsidR="00D91F98" w:rsidRPr="00D91F98">
        <w:rPr>
          <w:rFonts w:eastAsia="Calibri" w:cs="Calibri"/>
        </w:rPr>
        <w:t>d</w:t>
      </w:r>
      <w:r>
        <w:rPr>
          <w:lang w:val="en-GB" w:eastAsia="ko-KR"/>
        </w:rPr>
        <w:t xml:space="preserve"> 11 Programms based on the 4 objectives set out in the ITU-D contribution to the ITU strategic plan(2020-2023)</w:t>
      </w:r>
      <w:r w:rsidR="00D91F98">
        <w:rPr>
          <w:lang w:val="en-GB" w:eastAsia="ko-KR"/>
        </w:rPr>
        <w:t xml:space="preserve"> and the 24</w:t>
      </w:r>
      <w:r w:rsidR="00D91F98">
        <w:rPr>
          <w:vertAlign w:val="superscript"/>
          <w:lang w:val="en-GB" w:eastAsia="ko-KR"/>
        </w:rPr>
        <w:t xml:space="preserve">th </w:t>
      </w:r>
      <w:r w:rsidR="00D91F98">
        <w:rPr>
          <w:lang w:val="en-GB" w:eastAsia="ko-KR"/>
        </w:rPr>
        <w:t xml:space="preserve">meeting of </w:t>
      </w:r>
      <w:r w:rsidR="00D91F98">
        <w:rPr>
          <w:rFonts w:hint="eastAsia"/>
          <w:lang w:val="en-GB" w:eastAsia="ko-KR"/>
        </w:rPr>
        <w:t>T</w:t>
      </w:r>
      <w:r w:rsidR="00D91F98">
        <w:rPr>
          <w:lang w:val="en-GB" w:eastAsia="ko-KR"/>
        </w:rPr>
        <w:t xml:space="preserve">DAG in 2019 </w:t>
      </w:r>
      <w:r w:rsidR="00D91F98">
        <w:rPr>
          <w:rFonts w:eastAsia="Calibri" w:cs="Calibri"/>
        </w:rPr>
        <w:t>endorsed</w:t>
      </w:r>
      <w:r w:rsidR="00D91F98" w:rsidRPr="00957B6C">
        <w:rPr>
          <w:rFonts w:eastAsia="Calibri" w:cs="Calibri"/>
        </w:rPr>
        <w:t xml:space="preserve"> and </w:t>
      </w:r>
      <w:r w:rsidR="00D91F98">
        <w:rPr>
          <w:rFonts w:eastAsia="Calibri" w:cs="Calibri"/>
        </w:rPr>
        <w:t>supported</w:t>
      </w:r>
      <w:r w:rsidR="00D91F98" w:rsidRPr="00957B6C">
        <w:rPr>
          <w:rFonts w:eastAsia="Calibri" w:cs="Calibri"/>
        </w:rPr>
        <w:t xml:space="preserve"> the BDT Director’s strategy </w:t>
      </w:r>
      <w:r w:rsidR="00D91F98" w:rsidRPr="00D91F98">
        <w:rPr>
          <w:rFonts w:eastAsia="Calibri" w:cs="Calibri"/>
        </w:rPr>
        <w:t xml:space="preserve">to establish </w:t>
      </w:r>
      <w:r w:rsidR="00BE2BC0">
        <w:rPr>
          <w:rFonts w:eastAsia="Calibri" w:cs="Calibri"/>
        </w:rPr>
        <w:t>T</w:t>
      </w:r>
      <w:r w:rsidR="00D91F98" w:rsidRPr="00D91F98">
        <w:rPr>
          <w:rFonts w:eastAsia="Calibri" w:cs="Calibri"/>
        </w:rPr>
        <w:t xml:space="preserve">hematic </w:t>
      </w:r>
      <w:r w:rsidR="00BE2BC0">
        <w:rPr>
          <w:rFonts w:eastAsia="Calibri" w:cs="Calibri"/>
        </w:rPr>
        <w:t>C</w:t>
      </w:r>
      <w:r w:rsidR="00D91F98" w:rsidRPr="00D91F98">
        <w:rPr>
          <w:rFonts w:eastAsia="Calibri" w:cs="Calibri"/>
        </w:rPr>
        <w:t>lusters organized around the 11 programmes defined in the Buenos Aires Action Plan adopted by WTDC-17.</w:t>
      </w:r>
      <w:r w:rsidR="00C7739F">
        <w:rPr>
          <w:rFonts w:eastAsia="Calibri" w:cs="Calibri"/>
        </w:rPr>
        <w:t xml:space="preserve"> </w:t>
      </w:r>
      <w:r w:rsidR="00BE2BC0">
        <w:rPr>
          <w:rFonts w:eastAsia="Calibri" w:cs="Calibri"/>
        </w:rPr>
        <w:t xml:space="preserve">TDAG expected this cluster-based approach </w:t>
      </w:r>
      <w:r w:rsidR="00BE2BC0" w:rsidRPr="00BE2BC0">
        <w:rPr>
          <w:rFonts w:eastAsia="Calibri" w:cs="Calibri"/>
        </w:rPr>
        <w:t>will enhance the timeliness and quality of deliverables under the Buenos Aires Action Plan</w:t>
      </w:r>
      <w:r w:rsidR="00816974">
        <w:rPr>
          <w:rFonts w:eastAsia="Calibri" w:cs="Calibri"/>
        </w:rPr>
        <w:t>,</w:t>
      </w:r>
      <w:r w:rsidR="00BE2BC0">
        <w:rPr>
          <w:rFonts w:eastAsia="Calibri" w:cs="Calibri"/>
        </w:rPr>
        <w:t xml:space="preserve"> and 10 thematic priorities adopted by BDT to ensure</w:t>
      </w:r>
      <w:r w:rsidR="00BE2BC0" w:rsidRPr="00BE2BC0">
        <w:t xml:space="preserve"> </w:t>
      </w:r>
      <w:r w:rsidR="00BE2BC0" w:rsidRPr="00BE2BC0">
        <w:rPr>
          <w:rFonts w:eastAsia="Calibri" w:cs="Calibri"/>
        </w:rPr>
        <w:t xml:space="preserve">efficient and effective implementation of </w:t>
      </w:r>
      <w:r w:rsidR="00BE2BC0" w:rsidRPr="00816974">
        <w:rPr>
          <w:rFonts w:eastAsia="Calibri"/>
        </w:rPr>
        <w:t xml:space="preserve">the </w:t>
      </w:r>
      <w:r w:rsidR="00816974" w:rsidRPr="00816974">
        <w:rPr>
          <w:rFonts w:eastAsia="Malgun Gothic"/>
          <w:lang w:eastAsia="ko-KR"/>
        </w:rPr>
        <w:t>ITU-</w:t>
      </w:r>
      <w:r w:rsidR="00816974">
        <w:rPr>
          <w:rFonts w:eastAsia="Calibri" w:cs="Calibri"/>
        </w:rPr>
        <w:t xml:space="preserve">D </w:t>
      </w:r>
      <w:r w:rsidR="00BE2BC0" w:rsidRPr="00BE2BC0">
        <w:rPr>
          <w:rFonts w:eastAsia="Calibri" w:cs="Calibri"/>
        </w:rPr>
        <w:t>work programme</w:t>
      </w:r>
      <w:r w:rsidR="00816974">
        <w:rPr>
          <w:rFonts w:eastAsia="Calibri" w:cs="Calibri"/>
        </w:rPr>
        <w:t>s</w:t>
      </w:r>
      <w:r w:rsidR="00BE2BC0">
        <w:rPr>
          <w:rFonts w:eastAsia="Calibri" w:cs="Calibri"/>
        </w:rPr>
        <w:t>.</w:t>
      </w:r>
      <w:r w:rsidR="00684197">
        <w:rPr>
          <w:rFonts w:eastAsia="Calibri" w:cs="Calibri"/>
        </w:rPr>
        <w:t xml:space="preserve"> (refer to</w:t>
      </w:r>
      <w:r w:rsidR="00684197" w:rsidRPr="00684197">
        <w:rPr>
          <w:rFonts w:eastAsia="Calibri" w:cs="Calibri"/>
        </w:rPr>
        <w:t xml:space="preserve"> </w:t>
      </w:r>
      <w:r w:rsidR="00684197" w:rsidRPr="00684197">
        <w:rPr>
          <w:bCs/>
          <w:color w:val="000000"/>
        </w:rPr>
        <w:t xml:space="preserve">ANNEX </w:t>
      </w:r>
      <w:r w:rsidR="00684197" w:rsidRPr="00684197">
        <w:rPr>
          <w:rFonts w:eastAsiaTheme="minorEastAsia"/>
          <w:bCs/>
          <w:color w:val="000000"/>
          <w:lang w:eastAsia="ja-JP"/>
        </w:rPr>
        <w:t>Ⅲ)</w:t>
      </w:r>
    </w:p>
    <w:p w14:paraId="4DC289DB" w14:textId="77777777" w:rsidR="009637A2" w:rsidRDefault="009637A2" w:rsidP="004F0EF2">
      <w:pPr>
        <w:rPr>
          <w:rFonts w:eastAsiaTheme="minorEastAsia"/>
          <w:bCs/>
          <w:color w:val="000000"/>
          <w:lang w:eastAsia="ja-JP"/>
        </w:rPr>
      </w:pPr>
    </w:p>
    <w:tbl>
      <w:tblPr>
        <w:tblStyle w:val="TableGrid"/>
        <w:tblW w:w="0" w:type="auto"/>
        <w:jc w:val="center"/>
        <w:tblLook w:val="04A0" w:firstRow="1" w:lastRow="0" w:firstColumn="1" w:lastColumn="0" w:noHBand="0" w:noVBand="1"/>
      </w:tblPr>
      <w:tblGrid>
        <w:gridCol w:w="9016"/>
      </w:tblGrid>
      <w:tr w:rsidR="009637A2" w14:paraId="6263E1BE" w14:textId="77777777" w:rsidTr="0048455C">
        <w:trPr>
          <w:jc w:val="center"/>
        </w:trPr>
        <w:tc>
          <w:tcPr>
            <w:tcW w:w="9016" w:type="dxa"/>
            <w:vAlign w:val="center"/>
          </w:tcPr>
          <w:p w14:paraId="147833B2" w14:textId="77777777" w:rsidR="009637A2" w:rsidRPr="00726C31" w:rsidRDefault="009637A2" w:rsidP="0048455C">
            <w:pPr>
              <w:spacing w:before="240" w:after="120"/>
              <w:jc w:val="center"/>
              <w:rPr>
                <w:rFonts w:cstheme="minorHAnsi"/>
                <w:b/>
                <w:bCs/>
              </w:rPr>
            </w:pPr>
            <w:r w:rsidRPr="00726C31">
              <w:rPr>
                <w:rFonts w:ascii="Malgun Gothic" w:eastAsia="Malgun Gothic" w:hAnsi="Malgun Gothic" w:cs="Malgun Gothic" w:hint="eastAsia"/>
                <w:b/>
              </w:rPr>
              <w:t>P</w:t>
            </w:r>
            <w:r w:rsidRPr="00726C31">
              <w:rPr>
                <w:rFonts w:eastAsia="Calibri" w:cs="Calibri"/>
                <w:b/>
              </w:rPr>
              <w:t xml:space="preserve">rogrammes defined in the Buenos Aires Action Plan </w:t>
            </w:r>
            <w:r w:rsidRPr="00726C31">
              <w:rPr>
                <w:rFonts w:cstheme="minorHAnsi"/>
                <w:b/>
                <w:bCs/>
              </w:rPr>
              <w:t>Programme</w:t>
            </w:r>
          </w:p>
        </w:tc>
      </w:tr>
      <w:tr w:rsidR="009637A2" w14:paraId="384E7DB4" w14:textId="77777777" w:rsidTr="0048455C">
        <w:trPr>
          <w:jc w:val="center"/>
        </w:trPr>
        <w:tc>
          <w:tcPr>
            <w:tcW w:w="9016" w:type="dxa"/>
          </w:tcPr>
          <w:p w14:paraId="2CD82B10" w14:textId="77777777" w:rsidR="009637A2" w:rsidRPr="00726C31" w:rsidRDefault="009637A2" w:rsidP="0048455C">
            <w:pPr>
              <w:rPr>
                <w:rFonts w:cstheme="minorHAnsi"/>
              </w:rPr>
            </w:pPr>
            <w:r>
              <w:rPr>
                <w:rFonts w:cstheme="minorHAnsi"/>
              </w:rPr>
              <w:t>-</w:t>
            </w:r>
            <w:r w:rsidRPr="00726C31">
              <w:rPr>
                <w:rFonts w:cstheme="minorHAnsi"/>
              </w:rPr>
              <w:t xml:space="preserve"> Telecoms/ICT network infrastructure and services</w:t>
            </w:r>
          </w:p>
          <w:p w14:paraId="7BF8D402" w14:textId="77777777" w:rsidR="009637A2" w:rsidRPr="00726C31" w:rsidRDefault="009637A2" w:rsidP="0048455C">
            <w:pPr>
              <w:rPr>
                <w:rFonts w:cstheme="minorHAnsi"/>
                <w:bCs/>
                <w:color w:val="000000" w:themeColor="text1"/>
              </w:rPr>
            </w:pPr>
            <w:r w:rsidRPr="00726C31">
              <w:rPr>
                <w:rFonts w:cstheme="minorHAnsi"/>
                <w:bCs/>
                <w:color w:val="000000" w:themeColor="text1"/>
              </w:rPr>
              <w:t>- Cybersecurity</w:t>
            </w:r>
          </w:p>
          <w:p w14:paraId="13EA50B5" w14:textId="77777777" w:rsidR="009637A2" w:rsidRPr="00726C31" w:rsidRDefault="009637A2" w:rsidP="0048455C">
            <w:r w:rsidRPr="00726C31">
              <w:t xml:space="preserve">- </w:t>
            </w:r>
            <w:r w:rsidRPr="00726C31">
              <w:rPr>
                <w:rFonts w:hint="eastAsia"/>
              </w:rPr>
              <w:t>D</w:t>
            </w:r>
            <w:r w:rsidRPr="00726C31">
              <w:t>isaster risk reduction and management, and emergency telecommunications</w:t>
            </w:r>
          </w:p>
          <w:p w14:paraId="1F26EC86" w14:textId="77777777" w:rsidR="009637A2" w:rsidRPr="00726C31" w:rsidRDefault="009637A2" w:rsidP="0048455C">
            <w:r w:rsidRPr="00726C31">
              <w:lastRenderedPageBreak/>
              <w:t xml:space="preserve">- </w:t>
            </w:r>
            <w:r w:rsidRPr="00726C31">
              <w:rPr>
                <w:rFonts w:hint="eastAsia"/>
              </w:rPr>
              <w:t>P</w:t>
            </w:r>
            <w:r w:rsidRPr="00726C31">
              <w:t>olicy and regulatory framework</w:t>
            </w:r>
          </w:p>
          <w:p w14:paraId="334C9012" w14:textId="77777777" w:rsidR="009637A2" w:rsidRPr="00726C31" w:rsidRDefault="009637A2" w:rsidP="0048455C">
            <w:r w:rsidRPr="00726C31">
              <w:t xml:space="preserve">- </w:t>
            </w:r>
            <w:r w:rsidRPr="00726C31">
              <w:rPr>
                <w:rFonts w:hint="eastAsia"/>
              </w:rPr>
              <w:t>I</w:t>
            </w:r>
            <w:r w:rsidRPr="00726C31">
              <w:t>CT data and statistics</w:t>
            </w:r>
          </w:p>
          <w:p w14:paraId="1B3FCFA5" w14:textId="77777777" w:rsidR="009637A2" w:rsidRPr="00726C31" w:rsidRDefault="009637A2" w:rsidP="0048455C">
            <w:r w:rsidRPr="00726C31">
              <w:t xml:space="preserve">- </w:t>
            </w:r>
            <w:r w:rsidRPr="00726C31">
              <w:rPr>
                <w:rFonts w:hint="eastAsia"/>
              </w:rPr>
              <w:t>C</w:t>
            </w:r>
            <w:r w:rsidRPr="00726C31">
              <w:t>apacity building and human skills development</w:t>
            </w:r>
          </w:p>
          <w:p w14:paraId="7A0D9CE4" w14:textId="77777777" w:rsidR="009637A2" w:rsidRPr="00726C31" w:rsidRDefault="009637A2" w:rsidP="0048455C">
            <w:r w:rsidRPr="00726C31">
              <w:t xml:space="preserve">- </w:t>
            </w:r>
            <w:r w:rsidRPr="00726C31">
              <w:rPr>
                <w:rFonts w:hint="eastAsia"/>
              </w:rPr>
              <w:t>I</w:t>
            </w:r>
            <w:r w:rsidRPr="00726C31">
              <w:t>nnovation</w:t>
            </w:r>
          </w:p>
          <w:p w14:paraId="7748E09E" w14:textId="77777777" w:rsidR="009637A2" w:rsidRPr="00726C31" w:rsidRDefault="009637A2" w:rsidP="0048455C">
            <w:r w:rsidRPr="00726C31">
              <w:t xml:space="preserve">- </w:t>
            </w:r>
            <w:r w:rsidRPr="00726C31">
              <w:rPr>
                <w:rFonts w:hint="eastAsia"/>
              </w:rPr>
              <w:t>C</w:t>
            </w:r>
            <w:r w:rsidRPr="00726C31">
              <w:t>oncentrated assistance to LDCs, SIDS, LLDCs and countries with economies in transition</w:t>
            </w:r>
          </w:p>
          <w:p w14:paraId="41DE0F19" w14:textId="77777777" w:rsidR="009637A2" w:rsidRPr="00726C31" w:rsidRDefault="009637A2" w:rsidP="0048455C">
            <w:r w:rsidRPr="00726C31">
              <w:t xml:space="preserve">- </w:t>
            </w:r>
            <w:r w:rsidRPr="00726C31">
              <w:rPr>
                <w:rFonts w:hint="eastAsia"/>
              </w:rPr>
              <w:t>T</w:t>
            </w:r>
            <w:r w:rsidRPr="00726C31">
              <w:t>elecommunication/</w:t>
            </w:r>
            <w:r w:rsidRPr="00726C31">
              <w:rPr>
                <w:rFonts w:hint="eastAsia"/>
              </w:rPr>
              <w:t xml:space="preserve">ICT </w:t>
            </w:r>
            <w:r w:rsidRPr="00726C31">
              <w:t>services and ICT applications</w:t>
            </w:r>
          </w:p>
          <w:p w14:paraId="7EF61C1A" w14:textId="77777777" w:rsidR="009637A2" w:rsidRDefault="009637A2" w:rsidP="0048455C">
            <w:r w:rsidRPr="00726C31">
              <w:t xml:space="preserve">- </w:t>
            </w:r>
            <w:r w:rsidRPr="00726C31">
              <w:rPr>
                <w:rFonts w:hint="eastAsia"/>
              </w:rPr>
              <w:t>D</w:t>
            </w:r>
            <w:r w:rsidRPr="00726C31">
              <w:t>igital inclusion for empowering women and girls, persons with disabilities and other people with specific needs</w:t>
            </w:r>
          </w:p>
          <w:p w14:paraId="42A11279" w14:textId="77777777" w:rsidR="009637A2" w:rsidRPr="009637A2" w:rsidRDefault="009637A2" w:rsidP="0048455C">
            <w:r>
              <w:t xml:space="preserve">- </w:t>
            </w:r>
            <w:r w:rsidRPr="00726C31">
              <w:t xml:space="preserve"> </w:t>
            </w:r>
            <w:r w:rsidRPr="00726C31">
              <w:rPr>
                <w:rFonts w:hint="eastAsia"/>
              </w:rPr>
              <w:t>C</w:t>
            </w:r>
            <w:r w:rsidRPr="00726C31">
              <w:t>limate-change adaptation and mitigation</w:t>
            </w:r>
          </w:p>
        </w:tc>
      </w:tr>
    </w:tbl>
    <w:p w14:paraId="55FC23B2" w14:textId="77777777" w:rsidR="00816974" w:rsidRDefault="00816974" w:rsidP="004F0EF2">
      <w:pPr>
        <w:rPr>
          <w:rFonts w:eastAsia="Calibri" w:cs="Calibri"/>
        </w:rPr>
      </w:pPr>
    </w:p>
    <w:p w14:paraId="144CA01B" w14:textId="626F6875" w:rsidR="00C2794C" w:rsidRDefault="00AD767E" w:rsidP="00FC3163">
      <w:pPr>
        <w:jc w:val="both"/>
        <w:rPr>
          <w:lang w:val="en-GB" w:eastAsia="ko-KR"/>
        </w:rPr>
      </w:pPr>
      <w:r>
        <w:rPr>
          <w:lang w:val="en-GB" w:eastAsia="ko-KR"/>
        </w:rPr>
        <w:t>With noting th</w:t>
      </w:r>
      <w:r w:rsidR="00816974">
        <w:rPr>
          <w:lang w:val="en-GB" w:eastAsia="ko-KR"/>
        </w:rPr>
        <w:t>e</w:t>
      </w:r>
      <w:r>
        <w:rPr>
          <w:lang w:val="en-GB" w:eastAsia="ko-KR"/>
        </w:rPr>
        <w:t>s</w:t>
      </w:r>
      <w:r w:rsidR="00816974">
        <w:rPr>
          <w:lang w:val="en-GB" w:eastAsia="ko-KR"/>
        </w:rPr>
        <w:t>e</w:t>
      </w:r>
      <w:r>
        <w:rPr>
          <w:lang w:val="en-GB" w:eastAsia="ko-KR"/>
        </w:rPr>
        <w:t xml:space="preserve">, </w:t>
      </w:r>
      <w:r w:rsidR="009637A2">
        <w:rPr>
          <w:rFonts w:cstheme="minorHAnsi"/>
        </w:rPr>
        <w:t>when we consider</w:t>
      </w:r>
      <w:r w:rsidR="009637A2" w:rsidRPr="00605173">
        <w:t xml:space="preserve"> matters relating to ITU-D Programmes, Study Groups and Associated Questions</w:t>
      </w:r>
      <w:r w:rsidR="009637A2">
        <w:rPr>
          <w:rFonts w:cstheme="minorHAnsi"/>
        </w:rPr>
        <w:t xml:space="preserve">, </w:t>
      </w:r>
      <w:r w:rsidR="00F46500">
        <w:rPr>
          <w:lang w:val="en-GB" w:eastAsia="ko-KR"/>
        </w:rPr>
        <w:t xml:space="preserve">we need to take into accounts the </w:t>
      </w:r>
      <w:r w:rsidR="00FD7FDB">
        <w:rPr>
          <w:lang w:val="en-GB" w:eastAsia="ko-KR"/>
        </w:rPr>
        <w:t>ITU-D t</w:t>
      </w:r>
      <w:r w:rsidR="00F46500">
        <w:rPr>
          <w:lang w:val="en-GB" w:eastAsia="ko-KR"/>
        </w:rPr>
        <w:t xml:space="preserve">hematic </w:t>
      </w:r>
      <w:r w:rsidR="00FD7FDB">
        <w:rPr>
          <w:lang w:val="en-GB" w:eastAsia="ko-KR"/>
        </w:rPr>
        <w:t>p</w:t>
      </w:r>
      <w:r w:rsidR="00F46500">
        <w:rPr>
          <w:lang w:val="en-GB" w:eastAsia="ko-KR"/>
        </w:rPr>
        <w:t xml:space="preserve">riorities </w:t>
      </w:r>
      <w:r w:rsidR="00FD7FDB">
        <w:rPr>
          <w:lang w:val="en-GB" w:eastAsia="ko-KR"/>
        </w:rPr>
        <w:t xml:space="preserve">for the next cycle which is currently discussing at </w:t>
      </w:r>
      <w:r w:rsidR="00FD7FDB">
        <w:rPr>
          <w:rFonts w:cstheme="minorHAnsi"/>
        </w:rPr>
        <w:t>the TDAG Working Group on Resolutions, Declaration and Thematic Priorities(TDAG-WG-RDTP)</w:t>
      </w:r>
      <w:r w:rsidR="009637A2">
        <w:rPr>
          <w:rFonts w:cstheme="minorHAnsi"/>
        </w:rPr>
        <w:t>.</w:t>
      </w:r>
      <w:r w:rsidR="00684197" w:rsidRPr="00A54B12">
        <w:t>TDAG-WG-RDTP</w:t>
      </w:r>
      <w:r w:rsidR="00684197">
        <w:t xml:space="preserve"> </w:t>
      </w:r>
      <w:r w:rsidR="00684197" w:rsidRPr="00A54B12">
        <w:t>has held three virtual meetings in 2020 and 2021</w:t>
      </w:r>
      <w:r w:rsidR="00684197">
        <w:t>. At its third meeting in, four Thematic Priorities we</w:t>
      </w:r>
      <w:r w:rsidR="00684197" w:rsidRPr="00456F80">
        <w:t>re proposed to assist ITU membership in their preparations for WTDC-21</w:t>
      </w:r>
      <w:r w:rsidR="00684197">
        <w:t xml:space="preserve">. </w:t>
      </w:r>
      <w:r w:rsidR="00684197" w:rsidRPr="00A54B12">
        <w:t>Please refer to</w:t>
      </w:r>
      <w:r w:rsidR="00684197">
        <w:t xml:space="preserve"> Annex </w:t>
      </w:r>
      <w:r w:rsidR="00E4406B" w:rsidRPr="00684197">
        <w:rPr>
          <w:rFonts w:eastAsiaTheme="minorEastAsia"/>
          <w:bCs/>
          <w:color w:val="000000"/>
          <w:lang w:eastAsia="ja-JP"/>
        </w:rPr>
        <w:t>Ⅲ</w:t>
      </w:r>
      <w:r w:rsidR="009637A2">
        <w:rPr>
          <w:rFonts w:eastAsiaTheme="minorEastAsia"/>
          <w:lang w:eastAsia="ja-JP"/>
        </w:rPr>
        <w:t>.</w:t>
      </w:r>
    </w:p>
    <w:bookmarkEnd w:id="0"/>
    <w:p w14:paraId="18FEAF41" w14:textId="77777777" w:rsidR="0090038F" w:rsidRPr="00A54B12" w:rsidRDefault="0090038F" w:rsidP="00FC3163">
      <w:pPr>
        <w:jc w:val="both"/>
      </w:pPr>
    </w:p>
    <w:p w14:paraId="6D6923B3" w14:textId="1B0F8B33" w:rsidR="00F960FC" w:rsidRPr="001A696A" w:rsidRDefault="00D10AFB" w:rsidP="00FC3163">
      <w:pPr>
        <w:jc w:val="both"/>
      </w:pPr>
      <w:r>
        <w:t>3.</w:t>
      </w:r>
      <w:r w:rsidR="009637A2">
        <w:t>4</w:t>
      </w:r>
      <w:r>
        <w:t xml:space="preserve">    </w:t>
      </w:r>
      <w:r w:rsidR="00F960FC" w:rsidRPr="001A696A">
        <w:t xml:space="preserve">APT Members may </w:t>
      </w:r>
      <w:r w:rsidR="00F960FC">
        <w:t>wish to provide</w:t>
      </w:r>
      <w:r w:rsidR="00F960FC" w:rsidRPr="001A696A">
        <w:t xml:space="preserve"> comments on the discussion areas</w:t>
      </w:r>
      <w:r>
        <w:t xml:space="preserve"> stated in this section an</w:t>
      </w:r>
      <w:r w:rsidR="00F960FC" w:rsidRPr="001A696A">
        <w:t xml:space="preserve">d </w:t>
      </w:r>
      <w:r w:rsidR="00F960FC">
        <w:t xml:space="preserve">also propose </w:t>
      </w:r>
      <w:r w:rsidR="00F960FC" w:rsidRPr="001A696A">
        <w:t>additional issues, if any, for consideration relevant to WG</w:t>
      </w:r>
      <w:r w:rsidR="00E4406B">
        <w:t>1</w:t>
      </w:r>
      <w:r w:rsidR="00F960FC" w:rsidRPr="001A696A">
        <w:t xml:space="preserve">. </w:t>
      </w:r>
    </w:p>
    <w:p w14:paraId="1B234ACC" w14:textId="77777777" w:rsidR="009C05C2" w:rsidRPr="00A745F7" w:rsidRDefault="009C05C2" w:rsidP="009C05C2"/>
    <w:p w14:paraId="33F9342D" w14:textId="0F4BA435" w:rsidR="009C05C2" w:rsidRDefault="009C05C2" w:rsidP="009C05C2">
      <w:pPr>
        <w:pStyle w:val="Level1"/>
        <w:numPr>
          <w:ilvl w:val="0"/>
          <w:numId w:val="9"/>
        </w:numPr>
        <w:ind w:left="360"/>
        <w:rPr>
          <w:b/>
          <w:bCs/>
        </w:rPr>
      </w:pPr>
      <w:r w:rsidRPr="00A745F7">
        <w:rPr>
          <w:b/>
          <w:bCs/>
        </w:rPr>
        <w:t>CONCLUSION</w:t>
      </w:r>
      <w:r>
        <w:rPr>
          <w:b/>
          <w:bCs/>
        </w:rPr>
        <w:t>S</w:t>
      </w:r>
    </w:p>
    <w:p w14:paraId="63E74E3B" w14:textId="77777777" w:rsidR="009637A2" w:rsidRPr="009637A2" w:rsidRDefault="009637A2" w:rsidP="009637A2"/>
    <w:p w14:paraId="07C2B514" w14:textId="11B33F68" w:rsidR="00D10AFB" w:rsidRPr="008B4CD0" w:rsidRDefault="00F960FC" w:rsidP="00F960FC">
      <w:pPr>
        <w:jc w:val="both"/>
        <w:rPr>
          <w:rFonts w:cs="Calibri"/>
          <w:bCs/>
        </w:rPr>
      </w:pPr>
      <w:r w:rsidRPr="008B4CD0">
        <w:rPr>
          <w:rFonts w:cs="Calibri"/>
          <w:bCs/>
        </w:rPr>
        <w:t>The WG</w:t>
      </w:r>
      <w:r w:rsidR="003E42B5">
        <w:rPr>
          <w:rFonts w:cs="Calibri"/>
          <w:bCs/>
        </w:rPr>
        <w:t>1</w:t>
      </w:r>
      <w:r w:rsidRPr="008B4CD0">
        <w:rPr>
          <w:rFonts w:cs="Calibri"/>
          <w:bCs/>
        </w:rPr>
        <w:t xml:space="preserve"> Chair and Vice-Chair welcome comments and suggestions from APT Members in relation to this issue</w:t>
      </w:r>
      <w:r w:rsidRPr="008B4CD0">
        <w:rPr>
          <w:rFonts w:cs="Calibri"/>
          <w:bCs/>
          <w:strike/>
        </w:rPr>
        <w:t>s</w:t>
      </w:r>
      <w:r w:rsidRPr="008B4CD0">
        <w:rPr>
          <w:rFonts w:cs="Calibri"/>
          <w:bCs/>
        </w:rPr>
        <w:t xml:space="preserve"> paper.</w:t>
      </w:r>
    </w:p>
    <w:p w14:paraId="0A1C8E6C" w14:textId="6BCDDD47" w:rsidR="002E2B2D" w:rsidRDefault="002E2B2D"/>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2"/>
        <w:gridCol w:w="4843"/>
      </w:tblGrid>
      <w:tr w:rsidR="00F960FC" w:rsidRPr="00C443E2" w14:paraId="3F927CE0" w14:textId="77777777" w:rsidTr="0090038F">
        <w:tc>
          <w:tcPr>
            <w:tcW w:w="5052" w:type="dxa"/>
          </w:tcPr>
          <w:p w14:paraId="7CEB7334" w14:textId="77777777" w:rsidR="00F960FC" w:rsidRPr="00C443E2" w:rsidRDefault="00F960FC" w:rsidP="004223AC">
            <w:pPr>
              <w:jc w:val="center"/>
              <w:rPr>
                <w:b/>
              </w:rPr>
            </w:pPr>
            <w:r w:rsidRPr="00C443E2">
              <w:rPr>
                <w:b/>
              </w:rPr>
              <w:t>Chair</w:t>
            </w:r>
          </w:p>
        </w:tc>
        <w:tc>
          <w:tcPr>
            <w:tcW w:w="4843" w:type="dxa"/>
          </w:tcPr>
          <w:p w14:paraId="6FAF9FCD" w14:textId="77777777" w:rsidR="00F960FC" w:rsidRPr="00C443E2" w:rsidRDefault="00F960FC" w:rsidP="004223AC">
            <w:pPr>
              <w:jc w:val="center"/>
              <w:rPr>
                <w:b/>
              </w:rPr>
            </w:pPr>
            <w:r w:rsidRPr="00C443E2">
              <w:rPr>
                <w:b/>
              </w:rPr>
              <w:t>Vice Chair</w:t>
            </w:r>
          </w:p>
        </w:tc>
      </w:tr>
      <w:tr w:rsidR="00F960FC" w:rsidRPr="00C443E2" w14:paraId="646E724E" w14:textId="77777777" w:rsidTr="0090038F">
        <w:tc>
          <w:tcPr>
            <w:tcW w:w="5052" w:type="dxa"/>
          </w:tcPr>
          <w:p w14:paraId="71CD6B86" w14:textId="46682732" w:rsidR="00F960FC" w:rsidRDefault="00647930" w:rsidP="004223AC">
            <w:pPr>
              <w:rPr>
                <w:b/>
                <w:bCs/>
                <w:u w:val="single"/>
                <w:lang w:val="pt-BR"/>
              </w:rPr>
            </w:pPr>
            <w:r>
              <w:rPr>
                <w:b/>
                <w:bCs/>
                <w:u w:val="single"/>
                <w:lang w:val="pt-BR"/>
              </w:rPr>
              <w:t>Republic of Korea</w:t>
            </w:r>
          </w:p>
          <w:p w14:paraId="70A2DED3" w14:textId="77777777" w:rsidR="00F960FC" w:rsidRPr="00C443E2" w:rsidRDefault="00F960FC" w:rsidP="004223AC">
            <w:pPr>
              <w:rPr>
                <w:lang w:val="pt-BR"/>
              </w:rPr>
            </w:pPr>
          </w:p>
          <w:p w14:paraId="334B3B44" w14:textId="385EFB82" w:rsidR="00F960FC" w:rsidRDefault="00F960FC" w:rsidP="004223AC">
            <w:pPr>
              <w:rPr>
                <w:rFonts w:cs="Calibri"/>
                <w:bCs/>
              </w:rPr>
            </w:pPr>
            <w:r>
              <w:rPr>
                <w:rFonts w:cs="Calibri"/>
                <w:bCs/>
              </w:rPr>
              <w:t>M</w:t>
            </w:r>
            <w:r w:rsidR="0090038F">
              <w:rPr>
                <w:rFonts w:cs="Calibri"/>
                <w:bCs/>
              </w:rPr>
              <w:t>s</w:t>
            </w:r>
            <w:r>
              <w:rPr>
                <w:rFonts w:cs="Calibri"/>
                <w:bCs/>
              </w:rPr>
              <w:t xml:space="preserve">. </w:t>
            </w:r>
            <w:r w:rsidR="0090038F">
              <w:rPr>
                <w:rFonts w:cs="Calibri"/>
                <w:bCs/>
              </w:rPr>
              <w:t>M</w:t>
            </w:r>
            <w:r w:rsidR="00647930">
              <w:rPr>
                <w:rFonts w:cs="Calibri"/>
                <w:bCs/>
              </w:rPr>
              <w:t>ina Se</w:t>
            </w:r>
            <w:r w:rsidR="0090038F">
              <w:rPr>
                <w:rFonts w:cs="Calibri"/>
                <w:bCs/>
              </w:rPr>
              <w:t>o</w:t>
            </w:r>
            <w:r w:rsidR="00647930">
              <w:rPr>
                <w:rFonts w:cs="Calibri"/>
                <w:bCs/>
              </w:rPr>
              <w:t>nmin</w:t>
            </w:r>
            <w:r w:rsidR="0090038F">
              <w:rPr>
                <w:rFonts w:cs="Calibri"/>
                <w:bCs/>
              </w:rPr>
              <w:t xml:space="preserve"> </w:t>
            </w:r>
            <w:r w:rsidR="00647930">
              <w:rPr>
                <w:rFonts w:cs="Calibri"/>
                <w:bCs/>
              </w:rPr>
              <w:t>Jun</w:t>
            </w:r>
          </w:p>
          <w:p w14:paraId="2EE38CE9" w14:textId="77777777" w:rsidR="00E55F67" w:rsidRPr="00A35842" w:rsidRDefault="00E55F67" w:rsidP="004223AC">
            <w:pPr>
              <w:rPr>
                <w:rFonts w:cs="Calibri"/>
                <w:bCs/>
              </w:rPr>
            </w:pPr>
          </w:p>
          <w:p w14:paraId="650A4EDB" w14:textId="2D267B90" w:rsidR="00E55F67" w:rsidRPr="00E55F67" w:rsidRDefault="00E55F67" w:rsidP="00E55F67">
            <w:pPr>
              <w:rPr>
                <w:rFonts w:cs="Calibri"/>
                <w:bCs/>
              </w:rPr>
            </w:pPr>
            <w:r w:rsidRPr="00E55F67">
              <w:rPr>
                <w:rFonts w:cs="Calibri"/>
                <w:bCs/>
              </w:rPr>
              <w:t>Policy Advis</w:t>
            </w:r>
            <w:r>
              <w:rPr>
                <w:rFonts w:cs="Calibri"/>
                <w:bCs/>
              </w:rPr>
              <w:t>o</w:t>
            </w:r>
            <w:r w:rsidRPr="00E55F67">
              <w:rPr>
                <w:rFonts w:cs="Calibri"/>
                <w:bCs/>
              </w:rPr>
              <w:t>r</w:t>
            </w:r>
          </w:p>
          <w:p w14:paraId="661B6835" w14:textId="6E20A9C4" w:rsidR="00E55F67" w:rsidRDefault="00E55F67" w:rsidP="00E55F67">
            <w:pPr>
              <w:rPr>
                <w:rFonts w:cs="Calibri"/>
                <w:bCs/>
              </w:rPr>
            </w:pPr>
            <w:r w:rsidRPr="00E55F67">
              <w:rPr>
                <w:rFonts w:cs="Calibri"/>
                <w:bCs/>
              </w:rPr>
              <w:t xml:space="preserve">Department of </w:t>
            </w:r>
            <w:r>
              <w:rPr>
                <w:rFonts w:cs="Calibri"/>
                <w:bCs/>
              </w:rPr>
              <w:t>Multilateral</w:t>
            </w:r>
            <w:r w:rsidRPr="00E55F67">
              <w:rPr>
                <w:rFonts w:cs="Calibri"/>
                <w:bCs/>
              </w:rPr>
              <w:t xml:space="preserve"> Cooperation Research</w:t>
            </w:r>
          </w:p>
          <w:p w14:paraId="761DC17B" w14:textId="74EA5D48" w:rsidR="00E55F67" w:rsidRPr="00E55F67" w:rsidRDefault="00E55F67" w:rsidP="00E55F67">
            <w:pPr>
              <w:rPr>
                <w:rFonts w:cs="Calibri"/>
                <w:bCs/>
                <w:lang w:eastAsia="ko-KR"/>
              </w:rPr>
            </w:pPr>
            <w:r>
              <w:rPr>
                <w:rFonts w:cs="Calibri" w:hint="eastAsia"/>
                <w:bCs/>
                <w:lang w:eastAsia="ko-KR"/>
              </w:rPr>
              <w:t>I</w:t>
            </w:r>
            <w:r>
              <w:rPr>
                <w:rFonts w:cs="Calibri"/>
                <w:bCs/>
                <w:lang w:eastAsia="ko-KR"/>
              </w:rPr>
              <w:t>nternational Cooperation Research Division</w:t>
            </w:r>
          </w:p>
          <w:p w14:paraId="1B8A7141" w14:textId="77777777" w:rsidR="00E55F67" w:rsidRDefault="00E55F67" w:rsidP="00E55F67">
            <w:pPr>
              <w:rPr>
                <w:rFonts w:cs="Calibri"/>
                <w:bCs/>
              </w:rPr>
            </w:pPr>
            <w:r w:rsidRPr="00E55F67">
              <w:rPr>
                <w:rFonts w:cs="Calibri"/>
                <w:bCs/>
              </w:rPr>
              <w:t>Korea Information Society Development Institute(KISDI)</w:t>
            </w:r>
          </w:p>
          <w:p w14:paraId="30F639B1" w14:textId="373A584D" w:rsidR="00F960FC" w:rsidRPr="00A35842" w:rsidRDefault="00F960FC" w:rsidP="004223AC">
            <w:pPr>
              <w:rPr>
                <w:rFonts w:cs="Calibri"/>
                <w:bCs/>
              </w:rPr>
            </w:pPr>
          </w:p>
          <w:p w14:paraId="710FFBD0" w14:textId="3537B329" w:rsidR="00F960FC" w:rsidRPr="00A35842" w:rsidRDefault="0090038F" w:rsidP="004223AC">
            <w:pPr>
              <w:rPr>
                <w:rFonts w:cs="Calibri"/>
                <w:bCs/>
              </w:rPr>
            </w:pPr>
            <w:r>
              <w:rPr>
                <w:rFonts w:cs="Calibri"/>
                <w:bCs/>
              </w:rPr>
              <w:t>Tel: +8</w:t>
            </w:r>
            <w:r w:rsidR="00647930">
              <w:rPr>
                <w:rFonts w:cs="Calibri"/>
                <w:bCs/>
              </w:rPr>
              <w:t>2</w:t>
            </w:r>
            <w:r>
              <w:rPr>
                <w:rFonts w:cs="Calibri"/>
                <w:bCs/>
              </w:rPr>
              <w:t xml:space="preserve"> </w:t>
            </w:r>
            <w:r w:rsidR="003E42B5">
              <w:rPr>
                <w:rFonts w:cs="Calibri"/>
                <w:bCs/>
              </w:rPr>
              <w:t>43</w:t>
            </w:r>
            <w:r>
              <w:rPr>
                <w:rFonts w:cs="Calibri"/>
                <w:bCs/>
              </w:rPr>
              <w:t xml:space="preserve"> 53</w:t>
            </w:r>
            <w:r w:rsidR="003E42B5">
              <w:rPr>
                <w:rFonts w:cs="Calibri"/>
                <w:bCs/>
              </w:rPr>
              <w:t>1</w:t>
            </w:r>
            <w:r w:rsidR="00F960FC" w:rsidRPr="00A35842">
              <w:rPr>
                <w:rFonts w:cs="Calibri"/>
                <w:bCs/>
              </w:rPr>
              <w:t xml:space="preserve"> </w:t>
            </w:r>
            <w:r w:rsidR="003E42B5">
              <w:rPr>
                <w:rFonts w:cs="Calibri"/>
                <w:bCs/>
              </w:rPr>
              <w:t>418</w:t>
            </w:r>
            <w:r>
              <w:rPr>
                <w:rFonts w:cs="Calibri"/>
                <w:bCs/>
              </w:rPr>
              <w:t>2</w:t>
            </w:r>
          </w:p>
          <w:p w14:paraId="0D3C4377" w14:textId="24054B5F" w:rsidR="00F960FC" w:rsidRDefault="00F960FC" w:rsidP="004223AC">
            <w:pPr>
              <w:rPr>
                <w:rFonts w:cs="Calibri"/>
                <w:bCs/>
              </w:rPr>
            </w:pPr>
            <w:r w:rsidRPr="00A35842">
              <w:rPr>
                <w:rFonts w:cs="Calibri"/>
                <w:bCs/>
              </w:rPr>
              <w:t xml:space="preserve">Email: </w:t>
            </w:r>
            <w:hyperlink r:id="rId11" w:history="1">
              <w:r w:rsidR="003E42B5" w:rsidRPr="008837E4">
                <w:rPr>
                  <w:rStyle w:val="Hyperlink"/>
                  <w:rFonts w:hint="eastAsia"/>
                  <w:lang w:eastAsia="ko-KR"/>
                </w:rPr>
                <w:t>j</w:t>
              </w:r>
              <w:r w:rsidR="003E42B5" w:rsidRPr="008837E4">
                <w:rPr>
                  <w:rStyle w:val="Hyperlink"/>
                  <w:lang w:eastAsia="ko-KR"/>
                </w:rPr>
                <w:t>smia@kisdi.re.kr</w:t>
              </w:r>
            </w:hyperlink>
            <w:r w:rsidR="003E42B5">
              <w:rPr>
                <w:rStyle w:val="Hyperlink"/>
                <w:rFonts w:cs="Calibri"/>
                <w:bCs/>
              </w:rPr>
              <w:t xml:space="preserve"> </w:t>
            </w:r>
          </w:p>
          <w:p w14:paraId="5BF4EB18" w14:textId="77777777" w:rsidR="00F960FC" w:rsidRPr="00B57C75" w:rsidRDefault="00F960FC" w:rsidP="004223AC">
            <w:pPr>
              <w:rPr>
                <w:rFonts w:cs="Calibri"/>
                <w:bCs/>
              </w:rPr>
            </w:pPr>
          </w:p>
        </w:tc>
        <w:tc>
          <w:tcPr>
            <w:tcW w:w="4843" w:type="dxa"/>
          </w:tcPr>
          <w:p w14:paraId="5DEBE0C4" w14:textId="79DB891C" w:rsidR="00F960FC" w:rsidRPr="00DC640A" w:rsidRDefault="003E42B5" w:rsidP="004223AC">
            <w:pPr>
              <w:rPr>
                <w:b/>
                <w:u w:val="single"/>
              </w:rPr>
            </w:pPr>
            <w:r w:rsidRPr="003E42B5">
              <w:rPr>
                <w:b/>
                <w:bCs/>
                <w:u w:val="single"/>
              </w:rPr>
              <w:t>People’s Republic of China</w:t>
            </w:r>
          </w:p>
          <w:p w14:paraId="3D1AB25E" w14:textId="77777777" w:rsidR="00F960FC" w:rsidRDefault="00F960FC" w:rsidP="004223AC"/>
          <w:p w14:paraId="7977F014" w14:textId="2EF8F195" w:rsidR="003E42B5" w:rsidRPr="003E42B5" w:rsidRDefault="003E42B5" w:rsidP="003E42B5">
            <w:r w:rsidRPr="003E42B5">
              <w:t>Ms. Yapeng Wang</w:t>
            </w:r>
          </w:p>
          <w:p w14:paraId="38257AE0" w14:textId="77777777" w:rsidR="00C60A2B" w:rsidRDefault="00C60A2B" w:rsidP="00C60A2B"/>
          <w:p w14:paraId="270CF02B" w14:textId="77777777" w:rsidR="00F960FC" w:rsidRDefault="00F960FC" w:rsidP="003E42B5"/>
          <w:p w14:paraId="63BA694F" w14:textId="77777777" w:rsidR="003E42B5" w:rsidRDefault="003E42B5" w:rsidP="003E42B5">
            <w:pPr>
              <w:rPr>
                <w:rFonts w:eastAsia="MS Mincho"/>
                <w:b/>
                <w:bCs/>
                <w:u w:val="single"/>
                <w:lang w:eastAsia="ja-JP"/>
              </w:rPr>
            </w:pPr>
            <w:r w:rsidRPr="003E42B5">
              <w:rPr>
                <w:rFonts w:eastAsia="MS Mincho"/>
                <w:b/>
                <w:bCs/>
                <w:u w:val="single"/>
                <w:lang w:eastAsia="ja-JP"/>
              </w:rPr>
              <w:t>Islamic Republic of Iran</w:t>
            </w:r>
          </w:p>
          <w:p w14:paraId="63B5C2CD" w14:textId="77777777" w:rsidR="003E42B5" w:rsidRDefault="003E42B5" w:rsidP="003E42B5">
            <w:pPr>
              <w:rPr>
                <w:b/>
                <w:u w:val="single"/>
              </w:rPr>
            </w:pPr>
          </w:p>
          <w:p w14:paraId="2986C75B" w14:textId="77777777" w:rsidR="003E42B5" w:rsidRPr="003E42B5" w:rsidRDefault="003E42B5" w:rsidP="003E42B5">
            <w:r w:rsidRPr="003E42B5">
              <w:t xml:space="preserve">Ms. Maryam Espandar </w:t>
            </w:r>
          </w:p>
          <w:p w14:paraId="5EE3CE4E" w14:textId="0166E6ED" w:rsidR="003E42B5" w:rsidRPr="003E42B5" w:rsidRDefault="003E42B5" w:rsidP="003E42B5">
            <w:pPr>
              <w:rPr>
                <w:b/>
                <w:u w:val="single"/>
              </w:rPr>
            </w:pPr>
          </w:p>
        </w:tc>
      </w:tr>
    </w:tbl>
    <w:p w14:paraId="3628C7A4" w14:textId="7C6CB6B6" w:rsidR="002E2B2D" w:rsidRDefault="002E2B2D" w:rsidP="002E2B2D"/>
    <w:p w14:paraId="2A1EF2D2" w14:textId="399A8252" w:rsidR="002F6040" w:rsidRDefault="002F6040">
      <w:r>
        <w:br w:type="page"/>
      </w:r>
    </w:p>
    <w:p w14:paraId="03ACE423" w14:textId="6576340E" w:rsidR="00A2417E" w:rsidRPr="00007053" w:rsidRDefault="00404C9A" w:rsidP="00167D77">
      <w:pPr>
        <w:tabs>
          <w:tab w:val="left" w:pos="0"/>
        </w:tabs>
        <w:rPr>
          <w:b/>
          <w:bCs/>
          <w:caps/>
          <w:u w:val="single"/>
        </w:rPr>
      </w:pPr>
      <w:r w:rsidRPr="00007053">
        <w:rPr>
          <w:b/>
          <w:bCs/>
          <w:caps/>
        </w:rPr>
        <w:lastRenderedPageBreak/>
        <w:t xml:space="preserve">ANNEX </w:t>
      </w:r>
      <w:r w:rsidR="00007053">
        <w:rPr>
          <w:b/>
          <w:bCs/>
          <w:caps/>
        </w:rPr>
        <w:t>Ⅰ</w:t>
      </w:r>
      <w:r w:rsidRPr="00007053">
        <w:rPr>
          <w:b/>
          <w:bCs/>
          <w:caps/>
        </w:rPr>
        <w:t>:</w:t>
      </w:r>
      <w:r w:rsidR="00167D77" w:rsidRPr="00007053">
        <w:rPr>
          <w:rFonts w:eastAsiaTheme="minorEastAsia"/>
          <w:b/>
          <w:bCs/>
          <w:caps/>
          <w:lang w:eastAsia="ja-JP"/>
        </w:rPr>
        <w:t xml:space="preserve"> </w:t>
      </w:r>
      <w:r w:rsidR="00E4406B" w:rsidRPr="00E4406B">
        <w:rPr>
          <w:b/>
          <w:bCs/>
          <w:caps/>
        </w:rPr>
        <w:t xml:space="preserve">Questions assigned by the World Telecommunication Development Conference to ITU-D study groups </w:t>
      </w:r>
    </w:p>
    <w:p w14:paraId="07447F50" w14:textId="3ADAB57F" w:rsidR="002F6040" w:rsidRDefault="002F6040" w:rsidP="002F6040">
      <w:pPr>
        <w:tabs>
          <w:tab w:val="left" w:pos="0"/>
        </w:tabs>
        <w:jc w:val="center"/>
        <w:rPr>
          <w:b/>
          <w:bCs/>
          <w:caps/>
          <w:u w:val="single"/>
        </w:rPr>
      </w:pPr>
      <w:r>
        <w:rPr>
          <w:b/>
          <w:bCs/>
          <w:caps/>
          <w:u w:val="single"/>
        </w:rPr>
        <w:t xml:space="preserve"> </w:t>
      </w:r>
    </w:p>
    <w:p w14:paraId="69D4E166" w14:textId="77777777" w:rsidR="002F6040" w:rsidRDefault="002F6040" w:rsidP="002F6040">
      <w:pPr>
        <w:tabs>
          <w:tab w:val="left" w:pos="0"/>
        </w:tabs>
        <w:rPr>
          <w:b/>
          <w:bCs/>
          <w:caps/>
          <w:u w:val="single"/>
        </w:rPr>
      </w:pPr>
    </w:p>
    <w:p w14:paraId="0AA15B8B" w14:textId="77777777" w:rsidR="00E4406B" w:rsidRPr="00F13C9A" w:rsidRDefault="00E4406B" w:rsidP="00E4406B">
      <w:pPr>
        <w:spacing w:after="200" w:line="216" w:lineRule="auto"/>
        <w:rPr>
          <w:b/>
          <w:bCs/>
        </w:rPr>
      </w:pPr>
      <w:r w:rsidRPr="00F13C9A">
        <w:rPr>
          <w:b/>
          <w:bCs/>
        </w:rPr>
        <w:t>Study Group 1</w:t>
      </w:r>
    </w:p>
    <w:p w14:paraId="6B419300"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1/1</w:t>
      </w:r>
      <w:r w:rsidRPr="00F13C9A">
        <w:t>: Strategies and policies for the deployment of broadband</w:t>
      </w:r>
      <w:r>
        <w:t xml:space="preserve"> </w:t>
      </w:r>
      <w:r w:rsidRPr="00F13C9A">
        <w:t>in developing countries</w:t>
      </w:r>
    </w:p>
    <w:p w14:paraId="4DB146FC"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2/1</w:t>
      </w:r>
      <w:r w:rsidRPr="00F13C9A">
        <w:t>: Strategies, policies, regulations and methods of migration</w:t>
      </w:r>
      <w:r>
        <w:t xml:space="preserve"> </w:t>
      </w:r>
      <w:r w:rsidRPr="00F13C9A">
        <w:t>to and adoption of digital broadcasting and implementation of new</w:t>
      </w:r>
      <w:r>
        <w:t xml:space="preserve"> </w:t>
      </w:r>
      <w:r w:rsidRPr="00F13C9A">
        <w:t>services</w:t>
      </w:r>
    </w:p>
    <w:p w14:paraId="24FCFF40"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3/1</w:t>
      </w:r>
      <w:r w:rsidRPr="00F13C9A">
        <w:t>: Emerging technologies, including cloud computing, m</w:t>
      </w:r>
      <w:r>
        <w:t>-</w:t>
      </w:r>
      <w:r w:rsidRPr="00F13C9A">
        <w:t>services</w:t>
      </w:r>
      <w:r>
        <w:t xml:space="preserve"> </w:t>
      </w:r>
      <w:r w:rsidRPr="00F13C9A">
        <w:t>and OTTs: Challenges and opportunities, economic and policy</w:t>
      </w:r>
      <w:r>
        <w:t xml:space="preserve"> </w:t>
      </w:r>
      <w:r w:rsidRPr="00F13C9A">
        <w:t>impact for developing countries</w:t>
      </w:r>
    </w:p>
    <w:p w14:paraId="18D8FB97"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4/1</w:t>
      </w:r>
      <w:r w:rsidRPr="00F13C9A">
        <w:t>: Economic policies and methods of determining the costs</w:t>
      </w:r>
      <w:r>
        <w:t xml:space="preserve"> </w:t>
      </w:r>
      <w:r w:rsidRPr="00F13C9A">
        <w:t>of services related to national telecommunication/information and</w:t>
      </w:r>
      <w:r>
        <w:t xml:space="preserve"> </w:t>
      </w:r>
      <w:r w:rsidRPr="00F13C9A">
        <w:t>communication technology networks, including next-generation</w:t>
      </w:r>
      <w:r>
        <w:t xml:space="preserve"> </w:t>
      </w:r>
      <w:r w:rsidRPr="00F13C9A">
        <w:t>networks</w:t>
      </w:r>
    </w:p>
    <w:p w14:paraId="57389251"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5/1</w:t>
      </w:r>
      <w:r w:rsidRPr="00F13C9A">
        <w:t>: Telecommunications/information and communication</w:t>
      </w:r>
      <w:r>
        <w:t xml:space="preserve"> </w:t>
      </w:r>
      <w:r w:rsidRPr="00F13C9A">
        <w:t>technologies for rural and remote areas</w:t>
      </w:r>
    </w:p>
    <w:p w14:paraId="30520BB0"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6/1</w:t>
      </w:r>
      <w:r w:rsidRPr="00F13C9A">
        <w:t>: Consumer information, protection and rights: Laws,</w:t>
      </w:r>
      <w:r>
        <w:t xml:space="preserve"> </w:t>
      </w:r>
      <w:r w:rsidRPr="00F13C9A">
        <w:t>regulation, economic bases, consumer networks</w:t>
      </w:r>
    </w:p>
    <w:p w14:paraId="569725BE" w14:textId="02B7DD5F" w:rsidR="00E4406B"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7/1</w:t>
      </w:r>
      <w:r w:rsidRPr="00F13C9A">
        <w:t>: Access to telecommunication/information and</w:t>
      </w:r>
      <w:r>
        <w:t xml:space="preserve"> </w:t>
      </w:r>
      <w:r w:rsidRPr="00F13C9A">
        <w:t>communication technology services by persons with disabilities and</w:t>
      </w:r>
      <w:r>
        <w:t xml:space="preserve"> </w:t>
      </w:r>
      <w:r w:rsidRPr="00F13C9A">
        <w:t>other persons with specific needs</w:t>
      </w:r>
    </w:p>
    <w:p w14:paraId="62B448A5" w14:textId="77777777" w:rsidR="00E4406B" w:rsidRPr="00F13C9A" w:rsidRDefault="00E4406B" w:rsidP="00E4406B">
      <w:pPr>
        <w:spacing w:after="200" w:line="216" w:lineRule="auto"/>
      </w:pPr>
    </w:p>
    <w:p w14:paraId="7F8FDCCF" w14:textId="77777777" w:rsidR="00E4406B" w:rsidRPr="00F13C9A" w:rsidRDefault="00E4406B" w:rsidP="00E4406B">
      <w:pPr>
        <w:spacing w:after="200" w:line="216" w:lineRule="auto"/>
        <w:rPr>
          <w:b/>
          <w:bCs/>
        </w:rPr>
      </w:pPr>
      <w:r w:rsidRPr="00F13C9A">
        <w:rPr>
          <w:b/>
          <w:bCs/>
        </w:rPr>
        <w:t>Study Group 2</w:t>
      </w:r>
    </w:p>
    <w:p w14:paraId="4D16FBE4" w14:textId="77777777" w:rsidR="00E4406B"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1/2</w:t>
      </w:r>
      <w:r w:rsidRPr="00F13C9A">
        <w:t>: Creating smart cities and society: Employing information</w:t>
      </w:r>
      <w:r>
        <w:t xml:space="preserve"> </w:t>
      </w:r>
      <w:r w:rsidRPr="00F13C9A">
        <w:t>and communication technologies for sustainable social and economic</w:t>
      </w:r>
      <w:r>
        <w:t xml:space="preserve"> </w:t>
      </w:r>
      <w:r w:rsidRPr="00F13C9A">
        <w:t>development</w:t>
      </w:r>
    </w:p>
    <w:p w14:paraId="05CA3C10" w14:textId="77777777" w:rsidR="00E4406B" w:rsidRPr="00F13C9A" w:rsidRDefault="00E4406B" w:rsidP="00E4406B">
      <w:pPr>
        <w:spacing w:after="200" w:line="216" w:lineRule="auto"/>
      </w:pPr>
      <w:r w:rsidRPr="00F13C9A">
        <w:rPr>
          <w:rFonts w:ascii="Malgun Gothic" w:hAnsi="Malgun Gothic" w:cs="Malgun Gothic"/>
        </w:rPr>
        <w:t>􀍴</w:t>
      </w:r>
      <w:r w:rsidRPr="00F13C9A">
        <w:t xml:space="preserve"> </w:t>
      </w:r>
      <w:r w:rsidRPr="00F13C9A">
        <w:rPr>
          <w:b/>
          <w:bCs/>
        </w:rPr>
        <w:t>Question 2/2</w:t>
      </w:r>
      <w:r w:rsidRPr="00F13C9A">
        <w:t>: Telecommunications/information and communication</w:t>
      </w:r>
      <w:r>
        <w:t xml:space="preserve"> </w:t>
      </w:r>
      <w:r w:rsidRPr="00F13C9A">
        <w:t>technologies for e-health</w:t>
      </w:r>
    </w:p>
    <w:p w14:paraId="3A6EEA4F"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3/2</w:t>
      </w:r>
      <w:r w:rsidRPr="00F13C9A">
        <w:t>: Securing information and communication networks: Best</w:t>
      </w:r>
      <w:r>
        <w:t xml:space="preserve"> </w:t>
      </w:r>
      <w:r w:rsidRPr="00F13C9A">
        <w:t>practices for developing a culture of cybersecurity</w:t>
      </w:r>
    </w:p>
    <w:p w14:paraId="4C1FB0E4"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4/2</w:t>
      </w:r>
      <w:r w:rsidRPr="00F13C9A">
        <w:t>: Assistance to developing countries for implementing</w:t>
      </w:r>
      <w:r>
        <w:t xml:space="preserve"> </w:t>
      </w:r>
      <w:r w:rsidRPr="00F13C9A">
        <w:t>conformance and interoperability programmes and combating</w:t>
      </w:r>
    </w:p>
    <w:p w14:paraId="76D1ECA6" w14:textId="77777777" w:rsidR="00E4406B" w:rsidRPr="00F13C9A" w:rsidRDefault="00E4406B" w:rsidP="00E4406B">
      <w:pPr>
        <w:spacing w:after="200" w:line="216" w:lineRule="auto"/>
      </w:pPr>
      <w:r w:rsidRPr="00F13C9A">
        <w:t>counterfeit information and communication technology equipment and</w:t>
      </w:r>
      <w:r>
        <w:t xml:space="preserve"> </w:t>
      </w:r>
      <w:r w:rsidRPr="00F13C9A">
        <w:t>theft of mobile devices</w:t>
      </w:r>
    </w:p>
    <w:p w14:paraId="6E7083A1"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5/2</w:t>
      </w:r>
      <w:r w:rsidRPr="00F13C9A">
        <w:t>: Utilizing telecommunications/information and</w:t>
      </w:r>
      <w:r>
        <w:t xml:space="preserve"> </w:t>
      </w:r>
      <w:r w:rsidRPr="00F13C9A">
        <w:t>communication technologies for disaster risk reduction and management</w:t>
      </w:r>
    </w:p>
    <w:p w14:paraId="6D76A3E8" w14:textId="77777777" w:rsidR="00E4406B" w:rsidRPr="00F13C9A"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6/2</w:t>
      </w:r>
      <w:r w:rsidRPr="00F13C9A">
        <w:t>: information and communication technologies and the</w:t>
      </w:r>
      <w:r>
        <w:t xml:space="preserve"> </w:t>
      </w:r>
      <w:r w:rsidRPr="00F13C9A">
        <w:t>environment</w:t>
      </w:r>
    </w:p>
    <w:p w14:paraId="6EBA6BF6" w14:textId="06B2F6C4" w:rsidR="00F7437C" w:rsidRPr="00E4406B" w:rsidRDefault="00E4406B" w:rsidP="00E4406B">
      <w:pPr>
        <w:spacing w:after="200" w:line="216" w:lineRule="auto"/>
      </w:pPr>
      <w:r w:rsidRPr="00F13C9A">
        <w:rPr>
          <w:rFonts w:ascii="Malgun Gothic" w:eastAsia="Malgun Gothic" w:hAnsi="Malgun Gothic" w:cs="Malgun Gothic" w:hint="eastAsia"/>
        </w:rPr>
        <w:t>􀍴</w:t>
      </w:r>
      <w:r w:rsidRPr="00F13C9A">
        <w:t xml:space="preserve"> </w:t>
      </w:r>
      <w:r w:rsidRPr="00F13C9A">
        <w:rPr>
          <w:b/>
          <w:bCs/>
        </w:rPr>
        <w:t>Question 7/2</w:t>
      </w:r>
      <w:r w:rsidRPr="00F13C9A">
        <w:t>: Strategies and policies concerning human exposure to</w:t>
      </w:r>
      <w:r>
        <w:t xml:space="preserve"> </w:t>
      </w:r>
      <w:r w:rsidRPr="00F13C9A">
        <w:t>electromagnetic fields</w:t>
      </w:r>
      <w:r w:rsidR="00167D77">
        <w:br w:type="page"/>
      </w:r>
    </w:p>
    <w:p w14:paraId="4029E45F" w14:textId="36F966D9" w:rsidR="00F7437C" w:rsidRDefault="00167D77" w:rsidP="00F7437C">
      <w:pPr>
        <w:tabs>
          <w:tab w:val="left" w:pos="1440"/>
        </w:tabs>
        <w:rPr>
          <w:b/>
          <w:bCs/>
          <w:color w:val="000000"/>
        </w:rPr>
      </w:pPr>
      <w:r>
        <w:rPr>
          <w:b/>
          <w:bCs/>
          <w:color w:val="000000"/>
        </w:rPr>
        <w:lastRenderedPageBreak/>
        <w:t xml:space="preserve">ANNEX </w:t>
      </w:r>
      <w:r w:rsidRPr="00007053">
        <w:rPr>
          <w:rFonts w:eastAsiaTheme="minorEastAsia"/>
          <w:b/>
          <w:bCs/>
          <w:color w:val="000000"/>
          <w:lang w:eastAsia="ja-JP"/>
        </w:rPr>
        <w:t>Ⅱ</w:t>
      </w:r>
      <w:r w:rsidR="00F7437C">
        <w:rPr>
          <w:b/>
          <w:bCs/>
          <w:color w:val="000000"/>
        </w:rPr>
        <w:t xml:space="preserve">: </w:t>
      </w:r>
      <w:r w:rsidR="00061BD0" w:rsidRPr="00924DD4">
        <w:rPr>
          <w:b/>
          <w:bCs/>
        </w:rPr>
        <w:t>Preliminary views on the Future of ITU-D Study Group 1 Questions</w:t>
      </w:r>
    </w:p>
    <w:p w14:paraId="00A41E38" w14:textId="3327E9BD" w:rsidR="00061BD0" w:rsidRDefault="00061BD0" w:rsidP="00F7437C">
      <w:pPr>
        <w:tabs>
          <w:tab w:val="left" w:pos="1440"/>
        </w:tabs>
        <w:rPr>
          <w:b/>
          <w:bCs/>
          <w:color w:val="000000"/>
        </w:rPr>
      </w:pPr>
    </w:p>
    <w:p w14:paraId="51A51F27" w14:textId="77777777" w:rsidR="00061BD0" w:rsidRPr="00924DD4" w:rsidRDefault="00061BD0" w:rsidP="00061BD0">
      <w:pPr>
        <w:spacing w:after="120"/>
        <w:rPr>
          <w:b/>
          <w:bCs/>
        </w:rPr>
      </w:pPr>
      <w:r w:rsidRPr="00924DD4">
        <w:rPr>
          <w:b/>
          <w:bCs/>
        </w:rPr>
        <w:t>Question 1/1: Strategies and policies for the deployment of broadband in developing countries</w:t>
      </w:r>
    </w:p>
    <w:p w14:paraId="46A8F3F5" w14:textId="77777777" w:rsidR="00061BD0" w:rsidRPr="00924DD4" w:rsidRDefault="00061BD0" w:rsidP="00061BD0">
      <w:pPr>
        <w:spacing w:after="120"/>
        <w:rPr>
          <w:bCs/>
        </w:rPr>
      </w:pPr>
      <w:r w:rsidRPr="00924DD4">
        <w:rPr>
          <w:bCs/>
        </w:rPr>
        <w:t xml:space="preserve">The group is of the view that the question has to continue and the topics of interest to be reflected in the next study period would include: (i) policies, strategies and regulatory aspects of broadband, (ii) broadband access technologies, (iii) financing and investment aspects of broadband, (iv) impact of COVD-19 and other pandemics on broadband networks, (v) digital transformation/infrastructure and (vi) co-deployment &amp; sharing broadband infrastructure with other infrastructural networks. The approach the group understands best would be a holistic approach addressing the study in a broader perspective. </w:t>
      </w:r>
    </w:p>
    <w:p w14:paraId="5AA3E135" w14:textId="77777777" w:rsidR="00061BD0" w:rsidRPr="00924DD4" w:rsidRDefault="00061BD0" w:rsidP="00061BD0">
      <w:pPr>
        <w:spacing w:after="120"/>
        <w:rPr>
          <w:b/>
          <w:bCs/>
        </w:rPr>
      </w:pPr>
      <w:r w:rsidRPr="00924DD4">
        <w:rPr>
          <w:b/>
          <w:bCs/>
        </w:rPr>
        <w:t>Question 2/1: Strategies, policies, regulations and methods of migration and adoption of digital broadcasting and implementation of new services</w:t>
      </w:r>
    </w:p>
    <w:p w14:paraId="5C039AF9" w14:textId="77777777" w:rsidR="00061BD0" w:rsidRPr="00924DD4" w:rsidRDefault="00061BD0" w:rsidP="00061BD0">
      <w:pPr>
        <w:spacing w:after="120"/>
        <w:rPr>
          <w:bCs/>
        </w:rPr>
      </w:pPr>
      <w:r w:rsidRPr="00924DD4">
        <w:rPr>
          <w:bCs/>
        </w:rPr>
        <w:t>The group understands that the question should continue by taking broadcasting in a more general manner, considering the relationship among content delivery networks and evaluating the new video-centric converged service providers from the regulatory, economic and technical points of view. The items of study for the next study period would include: (i) transition from traditional digital broadcasting to video-centric converged service providers, (ii) strategies of introducing new broadcasting technologies, emerging services and applications, (iii) best practices on spectrum planning related to the referred transition, (iv) costs of the referred transition, and (v) the digital dividend.</w:t>
      </w:r>
    </w:p>
    <w:p w14:paraId="115D31CE" w14:textId="77777777" w:rsidR="00061BD0" w:rsidRPr="00924DD4" w:rsidRDefault="00061BD0" w:rsidP="00061BD0">
      <w:pPr>
        <w:spacing w:after="120"/>
        <w:rPr>
          <w:b/>
          <w:bCs/>
        </w:rPr>
      </w:pPr>
      <w:r w:rsidRPr="00924DD4">
        <w:rPr>
          <w:b/>
          <w:bCs/>
        </w:rPr>
        <w:t>Question 3/1: Emerging technologies, including cloud computing, m-services and OTT:</w:t>
      </w:r>
      <w:r w:rsidRPr="00924DD4">
        <w:t xml:space="preserve"> </w:t>
      </w:r>
      <w:r w:rsidRPr="00924DD4">
        <w:rPr>
          <w:b/>
          <w:bCs/>
        </w:rPr>
        <w:t>challenges and opportunities, economic and policy impact for developing countries</w:t>
      </w:r>
    </w:p>
    <w:p w14:paraId="3F4C5C2A" w14:textId="77777777" w:rsidR="00061BD0" w:rsidRPr="00924DD4" w:rsidRDefault="00061BD0" w:rsidP="00061BD0">
      <w:pPr>
        <w:spacing w:after="120"/>
        <w:rPr>
          <w:rFonts w:ascii="Calibri" w:hAnsi="Calibri"/>
          <w:color w:val="000000"/>
        </w:rPr>
      </w:pPr>
      <w:r w:rsidRPr="00924DD4">
        <w:rPr>
          <w:color w:val="000000"/>
        </w:rPr>
        <w:t xml:space="preserve">The group is of the understanding that question should continue considering that the combination of m-Services and the Cloud create a solid foundation for digital transformation the world is experiencing, though not everywhere and not at the same speed. With the addition of IoTs (Internet Of Things, or smart connected Objects), we have a better and more complete view of where the world will be going in terms of services, that in times of pandemics, enables most business continuity. The items of study would include: (i) how do we unleash this vision, (ii) scenarios and use cases across many sectors, (iii) regulatory and policy blockers, (iv) business and investment scenarios that help deploy this vision, and (v) relevant case studies. </w:t>
      </w:r>
    </w:p>
    <w:p w14:paraId="6F78972A" w14:textId="77777777" w:rsidR="00061BD0" w:rsidRPr="00924DD4" w:rsidRDefault="00061BD0" w:rsidP="00061BD0">
      <w:pPr>
        <w:spacing w:after="120"/>
        <w:rPr>
          <w:b/>
          <w:bCs/>
        </w:rPr>
      </w:pPr>
      <w:r w:rsidRPr="00924DD4">
        <w:rPr>
          <w:b/>
          <w:bCs/>
        </w:rPr>
        <w:t>Question 4/1: Economic policies and methods of determining the costs of services related to national telecommunication/ICT networks</w:t>
      </w:r>
    </w:p>
    <w:p w14:paraId="004C1348" w14:textId="77777777" w:rsidR="00061BD0" w:rsidRPr="00924DD4" w:rsidRDefault="00061BD0" w:rsidP="00061BD0">
      <w:pPr>
        <w:spacing w:after="120"/>
        <w:rPr>
          <w:lang w:val="fr-CH"/>
        </w:rPr>
      </w:pPr>
      <w:r w:rsidRPr="00924DD4">
        <w:rPr>
          <w:bCs/>
          <w:iCs/>
        </w:rPr>
        <w:t xml:space="preserve">The group is of the view that the question should continue with the focus and coordination on </w:t>
      </w:r>
      <w:r w:rsidRPr="00924DD4">
        <w:t>economic aspects of national telecommunications/ICT markets, studying the related topics and collaborating with other sectors and on statistics within ITU-D. The items of study for the new study period would include: economic impact on the value chain of (i) ICTs and (ii) OTTs, (iii) new types and modes of investment, (iv) design of tariffs, (v) economic aspects/implications of digital taxation approaches, (vi) new business models, (vii) economic incentives for bridging the digital divide, (viii) national aspects of digital financial inclusion, (ix) new economic aspects affected by national telecom/ICT market environment, and (x) economic regulatory aspects of national telecom/ICT.</w:t>
      </w:r>
    </w:p>
    <w:p w14:paraId="018C6FBA" w14:textId="77777777" w:rsidR="00061BD0" w:rsidRPr="00924DD4" w:rsidRDefault="00061BD0" w:rsidP="00061BD0">
      <w:pPr>
        <w:spacing w:after="120"/>
        <w:rPr>
          <w:b/>
          <w:bCs/>
        </w:rPr>
      </w:pPr>
      <w:r w:rsidRPr="00924DD4">
        <w:rPr>
          <w:b/>
          <w:bCs/>
        </w:rPr>
        <w:t>Question 5/1: Telecommunications/ICTs for rural and remote areas</w:t>
      </w:r>
    </w:p>
    <w:p w14:paraId="03A6D963" w14:textId="77777777" w:rsidR="00061BD0" w:rsidRPr="00924DD4" w:rsidRDefault="00061BD0" w:rsidP="00061BD0">
      <w:pPr>
        <w:spacing w:after="120"/>
        <w:rPr>
          <w:bCs/>
          <w:iCs/>
        </w:rPr>
      </w:pPr>
      <w:r w:rsidRPr="00924DD4">
        <w:rPr>
          <w:bCs/>
          <w:iCs/>
        </w:rPr>
        <w:t xml:space="preserve">The group is of the view that question is important and needs to be continuously updated and evolved to take into account (i) the changing pace of technology, (ii) new policies for connectivity in rural and remote areas, (iii) solutions and guidelines on how these communities can be capacitated to deal with pandemics such as COVID-19, (iv) case studies, (v) possible </w:t>
      </w:r>
      <w:r w:rsidRPr="00924DD4">
        <w:rPr>
          <w:bCs/>
          <w:iCs/>
        </w:rPr>
        <w:lastRenderedPageBreak/>
        <w:t>review and recommendations of universal service funds, and (vi) the role of innovation in rural ICT and other rural business startups for developing applications and services for rural and remote areas. These would be the topics for future study on the question, which would not be a silo and would collaborate with other groups.</w:t>
      </w:r>
    </w:p>
    <w:p w14:paraId="32EE7043" w14:textId="77777777" w:rsidR="00061BD0" w:rsidRPr="00924DD4" w:rsidRDefault="00061BD0" w:rsidP="00061BD0">
      <w:pPr>
        <w:spacing w:after="120"/>
        <w:rPr>
          <w:b/>
          <w:bCs/>
        </w:rPr>
      </w:pPr>
      <w:r w:rsidRPr="00924DD4">
        <w:rPr>
          <w:b/>
          <w:bCs/>
        </w:rPr>
        <w:t>Question 6/1: Consumer information, protection and rights: Laws, regulation, economic bases, consumer networks</w:t>
      </w:r>
    </w:p>
    <w:p w14:paraId="00558978" w14:textId="77777777" w:rsidR="00061BD0" w:rsidRPr="00924DD4" w:rsidRDefault="00061BD0" w:rsidP="00061BD0">
      <w:pPr>
        <w:spacing w:after="120"/>
        <w:rPr>
          <w:bCs/>
          <w:iCs/>
        </w:rPr>
      </w:pPr>
      <w:r w:rsidRPr="00924DD4">
        <w:rPr>
          <w:bCs/>
          <w:iCs/>
        </w:rPr>
        <w:t>The group is of the view that the question should continue due to the relevance of consumer protection in such a dynamic sector and as technology and business models keep changing. Also, because member states are at various stages of adoption of new technologies and regulatory evolution and need to prepare themselves to industry 4.0 and the fifth-generation regulations. The items of study would include: (i) consumer education and awareness, (ii) development of capacities to cope with periods of pandemics such as the COVID-19, (iii) linkages to competitive service provisioning, protection of innovation and data in telecom networks, (iv) responsible use of new technologies, and (v) fostering consumer trust in new technologies while protecting innovation through self-regulation and co-regulation.</w:t>
      </w:r>
    </w:p>
    <w:p w14:paraId="6C876CE0" w14:textId="77777777" w:rsidR="00061BD0" w:rsidRPr="00924DD4" w:rsidRDefault="00061BD0" w:rsidP="00061BD0">
      <w:pPr>
        <w:spacing w:after="120"/>
        <w:rPr>
          <w:b/>
          <w:bCs/>
        </w:rPr>
      </w:pPr>
      <w:r w:rsidRPr="00924DD4">
        <w:rPr>
          <w:b/>
          <w:bCs/>
        </w:rPr>
        <w:t>Question 7/1: Access to telecommunication/ICT services by persons with disabilities and other persons with specific needs</w:t>
      </w:r>
    </w:p>
    <w:p w14:paraId="2268B4A1" w14:textId="77777777" w:rsidR="00061BD0" w:rsidRDefault="00061BD0" w:rsidP="00061BD0">
      <w:pPr>
        <w:spacing w:after="120"/>
        <w:rPr>
          <w:rFonts w:eastAsia="SimSun"/>
          <w:lang w:eastAsia="zh-CN"/>
        </w:rPr>
      </w:pPr>
      <w:r w:rsidRPr="00924DD4">
        <w:rPr>
          <w:bCs/>
        </w:rPr>
        <w:t xml:space="preserve">The group is of the view that the question should continue to </w:t>
      </w:r>
      <w:r w:rsidRPr="00924DD4">
        <w:rPr>
          <w:shd w:val="clear" w:color="auto" w:fill="FFFFFF"/>
        </w:rPr>
        <w:t xml:space="preserve">ensure that information, products and services are accessible to all people regardless of their gender, age, ability, location or financial means. Therefore, timely implementation of right enabling environments is key to sustainable development, especially in times of pandemics, where </w:t>
      </w:r>
      <w:r w:rsidRPr="00924DD4">
        <w:t xml:space="preserve">ICT accessibility has to be a political priority. The items of study would include: (i) </w:t>
      </w:r>
      <w:r w:rsidRPr="00924DD4">
        <w:rPr>
          <w:rFonts w:eastAsia="SimSun"/>
          <w:lang w:eastAsia="zh-CN"/>
        </w:rPr>
        <w:t>leverage digital accessibility as a priority; (ii) national programs and strategies on education and training at the country level; (iii) digital accessibility resources including education and training to increase expertise at a national, regional and global level and facilitate the appropriate implementation of policies an</w:t>
      </w:r>
      <w:bookmarkStart w:id="1" w:name="lt_pId041"/>
      <w:r w:rsidRPr="00924DD4">
        <w:rPr>
          <w:rFonts w:eastAsia="SimSun"/>
          <w:lang w:eastAsia="zh-CN"/>
        </w:rPr>
        <w:t>d</w:t>
      </w:r>
      <w:bookmarkStart w:id="2" w:name="lt_pId042"/>
      <w:bookmarkEnd w:id="1"/>
      <w:r w:rsidRPr="00924DD4">
        <w:rPr>
          <w:rFonts w:eastAsia="SimSun"/>
          <w:lang w:eastAsia="zh-CN"/>
        </w:rPr>
        <w:t xml:space="preserve"> (iv) innovative accessible digital solutions</w:t>
      </w:r>
      <w:bookmarkEnd w:id="2"/>
      <w:r w:rsidRPr="00924DD4">
        <w:rPr>
          <w:rFonts w:eastAsia="SimSun"/>
          <w:lang w:eastAsia="zh-CN"/>
        </w:rPr>
        <w:t xml:space="preserve"> and ICT applications for an independent life. </w:t>
      </w:r>
    </w:p>
    <w:p w14:paraId="1D3ED5A0" w14:textId="0E961190" w:rsidR="00061BD0" w:rsidRDefault="00061BD0" w:rsidP="00F7437C">
      <w:pPr>
        <w:tabs>
          <w:tab w:val="left" w:pos="1440"/>
        </w:tabs>
        <w:rPr>
          <w:b/>
          <w:bCs/>
          <w:color w:val="000000"/>
        </w:rPr>
      </w:pPr>
    </w:p>
    <w:p w14:paraId="2E2C8683" w14:textId="7D310C77" w:rsidR="00061BD0" w:rsidRDefault="00061BD0" w:rsidP="00F7437C">
      <w:pPr>
        <w:tabs>
          <w:tab w:val="left" w:pos="1440"/>
        </w:tabs>
        <w:rPr>
          <w:b/>
          <w:bCs/>
          <w:color w:val="000000"/>
        </w:rPr>
      </w:pPr>
    </w:p>
    <w:p w14:paraId="5DB8349E" w14:textId="7EC76B89" w:rsidR="00061BD0" w:rsidRDefault="00061BD0" w:rsidP="00F7437C">
      <w:pPr>
        <w:tabs>
          <w:tab w:val="left" w:pos="1440"/>
        </w:tabs>
        <w:rPr>
          <w:b/>
          <w:bCs/>
          <w:color w:val="000000"/>
        </w:rPr>
      </w:pPr>
    </w:p>
    <w:p w14:paraId="43755451" w14:textId="0730707C" w:rsidR="00061BD0" w:rsidRDefault="00061BD0" w:rsidP="00F7437C">
      <w:pPr>
        <w:tabs>
          <w:tab w:val="left" w:pos="1440"/>
        </w:tabs>
        <w:rPr>
          <w:b/>
          <w:bCs/>
          <w:color w:val="000000"/>
        </w:rPr>
      </w:pPr>
    </w:p>
    <w:p w14:paraId="6857FC58" w14:textId="127897C2" w:rsidR="00061BD0" w:rsidRDefault="00061BD0" w:rsidP="00F7437C">
      <w:pPr>
        <w:tabs>
          <w:tab w:val="left" w:pos="1440"/>
        </w:tabs>
        <w:rPr>
          <w:b/>
          <w:bCs/>
          <w:color w:val="000000"/>
        </w:rPr>
      </w:pPr>
    </w:p>
    <w:p w14:paraId="3762B482" w14:textId="60B3C08F" w:rsidR="00061BD0" w:rsidRDefault="00061BD0" w:rsidP="00F7437C">
      <w:pPr>
        <w:tabs>
          <w:tab w:val="left" w:pos="1440"/>
        </w:tabs>
        <w:rPr>
          <w:b/>
          <w:bCs/>
          <w:color w:val="000000"/>
        </w:rPr>
      </w:pPr>
    </w:p>
    <w:p w14:paraId="6AEF05EA" w14:textId="6EC2C549" w:rsidR="00061BD0" w:rsidRDefault="00061BD0" w:rsidP="00F7437C">
      <w:pPr>
        <w:tabs>
          <w:tab w:val="left" w:pos="1440"/>
        </w:tabs>
        <w:rPr>
          <w:b/>
          <w:bCs/>
          <w:color w:val="000000"/>
        </w:rPr>
      </w:pPr>
    </w:p>
    <w:p w14:paraId="41177549" w14:textId="3BFB3D6C" w:rsidR="00061BD0" w:rsidRDefault="00061BD0" w:rsidP="00F7437C">
      <w:pPr>
        <w:tabs>
          <w:tab w:val="left" w:pos="1440"/>
        </w:tabs>
        <w:rPr>
          <w:b/>
          <w:bCs/>
          <w:color w:val="000000"/>
        </w:rPr>
      </w:pPr>
    </w:p>
    <w:p w14:paraId="30703226" w14:textId="5B40B472" w:rsidR="00061BD0" w:rsidRDefault="00061BD0" w:rsidP="00F7437C">
      <w:pPr>
        <w:tabs>
          <w:tab w:val="left" w:pos="1440"/>
        </w:tabs>
        <w:rPr>
          <w:b/>
          <w:bCs/>
          <w:color w:val="000000"/>
        </w:rPr>
      </w:pPr>
    </w:p>
    <w:p w14:paraId="5C574EAE" w14:textId="1C725E2D" w:rsidR="00061BD0" w:rsidRDefault="00061BD0" w:rsidP="00F7437C">
      <w:pPr>
        <w:tabs>
          <w:tab w:val="left" w:pos="1440"/>
        </w:tabs>
        <w:rPr>
          <w:b/>
          <w:bCs/>
          <w:color w:val="000000"/>
        </w:rPr>
      </w:pPr>
    </w:p>
    <w:p w14:paraId="6A93AC94" w14:textId="3E508780" w:rsidR="00061BD0" w:rsidRDefault="00061BD0" w:rsidP="00F7437C">
      <w:pPr>
        <w:tabs>
          <w:tab w:val="left" w:pos="1440"/>
        </w:tabs>
        <w:rPr>
          <w:b/>
          <w:bCs/>
          <w:color w:val="000000"/>
        </w:rPr>
      </w:pPr>
    </w:p>
    <w:p w14:paraId="326B1C42" w14:textId="5227D2E3" w:rsidR="00061BD0" w:rsidRDefault="00061BD0" w:rsidP="00F7437C">
      <w:pPr>
        <w:tabs>
          <w:tab w:val="left" w:pos="1440"/>
        </w:tabs>
        <w:rPr>
          <w:b/>
          <w:bCs/>
          <w:color w:val="000000"/>
        </w:rPr>
      </w:pPr>
    </w:p>
    <w:p w14:paraId="5CD2302B" w14:textId="068EDC6F" w:rsidR="00061BD0" w:rsidRDefault="00061BD0" w:rsidP="00F7437C">
      <w:pPr>
        <w:tabs>
          <w:tab w:val="left" w:pos="1440"/>
        </w:tabs>
        <w:rPr>
          <w:b/>
          <w:bCs/>
          <w:color w:val="000000"/>
        </w:rPr>
      </w:pPr>
    </w:p>
    <w:p w14:paraId="31AB36A3" w14:textId="105BDA6B" w:rsidR="00061BD0" w:rsidRDefault="00061BD0" w:rsidP="00F7437C">
      <w:pPr>
        <w:tabs>
          <w:tab w:val="left" w:pos="1440"/>
        </w:tabs>
        <w:rPr>
          <w:b/>
          <w:bCs/>
          <w:color w:val="000000"/>
        </w:rPr>
      </w:pPr>
    </w:p>
    <w:p w14:paraId="2ED6EE20" w14:textId="0679FE65" w:rsidR="00061BD0" w:rsidRDefault="00061BD0" w:rsidP="00F7437C">
      <w:pPr>
        <w:tabs>
          <w:tab w:val="left" w:pos="1440"/>
        </w:tabs>
        <w:rPr>
          <w:b/>
          <w:bCs/>
          <w:color w:val="000000"/>
        </w:rPr>
      </w:pPr>
    </w:p>
    <w:p w14:paraId="11212815" w14:textId="400B7ABB" w:rsidR="00061BD0" w:rsidRDefault="00061BD0" w:rsidP="00F7437C">
      <w:pPr>
        <w:tabs>
          <w:tab w:val="left" w:pos="1440"/>
        </w:tabs>
        <w:rPr>
          <w:b/>
          <w:bCs/>
          <w:color w:val="000000"/>
        </w:rPr>
      </w:pPr>
    </w:p>
    <w:p w14:paraId="13702E41" w14:textId="51AB30AE" w:rsidR="00061BD0" w:rsidRDefault="00061BD0" w:rsidP="00F7437C">
      <w:pPr>
        <w:tabs>
          <w:tab w:val="left" w:pos="1440"/>
        </w:tabs>
        <w:rPr>
          <w:b/>
          <w:bCs/>
          <w:color w:val="000000"/>
        </w:rPr>
      </w:pPr>
    </w:p>
    <w:p w14:paraId="2F775E7A" w14:textId="11702AF1" w:rsidR="00061BD0" w:rsidRDefault="00061BD0" w:rsidP="00F7437C">
      <w:pPr>
        <w:tabs>
          <w:tab w:val="left" w:pos="1440"/>
        </w:tabs>
        <w:rPr>
          <w:b/>
          <w:bCs/>
          <w:color w:val="000000"/>
        </w:rPr>
      </w:pPr>
    </w:p>
    <w:p w14:paraId="172C1102" w14:textId="109528B6" w:rsidR="00061BD0" w:rsidRDefault="00061BD0" w:rsidP="00F7437C">
      <w:pPr>
        <w:tabs>
          <w:tab w:val="left" w:pos="1440"/>
        </w:tabs>
        <w:rPr>
          <w:b/>
          <w:bCs/>
          <w:color w:val="000000"/>
        </w:rPr>
      </w:pPr>
    </w:p>
    <w:p w14:paraId="45477D52" w14:textId="629F9D43" w:rsidR="00061BD0" w:rsidRDefault="00061BD0" w:rsidP="00F7437C">
      <w:pPr>
        <w:tabs>
          <w:tab w:val="left" w:pos="1440"/>
        </w:tabs>
        <w:rPr>
          <w:b/>
          <w:bCs/>
          <w:color w:val="000000"/>
        </w:rPr>
      </w:pPr>
    </w:p>
    <w:p w14:paraId="2060F174" w14:textId="421BA803" w:rsidR="00061BD0" w:rsidRDefault="00061BD0" w:rsidP="00F7437C">
      <w:pPr>
        <w:tabs>
          <w:tab w:val="left" w:pos="1440"/>
        </w:tabs>
        <w:rPr>
          <w:b/>
          <w:bCs/>
          <w:color w:val="000000"/>
        </w:rPr>
      </w:pPr>
    </w:p>
    <w:p w14:paraId="3A094FC2" w14:textId="1245A90F" w:rsidR="00061BD0" w:rsidRDefault="00061BD0" w:rsidP="00F7437C">
      <w:pPr>
        <w:tabs>
          <w:tab w:val="left" w:pos="1440"/>
        </w:tabs>
        <w:rPr>
          <w:b/>
          <w:bCs/>
          <w:color w:val="000000"/>
        </w:rPr>
      </w:pPr>
    </w:p>
    <w:p w14:paraId="1573674A" w14:textId="5AA3FEC5" w:rsidR="00061BD0" w:rsidRDefault="00061BD0" w:rsidP="00F7437C">
      <w:pPr>
        <w:tabs>
          <w:tab w:val="left" w:pos="1440"/>
        </w:tabs>
        <w:rPr>
          <w:b/>
          <w:bCs/>
          <w:color w:val="000000"/>
        </w:rPr>
      </w:pPr>
    </w:p>
    <w:p w14:paraId="4D59BC70" w14:textId="77777777" w:rsidR="00E4406B" w:rsidRDefault="00816974" w:rsidP="00E4406B">
      <w:pPr>
        <w:tabs>
          <w:tab w:val="left" w:pos="1440"/>
        </w:tabs>
        <w:rPr>
          <w:b/>
          <w:bCs/>
          <w:color w:val="000000"/>
        </w:rPr>
      </w:pPr>
      <w:r>
        <w:rPr>
          <w:b/>
          <w:bCs/>
          <w:color w:val="000000"/>
        </w:rPr>
        <w:lastRenderedPageBreak/>
        <w:t xml:space="preserve">ANNEX </w:t>
      </w:r>
      <w:r w:rsidRPr="00007053">
        <w:rPr>
          <w:rFonts w:eastAsiaTheme="minorEastAsia"/>
          <w:b/>
          <w:bCs/>
          <w:color w:val="000000"/>
          <w:lang w:eastAsia="ja-JP"/>
        </w:rPr>
        <w:t>Ⅲ</w:t>
      </w:r>
      <w:r w:rsidRPr="00007053">
        <w:rPr>
          <w:b/>
          <w:bCs/>
          <w:color w:val="000000"/>
        </w:rPr>
        <w:t>:</w:t>
      </w:r>
      <w:r>
        <w:rPr>
          <w:b/>
          <w:bCs/>
          <w:color w:val="000000"/>
        </w:rPr>
        <w:t xml:space="preserve"> </w:t>
      </w:r>
      <w:r w:rsidR="00E4406B" w:rsidRPr="00CA620C">
        <w:rPr>
          <w:b/>
          <w:bCs/>
          <w:color w:val="000000"/>
        </w:rPr>
        <w:t>P</w:t>
      </w:r>
      <w:r w:rsidR="00E4406B">
        <w:rPr>
          <w:b/>
          <w:bCs/>
          <w:color w:val="000000"/>
        </w:rPr>
        <w:t xml:space="preserve">ROPOSAL FOR </w:t>
      </w:r>
      <w:r w:rsidR="00E4406B" w:rsidRPr="00CA620C">
        <w:rPr>
          <w:b/>
          <w:bCs/>
          <w:color w:val="000000"/>
        </w:rPr>
        <w:t>WTDC-21 T</w:t>
      </w:r>
      <w:r w:rsidR="00E4406B">
        <w:rPr>
          <w:b/>
          <w:bCs/>
          <w:color w:val="000000"/>
        </w:rPr>
        <w:t>HEMATIC PRIORITIES</w:t>
      </w:r>
    </w:p>
    <w:p w14:paraId="069F04C9" w14:textId="77777777" w:rsidR="00E4406B" w:rsidRDefault="00E4406B" w:rsidP="00E4406B">
      <w:pPr>
        <w:tabs>
          <w:tab w:val="left" w:pos="1440"/>
        </w:tabs>
      </w:pPr>
      <w:r>
        <w:rPr>
          <w:b/>
          <w:bCs/>
          <w:color w:val="000000"/>
        </w:rPr>
        <w:t xml:space="preserve"> </w:t>
      </w:r>
      <w:r w:rsidRPr="00041A33">
        <w:rPr>
          <w:bCs/>
          <w:color w:val="000000"/>
        </w:rPr>
        <w:t>(</w:t>
      </w:r>
      <w:r>
        <w:rPr>
          <w:bCs/>
          <w:color w:val="000000"/>
        </w:rPr>
        <w:t>D</w:t>
      </w:r>
      <w:r w:rsidRPr="00B6110E">
        <w:t>ocument TDAG-WG-RDTP</w:t>
      </w:r>
      <w:r w:rsidRPr="00BC39DF">
        <w:t>/20-E</w:t>
      </w:r>
      <w:r w:rsidRPr="00B6110E">
        <w:t>)</w:t>
      </w:r>
    </w:p>
    <w:p w14:paraId="7406181E" w14:textId="33B38DD6" w:rsidR="00041A33" w:rsidRDefault="00041A33" w:rsidP="00041A33">
      <w:pPr>
        <w:tabs>
          <w:tab w:val="left" w:pos="1440"/>
        </w:tabs>
      </w:pPr>
    </w:p>
    <w:tbl>
      <w:tblPr>
        <w:tblpPr w:leftFromText="180" w:rightFromText="180" w:vertAnchor="page" w:horzAnchor="margin" w:tblpY="2031"/>
        <w:tblW w:w="9155"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09"/>
        <w:gridCol w:w="4578"/>
        <w:gridCol w:w="3468"/>
      </w:tblGrid>
      <w:tr w:rsidR="00BC39DF" w:rsidRPr="00BC39DF" w14:paraId="5762FD3A" w14:textId="77777777" w:rsidTr="00BC39DF">
        <w:trPr>
          <w:cantSplit/>
          <w:trHeight w:val="818"/>
        </w:trPr>
        <w:tc>
          <w:tcPr>
            <w:tcW w:w="9155" w:type="dxa"/>
            <w:gridSpan w:val="3"/>
            <w:tcBorders>
              <w:bottom w:val="single" w:sz="2" w:space="0" w:color="00B0F0"/>
            </w:tcBorders>
          </w:tcPr>
          <w:p w14:paraId="5771D6FB" w14:textId="77777777" w:rsidR="00BC39DF" w:rsidRPr="00BC39DF" w:rsidRDefault="00BC39DF" w:rsidP="00BC39DF">
            <w:pPr>
              <w:spacing w:before="240"/>
              <w:ind w:left="34"/>
              <w:rPr>
                <w:rFonts w:asciiTheme="minorHAnsi" w:hAnsiTheme="minorHAnsi" w:cstheme="minorHAnsi"/>
                <w:b/>
                <w:bCs/>
                <w:sz w:val="32"/>
                <w:szCs w:val="32"/>
              </w:rPr>
            </w:pPr>
            <w:r w:rsidRPr="00BC39DF">
              <w:rPr>
                <w:rFonts w:asciiTheme="minorHAnsi" w:hAnsiTheme="minorHAnsi" w:cstheme="minorHAnsi"/>
                <w:noProof/>
                <w:color w:val="3399FF"/>
                <w:sz w:val="32"/>
                <w:szCs w:val="32"/>
                <w:lang w:eastAsia="ja-JP"/>
              </w:rPr>
              <w:drawing>
                <wp:anchor distT="0" distB="0" distL="114300" distR="114300" simplePos="0" relativeHeight="251659264" behindDoc="0" locked="0" layoutInCell="1" allowOverlap="1" wp14:anchorId="6E6DAF5C" wp14:editId="00ED54C3">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BC39DF">
              <w:rPr>
                <w:rFonts w:asciiTheme="minorHAnsi" w:hAnsiTheme="minorHAnsi" w:cstheme="minorHAnsi"/>
                <w:b/>
                <w:bCs/>
                <w:sz w:val="32"/>
                <w:szCs w:val="32"/>
              </w:rPr>
              <w:t>TDAG Working Group on Resolutions, Declaration and Thematic Priorities</w:t>
            </w:r>
          </w:p>
          <w:p w14:paraId="455134CA" w14:textId="77777777" w:rsidR="00BC39DF" w:rsidRPr="00BC39DF" w:rsidRDefault="00BC39DF" w:rsidP="00BC39DF">
            <w:pPr>
              <w:spacing w:before="120"/>
              <w:ind w:right="142"/>
              <w:rPr>
                <w:rFonts w:asciiTheme="minorHAnsi" w:hAnsiTheme="minorHAnsi" w:cstheme="minorHAnsi"/>
                <w:sz w:val="26"/>
                <w:szCs w:val="26"/>
              </w:rPr>
            </w:pPr>
            <w:r w:rsidRPr="00BC39DF">
              <w:rPr>
                <w:rFonts w:asciiTheme="minorHAnsi" w:hAnsiTheme="minorHAnsi" w:cstheme="minorHAnsi"/>
                <w:b/>
                <w:bCs/>
                <w:sz w:val="26"/>
                <w:szCs w:val="26"/>
              </w:rPr>
              <w:t>21 January 2021, Virtual</w:t>
            </w:r>
          </w:p>
        </w:tc>
      </w:tr>
      <w:tr w:rsidR="00BC39DF" w:rsidRPr="00BC39DF" w14:paraId="31C2C37E" w14:textId="77777777" w:rsidTr="00BC39DF">
        <w:trPr>
          <w:cantSplit/>
          <w:trHeight w:val="70"/>
        </w:trPr>
        <w:tc>
          <w:tcPr>
            <w:tcW w:w="5687" w:type="dxa"/>
            <w:gridSpan w:val="2"/>
            <w:tcBorders>
              <w:top w:val="single" w:sz="2" w:space="0" w:color="00B0F0"/>
            </w:tcBorders>
          </w:tcPr>
          <w:p w14:paraId="0B997DBA" w14:textId="77777777" w:rsidR="00BC39DF" w:rsidRPr="00BC39DF" w:rsidRDefault="00BC39DF" w:rsidP="00BC39DF">
            <w:pPr>
              <w:rPr>
                <w:rFonts w:asciiTheme="minorHAnsi" w:hAnsiTheme="minorHAnsi" w:cstheme="minorHAnsi"/>
                <w:b/>
                <w:bCs/>
                <w:sz w:val="20"/>
              </w:rPr>
            </w:pPr>
          </w:p>
        </w:tc>
        <w:tc>
          <w:tcPr>
            <w:tcW w:w="3468" w:type="dxa"/>
            <w:tcBorders>
              <w:top w:val="single" w:sz="2" w:space="0" w:color="00B0F0"/>
            </w:tcBorders>
          </w:tcPr>
          <w:p w14:paraId="1A791261" w14:textId="77777777" w:rsidR="00BC39DF" w:rsidRPr="00BC39DF" w:rsidRDefault="00BC39DF" w:rsidP="00BC39DF">
            <w:pPr>
              <w:spacing w:before="120"/>
              <w:rPr>
                <w:rFonts w:asciiTheme="minorHAnsi" w:hAnsiTheme="minorHAnsi" w:cstheme="minorHAnsi"/>
                <w:b/>
                <w:bCs/>
                <w:szCs w:val="28"/>
                <w:lang w:val="es-ES"/>
              </w:rPr>
            </w:pPr>
            <w:r w:rsidRPr="00BC39DF">
              <w:rPr>
                <w:rFonts w:asciiTheme="minorHAnsi" w:hAnsiTheme="minorHAnsi" w:cstheme="minorHAnsi"/>
                <w:b/>
                <w:bCs/>
                <w:szCs w:val="28"/>
                <w:lang w:val="es-ES"/>
              </w:rPr>
              <w:t>Document TDAG-WG-RDTP/20-E</w:t>
            </w:r>
          </w:p>
        </w:tc>
      </w:tr>
      <w:tr w:rsidR="00BC39DF" w:rsidRPr="00BC39DF" w14:paraId="493D9C75" w14:textId="77777777" w:rsidTr="00BC39DF">
        <w:trPr>
          <w:cantSplit/>
          <w:trHeight w:val="209"/>
        </w:trPr>
        <w:tc>
          <w:tcPr>
            <w:tcW w:w="5687" w:type="dxa"/>
            <w:gridSpan w:val="2"/>
          </w:tcPr>
          <w:p w14:paraId="17D291B7" w14:textId="77777777" w:rsidR="00BC39DF" w:rsidRPr="00BC39DF" w:rsidRDefault="00BC39DF" w:rsidP="00BC39DF">
            <w:pPr>
              <w:rPr>
                <w:rFonts w:asciiTheme="minorHAnsi" w:hAnsiTheme="minorHAnsi" w:cstheme="minorHAnsi"/>
                <w:b/>
                <w:bCs/>
                <w:sz w:val="20"/>
                <w:lang w:val="es-ES"/>
              </w:rPr>
            </w:pPr>
          </w:p>
        </w:tc>
        <w:tc>
          <w:tcPr>
            <w:tcW w:w="3468" w:type="dxa"/>
          </w:tcPr>
          <w:p w14:paraId="042CE443" w14:textId="77777777" w:rsidR="00BC39DF" w:rsidRPr="00BC39DF" w:rsidRDefault="00BC39DF" w:rsidP="00BC39DF">
            <w:pPr>
              <w:rPr>
                <w:rFonts w:asciiTheme="minorHAnsi" w:hAnsiTheme="minorHAnsi" w:cstheme="minorHAnsi"/>
                <w:b/>
                <w:bCs/>
                <w:szCs w:val="28"/>
              </w:rPr>
            </w:pPr>
            <w:r w:rsidRPr="00BC39DF">
              <w:rPr>
                <w:rFonts w:asciiTheme="minorHAnsi" w:hAnsiTheme="minorHAnsi" w:cstheme="minorHAnsi"/>
                <w:b/>
                <w:bCs/>
                <w:szCs w:val="28"/>
              </w:rPr>
              <w:t>18 January 2021</w:t>
            </w:r>
          </w:p>
        </w:tc>
      </w:tr>
      <w:tr w:rsidR="00BC39DF" w:rsidRPr="00BC39DF" w14:paraId="2DE3D97A" w14:textId="77777777" w:rsidTr="00BC39DF">
        <w:trPr>
          <w:cantSplit/>
          <w:trHeight w:val="98"/>
        </w:trPr>
        <w:tc>
          <w:tcPr>
            <w:tcW w:w="5687" w:type="dxa"/>
            <w:gridSpan w:val="2"/>
          </w:tcPr>
          <w:p w14:paraId="5BA7FE3B" w14:textId="77777777" w:rsidR="00BC39DF" w:rsidRPr="00BC39DF" w:rsidRDefault="00BC39DF" w:rsidP="00BC39DF">
            <w:pPr>
              <w:rPr>
                <w:rFonts w:asciiTheme="minorHAnsi" w:hAnsiTheme="minorHAnsi" w:cstheme="minorHAnsi"/>
                <w:b/>
                <w:bCs/>
                <w:sz w:val="20"/>
              </w:rPr>
            </w:pPr>
          </w:p>
        </w:tc>
        <w:tc>
          <w:tcPr>
            <w:tcW w:w="3468" w:type="dxa"/>
          </w:tcPr>
          <w:p w14:paraId="56D11372" w14:textId="77777777" w:rsidR="00BC39DF" w:rsidRPr="00BC39DF" w:rsidRDefault="00BC39DF" w:rsidP="00BC39DF">
            <w:pPr>
              <w:spacing w:after="120"/>
              <w:rPr>
                <w:rFonts w:asciiTheme="minorHAnsi" w:hAnsiTheme="minorHAnsi" w:cstheme="minorHAnsi"/>
                <w:b/>
                <w:bCs/>
                <w:szCs w:val="28"/>
              </w:rPr>
            </w:pPr>
            <w:r w:rsidRPr="00BC39DF">
              <w:rPr>
                <w:rFonts w:asciiTheme="minorHAnsi" w:hAnsiTheme="minorHAnsi" w:cstheme="minorHAnsi"/>
                <w:b/>
                <w:bCs/>
                <w:szCs w:val="28"/>
              </w:rPr>
              <w:t>English only</w:t>
            </w:r>
          </w:p>
        </w:tc>
      </w:tr>
      <w:tr w:rsidR="00BC39DF" w:rsidRPr="00BC39DF" w14:paraId="6C67AB96" w14:textId="77777777" w:rsidTr="00BC39DF">
        <w:trPr>
          <w:cantSplit/>
          <w:trHeight w:val="60"/>
        </w:trPr>
        <w:tc>
          <w:tcPr>
            <w:tcW w:w="1109" w:type="dxa"/>
          </w:tcPr>
          <w:p w14:paraId="191AE7BA" w14:textId="77777777" w:rsidR="00BC39DF" w:rsidRPr="00BC39DF" w:rsidRDefault="00BC39DF" w:rsidP="00BC39DF">
            <w:pPr>
              <w:spacing w:before="80" w:after="80"/>
              <w:rPr>
                <w:rFonts w:asciiTheme="minorHAnsi" w:hAnsiTheme="minorHAnsi" w:cstheme="minorHAnsi"/>
                <w:b/>
              </w:rPr>
            </w:pPr>
            <w:r w:rsidRPr="00BC39DF">
              <w:rPr>
                <w:rFonts w:asciiTheme="minorHAnsi" w:hAnsiTheme="minorHAnsi" w:cstheme="minorHAnsi"/>
                <w:b/>
                <w:bCs/>
              </w:rPr>
              <w:t>Source:</w:t>
            </w:r>
          </w:p>
        </w:tc>
        <w:tc>
          <w:tcPr>
            <w:tcW w:w="8046" w:type="dxa"/>
            <w:gridSpan w:val="2"/>
          </w:tcPr>
          <w:p w14:paraId="38388C35" w14:textId="77777777" w:rsidR="00BC39DF" w:rsidRPr="00BC39DF" w:rsidRDefault="00BC39DF" w:rsidP="00BC39DF">
            <w:pPr>
              <w:spacing w:before="80" w:after="80"/>
              <w:rPr>
                <w:rFonts w:asciiTheme="minorHAnsi" w:hAnsiTheme="minorHAnsi" w:cstheme="minorHAnsi"/>
                <w:bCs/>
              </w:rPr>
            </w:pPr>
            <w:r w:rsidRPr="00BC39DF">
              <w:rPr>
                <w:rFonts w:asciiTheme="minorHAnsi" w:hAnsiTheme="minorHAnsi" w:cstheme="minorHAnsi"/>
                <w:bCs/>
              </w:rPr>
              <w:t>Chairman, TDAG-WG-RDTP</w:t>
            </w:r>
          </w:p>
        </w:tc>
      </w:tr>
      <w:tr w:rsidR="00BC39DF" w:rsidRPr="00BC39DF" w14:paraId="0D6ECAFB" w14:textId="77777777" w:rsidTr="00BC39DF">
        <w:trPr>
          <w:cantSplit/>
          <w:trHeight w:val="293"/>
        </w:trPr>
        <w:tc>
          <w:tcPr>
            <w:tcW w:w="1109" w:type="dxa"/>
            <w:tcBorders>
              <w:bottom w:val="single" w:sz="4" w:space="0" w:color="00B0F0"/>
            </w:tcBorders>
          </w:tcPr>
          <w:p w14:paraId="602E8DA1" w14:textId="77777777" w:rsidR="00BC39DF" w:rsidRPr="00BC39DF" w:rsidRDefault="00BC39DF" w:rsidP="00BC39DF">
            <w:pPr>
              <w:spacing w:before="80" w:after="80"/>
              <w:rPr>
                <w:rFonts w:asciiTheme="minorHAnsi" w:hAnsiTheme="minorHAnsi" w:cstheme="minorHAnsi"/>
                <w:b/>
                <w:bCs/>
              </w:rPr>
            </w:pPr>
            <w:r w:rsidRPr="00BC39DF">
              <w:rPr>
                <w:rFonts w:asciiTheme="minorHAnsi" w:hAnsiTheme="minorHAnsi" w:cstheme="minorHAnsi"/>
                <w:b/>
                <w:bCs/>
              </w:rPr>
              <w:t>Title:</w:t>
            </w:r>
          </w:p>
        </w:tc>
        <w:tc>
          <w:tcPr>
            <w:tcW w:w="8046" w:type="dxa"/>
            <w:gridSpan w:val="2"/>
            <w:tcBorders>
              <w:bottom w:val="single" w:sz="4" w:space="0" w:color="00B0F0"/>
            </w:tcBorders>
          </w:tcPr>
          <w:p w14:paraId="74FC484E" w14:textId="77777777" w:rsidR="00BC39DF" w:rsidRPr="00BC39DF" w:rsidRDefault="00BC39DF" w:rsidP="00BC39DF">
            <w:pPr>
              <w:spacing w:before="80" w:after="80"/>
              <w:rPr>
                <w:rFonts w:asciiTheme="minorHAnsi" w:hAnsiTheme="minorHAnsi" w:cstheme="minorHAnsi"/>
                <w:bCs/>
              </w:rPr>
            </w:pPr>
            <w:r w:rsidRPr="00BC39DF">
              <w:rPr>
                <w:rFonts w:asciiTheme="minorHAnsi" w:hAnsiTheme="minorHAnsi" w:cstheme="minorHAnsi"/>
                <w:bCs/>
              </w:rPr>
              <w:t>Proposal for WTDC-21 Thematic Priorities</w:t>
            </w:r>
          </w:p>
        </w:tc>
      </w:tr>
    </w:tbl>
    <w:p w14:paraId="291E99C1" w14:textId="77777777" w:rsidR="00BC39DF" w:rsidRPr="00BC39DF" w:rsidRDefault="00BC39DF" w:rsidP="00BC39DF">
      <w:pPr>
        <w:pStyle w:val="paragraph"/>
        <w:tabs>
          <w:tab w:val="left" w:pos="567"/>
          <w:tab w:val="left" w:pos="1134"/>
        </w:tabs>
        <w:spacing w:before="120" w:beforeAutospacing="0" w:after="0" w:afterAutospacing="0"/>
        <w:textAlignment w:val="baseline"/>
        <w:rPr>
          <w:rFonts w:asciiTheme="minorHAnsi" w:hAnsiTheme="minorHAnsi" w:cstheme="minorHAnsi"/>
        </w:rPr>
      </w:pPr>
      <w:r w:rsidRPr="00BC39DF">
        <w:rPr>
          <w:rFonts w:asciiTheme="minorHAnsi" w:hAnsiTheme="minorHAnsi" w:cstheme="minorHAnsi"/>
        </w:rPr>
        <w:t xml:space="preserve">TDAG, </w:t>
      </w:r>
      <w:r w:rsidRPr="00BC39DF">
        <w:rPr>
          <w:rStyle w:val="normaltextrun"/>
          <w:rFonts w:asciiTheme="minorHAnsi" w:hAnsiTheme="minorHAnsi" w:cstheme="minorHAnsi"/>
        </w:rPr>
        <w:t>noting that 3.7 billion people remain unconnected,</w:t>
      </w:r>
      <w:r w:rsidRPr="00BC39DF">
        <w:rPr>
          <w:rFonts w:asciiTheme="minorHAnsi" w:hAnsiTheme="minorHAnsi" w:cstheme="minorHAnsi"/>
        </w:rPr>
        <w:t xml:space="preserve"> has adopted </w:t>
      </w:r>
      <w:r w:rsidRPr="00BC39DF">
        <w:rPr>
          <w:rFonts w:asciiTheme="minorHAnsi" w:hAnsiTheme="minorHAnsi" w:cstheme="minorHAnsi"/>
          <w:spacing w:val="-1"/>
        </w:rPr>
        <w:t>“</w:t>
      </w:r>
      <w:r w:rsidRPr="00BC39DF">
        <w:rPr>
          <w:rFonts w:asciiTheme="minorHAnsi" w:hAnsiTheme="minorHAnsi" w:cstheme="minorHAnsi"/>
          <w:b/>
        </w:rPr>
        <w:t xml:space="preserve">Connecting the Unconnected to Achieve Sustainable Development” </w:t>
      </w:r>
      <w:r w:rsidRPr="00BC39DF">
        <w:rPr>
          <w:rFonts w:asciiTheme="minorHAnsi" w:hAnsiTheme="minorHAnsi" w:cstheme="minorHAnsi"/>
          <w:bCs/>
        </w:rPr>
        <w:t>as the theme of the 2021</w:t>
      </w:r>
      <w:r w:rsidRPr="00BC39DF">
        <w:rPr>
          <w:rFonts w:asciiTheme="minorHAnsi" w:hAnsiTheme="minorHAnsi" w:cstheme="minorHAnsi"/>
          <w:spacing w:val="-4"/>
        </w:rPr>
        <w:t xml:space="preserve"> </w:t>
      </w:r>
      <w:r w:rsidRPr="00BC39DF">
        <w:rPr>
          <w:rFonts w:asciiTheme="minorHAnsi" w:hAnsiTheme="minorHAnsi" w:cstheme="minorHAnsi"/>
          <w:spacing w:val="-1"/>
        </w:rPr>
        <w:t>World</w:t>
      </w:r>
      <w:r w:rsidRPr="00BC39DF">
        <w:rPr>
          <w:rFonts w:asciiTheme="minorHAnsi" w:hAnsiTheme="minorHAnsi" w:cstheme="minorHAnsi"/>
          <w:spacing w:val="-6"/>
        </w:rPr>
        <w:t xml:space="preserve"> </w:t>
      </w:r>
      <w:r w:rsidRPr="00BC39DF">
        <w:rPr>
          <w:rFonts w:asciiTheme="minorHAnsi" w:hAnsiTheme="minorHAnsi" w:cstheme="minorHAnsi"/>
          <w:spacing w:val="-1"/>
        </w:rPr>
        <w:t>Telecommunication</w:t>
      </w:r>
      <w:r w:rsidRPr="00BC39DF">
        <w:rPr>
          <w:rFonts w:asciiTheme="minorHAnsi" w:hAnsiTheme="minorHAnsi" w:cstheme="minorHAnsi"/>
          <w:spacing w:val="-5"/>
        </w:rPr>
        <w:t xml:space="preserve"> </w:t>
      </w:r>
      <w:r w:rsidRPr="00BC39DF">
        <w:rPr>
          <w:rFonts w:asciiTheme="minorHAnsi" w:hAnsiTheme="minorHAnsi" w:cstheme="minorHAnsi"/>
          <w:spacing w:val="-1"/>
        </w:rPr>
        <w:t>Development</w:t>
      </w:r>
      <w:r w:rsidRPr="00BC39DF">
        <w:rPr>
          <w:rFonts w:asciiTheme="minorHAnsi" w:hAnsiTheme="minorHAnsi" w:cstheme="minorHAnsi"/>
          <w:spacing w:val="-6"/>
        </w:rPr>
        <w:t xml:space="preserve"> </w:t>
      </w:r>
      <w:r w:rsidRPr="00BC39DF">
        <w:rPr>
          <w:rFonts w:asciiTheme="minorHAnsi" w:hAnsiTheme="minorHAnsi" w:cstheme="minorHAnsi"/>
          <w:spacing w:val="-1"/>
        </w:rPr>
        <w:t>Conference</w:t>
      </w:r>
      <w:r w:rsidRPr="00BC39DF">
        <w:rPr>
          <w:rFonts w:asciiTheme="minorHAnsi" w:hAnsiTheme="minorHAnsi" w:cstheme="minorHAnsi"/>
          <w:spacing w:val="-4"/>
        </w:rPr>
        <w:t xml:space="preserve"> </w:t>
      </w:r>
      <w:r w:rsidRPr="00BC39DF">
        <w:rPr>
          <w:rFonts w:asciiTheme="minorHAnsi" w:hAnsiTheme="minorHAnsi" w:cstheme="minorHAnsi"/>
          <w:spacing w:val="-1"/>
        </w:rPr>
        <w:t>(Addis Ababa,</w:t>
      </w:r>
      <w:r w:rsidRPr="00BC39DF">
        <w:rPr>
          <w:rFonts w:asciiTheme="minorHAnsi" w:hAnsiTheme="minorHAnsi" w:cstheme="minorHAnsi"/>
          <w:spacing w:val="-6"/>
        </w:rPr>
        <w:t xml:space="preserve"> </w:t>
      </w:r>
      <w:r w:rsidRPr="00BC39DF">
        <w:rPr>
          <w:rFonts w:asciiTheme="minorHAnsi" w:hAnsiTheme="minorHAnsi" w:cstheme="minorHAnsi"/>
          <w:spacing w:val="-1"/>
        </w:rPr>
        <w:t>2021).</w:t>
      </w:r>
      <w:r w:rsidRPr="00BC39DF">
        <w:rPr>
          <w:rFonts w:asciiTheme="minorHAnsi" w:hAnsiTheme="minorHAnsi" w:cstheme="minorHAnsi"/>
          <w:bCs/>
        </w:rPr>
        <w:t xml:space="preserve"> </w:t>
      </w:r>
      <w:r w:rsidRPr="00BC39DF">
        <w:rPr>
          <w:rStyle w:val="normaltextrun"/>
          <w:rFonts w:asciiTheme="minorHAnsi" w:hAnsiTheme="minorHAnsi" w:cstheme="minorHAnsi"/>
        </w:rPr>
        <w:t>Ensuring a ubiquitous, equitable and affordable connectivity has become increasingly more important in the context of the global pandemic that continues to cause serious socioeconomic shifts and an increasing reliance on ICTs. This was also noted in the UNSG's Digital Cooperation Roadmap.</w:t>
      </w:r>
    </w:p>
    <w:p w14:paraId="15FD4899" w14:textId="77777777" w:rsidR="00BC39DF" w:rsidRPr="00BC39DF" w:rsidRDefault="00BC39DF" w:rsidP="00BC39DF">
      <w:pPr>
        <w:keepNext/>
        <w:tabs>
          <w:tab w:val="left" w:pos="567"/>
          <w:tab w:val="left" w:pos="1134"/>
        </w:tabs>
        <w:spacing w:before="120"/>
        <w:textAlignment w:val="baseline"/>
        <w:rPr>
          <w:rFonts w:asciiTheme="minorHAnsi" w:hAnsiTheme="minorHAnsi" w:cstheme="minorHAnsi"/>
        </w:rPr>
      </w:pPr>
      <w:r w:rsidRPr="00BC39DF">
        <w:rPr>
          <w:rFonts w:asciiTheme="minorHAnsi" w:hAnsiTheme="minorHAnsi" w:cstheme="minorHAnsi"/>
        </w:rPr>
        <w:t xml:space="preserve">The work of BDT is aligned along Topics that emanate from its objectives, programmes, projects, and initiatives. Hence, such Topics play a key role in facilitating coordination and creating synergies with different stakeholders and within the BDT for achieving ITU-D mandates and objectives. The following are the ten topics based on WTDC-17 Buenos Aires Action Plan (BAP) as presented in Document </w:t>
      </w:r>
      <w:hyperlink r:id="rId13" w:history="1">
        <w:r w:rsidRPr="00BC39DF">
          <w:rPr>
            <w:rStyle w:val="Hyperlink"/>
            <w:rFonts w:asciiTheme="minorHAnsi" w:hAnsiTheme="minorHAnsi" w:cstheme="minorHAnsi"/>
          </w:rPr>
          <w:t>TDAG-WG-RDTP/2-E</w:t>
        </w:r>
      </w:hyperlink>
      <w:r w:rsidRPr="00BC39DF">
        <w:rPr>
          <w:rFonts w:asciiTheme="minorHAnsi" w:hAnsiTheme="minorHAnsi" w:cstheme="minorHAnsi"/>
        </w:rPr>
        <w:t xml:space="preserve"> (13 July 2020): </w:t>
      </w:r>
    </w:p>
    <w:p w14:paraId="30D6D400"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Capacity Development</w:t>
      </w:r>
    </w:p>
    <w:p w14:paraId="3C8FC33D"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Cybersecurity</w:t>
      </w:r>
    </w:p>
    <w:p w14:paraId="7241E0AF"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Digital Inclusion</w:t>
      </w:r>
    </w:p>
    <w:p w14:paraId="64559E7F"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Digital Innovation Ecosystems</w:t>
      </w:r>
    </w:p>
    <w:p w14:paraId="43AE50F8"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Digital Services &amp; Applications</w:t>
      </w:r>
    </w:p>
    <w:p w14:paraId="116503FA"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Emergency Telecommunications</w:t>
      </w:r>
    </w:p>
    <w:p w14:paraId="6B56450A"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Environment</w:t>
      </w:r>
    </w:p>
    <w:p w14:paraId="67A38BD0"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Networks &amp; Digital Infrastructure</w:t>
      </w:r>
    </w:p>
    <w:p w14:paraId="08379C15"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Policy &amp; Regulation</w:t>
      </w:r>
    </w:p>
    <w:p w14:paraId="586B8C39"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Statistics</w:t>
      </w:r>
    </w:p>
    <w:p w14:paraId="30EF4232" w14:textId="77777777" w:rsidR="00BC39DF" w:rsidRPr="00BC39DF" w:rsidRDefault="00BC39DF" w:rsidP="00BC39DF">
      <w:pPr>
        <w:pStyle w:val="paragraph"/>
        <w:keepNext/>
        <w:tabs>
          <w:tab w:val="left" w:pos="567"/>
          <w:tab w:val="left" w:pos="1134"/>
        </w:tabs>
        <w:spacing w:before="120" w:beforeAutospacing="0" w:after="0" w:afterAutospacing="0"/>
        <w:textAlignment w:val="baseline"/>
        <w:rPr>
          <w:rFonts w:asciiTheme="minorHAnsi" w:hAnsiTheme="minorHAnsi" w:cstheme="minorHAnsi"/>
          <w:lang w:val="en-US"/>
        </w:rPr>
      </w:pPr>
      <w:r w:rsidRPr="00BC39DF">
        <w:rPr>
          <w:rFonts w:asciiTheme="minorHAnsi" w:hAnsiTheme="minorHAnsi" w:cstheme="minorHAnsi"/>
          <w:lang w:val="en-US"/>
        </w:rPr>
        <w:t xml:space="preserve">For better impact, more coherence, improved coordination and enhanced clarity, clustering of Topics into Thematic Priorities can be considered by combining related topics. The objective is to present succinct and comprehensive Thematic Priorities that are aligned with the theme of the Conference and at the same time facilitate the work and management of BDT. The Topics that can be considered as supporting components of the Thematic Priorities should emanate from the Addis Ababa Action Plan to be adopted by WTDC-21 and will determine the work of ITU-D over the next four years (2022-2025). In what follows, four </w:t>
      </w:r>
      <w:r w:rsidRPr="00BC39DF">
        <w:rPr>
          <w:rFonts w:asciiTheme="minorHAnsi" w:hAnsiTheme="minorHAnsi" w:cstheme="minorHAnsi"/>
          <w:lang w:val="en-US"/>
        </w:rPr>
        <w:lastRenderedPageBreak/>
        <w:t>Thematic Priorities are proposed to assist ITU membership in their preparations for WTDC-21 and to start discussions in TDAG-WG RDTP with a view to achieving a fit-for-purpose ITU-D:</w:t>
      </w:r>
    </w:p>
    <w:p w14:paraId="65CB49AF"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Connectivity: </w:t>
      </w:r>
      <w:r w:rsidRPr="00BC39DF">
        <w:rPr>
          <w:rFonts w:asciiTheme="minorHAnsi" w:hAnsiTheme="minorHAnsi" w:cstheme="minorHAnsi"/>
        </w:rPr>
        <w:t xml:space="preserve">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telecommunications/ICT. The needs of </w:t>
      </w:r>
      <w:r w:rsidRPr="00BC39DF">
        <w:rPr>
          <w:rStyle w:val="normaltextrun"/>
          <w:rFonts w:asciiTheme="minorHAnsi" w:hAnsiTheme="minorHAnsi" w:cstheme="minorHAnsi"/>
        </w:rPr>
        <w:t xml:space="preserve">LDCs, LLDCs and SIDS </w:t>
      </w:r>
      <w:r w:rsidRPr="00BC39DF">
        <w:rPr>
          <w:rFonts w:asciiTheme="minorHAnsi" w:hAnsiTheme="minorHAnsi" w:cstheme="minorHAnsi"/>
        </w:rPr>
        <w:t xml:space="preserve">should be prioritized and given due attention. The following topics can be considered as supporting components of this Thematic Priority: </w:t>
      </w:r>
      <w:r w:rsidRPr="00BC39DF">
        <w:rPr>
          <w:rFonts w:asciiTheme="minorHAnsi" w:hAnsiTheme="minorHAnsi" w:cstheme="minorHAnsi"/>
          <w:b/>
          <w:bCs/>
          <w:i/>
          <w:iCs/>
        </w:rPr>
        <w:t>Future Networks and Digital Infrastructure</w:t>
      </w:r>
      <w:r w:rsidRPr="00BC39DF">
        <w:rPr>
          <w:rFonts w:asciiTheme="minorHAnsi" w:hAnsiTheme="minorHAnsi" w:cstheme="minorHAnsi"/>
          <w:b/>
          <w:bCs/>
        </w:rPr>
        <w:t xml:space="preserve">, </w:t>
      </w:r>
      <w:r w:rsidRPr="00BC39DF">
        <w:rPr>
          <w:rFonts w:asciiTheme="minorHAnsi" w:hAnsiTheme="minorHAnsi" w:cstheme="minorHAnsi"/>
          <w:b/>
          <w:bCs/>
          <w:i/>
          <w:iCs/>
        </w:rPr>
        <w:t>Cybersecurity</w:t>
      </w:r>
      <w:r w:rsidRPr="00BC39DF">
        <w:rPr>
          <w:rFonts w:asciiTheme="minorHAnsi" w:hAnsiTheme="minorHAnsi" w:cstheme="minorHAnsi"/>
          <w:i/>
          <w:iCs/>
        </w:rPr>
        <w:t>,</w:t>
      </w:r>
      <w:r w:rsidRPr="00BC39DF">
        <w:rPr>
          <w:rFonts w:asciiTheme="minorHAnsi" w:hAnsiTheme="minorHAnsi" w:cstheme="minorHAnsi"/>
        </w:rPr>
        <w:t xml:space="preserve"> and </w:t>
      </w:r>
      <w:r w:rsidRPr="00BC39DF">
        <w:rPr>
          <w:rFonts w:asciiTheme="minorHAnsi" w:hAnsiTheme="minorHAnsi" w:cstheme="minorHAnsi"/>
          <w:b/>
          <w:bCs/>
          <w:i/>
          <w:iCs/>
        </w:rPr>
        <w:t>Emergency Telecommunications</w:t>
      </w:r>
      <w:r w:rsidRPr="00BC39DF">
        <w:rPr>
          <w:rFonts w:asciiTheme="minorHAnsi" w:hAnsiTheme="minorHAnsi" w:cstheme="minorHAnsi"/>
          <w:i/>
          <w:iCs/>
        </w:rPr>
        <w:t>.</w:t>
      </w:r>
    </w:p>
    <w:p w14:paraId="42D6B064"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Digital Society: </w:t>
      </w:r>
      <w:r w:rsidRPr="00BC39DF">
        <w:rPr>
          <w:rFonts w:asciiTheme="minorHAnsi" w:hAnsiTheme="minorHAnsi" w:cstheme="minorHAnsi"/>
        </w:rPr>
        <w:t xml:space="preserve">The focus of this Thematic Priority is on the development and use of telecommunications/ICTs and applications and services to close the Digital Divides and empower people and societies for sustainable development. </w:t>
      </w:r>
      <w:r w:rsidRPr="00BC39DF">
        <w:rPr>
          <w:rStyle w:val="normaltextrun"/>
          <w:rFonts w:asciiTheme="minorHAnsi" w:hAnsiTheme="minorHAnsi" w:cstheme="minorHAnsi"/>
        </w:rPr>
        <w:t xml:space="preserve">This is of critical importance as societies adapt to the changes that are needed to reengineer as a result of the Covid-19 pandemic. </w:t>
      </w:r>
      <w:r w:rsidRPr="00BC39DF">
        <w:rPr>
          <w:rFonts w:asciiTheme="minorHAnsi" w:hAnsiTheme="minorHAnsi" w:cstheme="minorHAnsi"/>
        </w:rPr>
        <w:t xml:space="preserve">In doing so, there is need to recognize the important role that women and youth can play in making the digital society a reality. The following topics can be considered as supporting components of this Thematic Priority: </w:t>
      </w:r>
      <w:r w:rsidRPr="00BC39DF">
        <w:rPr>
          <w:rFonts w:asciiTheme="minorHAnsi" w:hAnsiTheme="minorHAnsi" w:cstheme="minorHAnsi"/>
          <w:b/>
          <w:bCs/>
          <w:i/>
          <w:iCs/>
        </w:rPr>
        <w:t>Digital Inclusion</w:t>
      </w:r>
      <w:r w:rsidRPr="00BC39DF">
        <w:rPr>
          <w:rFonts w:asciiTheme="minorHAnsi" w:hAnsiTheme="minorHAnsi" w:cstheme="minorHAnsi"/>
        </w:rPr>
        <w:t xml:space="preserve">, </w:t>
      </w:r>
      <w:r w:rsidRPr="00BC39DF">
        <w:rPr>
          <w:rFonts w:asciiTheme="minorHAnsi" w:hAnsiTheme="minorHAnsi" w:cstheme="minorHAnsi"/>
          <w:b/>
          <w:bCs/>
          <w:i/>
          <w:iCs/>
        </w:rPr>
        <w:t>Digital Services and Applications</w:t>
      </w:r>
      <w:r w:rsidRPr="00BC39DF">
        <w:rPr>
          <w:rFonts w:asciiTheme="minorHAnsi" w:hAnsiTheme="minorHAnsi" w:cstheme="minorHAnsi"/>
        </w:rPr>
        <w:t xml:space="preserve">, and </w:t>
      </w:r>
      <w:r w:rsidRPr="00BC39DF">
        <w:rPr>
          <w:rFonts w:asciiTheme="minorHAnsi" w:hAnsiTheme="minorHAnsi" w:cstheme="minorHAnsi"/>
          <w:b/>
          <w:bCs/>
          <w:i/>
          <w:iCs/>
        </w:rPr>
        <w:t>Environment.</w:t>
      </w:r>
    </w:p>
    <w:p w14:paraId="4139C2CC"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Enabling Environment: </w:t>
      </w:r>
      <w:r w:rsidRPr="00BC39DF">
        <w:rPr>
          <w:rFonts w:asciiTheme="minorHAnsi" w:hAnsiTheme="minorHAnsi" w:cstheme="minorHAnsi"/>
        </w:rPr>
        <w:t xml:space="preserve">The focus of this Thematic Priority is on fostering an enabling policy and regulatory environment conducive to sustainable telecommunication/ICT development. </w:t>
      </w:r>
      <w:r w:rsidRPr="00BC39DF">
        <w:rPr>
          <w:rStyle w:val="normaltextrun"/>
          <w:rFonts w:asciiTheme="minorHAnsi" w:hAnsiTheme="minorHAnsi" w:cstheme="minorHAnsi"/>
        </w:rPr>
        <w:t xml:space="preserve">This Thematic Priority comprises key enablers that underpin ITU’s work to deliver on the Connectivity and Digital Society priorities. </w:t>
      </w:r>
      <w:r w:rsidRPr="00BC39DF">
        <w:rPr>
          <w:rFonts w:asciiTheme="minorHAnsi" w:hAnsiTheme="minorHAnsi" w:cstheme="minorHAnsi"/>
        </w:rPr>
        <w:t>The following topics can be considered as supporting components of this Thematic Priority:</w:t>
      </w:r>
      <w:r w:rsidRPr="00BC39DF">
        <w:rPr>
          <w:rFonts w:asciiTheme="minorHAnsi" w:hAnsiTheme="minorHAnsi" w:cstheme="minorHAnsi"/>
          <w:i/>
          <w:iCs/>
        </w:rPr>
        <w:t xml:space="preserve"> </w:t>
      </w:r>
      <w:r w:rsidRPr="00BC39DF">
        <w:rPr>
          <w:rFonts w:asciiTheme="minorHAnsi" w:hAnsiTheme="minorHAnsi" w:cstheme="minorHAnsi"/>
          <w:b/>
          <w:bCs/>
          <w:i/>
          <w:iCs/>
        </w:rPr>
        <w:t>Statistics</w:t>
      </w:r>
      <w:r w:rsidRPr="00BC39DF">
        <w:rPr>
          <w:rFonts w:asciiTheme="minorHAnsi" w:hAnsiTheme="minorHAnsi" w:cstheme="minorHAnsi"/>
          <w:i/>
          <w:iCs/>
        </w:rPr>
        <w:t xml:space="preserve">, </w:t>
      </w:r>
      <w:r w:rsidRPr="00BC39DF">
        <w:rPr>
          <w:rFonts w:asciiTheme="minorHAnsi" w:hAnsiTheme="minorHAnsi" w:cstheme="minorHAnsi"/>
          <w:b/>
          <w:bCs/>
          <w:i/>
          <w:iCs/>
        </w:rPr>
        <w:t>Digital Innovation Ecosystems, Policy and Regulatory environments</w:t>
      </w:r>
      <w:r w:rsidRPr="00BC39DF">
        <w:rPr>
          <w:rFonts w:asciiTheme="minorHAnsi" w:hAnsiTheme="minorHAnsi" w:cstheme="minorHAnsi"/>
          <w:i/>
          <w:iCs/>
        </w:rPr>
        <w:t>,</w:t>
      </w:r>
      <w:r w:rsidRPr="00BC39DF">
        <w:rPr>
          <w:rFonts w:asciiTheme="minorHAnsi" w:hAnsiTheme="minorHAnsi" w:cstheme="minorHAnsi"/>
        </w:rPr>
        <w:t xml:space="preserve"> and </w:t>
      </w:r>
      <w:r w:rsidRPr="00BC39DF">
        <w:rPr>
          <w:rFonts w:asciiTheme="minorHAnsi" w:hAnsiTheme="minorHAnsi" w:cstheme="minorHAnsi"/>
          <w:b/>
          <w:bCs/>
          <w:i/>
          <w:iCs/>
        </w:rPr>
        <w:t>Capacity Development</w:t>
      </w:r>
      <w:r w:rsidRPr="00BC39DF">
        <w:rPr>
          <w:rFonts w:asciiTheme="minorHAnsi" w:hAnsiTheme="minorHAnsi" w:cstheme="minorHAnsi"/>
          <w:i/>
          <w:iCs/>
        </w:rPr>
        <w:t>.</w:t>
      </w:r>
    </w:p>
    <w:p w14:paraId="5FF2D71C"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Resource Mobilization and International Cooperation: </w:t>
      </w:r>
      <w:r w:rsidRPr="00BC39DF">
        <w:rPr>
          <w:rFonts w:asciiTheme="minorHAnsi" w:hAnsiTheme="minorHAnsi" w:cstheme="minorHAnsi"/>
        </w:rPr>
        <w:t xml:space="preserve">The focus of this Thematic Priority is on mobilizing and attracting resources and fostering international cooperation on telecommunication/ICT development issues. </w:t>
      </w:r>
      <w:r w:rsidRPr="00BC39DF">
        <w:rPr>
          <w:rStyle w:val="normaltextrun"/>
          <w:rFonts w:asciiTheme="minorHAnsi" w:hAnsiTheme="minorHAnsi" w:cstheme="minorHAnsi"/>
        </w:rPr>
        <w:t xml:space="preserve">This Thematic Priority is also cross cutting by providing the resources and fostering international cooperation to deliver the relevant global outcomes. </w:t>
      </w:r>
      <w:r w:rsidRPr="00BC39DF">
        <w:rPr>
          <w:rFonts w:asciiTheme="minorHAnsi" w:hAnsiTheme="minorHAnsi" w:cstheme="minorHAnsi"/>
        </w:rPr>
        <w:t xml:space="preserve">The following topics can be considered as the supporting components of this Thematic Priority: </w:t>
      </w:r>
      <w:r w:rsidRPr="00BC39DF">
        <w:rPr>
          <w:rFonts w:asciiTheme="minorHAnsi" w:hAnsiTheme="minorHAnsi" w:cstheme="minorHAnsi"/>
          <w:b/>
          <w:bCs/>
          <w:i/>
          <w:iCs/>
        </w:rPr>
        <w:t xml:space="preserve">Projects, Partnerships, Membership, </w:t>
      </w:r>
      <w:r w:rsidRPr="00BC39DF">
        <w:rPr>
          <w:rFonts w:asciiTheme="minorHAnsi" w:hAnsiTheme="minorHAnsi" w:cstheme="minorHAnsi"/>
        </w:rPr>
        <w:t xml:space="preserve">and </w:t>
      </w:r>
      <w:r w:rsidRPr="00BC39DF">
        <w:rPr>
          <w:rFonts w:asciiTheme="minorHAnsi" w:hAnsiTheme="minorHAnsi" w:cstheme="minorHAnsi"/>
          <w:b/>
          <w:bCs/>
          <w:i/>
          <w:iCs/>
        </w:rPr>
        <w:t>ITU-D Study Groups</w:t>
      </w:r>
      <w:r w:rsidRPr="00BC39DF">
        <w:rPr>
          <w:rFonts w:asciiTheme="minorHAnsi" w:hAnsiTheme="minorHAnsi" w:cstheme="minorHAnsi"/>
        </w:rPr>
        <w:t>.</w:t>
      </w:r>
    </w:p>
    <w:p w14:paraId="0233468F" w14:textId="77777777" w:rsidR="00BC39DF" w:rsidRPr="00BC39DF" w:rsidRDefault="00BC39DF" w:rsidP="00BC39DF">
      <w:pPr>
        <w:tabs>
          <w:tab w:val="left" w:pos="567"/>
          <w:tab w:val="left" w:pos="1134"/>
        </w:tabs>
        <w:spacing w:before="120"/>
        <w:rPr>
          <w:rFonts w:asciiTheme="minorHAnsi" w:hAnsiTheme="minorHAnsi" w:cstheme="minorHAnsi"/>
        </w:rPr>
      </w:pPr>
      <w:r w:rsidRPr="00BC39DF">
        <w:rPr>
          <w:rStyle w:val="normaltextrun"/>
          <w:rFonts w:asciiTheme="minorHAnsi" w:hAnsiTheme="minorHAnsi" w:cstheme="minorHAnsi"/>
        </w:rPr>
        <w:t xml:space="preserve">The concerns and needs of LDCs, LLDCs and SIDS are crosscutting across all Thematic Priorities. </w:t>
      </w:r>
      <w:r w:rsidRPr="00BC39DF">
        <w:rPr>
          <w:rFonts w:asciiTheme="minorHAnsi" w:hAnsiTheme="minorHAnsi" w:cstheme="minorHAnsi"/>
        </w:rPr>
        <w:t>Below is a pictorial presentation of the above concepts, mapping thematic priorities to topics and their boundaries.</w:t>
      </w:r>
    </w:p>
    <w:p w14:paraId="0A5517D9" w14:textId="672FFADC" w:rsidR="00BC39DF" w:rsidRDefault="00BC39DF" w:rsidP="00041A33">
      <w:pPr>
        <w:tabs>
          <w:tab w:val="left" w:pos="1440"/>
        </w:tabs>
      </w:pPr>
    </w:p>
    <w:p w14:paraId="36B7C52E" w14:textId="3924390C" w:rsidR="00BC39DF" w:rsidRDefault="00BC39DF" w:rsidP="00041A33">
      <w:pPr>
        <w:tabs>
          <w:tab w:val="left" w:pos="1440"/>
        </w:tabs>
      </w:pPr>
      <w:r>
        <w:rPr>
          <w:noProof/>
          <w:lang w:eastAsia="ja-JP"/>
        </w:rPr>
        <w:lastRenderedPageBreak/>
        <w:drawing>
          <wp:inline distT="0" distB="0" distL="0" distR="0" wp14:anchorId="1983B9DD" wp14:editId="6D7E0A94">
            <wp:extent cx="5731510" cy="3223895"/>
            <wp:effectExtent l="0" t="0" r="2540" b="0"/>
            <wp:docPr id="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31510" cy="3223895"/>
                    </a:xfrm>
                    <a:prstGeom prst="rect">
                      <a:avLst/>
                    </a:prstGeom>
                  </pic:spPr>
                </pic:pic>
              </a:graphicData>
            </a:graphic>
          </wp:inline>
        </w:drawing>
      </w:r>
    </w:p>
    <w:p w14:paraId="3DAD4D56" w14:textId="6B4B7A46" w:rsidR="00C0137C" w:rsidRDefault="00C0137C" w:rsidP="00041A33">
      <w:pPr>
        <w:tabs>
          <w:tab w:val="left" w:pos="1440"/>
        </w:tabs>
      </w:pPr>
    </w:p>
    <w:p w14:paraId="4B47C216" w14:textId="1AED987E" w:rsidR="00E4406B" w:rsidRPr="00E4406B" w:rsidRDefault="00C0137C" w:rsidP="00E4406B">
      <w:pPr>
        <w:tabs>
          <w:tab w:val="left" w:pos="794"/>
          <w:tab w:val="left" w:pos="1191"/>
          <w:tab w:val="left" w:pos="1588"/>
          <w:tab w:val="left" w:pos="1985"/>
        </w:tabs>
        <w:overflowPunct w:val="0"/>
        <w:autoSpaceDE w:val="0"/>
        <w:autoSpaceDN w:val="0"/>
        <w:adjustRightInd w:val="0"/>
        <w:spacing w:before="120"/>
        <w:jc w:val="center"/>
        <w:textAlignment w:val="baseline"/>
        <w:rPr>
          <w:rFonts w:ascii="Calibri" w:eastAsia="MS Mincho" w:hAnsi="Calibri"/>
          <w:sz w:val="22"/>
          <w:szCs w:val="20"/>
          <w:lang w:val="en-GB"/>
        </w:rPr>
      </w:pPr>
      <w:r w:rsidRPr="00041A33">
        <w:rPr>
          <w:rFonts w:ascii="Calibri" w:eastAsia="MS Mincho" w:hAnsi="Calibri"/>
          <w:sz w:val="22"/>
          <w:szCs w:val="20"/>
          <w:lang w:val="en-GB"/>
        </w:rPr>
        <w:t>________________</w:t>
      </w:r>
    </w:p>
    <w:sectPr w:rsidR="00E4406B" w:rsidRPr="00E4406B" w:rsidSect="002E2B2D">
      <w:headerReference w:type="default" r:id="rId16"/>
      <w:footerReference w:type="even" r:id="rId17"/>
      <w:footerReference w:type="default" r:id="rId18"/>
      <w:footerReference w:type="first" r:id="rId1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25377" w14:textId="77777777" w:rsidR="00160EDB" w:rsidRDefault="00160EDB">
      <w:r>
        <w:separator/>
      </w:r>
    </w:p>
  </w:endnote>
  <w:endnote w:type="continuationSeparator" w:id="0">
    <w:p w14:paraId="66939305" w14:textId="77777777" w:rsidR="00160EDB" w:rsidRDefault="0016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Semilight"/>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휴먼명조">
    <w:altName w:val="Arial Unicode MS"/>
    <w:panose1 w:val="00000000000000000000"/>
    <w:charset w:val="81"/>
    <w:family w:val="roman"/>
    <w:notTrueType/>
    <w:pitch w:val="variable"/>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6163"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DD9B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167F" w14:textId="2FE728CC" w:rsidR="0097693B" w:rsidRDefault="00341CD0" w:rsidP="00341CD0">
    <w:pPr>
      <w:pStyle w:val="Footer"/>
      <w:tabs>
        <w:tab w:val="clear" w:pos="4320"/>
        <w:tab w:val="clear" w:pos="8640"/>
        <w:tab w:val="right" w:pos="9180"/>
      </w:tabs>
      <w:ind w:right="-7"/>
      <w:jc w:val="right"/>
    </w:pPr>
    <w:r>
      <w:rPr>
        <w:rStyle w:val="PageNumber"/>
      </w:rPr>
      <w:t>APT WT</w:t>
    </w:r>
    <w:r w:rsidR="002E2B2D">
      <w:rPr>
        <w:rStyle w:val="PageNumber"/>
      </w:rPr>
      <w:t>DC</w:t>
    </w:r>
    <w:r>
      <w:rPr>
        <w:rStyle w:val="PageNumber"/>
      </w:rPr>
      <w:t>2</w:t>
    </w:r>
    <w:r w:rsidR="002E2B2D">
      <w:rPr>
        <w:rStyle w:val="PageNumber"/>
      </w:rPr>
      <w:t>1</w:t>
    </w:r>
    <w:r>
      <w:rPr>
        <w:rStyle w:val="PageNumber"/>
      </w:rPr>
      <w:t>-</w:t>
    </w:r>
    <w:r w:rsidR="00532959">
      <w:rPr>
        <w:rStyle w:val="PageNumber"/>
      </w:rPr>
      <w:t>2</w:t>
    </w:r>
    <w:r>
      <w:rPr>
        <w:rStyle w:val="PageNumber"/>
      </w:rPr>
      <w:t>/INP-</w:t>
    </w:r>
    <w:r w:rsidR="002E2B2D">
      <w:rPr>
        <w:rStyle w:val="PageNumber"/>
      </w:rPr>
      <w:t>xx</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D6CCD">
      <w:rPr>
        <w:rStyle w:val="PageNumber"/>
        <w:noProof/>
      </w:rPr>
      <w:t>8</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D6CCD">
      <w:rPr>
        <w:rStyle w:val="PageNumber"/>
        <w:noProof/>
      </w:rPr>
      <w:t>12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8" w:type="dxa"/>
      <w:jc w:val="center"/>
      <w:tblBorders>
        <w:top w:val="single" w:sz="8" w:space="0" w:color="auto"/>
      </w:tblBorders>
      <w:tblLayout w:type="fixed"/>
      <w:tblCellMar>
        <w:left w:w="57" w:type="dxa"/>
        <w:right w:w="57" w:type="dxa"/>
      </w:tblCellMar>
      <w:tblLook w:val="0000" w:firstRow="0" w:lastRow="0" w:firstColumn="0" w:lastColumn="0" w:noHBand="0" w:noVBand="0"/>
    </w:tblPr>
    <w:tblGrid>
      <w:gridCol w:w="1152"/>
      <w:gridCol w:w="5472"/>
      <w:gridCol w:w="2664"/>
    </w:tblGrid>
    <w:tr w:rsidR="00341CD0" w:rsidRPr="005E75F4" w14:paraId="23026B3F" w14:textId="77777777" w:rsidTr="007B0725">
      <w:trPr>
        <w:cantSplit/>
        <w:trHeight w:val="204"/>
        <w:jc w:val="center"/>
      </w:trPr>
      <w:tc>
        <w:tcPr>
          <w:tcW w:w="1152" w:type="dxa"/>
        </w:tcPr>
        <w:p w14:paraId="32CDC3AA" w14:textId="77777777" w:rsidR="00341CD0" w:rsidRPr="005E75F4" w:rsidRDefault="00341CD0" w:rsidP="00341CD0">
          <w:pPr>
            <w:rPr>
              <w:b/>
              <w:bCs/>
            </w:rPr>
          </w:pPr>
          <w:r w:rsidRPr="005E75F4">
            <w:rPr>
              <w:b/>
              <w:bCs/>
            </w:rPr>
            <w:t>Contact:</w:t>
          </w:r>
        </w:p>
      </w:tc>
      <w:tc>
        <w:tcPr>
          <w:tcW w:w="5472" w:type="dxa"/>
        </w:tcPr>
        <w:p w14:paraId="6F631E38" w14:textId="3D0DA019" w:rsidR="00341CD0" w:rsidRPr="005E75F4" w:rsidRDefault="00341CD0" w:rsidP="00341CD0">
          <w:pPr>
            <w:rPr>
              <w:rFonts w:eastAsia="Batang"/>
            </w:rPr>
          </w:pPr>
        </w:p>
      </w:tc>
      <w:tc>
        <w:tcPr>
          <w:tcW w:w="2664" w:type="dxa"/>
        </w:tcPr>
        <w:p w14:paraId="488B4C7E" w14:textId="4EC3A8F6" w:rsidR="00341CD0" w:rsidRPr="005E75F4" w:rsidRDefault="00341CD0" w:rsidP="002E2B2D">
          <w:pPr>
            <w:rPr>
              <w:lang w:eastAsia="ja-JP"/>
            </w:rPr>
          </w:pPr>
          <w:r w:rsidRPr="005E75F4">
            <w:t xml:space="preserve">Email: </w:t>
          </w:r>
        </w:p>
      </w:tc>
    </w:tr>
  </w:tbl>
  <w:p w14:paraId="6E9AF77B" w14:textId="77777777" w:rsidR="00341CD0" w:rsidRPr="00341CD0" w:rsidRDefault="00341CD0" w:rsidP="00341CD0">
    <w:pPr>
      <w:pStyle w:val="Footer"/>
      <w:tabs>
        <w:tab w:val="clear" w:pos="4320"/>
        <w:tab w:val="clear" w:pos="8640"/>
        <w:tab w:val="right" w:pos="9173"/>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8C8BD" w14:textId="77777777" w:rsidR="00160EDB" w:rsidRDefault="00160EDB">
      <w:r>
        <w:separator/>
      </w:r>
    </w:p>
  </w:footnote>
  <w:footnote w:type="continuationSeparator" w:id="0">
    <w:p w14:paraId="5384E1EA" w14:textId="77777777" w:rsidR="00160EDB" w:rsidRDefault="0016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8AB4" w14:textId="4A151A73" w:rsidR="0097693B" w:rsidRDefault="0097693B" w:rsidP="00341CD0">
    <w:pPr>
      <w:pStyle w:val="Header"/>
      <w:tabs>
        <w:tab w:val="clear" w:pos="4320"/>
        <w:tab w:val="clear" w:pos="8640"/>
      </w:tabs>
      <w:rPr>
        <w:lang w:eastAsia="ko-KR"/>
      </w:rPr>
    </w:pPr>
  </w:p>
  <w:p w14:paraId="07EFF3BC" w14:textId="77777777" w:rsidR="0097693B" w:rsidRDefault="0097693B" w:rsidP="00341CD0">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22387"/>
    <w:multiLevelType w:val="hybridMultilevel"/>
    <w:tmpl w:val="558098E6"/>
    <w:lvl w:ilvl="0" w:tplc="01240BCE">
      <w:start w:val="1"/>
      <w:numFmt w:val="decimal"/>
      <w:lvlText w:val="%1)"/>
      <w:lvlJc w:val="left"/>
      <w:pPr>
        <w:ind w:left="360" w:hanging="360"/>
      </w:pPr>
      <w:rPr>
        <w:rFonts w:hint="default"/>
      </w:rPr>
    </w:lvl>
    <w:lvl w:ilvl="1" w:tplc="5BBA42F4">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2E5E14"/>
    <w:multiLevelType w:val="hybridMultilevel"/>
    <w:tmpl w:val="BD22571A"/>
    <w:lvl w:ilvl="0" w:tplc="4E30F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18790FAF"/>
    <w:multiLevelType w:val="hybridMultilevel"/>
    <w:tmpl w:val="CAFA4F3A"/>
    <w:lvl w:ilvl="0" w:tplc="C442C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E2C70"/>
    <w:multiLevelType w:val="hybridMultilevel"/>
    <w:tmpl w:val="0D7C8ABC"/>
    <w:lvl w:ilvl="0" w:tplc="4BE0203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E01702"/>
    <w:multiLevelType w:val="hybridMultilevel"/>
    <w:tmpl w:val="23D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8A4360"/>
    <w:multiLevelType w:val="hybridMultilevel"/>
    <w:tmpl w:val="23C6EC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E4893"/>
    <w:multiLevelType w:val="hybridMultilevel"/>
    <w:tmpl w:val="D058556C"/>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13C7E68"/>
    <w:multiLevelType w:val="hybridMultilevel"/>
    <w:tmpl w:val="B366C446"/>
    <w:lvl w:ilvl="0" w:tplc="B2A60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174DC1"/>
    <w:multiLevelType w:val="hybridMultilevel"/>
    <w:tmpl w:val="29643F34"/>
    <w:lvl w:ilvl="0" w:tplc="16F4FDA4">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4043B7A"/>
    <w:multiLevelType w:val="hybridMultilevel"/>
    <w:tmpl w:val="558098E6"/>
    <w:lvl w:ilvl="0" w:tplc="01240BCE">
      <w:start w:val="1"/>
      <w:numFmt w:val="decimal"/>
      <w:lvlText w:val="%1)"/>
      <w:lvlJc w:val="left"/>
      <w:pPr>
        <w:ind w:left="360" w:hanging="360"/>
      </w:pPr>
      <w:rPr>
        <w:rFonts w:hint="default"/>
      </w:rPr>
    </w:lvl>
    <w:lvl w:ilvl="1" w:tplc="5BBA42F4">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16E5489"/>
    <w:multiLevelType w:val="hybridMultilevel"/>
    <w:tmpl w:val="501254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6641B2"/>
    <w:multiLevelType w:val="hybridMultilevel"/>
    <w:tmpl w:val="FC5CF0F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9B14B2"/>
    <w:multiLevelType w:val="hybridMultilevel"/>
    <w:tmpl w:val="3468FAA6"/>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A4661C"/>
    <w:multiLevelType w:val="hybridMultilevel"/>
    <w:tmpl w:val="33BE71B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5436B2"/>
    <w:multiLevelType w:val="hybridMultilevel"/>
    <w:tmpl w:val="054A2C9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B664DC"/>
    <w:multiLevelType w:val="hybridMultilevel"/>
    <w:tmpl w:val="22465B1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11F2449"/>
    <w:multiLevelType w:val="hybridMultilevel"/>
    <w:tmpl w:val="3E92F116"/>
    <w:lvl w:ilvl="0" w:tplc="D7A43D5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5173EF5"/>
    <w:multiLevelType w:val="hybridMultilevel"/>
    <w:tmpl w:val="4558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E08DA"/>
    <w:multiLevelType w:val="hybridMultilevel"/>
    <w:tmpl w:val="ED2C35C2"/>
    <w:lvl w:ilvl="0" w:tplc="AE2075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7"/>
  </w:num>
  <w:num w:numId="4">
    <w:abstractNumId w:val="27"/>
  </w:num>
  <w:num w:numId="5">
    <w:abstractNumId w:val="12"/>
  </w:num>
  <w:num w:numId="6">
    <w:abstractNumId w:val="17"/>
  </w:num>
  <w:num w:numId="7">
    <w:abstractNumId w:val="6"/>
  </w:num>
  <w:num w:numId="8">
    <w:abstractNumId w:val="2"/>
  </w:num>
  <w:num w:numId="9">
    <w:abstractNumId w:val="28"/>
  </w:num>
  <w:num w:numId="10">
    <w:abstractNumId w:val="24"/>
  </w:num>
  <w:num w:numId="11">
    <w:abstractNumId w:val="23"/>
  </w:num>
  <w:num w:numId="12">
    <w:abstractNumId w:val="19"/>
  </w:num>
  <w:num w:numId="13">
    <w:abstractNumId w:val="10"/>
  </w:num>
  <w:num w:numId="14">
    <w:abstractNumId w:val="0"/>
  </w:num>
  <w:num w:numId="15">
    <w:abstractNumId w:val="15"/>
  </w:num>
  <w:num w:numId="16">
    <w:abstractNumId w:val="25"/>
  </w:num>
  <w:num w:numId="17">
    <w:abstractNumId w:val="18"/>
  </w:num>
  <w:num w:numId="18">
    <w:abstractNumId w:val="26"/>
  </w:num>
  <w:num w:numId="19">
    <w:abstractNumId w:val="3"/>
  </w:num>
  <w:num w:numId="20">
    <w:abstractNumId w:val="14"/>
  </w:num>
  <w:num w:numId="21">
    <w:abstractNumId w:val="11"/>
  </w:num>
  <w:num w:numId="22">
    <w:abstractNumId w:val="1"/>
  </w:num>
  <w:num w:numId="23">
    <w:abstractNumId w:val="22"/>
  </w:num>
  <w:num w:numId="24">
    <w:abstractNumId w:val="4"/>
  </w:num>
  <w:num w:numId="25">
    <w:abstractNumId w:val="20"/>
  </w:num>
  <w:num w:numId="26">
    <w:abstractNumId w:val="29"/>
  </w:num>
  <w:num w:numId="27">
    <w:abstractNumId w:val="21"/>
  </w:num>
  <w:num w:numId="28">
    <w:abstractNumId w:val="13"/>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5196"/>
    <w:rsid w:val="00007053"/>
    <w:rsid w:val="00010385"/>
    <w:rsid w:val="00022F2A"/>
    <w:rsid w:val="00033B4D"/>
    <w:rsid w:val="0003595B"/>
    <w:rsid w:val="00041A33"/>
    <w:rsid w:val="00046461"/>
    <w:rsid w:val="0005226D"/>
    <w:rsid w:val="00057148"/>
    <w:rsid w:val="00061BD0"/>
    <w:rsid w:val="0006669E"/>
    <w:rsid w:val="000713CF"/>
    <w:rsid w:val="00090630"/>
    <w:rsid w:val="00094B87"/>
    <w:rsid w:val="000A5418"/>
    <w:rsid w:val="000B51E7"/>
    <w:rsid w:val="000F517C"/>
    <w:rsid w:val="000F5540"/>
    <w:rsid w:val="00104ACB"/>
    <w:rsid w:val="001069CD"/>
    <w:rsid w:val="00107D2B"/>
    <w:rsid w:val="001539DD"/>
    <w:rsid w:val="00160EDB"/>
    <w:rsid w:val="00167D77"/>
    <w:rsid w:val="00167EA9"/>
    <w:rsid w:val="00182505"/>
    <w:rsid w:val="00182C10"/>
    <w:rsid w:val="00184519"/>
    <w:rsid w:val="00196568"/>
    <w:rsid w:val="001A2F16"/>
    <w:rsid w:val="001B18C2"/>
    <w:rsid w:val="001C2B9C"/>
    <w:rsid w:val="001C78A5"/>
    <w:rsid w:val="001D5D7E"/>
    <w:rsid w:val="001D6CCD"/>
    <w:rsid w:val="001E0592"/>
    <w:rsid w:val="001E08FB"/>
    <w:rsid w:val="001F048C"/>
    <w:rsid w:val="001F2466"/>
    <w:rsid w:val="00213077"/>
    <w:rsid w:val="0021588B"/>
    <w:rsid w:val="002201D8"/>
    <w:rsid w:val="002216AC"/>
    <w:rsid w:val="0022492E"/>
    <w:rsid w:val="00250CFE"/>
    <w:rsid w:val="00254A1B"/>
    <w:rsid w:val="002624D9"/>
    <w:rsid w:val="00271852"/>
    <w:rsid w:val="0028454D"/>
    <w:rsid w:val="00291C9E"/>
    <w:rsid w:val="002926D4"/>
    <w:rsid w:val="00294C06"/>
    <w:rsid w:val="002A2CE3"/>
    <w:rsid w:val="002B4101"/>
    <w:rsid w:val="002C07DA"/>
    <w:rsid w:val="002C7EA9"/>
    <w:rsid w:val="002E2B2D"/>
    <w:rsid w:val="002F5401"/>
    <w:rsid w:val="002F6040"/>
    <w:rsid w:val="002F6B79"/>
    <w:rsid w:val="00305BDA"/>
    <w:rsid w:val="00341CD0"/>
    <w:rsid w:val="00342F20"/>
    <w:rsid w:val="003478EF"/>
    <w:rsid w:val="003500E0"/>
    <w:rsid w:val="003645D6"/>
    <w:rsid w:val="003669CB"/>
    <w:rsid w:val="00371A66"/>
    <w:rsid w:val="003809C7"/>
    <w:rsid w:val="00382004"/>
    <w:rsid w:val="003A3B9E"/>
    <w:rsid w:val="003B6263"/>
    <w:rsid w:val="003C167B"/>
    <w:rsid w:val="003C64A7"/>
    <w:rsid w:val="003D3FDA"/>
    <w:rsid w:val="003E42B5"/>
    <w:rsid w:val="003F14B4"/>
    <w:rsid w:val="00404C9A"/>
    <w:rsid w:val="00417015"/>
    <w:rsid w:val="00420822"/>
    <w:rsid w:val="00421855"/>
    <w:rsid w:val="00446459"/>
    <w:rsid w:val="00450A95"/>
    <w:rsid w:val="0045458F"/>
    <w:rsid w:val="00456F80"/>
    <w:rsid w:val="00460753"/>
    <w:rsid w:val="004633B4"/>
    <w:rsid w:val="004745C7"/>
    <w:rsid w:val="00495E04"/>
    <w:rsid w:val="004B3553"/>
    <w:rsid w:val="004C057E"/>
    <w:rsid w:val="004F0EF2"/>
    <w:rsid w:val="005154C0"/>
    <w:rsid w:val="00530E8C"/>
    <w:rsid w:val="00531D60"/>
    <w:rsid w:val="00532959"/>
    <w:rsid w:val="005455D0"/>
    <w:rsid w:val="00545933"/>
    <w:rsid w:val="00557544"/>
    <w:rsid w:val="00587875"/>
    <w:rsid w:val="005939B5"/>
    <w:rsid w:val="005A561F"/>
    <w:rsid w:val="005B72DF"/>
    <w:rsid w:val="005C5C5B"/>
    <w:rsid w:val="0060108A"/>
    <w:rsid w:val="00607E2B"/>
    <w:rsid w:val="00613322"/>
    <w:rsid w:val="006139D6"/>
    <w:rsid w:val="00615134"/>
    <w:rsid w:val="00623CE1"/>
    <w:rsid w:val="00626A1E"/>
    <w:rsid w:val="0063062B"/>
    <w:rsid w:val="0064269D"/>
    <w:rsid w:val="00647930"/>
    <w:rsid w:val="00662815"/>
    <w:rsid w:val="00667229"/>
    <w:rsid w:val="00682BE5"/>
    <w:rsid w:val="00684197"/>
    <w:rsid w:val="00690FED"/>
    <w:rsid w:val="006939A5"/>
    <w:rsid w:val="00696442"/>
    <w:rsid w:val="006B190B"/>
    <w:rsid w:val="006B335F"/>
    <w:rsid w:val="006C5A78"/>
    <w:rsid w:val="006F09C5"/>
    <w:rsid w:val="00712451"/>
    <w:rsid w:val="00731041"/>
    <w:rsid w:val="007319FC"/>
    <w:rsid w:val="00732F08"/>
    <w:rsid w:val="0073360D"/>
    <w:rsid w:val="0074190C"/>
    <w:rsid w:val="00762576"/>
    <w:rsid w:val="00772F3C"/>
    <w:rsid w:val="00791060"/>
    <w:rsid w:val="00796084"/>
    <w:rsid w:val="007A5561"/>
    <w:rsid w:val="007B5626"/>
    <w:rsid w:val="007E39BD"/>
    <w:rsid w:val="007E4B7E"/>
    <w:rsid w:val="007F3D5D"/>
    <w:rsid w:val="0080570B"/>
    <w:rsid w:val="008148E1"/>
    <w:rsid w:val="00816974"/>
    <w:rsid w:val="008226C5"/>
    <w:rsid w:val="008319BF"/>
    <w:rsid w:val="00836D23"/>
    <w:rsid w:val="00843431"/>
    <w:rsid w:val="00885F46"/>
    <w:rsid w:val="00897045"/>
    <w:rsid w:val="008A396A"/>
    <w:rsid w:val="008D0E09"/>
    <w:rsid w:val="008D1DB6"/>
    <w:rsid w:val="008E3045"/>
    <w:rsid w:val="008E6B7B"/>
    <w:rsid w:val="0090038F"/>
    <w:rsid w:val="00942816"/>
    <w:rsid w:val="009472CF"/>
    <w:rsid w:val="009637A2"/>
    <w:rsid w:val="0097693B"/>
    <w:rsid w:val="00992351"/>
    <w:rsid w:val="00993355"/>
    <w:rsid w:val="009A4A6D"/>
    <w:rsid w:val="009C05C2"/>
    <w:rsid w:val="009E5BCA"/>
    <w:rsid w:val="009E7ACB"/>
    <w:rsid w:val="00A13265"/>
    <w:rsid w:val="00A2417E"/>
    <w:rsid w:val="00A4164C"/>
    <w:rsid w:val="00A54B12"/>
    <w:rsid w:val="00A552AE"/>
    <w:rsid w:val="00A55820"/>
    <w:rsid w:val="00A71136"/>
    <w:rsid w:val="00A849DD"/>
    <w:rsid w:val="00A97FBD"/>
    <w:rsid w:val="00AA474C"/>
    <w:rsid w:val="00AA6C59"/>
    <w:rsid w:val="00AB52BC"/>
    <w:rsid w:val="00AC5F7C"/>
    <w:rsid w:val="00AD767E"/>
    <w:rsid w:val="00AD7E5F"/>
    <w:rsid w:val="00B01AA1"/>
    <w:rsid w:val="00B30C81"/>
    <w:rsid w:val="00B4793B"/>
    <w:rsid w:val="00B53C4B"/>
    <w:rsid w:val="00B5420F"/>
    <w:rsid w:val="00B60228"/>
    <w:rsid w:val="00B623AD"/>
    <w:rsid w:val="00B81326"/>
    <w:rsid w:val="00B81708"/>
    <w:rsid w:val="00B90441"/>
    <w:rsid w:val="00B90D0A"/>
    <w:rsid w:val="00BC39DF"/>
    <w:rsid w:val="00BC6D6B"/>
    <w:rsid w:val="00BE2BC0"/>
    <w:rsid w:val="00BE60A9"/>
    <w:rsid w:val="00C0137C"/>
    <w:rsid w:val="00C15633"/>
    <w:rsid w:val="00C15799"/>
    <w:rsid w:val="00C2794C"/>
    <w:rsid w:val="00C357AD"/>
    <w:rsid w:val="00C3695D"/>
    <w:rsid w:val="00C47688"/>
    <w:rsid w:val="00C4785B"/>
    <w:rsid w:val="00C6069C"/>
    <w:rsid w:val="00C60A2B"/>
    <w:rsid w:val="00C7739F"/>
    <w:rsid w:val="00C85119"/>
    <w:rsid w:val="00C900BC"/>
    <w:rsid w:val="00CA478D"/>
    <w:rsid w:val="00CA620C"/>
    <w:rsid w:val="00CB75C8"/>
    <w:rsid w:val="00CC4B55"/>
    <w:rsid w:val="00CD5431"/>
    <w:rsid w:val="00CF2491"/>
    <w:rsid w:val="00D06C0C"/>
    <w:rsid w:val="00D10AFB"/>
    <w:rsid w:val="00D1252E"/>
    <w:rsid w:val="00D348D1"/>
    <w:rsid w:val="00D421BD"/>
    <w:rsid w:val="00D57772"/>
    <w:rsid w:val="00D643DC"/>
    <w:rsid w:val="00D715CA"/>
    <w:rsid w:val="00D72AE3"/>
    <w:rsid w:val="00D75244"/>
    <w:rsid w:val="00D75A4D"/>
    <w:rsid w:val="00D8355B"/>
    <w:rsid w:val="00D8478B"/>
    <w:rsid w:val="00D84DFB"/>
    <w:rsid w:val="00D86151"/>
    <w:rsid w:val="00D91785"/>
    <w:rsid w:val="00D91F98"/>
    <w:rsid w:val="00DA2AD5"/>
    <w:rsid w:val="00DA58A4"/>
    <w:rsid w:val="00DA7595"/>
    <w:rsid w:val="00DB0A68"/>
    <w:rsid w:val="00DC43A3"/>
    <w:rsid w:val="00DD0603"/>
    <w:rsid w:val="00DD7C09"/>
    <w:rsid w:val="00DF0D99"/>
    <w:rsid w:val="00DF5872"/>
    <w:rsid w:val="00E0124F"/>
    <w:rsid w:val="00E4406B"/>
    <w:rsid w:val="00E534CE"/>
    <w:rsid w:val="00E55F67"/>
    <w:rsid w:val="00E674D3"/>
    <w:rsid w:val="00E70FD0"/>
    <w:rsid w:val="00E82914"/>
    <w:rsid w:val="00EA6162"/>
    <w:rsid w:val="00EB49C2"/>
    <w:rsid w:val="00EC4D91"/>
    <w:rsid w:val="00EF042F"/>
    <w:rsid w:val="00EF189C"/>
    <w:rsid w:val="00F11135"/>
    <w:rsid w:val="00F21C70"/>
    <w:rsid w:val="00F3436A"/>
    <w:rsid w:val="00F36FD6"/>
    <w:rsid w:val="00F46500"/>
    <w:rsid w:val="00F66584"/>
    <w:rsid w:val="00F7437C"/>
    <w:rsid w:val="00F84067"/>
    <w:rsid w:val="00F960FC"/>
    <w:rsid w:val="00FC3163"/>
    <w:rsid w:val="00FC6EC3"/>
    <w:rsid w:val="00FD7FDB"/>
    <w:rsid w:val="00FE3DE5"/>
    <w:rsid w:val="00FE69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602B46"/>
  <w15:docId w15:val="{6D5CF89F-CD09-4586-9194-DCFD350F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4C0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AB52BC"/>
    <w:pPr>
      <w:keepNext/>
      <w:ind w:leftChars="400" w:left="400"/>
      <w:outlineLvl w:val="3"/>
    </w:pPr>
    <w:rPr>
      <w:b/>
      <w:bCs/>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022F2A"/>
    <w:rPr>
      <w:rFonts w:ascii="Segoe UI" w:hAnsi="Segoe UI" w:cs="Segoe UI"/>
      <w:sz w:val="18"/>
      <w:szCs w:val="18"/>
    </w:rPr>
  </w:style>
  <w:style w:type="character" w:customStyle="1" w:styleId="BalloonTextChar">
    <w:name w:val="Balloon Text Char"/>
    <w:basedOn w:val="DefaultParagraphFont"/>
    <w:link w:val="BalloonText"/>
    <w:semiHidden/>
    <w:rsid w:val="00022F2A"/>
    <w:rPr>
      <w:rFonts w:ascii="Segoe UI" w:eastAsia="BatangChe" w:hAnsi="Segoe UI" w:cs="Segoe UI"/>
      <w:sz w:val="18"/>
      <w:szCs w:val="18"/>
    </w:rPr>
  </w:style>
  <w:style w:type="paragraph" w:styleId="ListParagraph">
    <w:name w:val="List Paragraph"/>
    <w:aliases w:val="List Paragraph1,Recommendation,List Paragraph11"/>
    <w:basedOn w:val="Normal"/>
    <w:link w:val="ListParagraphChar"/>
    <w:uiPriority w:val="34"/>
    <w:qFormat/>
    <w:rsid w:val="00D06C0C"/>
    <w:pPr>
      <w:ind w:left="720"/>
      <w:contextualSpacing/>
    </w:pPr>
  </w:style>
  <w:style w:type="character" w:customStyle="1" w:styleId="ListParagraphChar">
    <w:name w:val="List Paragraph Char"/>
    <w:aliases w:val="List Paragraph1 Char,Recommendation Char,List Paragraph11 Char"/>
    <w:link w:val="ListParagraph"/>
    <w:uiPriority w:val="34"/>
    <w:locked/>
    <w:rsid w:val="00D06C0C"/>
    <w:rPr>
      <w:rFonts w:eastAsia="BatangChe"/>
      <w:sz w:val="24"/>
      <w:szCs w:val="24"/>
    </w:rPr>
  </w:style>
  <w:style w:type="character" w:customStyle="1" w:styleId="Heading2Char">
    <w:name w:val="Heading 2 Char"/>
    <w:basedOn w:val="DefaultParagraphFont"/>
    <w:link w:val="Heading2"/>
    <w:semiHidden/>
    <w:rsid w:val="004C057E"/>
    <w:rPr>
      <w:rFonts w:asciiTheme="majorHAnsi" w:eastAsiaTheme="majorEastAsia" w:hAnsiTheme="majorHAnsi" w:cstheme="majorBidi"/>
      <w:color w:val="365F91" w:themeColor="accent1" w:themeShade="BF"/>
      <w:sz w:val="26"/>
      <w:szCs w:val="26"/>
    </w:rPr>
  </w:style>
  <w:style w:type="character" w:styleId="Hyperlink">
    <w:name w:val="Hyperlink"/>
    <w:aliases w:val="CEO_Hyperlink"/>
    <w:basedOn w:val="DefaultParagraphFont"/>
    <w:uiPriority w:val="99"/>
    <w:unhideWhenUsed/>
    <w:rsid w:val="00341CD0"/>
    <w:rPr>
      <w:color w:val="0000FF"/>
      <w:u w:val="single"/>
    </w:rPr>
  </w:style>
  <w:style w:type="paragraph" w:customStyle="1" w:styleId="Level1">
    <w:name w:val="Level1"/>
    <w:basedOn w:val="Heading2"/>
    <w:next w:val="Normal"/>
    <w:qFormat/>
    <w:rsid w:val="009C05C2"/>
    <w:rPr>
      <w:rFonts w:ascii="Times New Roman" w:hAnsi="Times New Roman"/>
      <w:color w:val="000000" w:themeColor="text1"/>
      <w:sz w:val="24"/>
    </w:rPr>
  </w:style>
  <w:style w:type="paragraph" w:customStyle="1" w:styleId="CEONormal">
    <w:name w:val="CEO_Normal"/>
    <w:link w:val="CEONormalChar"/>
    <w:rsid w:val="00F7437C"/>
    <w:pPr>
      <w:spacing w:before="120" w:after="120"/>
    </w:pPr>
    <w:rPr>
      <w:rFonts w:ascii="Verdana" w:eastAsia="SimSun" w:hAnsi="Verdana"/>
      <w:sz w:val="19"/>
      <w:szCs w:val="19"/>
      <w:lang w:val="en-GB"/>
    </w:rPr>
  </w:style>
  <w:style w:type="character" w:customStyle="1" w:styleId="CEONormalChar">
    <w:name w:val="CEO_Normal Char"/>
    <w:link w:val="CEONormal"/>
    <w:rsid w:val="00F7437C"/>
    <w:rPr>
      <w:rFonts w:ascii="Verdana" w:eastAsia="SimSun" w:hAnsi="Verdana"/>
      <w:sz w:val="19"/>
      <w:szCs w:val="19"/>
      <w:lang w:val="en-GB"/>
    </w:rPr>
  </w:style>
  <w:style w:type="character" w:customStyle="1" w:styleId="Heading4Char">
    <w:name w:val="Heading 4 Char"/>
    <w:basedOn w:val="DefaultParagraphFont"/>
    <w:link w:val="Heading4"/>
    <w:semiHidden/>
    <w:rsid w:val="00AB52BC"/>
    <w:rPr>
      <w:rFonts w:eastAsia="BatangChe"/>
      <w:b/>
      <w:bCs/>
      <w:sz w:val="24"/>
      <w:szCs w:val="24"/>
    </w:rPr>
  </w:style>
  <w:style w:type="paragraph" w:customStyle="1" w:styleId="Restitle">
    <w:name w:val="Res_title"/>
    <w:basedOn w:val="Normal"/>
    <w:next w:val="Normal"/>
    <w:link w:val="RestitleChar"/>
    <w:rsid w:val="00AB52BC"/>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Times New Roman" w:hAnsi="Calibri"/>
      <w:b/>
      <w:sz w:val="28"/>
      <w:szCs w:val="20"/>
      <w:lang w:val="en-GB"/>
    </w:rPr>
  </w:style>
  <w:style w:type="character" w:customStyle="1" w:styleId="RestitleChar">
    <w:name w:val="Res_title Char"/>
    <w:link w:val="Restitle"/>
    <w:rsid w:val="00AB52BC"/>
    <w:rPr>
      <w:rFonts w:ascii="Calibri" w:eastAsia="Times New Roman" w:hAnsi="Calibri"/>
      <w:b/>
      <w:sz w:val="28"/>
      <w:lang w:val="en-GB"/>
    </w:rPr>
  </w:style>
  <w:style w:type="paragraph" w:customStyle="1" w:styleId="NormalFR">
    <w:name w:val="NormalFR"/>
    <w:basedOn w:val="Normal"/>
    <w:qFormat/>
    <w:rsid w:val="00AB52BC"/>
    <w:pPr>
      <w:tabs>
        <w:tab w:val="left" w:pos="794"/>
        <w:tab w:val="left" w:pos="1191"/>
        <w:tab w:val="left" w:pos="1588"/>
        <w:tab w:val="left" w:pos="1985"/>
      </w:tabs>
      <w:spacing w:before="120"/>
      <w:jc w:val="both"/>
    </w:pPr>
    <w:rPr>
      <w:rFonts w:ascii="Calibri" w:eastAsia="SimSun" w:hAnsi="Calibri"/>
      <w:sz w:val="22"/>
      <w:lang w:eastAsia="ja-JP"/>
    </w:rPr>
  </w:style>
  <w:style w:type="paragraph" w:customStyle="1" w:styleId="Heading1RES">
    <w:name w:val="Heading 1_RES"/>
    <w:basedOn w:val="Heading1"/>
    <w:qFormat/>
    <w:rsid w:val="00AB52BC"/>
    <w:pPr>
      <w:keepLines/>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Calibri" w:eastAsia="Times New Roman" w:hAnsi="Calibri"/>
      <w:bCs w:val="0"/>
      <w:sz w:val="26"/>
      <w:szCs w:val="20"/>
      <w:u w:val="none"/>
      <w:lang w:val="en-GB"/>
    </w:rPr>
  </w:style>
  <w:style w:type="paragraph" w:customStyle="1" w:styleId="TableParagraph">
    <w:name w:val="Table Paragraph"/>
    <w:basedOn w:val="Normal"/>
    <w:uiPriority w:val="1"/>
    <w:qFormat/>
    <w:rsid w:val="00AB52BC"/>
    <w:pPr>
      <w:widowControl w:val="0"/>
    </w:pPr>
    <w:rPr>
      <w:rFonts w:ascii="Calibri" w:eastAsia="Calibri" w:hAnsi="Calibri" w:cs="Arial"/>
      <w:sz w:val="22"/>
      <w:szCs w:val="22"/>
    </w:rPr>
  </w:style>
  <w:style w:type="table" w:styleId="LightShading">
    <w:name w:val="Light Shading"/>
    <w:basedOn w:val="TableNormal"/>
    <w:uiPriority w:val="60"/>
    <w:rsid w:val="00041A33"/>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asons">
    <w:name w:val="Reasons"/>
    <w:basedOn w:val="Normal"/>
    <w:qFormat/>
    <w:rsid w:val="00041A33"/>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eastAsia="MS Mincho" w:hAnsiTheme="minorHAnsi"/>
      <w:sz w:val="22"/>
      <w:szCs w:val="20"/>
      <w:lang w:val="en-GB"/>
    </w:rPr>
  </w:style>
  <w:style w:type="table" w:customStyle="1" w:styleId="11">
    <w:name w:val="表 (モノトーン)  11"/>
    <w:basedOn w:val="TableNormal"/>
    <w:next w:val="LightShading"/>
    <w:uiPriority w:val="60"/>
    <w:rsid w:val="00041A33"/>
    <w:rPr>
      <w:rFonts w:ascii="Calibri" w:eastAsia="SimSun" w:hAnsi="Calibri" w:cs="Arial"/>
      <w:color w:val="000000"/>
      <w:sz w:val="22"/>
      <w:szCs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A54B12"/>
    <w:rPr>
      <w:color w:val="808080"/>
    </w:rPr>
  </w:style>
  <w:style w:type="character" w:customStyle="1" w:styleId="normaltextrun">
    <w:name w:val="normaltextrun"/>
    <w:basedOn w:val="DefaultParagraphFont"/>
    <w:rsid w:val="00BC39DF"/>
  </w:style>
  <w:style w:type="paragraph" w:customStyle="1" w:styleId="paragraph">
    <w:name w:val="paragraph"/>
    <w:basedOn w:val="Normal"/>
    <w:rsid w:val="00BC39DF"/>
    <w:pPr>
      <w:spacing w:before="100" w:beforeAutospacing="1" w:after="100" w:afterAutospacing="1"/>
    </w:pPr>
    <w:rPr>
      <w:rFonts w:eastAsia="Times New Roman"/>
      <w:lang w:val="en-GB" w:eastAsia="en-GB"/>
    </w:rPr>
  </w:style>
  <w:style w:type="character" w:styleId="UnresolvedMention">
    <w:name w:val="Unresolved Mention"/>
    <w:basedOn w:val="DefaultParagraphFont"/>
    <w:uiPriority w:val="99"/>
    <w:semiHidden/>
    <w:unhideWhenUsed/>
    <w:rsid w:val="003E42B5"/>
    <w:rPr>
      <w:color w:val="605E5C"/>
      <w:shd w:val="clear" w:color="auto" w:fill="E1DFDD"/>
    </w:rPr>
  </w:style>
  <w:style w:type="character" w:styleId="FollowedHyperlink">
    <w:name w:val="FollowedHyperlink"/>
    <w:basedOn w:val="DefaultParagraphFont"/>
    <w:semiHidden/>
    <w:unhideWhenUsed/>
    <w:rsid w:val="00EC4D91"/>
    <w:rPr>
      <w:color w:val="800080" w:themeColor="followedHyperlink"/>
      <w:u w:val="single"/>
    </w:rPr>
  </w:style>
  <w:style w:type="table" w:styleId="TableGrid">
    <w:name w:val="Table Grid"/>
    <w:basedOn w:val="TableNormal"/>
    <w:uiPriority w:val="39"/>
    <w:rsid w:val="00816974"/>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87983">
      <w:bodyDiv w:val="1"/>
      <w:marLeft w:val="0"/>
      <w:marRight w:val="0"/>
      <w:marTop w:val="0"/>
      <w:marBottom w:val="0"/>
      <w:divBdr>
        <w:top w:val="none" w:sz="0" w:space="0" w:color="auto"/>
        <w:left w:val="none" w:sz="0" w:space="0" w:color="auto"/>
        <w:bottom w:val="none" w:sz="0" w:space="0" w:color="auto"/>
        <w:right w:val="none" w:sz="0" w:space="0" w:color="auto"/>
      </w:divBdr>
    </w:div>
    <w:div w:id="250503407">
      <w:bodyDiv w:val="1"/>
      <w:marLeft w:val="0"/>
      <w:marRight w:val="0"/>
      <w:marTop w:val="0"/>
      <w:marBottom w:val="0"/>
      <w:divBdr>
        <w:top w:val="none" w:sz="0" w:space="0" w:color="auto"/>
        <w:left w:val="none" w:sz="0" w:space="0" w:color="auto"/>
        <w:bottom w:val="none" w:sz="0" w:space="0" w:color="auto"/>
        <w:right w:val="none" w:sz="0" w:space="0" w:color="auto"/>
      </w:divBdr>
    </w:div>
    <w:div w:id="527841876">
      <w:bodyDiv w:val="1"/>
      <w:marLeft w:val="0"/>
      <w:marRight w:val="0"/>
      <w:marTop w:val="0"/>
      <w:marBottom w:val="0"/>
      <w:divBdr>
        <w:top w:val="none" w:sz="0" w:space="0" w:color="auto"/>
        <w:left w:val="none" w:sz="0" w:space="0" w:color="auto"/>
        <w:bottom w:val="none" w:sz="0" w:space="0" w:color="auto"/>
        <w:right w:val="none" w:sz="0" w:space="0" w:color="auto"/>
      </w:divBdr>
    </w:div>
    <w:div w:id="631133393">
      <w:bodyDiv w:val="1"/>
      <w:marLeft w:val="0"/>
      <w:marRight w:val="0"/>
      <w:marTop w:val="0"/>
      <w:marBottom w:val="0"/>
      <w:divBdr>
        <w:top w:val="none" w:sz="0" w:space="0" w:color="auto"/>
        <w:left w:val="none" w:sz="0" w:space="0" w:color="auto"/>
        <w:bottom w:val="none" w:sz="0" w:space="0" w:color="auto"/>
        <w:right w:val="none" w:sz="0" w:space="0" w:color="auto"/>
      </w:divBdr>
    </w:div>
    <w:div w:id="1143230057">
      <w:bodyDiv w:val="1"/>
      <w:marLeft w:val="0"/>
      <w:marRight w:val="0"/>
      <w:marTop w:val="0"/>
      <w:marBottom w:val="0"/>
      <w:divBdr>
        <w:top w:val="none" w:sz="0" w:space="0" w:color="auto"/>
        <w:left w:val="none" w:sz="0" w:space="0" w:color="auto"/>
        <w:bottom w:val="none" w:sz="0" w:space="0" w:color="auto"/>
        <w:right w:val="none" w:sz="0" w:space="0" w:color="auto"/>
      </w:divBdr>
    </w:div>
    <w:div w:id="178403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6.RDTP-C-0002/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mia@kisdi.re.kr" TargetMode="Externa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hyperlink" Target="https://www.itu.int/md/D18-TDAG27-INF-0005/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D18-TDAG25.2-C-0012/e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8266-8729-4C2D-A2B7-92AE7BB7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3063</Words>
  <Characters>17460</Characters>
  <Application>Microsoft Office Word</Application>
  <DocSecurity>0</DocSecurity>
  <Lines>145</Lines>
  <Paragraphs>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APT</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Pubate S.</cp:lastModifiedBy>
  <cp:revision>17</cp:revision>
  <cp:lastPrinted>2004-07-28T02:14:00Z</cp:lastPrinted>
  <dcterms:created xsi:type="dcterms:W3CDTF">2021-01-24T22:55:00Z</dcterms:created>
  <dcterms:modified xsi:type="dcterms:W3CDTF">2021-01-25T08:01:00Z</dcterms:modified>
</cp:coreProperties>
</file>