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16" w:type="dxa"/>
        <w:tblBorders>
          <w:bottom w:val="single" w:sz="4" w:space="0" w:color="auto"/>
        </w:tblBorders>
        <w:tblLayout w:type="fixed"/>
        <w:tblCellMar>
          <w:left w:w="0" w:type="dxa"/>
          <w:right w:w="0" w:type="dxa"/>
        </w:tblCellMar>
        <w:tblLook w:val="04A0" w:firstRow="1" w:lastRow="0" w:firstColumn="1" w:lastColumn="0" w:noHBand="0" w:noVBand="1"/>
      </w:tblPr>
      <w:tblGrid>
        <w:gridCol w:w="1440"/>
        <w:gridCol w:w="5328"/>
        <w:gridCol w:w="2448"/>
      </w:tblGrid>
      <w:tr w:rsidR="00382004" w:rsidRPr="00E97594" w14:paraId="10DD371B" w14:textId="77777777" w:rsidTr="00C900BC">
        <w:trPr>
          <w:cantSplit/>
          <w:trHeight w:val="288"/>
        </w:trPr>
        <w:tc>
          <w:tcPr>
            <w:tcW w:w="1440" w:type="dxa"/>
            <w:vMerge w:val="restart"/>
            <w:hideMark/>
          </w:tcPr>
          <w:p w14:paraId="1D49AAF4" w14:textId="77777777" w:rsidR="00382004" w:rsidRPr="00E97594" w:rsidRDefault="00382004" w:rsidP="00B60BFF">
            <w:pPr>
              <w:pStyle w:val="Note"/>
              <w:widowControl w:val="0"/>
              <w:tabs>
                <w:tab w:val="clear" w:pos="284"/>
                <w:tab w:val="clear" w:pos="1871"/>
                <w:tab w:val="clear" w:pos="2268"/>
              </w:tabs>
              <w:spacing w:before="0"/>
              <w:rPr>
                <w:noProof w:val="0"/>
                <w:kern w:val="2"/>
                <w:sz w:val="24"/>
                <w:szCs w:val="24"/>
              </w:rPr>
            </w:pPr>
            <w:r w:rsidRPr="00E97594">
              <w:rPr>
                <w:kern w:val="2"/>
                <w:sz w:val="24"/>
                <w:szCs w:val="24"/>
                <w:lang w:eastAsia="ja-JP"/>
              </w:rPr>
              <w:drawing>
                <wp:inline distT="0" distB="0" distL="0" distR="0" wp14:anchorId="7F5F151D" wp14:editId="7DB9E61A">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2E300B23" w14:textId="77777777" w:rsidR="00382004" w:rsidRPr="00E97594" w:rsidRDefault="00382004" w:rsidP="00B60BFF">
            <w:r w:rsidRPr="00E97594">
              <w:t>ASIA-PACIFIC TELECOMMUNITY</w:t>
            </w:r>
          </w:p>
        </w:tc>
        <w:tc>
          <w:tcPr>
            <w:tcW w:w="2448" w:type="dxa"/>
          </w:tcPr>
          <w:p w14:paraId="042815E9" w14:textId="77777777" w:rsidR="00382004" w:rsidRPr="00E97594" w:rsidRDefault="00382004" w:rsidP="00B60BFF">
            <w:r w:rsidRPr="00E97594">
              <w:rPr>
                <w:b/>
                <w:lang w:val="fr-FR"/>
              </w:rPr>
              <w:t>Document No.:</w:t>
            </w:r>
          </w:p>
        </w:tc>
      </w:tr>
      <w:tr w:rsidR="00382004" w:rsidRPr="00E97594" w14:paraId="7F804B85" w14:textId="77777777" w:rsidTr="00C900BC">
        <w:trPr>
          <w:cantSplit/>
          <w:trHeight w:val="576"/>
        </w:trPr>
        <w:tc>
          <w:tcPr>
            <w:tcW w:w="1440" w:type="dxa"/>
            <w:vMerge/>
            <w:vAlign w:val="center"/>
            <w:hideMark/>
          </w:tcPr>
          <w:p w14:paraId="1197C7C6" w14:textId="77777777" w:rsidR="00382004" w:rsidRPr="00E97594" w:rsidRDefault="00382004" w:rsidP="00B60BFF">
            <w:pPr>
              <w:rPr>
                <w:kern w:val="2"/>
                <w:lang w:eastAsia="ko-KR"/>
              </w:rPr>
            </w:pPr>
          </w:p>
        </w:tc>
        <w:tc>
          <w:tcPr>
            <w:tcW w:w="5328" w:type="dxa"/>
            <w:hideMark/>
          </w:tcPr>
          <w:p w14:paraId="06D7BCEB" w14:textId="5FE6B72C" w:rsidR="00382004" w:rsidRPr="00E97594" w:rsidRDefault="00382004" w:rsidP="00EA6162">
            <w:r w:rsidRPr="00E97594">
              <w:rPr>
                <w:b/>
              </w:rPr>
              <w:t xml:space="preserve">The </w:t>
            </w:r>
            <w:r w:rsidR="003A3B9E">
              <w:rPr>
                <w:b/>
              </w:rPr>
              <w:t>2nd</w:t>
            </w:r>
            <w:r w:rsidRPr="00E97594">
              <w:rPr>
                <w:b/>
              </w:rPr>
              <w:t xml:space="preserve"> Meeting of the APT Preparatory Group</w:t>
            </w:r>
            <w:r w:rsidR="00EA6162">
              <w:rPr>
                <w:b/>
              </w:rPr>
              <w:br/>
            </w:r>
            <w:r w:rsidRPr="00E97594">
              <w:rPr>
                <w:b/>
              </w:rPr>
              <w:t>for WT</w:t>
            </w:r>
            <w:r w:rsidR="00294C06">
              <w:rPr>
                <w:b/>
              </w:rPr>
              <w:t>DC</w:t>
            </w:r>
            <w:r w:rsidRPr="00E97594">
              <w:rPr>
                <w:b/>
              </w:rPr>
              <w:t>-2</w:t>
            </w:r>
            <w:r w:rsidR="00294C06">
              <w:rPr>
                <w:b/>
              </w:rPr>
              <w:t>1</w:t>
            </w:r>
            <w:r w:rsidRPr="00E97594">
              <w:rPr>
                <w:b/>
              </w:rPr>
              <w:t xml:space="preserve"> (</w:t>
            </w:r>
            <w:r w:rsidR="00294C06">
              <w:rPr>
                <w:b/>
              </w:rPr>
              <w:t xml:space="preserve">APT </w:t>
            </w:r>
            <w:r w:rsidRPr="00E97594">
              <w:rPr>
                <w:b/>
              </w:rPr>
              <w:t>WT</w:t>
            </w:r>
            <w:r w:rsidR="00294C06">
              <w:rPr>
                <w:b/>
              </w:rPr>
              <w:t>DC</w:t>
            </w:r>
            <w:r w:rsidRPr="00E97594">
              <w:rPr>
                <w:b/>
              </w:rPr>
              <w:t>2</w:t>
            </w:r>
            <w:r w:rsidR="00294C06">
              <w:rPr>
                <w:b/>
              </w:rPr>
              <w:t>1</w:t>
            </w:r>
            <w:r w:rsidRPr="00E97594">
              <w:rPr>
                <w:b/>
              </w:rPr>
              <w:t>-</w:t>
            </w:r>
            <w:r w:rsidR="003A3B9E">
              <w:rPr>
                <w:b/>
              </w:rPr>
              <w:t>2</w:t>
            </w:r>
            <w:r w:rsidRPr="00E97594">
              <w:rPr>
                <w:b/>
              </w:rPr>
              <w:t>)</w:t>
            </w:r>
          </w:p>
        </w:tc>
        <w:tc>
          <w:tcPr>
            <w:tcW w:w="2448" w:type="dxa"/>
            <w:hideMark/>
          </w:tcPr>
          <w:p w14:paraId="43D731BB" w14:textId="12DCD615" w:rsidR="00C3695D" w:rsidRDefault="00382004" w:rsidP="00B60BFF">
            <w:pPr>
              <w:ind w:right="-63"/>
              <w:rPr>
                <w:b/>
                <w:bCs/>
                <w:lang w:val="en-GB"/>
              </w:rPr>
            </w:pPr>
            <w:r w:rsidRPr="0095411B">
              <w:rPr>
                <w:b/>
                <w:bCs/>
                <w:lang w:val="en-GB"/>
              </w:rPr>
              <w:t>APT WT</w:t>
            </w:r>
            <w:r w:rsidR="00294C06">
              <w:rPr>
                <w:b/>
                <w:bCs/>
                <w:lang w:val="en-GB"/>
              </w:rPr>
              <w:t>DC</w:t>
            </w:r>
            <w:r w:rsidR="00022F2A">
              <w:rPr>
                <w:b/>
                <w:bCs/>
                <w:lang w:val="en-GB"/>
              </w:rPr>
              <w:t>2</w:t>
            </w:r>
            <w:r w:rsidR="00294C06">
              <w:rPr>
                <w:b/>
                <w:bCs/>
                <w:lang w:val="en-GB"/>
              </w:rPr>
              <w:t>1-</w:t>
            </w:r>
            <w:r w:rsidR="003A3B9E">
              <w:rPr>
                <w:b/>
                <w:bCs/>
                <w:lang w:val="en-GB"/>
              </w:rPr>
              <w:t>2</w:t>
            </w:r>
            <w:r w:rsidRPr="0095411B">
              <w:rPr>
                <w:b/>
                <w:bCs/>
                <w:lang w:val="en-GB"/>
              </w:rPr>
              <w:t>/</w:t>
            </w:r>
          </w:p>
          <w:p w14:paraId="1D772983" w14:textId="7F7099EF" w:rsidR="00382004" w:rsidRPr="0095411B" w:rsidRDefault="00382004" w:rsidP="00B60BFF">
            <w:pPr>
              <w:ind w:right="-63"/>
              <w:rPr>
                <w:b/>
                <w:bCs/>
                <w:lang w:val="en-GB"/>
              </w:rPr>
            </w:pPr>
            <w:r w:rsidRPr="0095411B">
              <w:rPr>
                <w:b/>
                <w:bCs/>
                <w:lang w:val="en-GB"/>
              </w:rPr>
              <w:t>INP-</w:t>
            </w:r>
            <w:r w:rsidR="009C05C2">
              <w:rPr>
                <w:b/>
                <w:bCs/>
                <w:lang w:val="en-GB"/>
              </w:rPr>
              <w:t>xx</w:t>
            </w:r>
          </w:p>
        </w:tc>
      </w:tr>
      <w:tr w:rsidR="00382004" w:rsidRPr="00E97594" w14:paraId="28ADDC51" w14:textId="77777777" w:rsidTr="00C900BC">
        <w:trPr>
          <w:cantSplit/>
          <w:trHeight w:val="288"/>
        </w:trPr>
        <w:tc>
          <w:tcPr>
            <w:tcW w:w="1440" w:type="dxa"/>
            <w:vMerge/>
            <w:vAlign w:val="center"/>
            <w:hideMark/>
          </w:tcPr>
          <w:p w14:paraId="77DE31B6" w14:textId="77777777" w:rsidR="00382004" w:rsidRPr="00E97594" w:rsidRDefault="00382004" w:rsidP="00B60BFF">
            <w:pPr>
              <w:rPr>
                <w:kern w:val="2"/>
                <w:lang w:eastAsia="ko-KR"/>
              </w:rPr>
            </w:pPr>
          </w:p>
        </w:tc>
        <w:tc>
          <w:tcPr>
            <w:tcW w:w="5328" w:type="dxa"/>
            <w:hideMark/>
          </w:tcPr>
          <w:p w14:paraId="222611D3" w14:textId="446095A1" w:rsidR="00382004" w:rsidRPr="00E97594" w:rsidRDefault="00294C06" w:rsidP="00294C06">
            <w:r>
              <w:t>24</w:t>
            </w:r>
            <w:r w:rsidR="003A3B9E">
              <w:t>-26 February</w:t>
            </w:r>
            <w:r>
              <w:t xml:space="preserve"> </w:t>
            </w:r>
            <w:r w:rsidR="00022F2A">
              <w:t>202</w:t>
            </w:r>
            <w:r w:rsidR="003A3B9E">
              <w:t>1</w:t>
            </w:r>
            <w:r w:rsidR="00022F2A">
              <w:t>, Virtual</w:t>
            </w:r>
            <w:r w:rsidR="003A3B9E">
              <w:t>/Online</w:t>
            </w:r>
            <w:r w:rsidR="00022F2A">
              <w:t xml:space="preserve"> Meeting</w:t>
            </w:r>
          </w:p>
        </w:tc>
        <w:tc>
          <w:tcPr>
            <w:tcW w:w="2448" w:type="dxa"/>
            <w:hideMark/>
          </w:tcPr>
          <w:p w14:paraId="29868520" w14:textId="2CB08FD3" w:rsidR="00382004" w:rsidRPr="0095411B" w:rsidRDefault="00627A48" w:rsidP="00294C06">
            <w:pPr>
              <w:rPr>
                <w:bCs/>
              </w:rPr>
            </w:pPr>
            <w:r>
              <w:rPr>
                <w:rFonts w:cstheme="minorBidi"/>
                <w:bCs/>
                <w:szCs w:val="30"/>
                <w:lang w:bidi="th-TH"/>
              </w:rPr>
              <w:t>25</w:t>
            </w:r>
            <w:r w:rsidR="003A3B9E">
              <w:rPr>
                <w:bCs/>
              </w:rPr>
              <w:t xml:space="preserve"> </w:t>
            </w:r>
            <w:r w:rsidR="009C05C2">
              <w:rPr>
                <w:bCs/>
              </w:rPr>
              <w:t>January</w:t>
            </w:r>
            <w:r w:rsidR="003A3B9E">
              <w:rPr>
                <w:bCs/>
              </w:rPr>
              <w:t xml:space="preserve"> </w:t>
            </w:r>
            <w:r w:rsidR="00382004" w:rsidRPr="0095411B">
              <w:rPr>
                <w:bCs/>
              </w:rPr>
              <w:t>20</w:t>
            </w:r>
            <w:r w:rsidR="00022F2A">
              <w:rPr>
                <w:bCs/>
              </w:rPr>
              <w:t>2</w:t>
            </w:r>
            <w:r w:rsidR="003A3B9E">
              <w:rPr>
                <w:bCs/>
              </w:rPr>
              <w:t>1</w:t>
            </w:r>
          </w:p>
        </w:tc>
      </w:tr>
    </w:tbl>
    <w:p w14:paraId="152B8F78" w14:textId="35FB5C85" w:rsidR="00382004" w:rsidRDefault="00382004" w:rsidP="00382004">
      <w:pPr>
        <w:jc w:val="center"/>
        <w:rPr>
          <w:lang w:eastAsia="ko-KR"/>
        </w:rPr>
      </w:pPr>
    </w:p>
    <w:p w14:paraId="05AA0289" w14:textId="041AB71A" w:rsidR="009C05C2" w:rsidRPr="009472CF" w:rsidRDefault="009C05C2" w:rsidP="009C05C2">
      <w:pPr>
        <w:jc w:val="center"/>
        <w:rPr>
          <w:rFonts w:eastAsiaTheme="minorEastAsia"/>
          <w:bCs/>
          <w:lang w:eastAsia="ja-JP"/>
        </w:rPr>
      </w:pPr>
      <w:r>
        <w:rPr>
          <w:bCs/>
        </w:rPr>
        <w:t xml:space="preserve">Chairman of Working Group </w:t>
      </w:r>
      <w:r w:rsidR="009472CF">
        <w:rPr>
          <w:rFonts w:eastAsiaTheme="minorEastAsia" w:hint="eastAsia"/>
          <w:bCs/>
          <w:lang w:eastAsia="ja-JP"/>
        </w:rPr>
        <w:t>3</w:t>
      </w:r>
    </w:p>
    <w:p w14:paraId="662FF70B" w14:textId="77777777" w:rsidR="009C05C2" w:rsidRDefault="009C05C2" w:rsidP="009C05C2">
      <w:pPr>
        <w:jc w:val="center"/>
        <w:rPr>
          <w:bCs/>
        </w:rPr>
      </w:pPr>
    </w:p>
    <w:p w14:paraId="59254074" w14:textId="2CD730B8" w:rsidR="009C05C2" w:rsidRDefault="009472CF" w:rsidP="009C05C2">
      <w:pPr>
        <w:jc w:val="center"/>
        <w:rPr>
          <w:b/>
        </w:rPr>
      </w:pPr>
      <w:r>
        <w:rPr>
          <w:b/>
        </w:rPr>
        <w:t xml:space="preserve">ISSUE PAPER OF WORKING GROUP </w:t>
      </w:r>
      <w:r w:rsidRPr="009472CF">
        <w:rPr>
          <w:rFonts w:eastAsiaTheme="minorEastAsia"/>
          <w:b/>
          <w:lang w:eastAsia="ja-JP"/>
        </w:rPr>
        <w:t>3</w:t>
      </w:r>
    </w:p>
    <w:p w14:paraId="05268BB8" w14:textId="77777777" w:rsidR="009C05C2" w:rsidRDefault="009C05C2" w:rsidP="009C05C2">
      <w:pPr>
        <w:jc w:val="center"/>
        <w:rPr>
          <w:bCs/>
        </w:rPr>
      </w:pPr>
    </w:p>
    <w:p w14:paraId="32CAC2B3" w14:textId="77777777" w:rsidR="009C05C2" w:rsidRPr="00601C15" w:rsidRDefault="009C05C2" w:rsidP="009C05C2"/>
    <w:p w14:paraId="279C10FD" w14:textId="77777777" w:rsidR="009C05C2" w:rsidRPr="00A745F7" w:rsidRDefault="009C05C2" w:rsidP="009C05C2">
      <w:pPr>
        <w:pStyle w:val="Level1"/>
        <w:numPr>
          <w:ilvl w:val="0"/>
          <w:numId w:val="9"/>
        </w:numPr>
        <w:ind w:left="360"/>
        <w:rPr>
          <w:b/>
          <w:bCs/>
        </w:rPr>
      </w:pPr>
      <w:r w:rsidRPr="00A745F7">
        <w:rPr>
          <w:b/>
          <w:bCs/>
        </w:rPr>
        <w:t>ABSTRACT</w:t>
      </w:r>
    </w:p>
    <w:p w14:paraId="07877061" w14:textId="7ECA56FD" w:rsidR="009472CF" w:rsidRPr="001A696A" w:rsidRDefault="009472CF" w:rsidP="009472CF">
      <w:pPr>
        <w:tabs>
          <w:tab w:val="right" w:pos="1418"/>
        </w:tabs>
        <w:jc w:val="both"/>
        <w:rPr>
          <w:bCs/>
        </w:rPr>
      </w:pPr>
      <w:r w:rsidRPr="00786496">
        <w:rPr>
          <w:bCs/>
        </w:rPr>
        <w:t>1</w:t>
      </w:r>
      <w:r w:rsidR="00D84DFB">
        <w:rPr>
          <w:rFonts w:eastAsiaTheme="minorEastAsia" w:hint="eastAsia"/>
          <w:bCs/>
          <w:lang w:eastAsia="ja-JP"/>
        </w:rPr>
        <w:t xml:space="preserve">.1    </w:t>
      </w:r>
      <w:r w:rsidRPr="00786496">
        <w:rPr>
          <w:bCs/>
        </w:rPr>
        <w:t>The 1</w:t>
      </w:r>
      <w:r w:rsidRPr="00786496">
        <w:rPr>
          <w:bCs/>
          <w:vertAlign w:val="superscript"/>
        </w:rPr>
        <w:t>st</w:t>
      </w:r>
      <w:r>
        <w:rPr>
          <w:bCs/>
        </w:rPr>
        <w:t xml:space="preserve"> </w:t>
      </w:r>
      <w:r w:rsidR="00D84DFB">
        <w:rPr>
          <w:bCs/>
        </w:rPr>
        <w:t>Meeting of the APT P</w:t>
      </w:r>
      <w:r w:rsidRPr="00786496">
        <w:rPr>
          <w:bCs/>
        </w:rPr>
        <w:t>re</w:t>
      </w:r>
      <w:r>
        <w:rPr>
          <w:bCs/>
        </w:rPr>
        <w:t xml:space="preserve">paratory </w:t>
      </w:r>
      <w:r w:rsidR="00D84DFB">
        <w:rPr>
          <w:bCs/>
        </w:rPr>
        <w:t>Group for WTDC-21</w:t>
      </w:r>
      <w:r w:rsidRPr="00786496">
        <w:rPr>
          <w:bCs/>
        </w:rPr>
        <w:t xml:space="preserve"> </w:t>
      </w:r>
      <w:r>
        <w:rPr>
          <w:bCs/>
        </w:rPr>
        <w:t>(</w:t>
      </w:r>
      <w:r w:rsidR="00D84DFB">
        <w:rPr>
          <w:bCs/>
        </w:rPr>
        <w:t xml:space="preserve">APT </w:t>
      </w:r>
      <w:r>
        <w:rPr>
          <w:bCs/>
        </w:rPr>
        <w:t>WTDC21</w:t>
      </w:r>
      <w:r w:rsidRPr="00786496">
        <w:rPr>
          <w:bCs/>
        </w:rPr>
        <w:t>-1) considered the structure and terms of re</w:t>
      </w:r>
      <w:r>
        <w:rPr>
          <w:bCs/>
        </w:rPr>
        <w:t xml:space="preserve">ference for the Working Groups. </w:t>
      </w:r>
      <w:r w:rsidRPr="00786496">
        <w:rPr>
          <w:bCs/>
        </w:rPr>
        <w:t xml:space="preserve">According to decisions of the aforementioned meeting, Working Group 3 (WG3) will consider </w:t>
      </w:r>
      <w:r>
        <w:rPr>
          <w:bCs/>
        </w:rPr>
        <w:t>general ICT development i</w:t>
      </w:r>
      <w:r w:rsidRPr="009472CF">
        <w:rPr>
          <w:bCs/>
        </w:rPr>
        <w:t>ssues including Regional Initiatives</w:t>
      </w:r>
      <w:r w:rsidRPr="001A696A">
        <w:rPr>
          <w:bCs/>
        </w:rPr>
        <w:t>.</w:t>
      </w:r>
    </w:p>
    <w:p w14:paraId="71EEF481" w14:textId="77777777" w:rsidR="009472CF" w:rsidRPr="001A696A" w:rsidRDefault="009472CF" w:rsidP="009472CF">
      <w:pPr>
        <w:rPr>
          <w:bCs/>
        </w:rPr>
      </w:pPr>
    </w:p>
    <w:p w14:paraId="7726ECB3" w14:textId="7B393216" w:rsidR="009472CF" w:rsidRPr="001A696A" w:rsidRDefault="00D84DFB" w:rsidP="009472CF">
      <w:pPr>
        <w:jc w:val="both"/>
        <w:rPr>
          <w:bCs/>
        </w:rPr>
      </w:pPr>
      <w:r>
        <w:rPr>
          <w:bCs/>
        </w:rPr>
        <w:t xml:space="preserve">1.2    </w:t>
      </w:r>
      <w:r w:rsidR="009472CF" w:rsidRPr="001A696A">
        <w:rPr>
          <w:bCs/>
        </w:rPr>
        <w:t>This issue paper intends to stimulate discussion</w:t>
      </w:r>
      <w:r w:rsidR="009472CF">
        <w:rPr>
          <w:bCs/>
        </w:rPr>
        <w:t>s</w:t>
      </w:r>
      <w:r w:rsidR="009472CF" w:rsidRPr="001A696A">
        <w:rPr>
          <w:bCs/>
        </w:rPr>
        <w:t xml:space="preserve"> </w:t>
      </w:r>
      <w:r w:rsidR="009472CF">
        <w:rPr>
          <w:bCs/>
        </w:rPr>
        <w:t xml:space="preserve">and identify possible issues relevant to WG3 that can be developed into </w:t>
      </w:r>
      <w:r w:rsidR="009472CF" w:rsidRPr="001A696A">
        <w:rPr>
          <w:bCs/>
        </w:rPr>
        <w:t>APT Co</w:t>
      </w:r>
      <w:r w:rsidR="009472CF">
        <w:rPr>
          <w:bCs/>
        </w:rPr>
        <w:t xml:space="preserve">mmon Proposals (ACPs).  </w:t>
      </w:r>
      <w:r w:rsidR="009472CF" w:rsidRPr="001A696A">
        <w:rPr>
          <w:bCs/>
        </w:rPr>
        <w:t xml:space="preserve">APT Members are encouraged to actively participate in discussions and provide comments on this paper.  </w:t>
      </w:r>
    </w:p>
    <w:p w14:paraId="45722F1B" w14:textId="1D79DFAF" w:rsidR="009C05C2" w:rsidRDefault="009C05C2" w:rsidP="009C05C2"/>
    <w:p w14:paraId="55BDB431" w14:textId="0E76F94A" w:rsidR="009C05C2" w:rsidRDefault="009C05C2" w:rsidP="009C05C2">
      <w:pPr>
        <w:pStyle w:val="Level1"/>
        <w:numPr>
          <w:ilvl w:val="0"/>
          <w:numId w:val="9"/>
        </w:numPr>
        <w:ind w:left="360"/>
        <w:rPr>
          <w:b/>
          <w:bCs/>
        </w:rPr>
      </w:pPr>
      <w:r w:rsidRPr="00A745F7">
        <w:rPr>
          <w:b/>
          <w:bCs/>
        </w:rPr>
        <w:t>INTRODUCTION/BACKGROUND</w:t>
      </w:r>
    </w:p>
    <w:p w14:paraId="2F3E39E7" w14:textId="6DA18E83" w:rsidR="00D84DFB" w:rsidRDefault="00D84DFB" w:rsidP="00D84DFB">
      <w:r>
        <w:t xml:space="preserve">2.1    APT WTDC21-1 was held on 24 July 2020 as a virtual meeting, which agreed to the structure and </w:t>
      </w:r>
      <w:r w:rsidR="004F0EF2">
        <w:t>the Terms of R</w:t>
      </w:r>
      <w:r>
        <w:t>eference for the prep</w:t>
      </w:r>
      <w:r w:rsidR="004F0EF2">
        <w:t>aratory process.  The specific Terms of R</w:t>
      </w:r>
      <w:r>
        <w:t xml:space="preserve">eference for WG3 are </w:t>
      </w:r>
      <w:r w:rsidR="004F0EF2">
        <w:t>to</w:t>
      </w:r>
      <w:r>
        <w:t>:</w:t>
      </w:r>
    </w:p>
    <w:p w14:paraId="3C1405F1" w14:textId="380523DE" w:rsidR="004F0EF2" w:rsidRDefault="004F0EF2" w:rsidP="00D84DFB"/>
    <w:p w14:paraId="00D6E9E3" w14:textId="77777777" w:rsidR="004F0EF2" w:rsidRPr="00605173" w:rsidRDefault="004F0EF2" w:rsidP="004F0EF2">
      <w:pPr>
        <w:numPr>
          <w:ilvl w:val="0"/>
          <w:numId w:val="10"/>
        </w:numPr>
        <w:ind w:left="1170"/>
        <w:jc w:val="both"/>
      </w:pPr>
      <w:r w:rsidRPr="00605173">
        <w:t>Identify key issues for the regional ICT development, including general policy and cooperation among memberships, taking into account the needs of the region and the relevant Strategic Plan of the APT;</w:t>
      </w:r>
    </w:p>
    <w:p w14:paraId="4FD75419" w14:textId="77777777" w:rsidR="004F0EF2" w:rsidRPr="00605173" w:rsidRDefault="004F0EF2" w:rsidP="004F0EF2">
      <w:pPr>
        <w:numPr>
          <w:ilvl w:val="0"/>
          <w:numId w:val="10"/>
        </w:numPr>
        <w:ind w:left="1170"/>
        <w:jc w:val="both"/>
      </w:pPr>
      <w:r w:rsidRPr="00605173">
        <w:t xml:space="preserve">Discuss and develop proposals for Regional Initiatives for Asia-Pacific region </w:t>
      </w:r>
    </w:p>
    <w:p w14:paraId="12C22A7D" w14:textId="77777777" w:rsidR="004F0EF2" w:rsidRPr="00605173" w:rsidRDefault="004F0EF2" w:rsidP="004F0EF2">
      <w:pPr>
        <w:numPr>
          <w:ilvl w:val="0"/>
          <w:numId w:val="10"/>
        </w:numPr>
        <w:ind w:left="1170"/>
        <w:jc w:val="both"/>
      </w:pPr>
      <w:r w:rsidRPr="00605173">
        <w:t>Consider Resolutions, Recommendations and Decisions relating to ITU-D relevant to the activities of this WG;</w:t>
      </w:r>
    </w:p>
    <w:p w14:paraId="3DE4AF76" w14:textId="77777777" w:rsidR="004F0EF2" w:rsidRPr="00605173" w:rsidRDefault="004F0EF2" w:rsidP="004F0EF2">
      <w:pPr>
        <w:numPr>
          <w:ilvl w:val="0"/>
          <w:numId w:val="10"/>
        </w:numPr>
        <w:ind w:left="1170"/>
        <w:jc w:val="both"/>
      </w:pPr>
      <w:r w:rsidRPr="00605173">
        <w:t>Consider other matters not covered by WG1 and WG2.</w:t>
      </w:r>
    </w:p>
    <w:p w14:paraId="28DCA213" w14:textId="47D2B6BE" w:rsidR="009C05C2" w:rsidRDefault="009C05C2" w:rsidP="009C05C2"/>
    <w:p w14:paraId="33426914" w14:textId="77777777" w:rsidR="009C05C2" w:rsidRPr="00A745F7" w:rsidRDefault="009C05C2" w:rsidP="009C05C2">
      <w:pPr>
        <w:pStyle w:val="Level1"/>
        <w:numPr>
          <w:ilvl w:val="0"/>
          <w:numId w:val="9"/>
        </w:numPr>
        <w:ind w:left="360"/>
        <w:rPr>
          <w:b/>
          <w:bCs/>
        </w:rPr>
      </w:pPr>
      <w:r w:rsidRPr="00A745F7">
        <w:rPr>
          <w:b/>
          <w:bCs/>
        </w:rPr>
        <w:t>ISSUES</w:t>
      </w:r>
    </w:p>
    <w:p w14:paraId="2ADBB75F" w14:textId="52ACA7D7" w:rsidR="004F0EF2" w:rsidRPr="001A696A" w:rsidRDefault="002A2CE3" w:rsidP="004F0EF2">
      <w:pPr>
        <w:rPr>
          <w:rFonts w:cs="Calibri"/>
          <w:bCs/>
        </w:rPr>
      </w:pPr>
      <w:r>
        <w:t xml:space="preserve">3.1    </w:t>
      </w:r>
      <w:r w:rsidR="004F0EF2">
        <w:t xml:space="preserve">WG3 would like to surface the following issues for further discussions.  </w:t>
      </w:r>
      <w:r w:rsidR="004F0EF2" w:rsidRPr="001A696A">
        <w:rPr>
          <w:rFonts w:cs="Calibri"/>
          <w:bCs/>
        </w:rPr>
        <w:t xml:space="preserve">APT Members are also encouraged to raise any other issues relevant to WG3. </w:t>
      </w:r>
    </w:p>
    <w:p w14:paraId="4A168C2E" w14:textId="77777777" w:rsidR="004F0EF2" w:rsidRDefault="004F0EF2" w:rsidP="004F0EF2"/>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3402"/>
        <w:gridCol w:w="2977"/>
      </w:tblGrid>
      <w:tr w:rsidR="004F0EF2" w:rsidRPr="00A54B12" w14:paraId="21876EC9" w14:textId="77777777" w:rsidTr="00843431">
        <w:trPr>
          <w:jc w:val="center"/>
        </w:trPr>
        <w:tc>
          <w:tcPr>
            <w:tcW w:w="2972" w:type="dxa"/>
            <w:shd w:val="clear" w:color="auto" w:fill="auto"/>
          </w:tcPr>
          <w:p w14:paraId="5E0CAFCA" w14:textId="77777777" w:rsidR="004F0EF2" w:rsidRPr="00A54B12" w:rsidRDefault="004F0EF2" w:rsidP="004223AC">
            <w:pPr>
              <w:jc w:val="center"/>
              <w:rPr>
                <w:b/>
                <w:bCs/>
              </w:rPr>
            </w:pPr>
            <w:r w:rsidRPr="00A54B12">
              <w:rPr>
                <w:b/>
                <w:bCs/>
              </w:rPr>
              <w:t>Issues</w:t>
            </w:r>
          </w:p>
        </w:tc>
        <w:tc>
          <w:tcPr>
            <w:tcW w:w="3402" w:type="dxa"/>
          </w:tcPr>
          <w:p w14:paraId="27C0D045" w14:textId="77777777" w:rsidR="004F0EF2" w:rsidRPr="00A54B12" w:rsidRDefault="004F0EF2" w:rsidP="004223AC">
            <w:pPr>
              <w:jc w:val="center"/>
              <w:rPr>
                <w:b/>
                <w:bCs/>
              </w:rPr>
            </w:pPr>
            <w:r w:rsidRPr="00A54B12">
              <w:rPr>
                <w:b/>
                <w:bCs/>
              </w:rPr>
              <w:t>Relevant Documents</w:t>
            </w:r>
          </w:p>
        </w:tc>
        <w:tc>
          <w:tcPr>
            <w:tcW w:w="2977" w:type="dxa"/>
            <w:shd w:val="clear" w:color="auto" w:fill="auto"/>
          </w:tcPr>
          <w:p w14:paraId="2B02B285" w14:textId="77777777" w:rsidR="004F0EF2" w:rsidRPr="00A54B12" w:rsidRDefault="004F0EF2" w:rsidP="004223AC">
            <w:pPr>
              <w:jc w:val="center"/>
              <w:rPr>
                <w:b/>
                <w:bCs/>
              </w:rPr>
            </w:pPr>
            <w:r w:rsidRPr="00A54B12">
              <w:rPr>
                <w:b/>
                <w:bCs/>
              </w:rPr>
              <w:t>Possible actions</w:t>
            </w:r>
          </w:p>
        </w:tc>
      </w:tr>
      <w:tr w:rsidR="004F0EF2" w:rsidRPr="00A54B12" w14:paraId="1C6A3105" w14:textId="77777777" w:rsidTr="00843431">
        <w:trPr>
          <w:jc w:val="center"/>
        </w:trPr>
        <w:tc>
          <w:tcPr>
            <w:tcW w:w="2972" w:type="dxa"/>
            <w:shd w:val="clear" w:color="auto" w:fill="auto"/>
          </w:tcPr>
          <w:p w14:paraId="7A1ABF3C" w14:textId="77777777" w:rsidR="004F0EF2" w:rsidRDefault="002A2CE3" w:rsidP="002A2CE3">
            <w:r w:rsidRPr="00A54B12">
              <w:rPr>
                <w:bCs/>
              </w:rPr>
              <w:t>K</w:t>
            </w:r>
            <w:r w:rsidR="004F0EF2" w:rsidRPr="00A54B12">
              <w:t>ey issues for the regional ICT development, including general policy and cooperation among memberships, taking into account the needs of the region and the relevant Strategic Plan of the APT</w:t>
            </w:r>
          </w:p>
          <w:p w14:paraId="39EC1933" w14:textId="18B530B8" w:rsidR="00843431" w:rsidRPr="00A54B12" w:rsidRDefault="00843431" w:rsidP="002A2CE3"/>
        </w:tc>
        <w:tc>
          <w:tcPr>
            <w:tcW w:w="3402" w:type="dxa"/>
          </w:tcPr>
          <w:p w14:paraId="318F9D42" w14:textId="06D3905C" w:rsidR="004F0EF2" w:rsidRPr="00A54B12" w:rsidRDefault="00167D77" w:rsidP="00167D77">
            <w:pPr>
              <w:rPr>
                <w:bCs/>
              </w:rPr>
            </w:pPr>
            <w:r w:rsidRPr="00A54B12">
              <w:rPr>
                <w:bCs/>
              </w:rPr>
              <w:t>Strategic Pillars and Action Plans of the APT Strategic Plan for 2021-2023 (Annex</w:t>
            </w:r>
            <w:r w:rsidR="00A54B12" w:rsidRPr="00A54B12">
              <w:rPr>
                <w:bCs/>
              </w:rPr>
              <w:t xml:space="preserve"> </w:t>
            </w:r>
            <w:r w:rsidRPr="00A54B12">
              <w:rPr>
                <w:rFonts w:eastAsiaTheme="minorEastAsia"/>
                <w:bCs/>
                <w:lang w:eastAsia="ja-JP"/>
              </w:rPr>
              <w:t>Ⅰ</w:t>
            </w:r>
            <w:r w:rsidRPr="00A54B12">
              <w:rPr>
                <w:bCs/>
              </w:rPr>
              <w:t>)</w:t>
            </w:r>
          </w:p>
        </w:tc>
        <w:tc>
          <w:tcPr>
            <w:tcW w:w="2977" w:type="dxa"/>
            <w:shd w:val="clear" w:color="auto" w:fill="auto"/>
          </w:tcPr>
          <w:p w14:paraId="7A655491" w14:textId="083DC09A" w:rsidR="004F0EF2" w:rsidRPr="00A54B12" w:rsidRDefault="004F0EF2" w:rsidP="004223AC">
            <w:pPr>
              <w:rPr>
                <w:bCs/>
              </w:rPr>
            </w:pPr>
            <w:r w:rsidRPr="00A54B12">
              <w:rPr>
                <w:bCs/>
              </w:rPr>
              <w:t>APT members may wish to provide comments with specific proposals on ITU’s role in fostering regional ICT development.</w:t>
            </w:r>
          </w:p>
        </w:tc>
      </w:tr>
      <w:tr w:rsidR="002A2CE3" w:rsidRPr="00A54B12" w14:paraId="7A9AA8A2" w14:textId="77777777" w:rsidTr="0084343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1A8422AA" w14:textId="190226C6" w:rsidR="002A2CE3" w:rsidRPr="00A54B12" w:rsidRDefault="002A2CE3" w:rsidP="002A2CE3">
            <w:pPr>
              <w:rPr>
                <w:bCs/>
              </w:rPr>
            </w:pPr>
            <w:r w:rsidRPr="00A54B12">
              <w:rPr>
                <w:bCs/>
              </w:rPr>
              <w:t>Regional initiatives for the Asia-Pacific</w:t>
            </w:r>
          </w:p>
        </w:tc>
        <w:tc>
          <w:tcPr>
            <w:tcW w:w="3402" w:type="dxa"/>
            <w:tcBorders>
              <w:top w:val="single" w:sz="4" w:space="0" w:color="000000"/>
              <w:left w:val="single" w:sz="4" w:space="0" w:color="000000"/>
              <w:bottom w:val="single" w:sz="4" w:space="0" w:color="000000"/>
              <w:right w:val="single" w:sz="4" w:space="0" w:color="000000"/>
            </w:tcBorders>
          </w:tcPr>
          <w:p w14:paraId="5A32A2E1" w14:textId="0DEE5BC8" w:rsidR="002A2CE3" w:rsidRPr="00A54B12" w:rsidRDefault="002A2CE3" w:rsidP="00D91785">
            <w:pPr>
              <w:rPr>
                <w:bCs/>
              </w:rPr>
            </w:pPr>
            <w:r w:rsidRPr="00A54B12">
              <w:rPr>
                <w:bCs/>
              </w:rPr>
              <w:t xml:space="preserve">Asia-Pacific </w:t>
            </w:r>
            <w:r w:rsidR="00D91785" w:rsidRPr="00A54B12">
              <w:rPr>
                <w:bCs/>
              </w:rPr>
              <w:t xml:space="preserve">Regional Initiatives from the Buenos Aires </w:t>
            </w:r>
            <w:r w:rsidRPr="00A54B12">
              <w:rPr>
                <w:bCs/>
              </w:rPr>
              <w:t>Action Plan</w:t>
            </w:r>
            <w:r w:rsidR="00D91785" w:rsidRPr="00A54B12">
              <w:rPr>
                <w:bCs/>
              </w:rPr>
              <w:t xml:space="preserve"> (A</w:t>
            </w:r>
            <w:r w:rsidR="005C5C5B" w:rsidRPr="00A54B12">
              <w:rPr>
                <w:bCs/>
              </w:rPr>
              <w:t xml:space="preserve">nnex </w:t>
            </w:r>
            <w:r w:rsidR="005C5C5B" w:rsidRPr="00A54B12">
              <w:rPr>
                <w:rFonts w:eastAsiaTheme="minorEastAsia"/>
                <w:bCs/>
                <w:lang w:eastAsia="ja-JP"/>
              </w:rPr>
              <w:t>Ⅱ</w:t>
            </w:r>
            <w:r w:rsidR="00D91785" w:rsidRPr="00A54B12">
              <w:rPr>
                <w:rFonts w:eastAsiaTheme="minorEastAsia"/>
                <w:bCs/>
                <w:lang w:eastAsia="ja-JP"/>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4D5FE346" w14:textId="77777777" w:rsidR="002A2CE3" w:rsidRDefault="002A2CE3" w:rsidP="00843431">
            <w:pPr>
              <w:rPr>
                <w:bCs/>
              </w:rPr>
            </w:pPr>
            <w:r w:rsidRPr="00A54B12">
              <w:rPr>
                <w:bCs/>
              </w:rPr>
              <w:t xml:space="preserve">APT Members may wish to review and update the </w:t>
            </w:r>
            <w:r w:rsidR="00843431" w:rsidRPr="00A54B12">
              <w:rPr>
                <w:bCs/>
              </w:rPr>
              <w:t xml:space="preserve">Asia-Pacific </w:t>
            </w:r>
            <w:r w:rsidRPr="00A54B12">
              <w:rPr>
                <w:bCs/>
              </w:rPr>
              <w:t>Regional Initiatives</w:t>
            </w:r>
            <w:r w:rsidR="00843431">
              <w:rPr>
                <w:bCs/>
              </w:rPr>
              <w:t xml:space="preserve"> and </w:t>
            </w:r>
            <w:r w:rsidR="00843431" w:rsidRPr="00A54B12">
              <w:rPr>
                <w:bCs/>
              </w:rPr>
              <w:t xml:space="preserve">submit proposals as </w:t>
            </w:r>
            <w:r w:rsidR="00843431" w:rsidRPr="00A54B12">
              <w:rPr>
                <w:bCs/>
              </w:rPr>
              <w:lastRenderedPageBreak/>
              <w:t>input documents to WTDC 21</w:t>
            </w:r>
            <w:r w:rsidR="00843431">
              <w:rPr>
                <w:bCs/>
              </w:rPr>
              <w:t>-2, where</w:t>
            </w:r>
            <w:r w:rsidRPr="00A54B12">
              <w:rPr>
                <w:bCs/>
              </w:rPr>
              <w:t xml:space="preserve"> </w:t>
            </w:r>
            <w:r w:rsidR="00843431">
              <w:rPr>
                <w:bCs/>
              </w:rPr>
              <w:t xml:space="preserve">WG3 will focus on </w:t>
            </w:r>
            <w:r w:rsidRPr="00A54B12">
              <w:rPr>
                <w:bCs/>
              </w:rPr>
              <w:t xml:space="preserve">developing draft Regional Initiatives to input into </w:t>
            </w:r>
            <w:r w:rsidR="00843431" w:rsidRPr="00843431">
              <w:rPr>
                <w:bCs/>
              </w:rPr>
              <w:t>the Asia-Pacific Regional</w:t>
            </w:r>
            <w:r w:rsidR="00843431">
              <w:rPr>
                <w:bCs/>
              </w:rPr>
              <w:t xml:space="preserve"> Preparatory Meeting for WTDC-21</w:t>
            </w:r>
            <w:r w:rsidR="00843431" w:rsidRPr="00843431">
              <w:rPr>
                <w:bCs/>
              </w:rPr>
              <w:t xml:space="preserve"> (RPM ASP)</w:t>
            </w:r>
            <w:r w:rsidRPr="00A54B12">
              <w:rPr>
                <w:bCs/>
              </w:rPr>
              <w:t xml:space="preserve">. </w:t>
            </w:r>
          </w:p>
          <w:p w14:paraId="639F8ABF" w14:textId="1A626F98" w:rsidR="00843431" w:rsidRPr="00A54B12" w:rsidRDefault="00843431" w:rsidP="00843431">
            <w:pPr>
              <w:rPr>
                <w:bCs/>
              </w:rPr>
            </w:pPr>
          </w:p>
        </w:tc>
      </w:tr>
      <w:tr w:rsidR="0060108A" w:rsidRPr="00A54B12" w14:paraId="7E1AEEEF" w14:textId="77777777" w:rsidTr="0084343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30E7477D" w14:textId="758C65FC" w:rsidR="0060108A" w:rsidRPr="00A54B12" w:rsidRDefault="0060108A" w:rsidP="0060108A">
            <w:pPr>
              <w:rPr>
                <w:bCs/>
              </w:rPr>
            </w:pPr>
            <w:r w:rsidRPr="00A54B12">
              <w:rPr>
                <w:bCs/>
              </w:rPr>
              <w:lastRenderedPageBreak/>
              <w:t>Resolutions, Recommendations and Decisions relating to ITU-D relevant to the activities of WG3</w:t>
            </w:r>
          </w:p>
        </w:tc>
        <w:tc>
          <w:tcPr>
            <w:tcW w:w="3402" w:type="dxa"/>
            <w:tcBorders>
              <w:top w:val="single" w:sz="4" w:space="0" w:color="000000"/>
              <w:left w:val="single" w:sz="4" w:space="0" w:color="000000"/>
              <w:bottom w:val="single" w:sz="4" w:space="0" w:color="000000"/>
              <w:right w:val="single" w:sz="4" w:space="0" w:color="000000"/>
            </w:tcBorders>
          </w:tcPr>
          <w:p w14:paraId="399BA777" w14:textId="5A824162" w:rsidR="00FE69DB" w:rsidRPr="00A54B12" w:rsidRDefault="0060108A" w:rsidP="00421855">
            <w:pPr>
              <w:rPr>
                <w:bCs/>
              </w:rPr>
            </w:pPr>
            <w:r w:rsidRPr="00A54B12">
              <w:rPr>
                <w:bCs/>
              </w:rPr>
              <w:t>A matrix listing all WTDC Resolutions</w:t>
            </w:r>
            <w:r w:rsidR="00FE69DB" w:rsidRPr="00A54B12">
              <w:rPr>
                <w:bCs/>
              </w:rPr>
              <w:t>/</w:t>
            </w:r>
            <w:r w:rsidRPr="00A54B12">
              <w:rPr>
                <w:bCs/>
              </w:rPr>
              <w:t>Recommendations and the Working Group/s responsible for their review/revision</w:t>
            </w:r>
            <w:r w:rsidR="00FE69DB" w:rsidRPr="00A54B12">
              <w:rPr>
                <w:bCs/>
              </w:rPr>
              <w:t xml:space="preserve"> (</w:t>
            </w:r>
            <w:r w:rsidR="00F7437C" w:rsidRPr="00A54B12">
              <w:rPr>
                <w:bCs/>
                <w:highlight w:val="yellow"/>
              </w:rPr>
              <w:t>WTDC21</w:t>
            </w:r>
            <w:r w:rsidR="00421855" w:rsidRPr="00A54B12">
              <w:rPr>
                <w:bCs/>
                <w:highlight w:val="yellow"/>
              </w:rPr>
              <w:t>-2/INP-xx</w:t>
            </w:r>
            <w:r w:rsidR="00FE69DB" w:rsidRPr="00A54B12">
              <w:rPr>
                <w:bCs/>
              </w:rPr>
              <w:t>)</w:t>
            </w:r>
          </w:p>
          <w:p w14:paraId="017F0D3F" w14:textId="77777777" w:rsidR="00FE69DB" w:rsidRPr="00A54B12" w:rsidRDefault="00FE69DB" w:rsidP="00421855">
            <w:pPr>
              <w:rPr>
                <w:bCs/>
              </w:rPr>
            </w:pPr>
          </w:p>
          <w:p w14:paraId="0F85350A" w14:textId="2C881957" w:rsidR="0060108A" w:rsidRDefault="00FE69DB" w:rsidP="00FE69DB">
            <w:pPr>
              <w:rPr>
                <w:rFonts w:eastAsiaTheme="minorEastAsia"/>
                <w:bCs/>
                <w:lang w:eastAsia="ja-JP"/>
              </w:rPr>
            </w:pPr>
            <w:r w:rsidRPr="00A54B12">
              <w:rPr>
                <w:bCs/>
              </w:rPr>
              <w:t xml:space="preserve">Guiding principles for streamlining existing WTDC resolutions </w:t>
            </w:r>
            <w:r w:rsidRPr="00A54B12">
              <w:rPr>
                <w:rFonts w:eastAsiaTheme="minorEastAsia"/>
                <w:bCs/>
                <w:lang w:eastAsia="ja-JP"/>
              </w:rPr>
              <w:t>(</w:t>
            </w:r>
            <w:r w:rsidRPr="00A54B12">
              <w:rPr>
                <w:bCs/>
              </w:rPr>
              <w:t xml:space="preserve">Annex </w:t>
            </w:r>
            <w:r w:rsidR="00A54B12" w:rsidRPr="00A54B12">
              <w:rPr>
                <w:rFonts w:eastAsia="Malgun Gothic Semilight"/>
                <w:bCs/>
              </w:rPr>
              <w:t>Ⅲ</w:t>
            </w:r>
            <w:r w:rsidRPr="00A54B12">
              <w:rPr>
                <w:rFonts w:eastAsiaTheme="minorEastAsia"/>
                <w:bCs/>
                <w:lang w:eastAsia="ja-JP"/>
              </w:rPr>
              <w:t>)</w:t>
            </w:r>
          </w:p>
          <w:p w14:paraId="7C40E5B6" w14:textId="7684EEBF" w:rsidR="00033B4D" w:rsidRDefault="00033B4D" w:rsidP="00FE69DB">
            <w:pPr>
              <w:rPr>
                <w:rFonts w:eastAsiaTheme="minorEastAsia"/>
                <w:bCs/>
                <w:lang w:eastAsia="ja-JP"/>
              </w:rPr>
            </w:pPr>
          </w:p>
          <w:p w14:paraId="64C81044" w14:textId="7B0356CC" w:rsidR="00033B4D" w:rsidRPr="00A54B12" w:rsidRDefault="00033B4D" w:rsidP="00FE69DB">
            <w:pPr>
              <w:rPr>
                <w:rFonts w:eastAsiaTheme="minorEastAsia"/>
                <w:bCs/>
                <w:lang w:eastAsia="ja-JP"/>
              </w:rPr>
            </w:pPr>
            <w:r w:rsidRPr="00033B4D">
              <w:rPr>
                <w:rFonts w:eastAsiaTheme="minorEastAsia"/>
                <w:bCs/>
                <w:lang w:eastAsia="ja-JP"/>
              </w:rPr>
              <w:t>Proposal for WTDC-21 Thematic Priorities</w:t>
            </w:r>
            <w:r>
              <w:rPr>
                <w:rFonts w:eastAsiaTheme="minorEastAsia"/>
                <w:bCs/>
                <w:lang w:eastAsia="ja-JP"/>
              </w:rPr>
              <w:t xml:space="preserve"> </w:t>
            </w:r>
            <w:r w:rsidRPr="00A54B12">
              <w:rPr>
                <w:bCs/>
              </w:rPr>
              <w:t xml:space="preserve">(Annex </w:t>
            </w:r>
            <w:r w:rsidRPr="00A54B12">
              <w:rPr>
                <w:rFonts w:eastAsia="Malgun Gothic Semilight"/>
                <w:bCs/>
              </w:rPr>
              <w:t>Ⅳ</w:t>
            </w:r>
            <w:r w:rsidRPr="00A54B12">
              <w:rPr>
                <w:rFonts w:eastAsiaTheme="minorEastAsia"/>
                <w:bCs/>
                <w:lang w:eastAsia="ja-JP"/>
              </w:rPr>
              <w:t>)</w:t>
            </w:r>
          </w:p>
          <w:p w14:paraId="29BB2043" w14:textId="77777777" w:rsidR="00A54B12" w:rsidRPr="00A54B12" w:rsidRDefault="00A54B12" w:rsidP="00FE69DB">
            <w:pPr>
              <w:rPr>
                <w:rFonts w:eastAsiaTheme="minorEastAsia"/>
                <w:bCs/>
                <w:lang w:eastAsia="ja-JP"/>
              </w:rPr>
            </w:pPr>
          </w:p>
          <w:p w14:paraId="0C0F3E0B" w14:textId="123E586C" w:rsidR="00A54B12" w:rsidRPr="00A54B12" w:rsidRDefault="00A54B12" w:rsidP="00A54B12">
            <w:pPr>
              <w:rPr>
                <w:rFonts w:eastAsiaTheme="minorEastAsia"/>
                <w:bCs/>
                <w:lang w:eastAsia="ja-JP"/>
              </w:rPr>
            </w:pPr>
            <w:r w:rsidRPr="00A54B12">
              <w:rPr>
                <w:bCs/>
              </w:rPr>
              <w:t>Draft Mapping of WTDC Resolutions</w:t>
            </w:r>
            <w:r>
              <w:rPr>
                <w:bCs/>
              </w:rPr>
              <w:t xml:space="preserve"> </w:t>
            </w:r>
            <w:r w:rsidRPr="00A54B12">
              <w:rPr>
                <w:bCs/>
              </w:rPr>
              <w:t xml:space="preserve">(Annex </w:t>
            </w:r>
            <w:r w:rsidR="00033B4D" w:rsidRPr="00A54B12">
              <w:rPr>
                <w:rFonts w:eastAsia="Malgun Gothic Semilight"/>
                <w:bCs/>
              </w:rPr>
              <w:t>Ⅴ</w:t>
            </w:r>
            <w:r w:rsidRPr="00A54B12">
              <w:rPr>
                <w:rFonts w:eastAsiaTheme="minorEastAsia"/>
                <w:bCs/>
                <w:lang w:eastAsia="ja-JP"/>
              </w:rPr>
              <w:t>)</w:t>
            </w:r>
          </w:p>
          <w:p w14:paraId="603AA5B3" w14:textId="77777777" w:rsidR="00A54B12" w:rsidRPr="00A54B12" w:rsidRDefault="00A54B12" w:rsidP="00A54B12">
            <w:pPr>
              <w:rPr>
                <w:bCs/>
              </w:rPr>
            </w:pPr>
          </w:p>
          <w:p w14:paraId="109F4AA9" w14:textId="7CD2ED4A" w:rsidR="00A54B12" w:rsidRDefault="00A54B12" w:rsidP="00A54B12">
            <w:pPr>
              <w:rPr>
                <w:bCs/>
              </w:rPr>
            </w:pPr>
            <w:r w:rsidRPr="00A54B12">
              <w:rPr>
                <w:bCs/>
              </w:rPr>
              <w:t>A framework for clustering of existing WTDC resolutions and recommendations</w:t>
            </w:r>
            <w:r>
              <w:rPr>
                <w:bCs/>
              </w:rPr>
              <w:t xml:space="preserve"> </w:t>
            </w:r>
            <w:r w:rsidRPr="00A54B12">
              <w:rPr>
                <w:bCs/>
              </w:rPr>
              <w:t xml:space="preserve">(Annex </w:t>
            </w:r>
            <w:r w:rsidR="00033B4D">
              <w:t>Ⅵ</w:t>
            </w:r>
            <w:r w:rsidRPr="00A54B12">
              <w:rPr>
                <w:rFonts w:eastAsiaTheme="minorEastAsia"/>
                <w:bCs/>
                <w:lang w:eastAsia="ja-JP"/>
              </w:rPr>
              <w:t>)</w:t>
            </w:r>
            <w:r w:rsidRPr="00A54B12">
              <w:rPr>
                <w:bCs/>
              </w:rPr>
              <w:t xml:space="preserve"> </w:t>
            </w:r>
          </w:p>
          <w:p w14:paraId="4B2EBC5A" w14:textId="64A1073B" w:rsidR="00843431" w:rsidRPr="00A54B12" w:rsidRDefault="00843431" w:rsidP="00A54B12">
            <w:pPr>
              <w:rPr>
                <w:bCs/>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FA2A82F" w14:textId="0E7C486F" w:rsidR="0060108A" w:rsidRPr="00A54B12" w:rsidRDefault="0060108A" w:rsidP="0060108A">
            <w:pPr>
              <w:rPr>
                <w:bCs/>
              </w:rPr>
            </w:pPr>
            <w:r w:rsidRPr="00A54B12">
              <w:rPr>
                <w:bCs/>
              </w:rPr>
              <w:t xml:space="preserve">APT Members may wish to review and update Resolutions, Recommendations and Decisions relevant to WG3. </w:t>
            </w:r>
          </w:p>
        </w:tc>
      </w:tr>
      <w:tr w:rsidR="0060108A" w:rsidRPr="00A54B12" w14:paraId="66A1C30F" w14:textId="77777777" w:rsidTr="00843431">
        <w:trPr>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auto"/>
          </w:tcPr>
          <w:p w14:paraId="71C80C0F" w14:textId="513A3ACD" w:rsidR="0060108A" w:rsidRPr="00A54B12" w:rsidRDefault="00F960FC" w:rsidP="0060108A">
            <w:pPr>
              <w:rPr>
                <w:bCs/>
              </w:rPr>
            </w:pPr>
            <w:r w:rsidRPr="00A54B12">
              <w:rPr>
                <w:bCs/>
              </w:rPr>
              <w:t>Other matters not covered by WG1 and WG2</w:t>
            </w:r>
          </w:p>
        </w:tc>
        <w:tc>
          <w:tcPr>
            <w:tcW w:w="3402" w:type="dxa"/>
            <w:tcBorders>
              <w:top w:val="single" w:sz="4" w:space="0" w:color="000000"/>
              <w:left w:val="single" w:sz="4" w:space="0" w:color="000000"/>
              <w:bottom w:val="single" w:sz="4" w:space="0" w:color="000000"/>
              <w:right w:val="single" w:sz="4" w:space="0" w:color="000000"/>
            </w:tcBorders>
          </w:tcPr>
          <w:p w14:paraId="22839C2E" w14:textId="0E978878" w:rsidR="0060108A" w:rsidRPr="00A54B12" w:rsidRDefault="00F7437C" w:rsidP="0060108A">
            <w:pPr>
              <w:rPr>
                <w:rFonts w:eastAsiaTheme="minorEastAsia"/>
                <w:bCs/>
                <w:lang w:eastAsia="ja-JP"/>
              </w:rPr>
            </w:pPr>
            <w:r w:rsidRPr="00A54B12">
              <w:rPr>
                <w:rFonts w:eastAsiaTheme="minorEastAsia"/>
                <w:bCs/>
                <w:lang w:eastAsia="ja-JP"/>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5EA2372A" w14:textId="77777777" w:rsidR="0060108A" w:rsidRDefault="0060108A" w:rsidP="0060108A">
            <w:pPr>
              <w:rPr>
                <w:bCs/>
              </w:rPr>
            </w:pPr>
            <w:r w:rsidRPr="00A54B12">
              <w:rPr>
                <w:bCs/>
              </w:rPr>
              <w:t>APT Members may wish to propose any new issues for further consideration within WG3.</w:t>
            </w:r>
          </w:p>
          <w:p w14:paraId="019FB2FA" w14:textId="505B6E45" w:rsidR="00843431" w:rsidRPr="00A54B12" w:rsidRDefault="00843431" w:rsidP="0060108A">
            <w:pPr>
              <w:rPr>
                <w:bCs/>
              </w:rPr>
            </w:pPr>
          </w:p>
        </w:tc>
      </w:tr>
    </w:tbl>
    <w:p w14:paraId="63D27019" w14:textId="563CA646" w:rsidR="009C05C2" w:rsidRPr="00A54B12" w:rsidRDefault="009C05C2" w:rsidP="009C05C2"/>
    <w:p w14:paraId="2F9829AB" w14:textId="7F1F232E" w:rsidR="005B72DF" w:rsidRPr="00A54B12" w:rsidRDefault="00421855" w:rsidP="0090038F">
      <w:pPr>
        <w:jc w:val="both"/>
      </w:pPr>
      <w:r w:rsidRPr="00A54B12">
        <w:t xml:space="preserve">3.2    </w:t>
      </w:r>
      <w:r w:rsidR="00F960FC" w:rsidRPr="00A54B12">
        <w:t xml:space="preserve">In addition, WG3, within the scope of its mandate, would like to highlight that the </w:t>
      </w:r>
      <w:r w:rsidR="005B72DF" w:rsidRPr="00A54B12">
        <w:t>Working Group on WTDC Resolutions, Declaration and Thematic Priorities (TDAG-WG-RDTP)</w:t>
      </w:r>
      <w:r w:rsidR="00F960FC" w:rsidRPr="00A54B12">
        <w:t xml:space="preserve"> has </w:t>
      </w:r>
      <w:r w:rsidR="005B72DF" w:rsidRPr="00A54B12">
        <w:t>held three virtual meetings</w:t>
      </w:r>
      <w:r w:rsidR="00F960FC" w:rsidRPr="00A54B12">
        <w:t xml:space="preserve"> in 20</w:t>
      </w:r>
      <w:r w:rsidR="005B72DF" w:rsidRPr="00A54B12">
        <w:t xml:space="preserve">20 and 2021 </w:t>
      </w:r>
      <w:r w:rsidR="00F960FC" w:rsidRPr="00A54B12">
        <w:t xml:space="preserve">with the aim of reviewing </w:t>
      </w:r>
      <w:r w:rsidR="005B72DF" w:rsidRPr="00A54B12">
        <w:t xml:space="preserve">WTDC resolutions, examine their number and subject matter, and consider streamlining, to avoid repetitions and duplication with the Resolutions of the Plenipotentiary Conference. It was agreed to build on the principles developed in the previous cycle of ITU-D for the streamlining process and on the progress achieved for WTDC-17. </w:t>
      </w:r>
      <w:r w:rsidR="0090038F" w:rsidRPr="00A54B12">
        <w:t xml:space="preserve">Please refer to Annex </w:t>
      </w:r>
      <w:r w:rsidR="0090038F" w:rsidRPr="00A54B12">
        <w:rPr>
          <w:rFonts w:eastAsiaTheme="minorEastAsia"/>
          <w:lang w:eastAsia="ja-JP"/>
        </w:rPr>
        <w:t>Ⅲ</w:t>
      </w:r>
      <w:r w:rsidR="0090038F" w:rsidRPr="00A54B12">
        <w:t>, a set of guiding principles</w:t>
      </w:r>
      <w:r w:rsidR="00DA58A4" w:rsidRPr="00A54B12">
        <w:t xml:space="preserve"> adopted by TDAG-19</w:t>
      </w:r>
      <w:r w:rsidR="00DF0D99">
        <w:t xml:space="preserve"> </w:t>
      </w:r>
      <w:r w:rsidR="0090038F" w:rsidRPr="00A54B12">
        <w:t xml:space="preserve">which will serve as a framework for APT Members to consolidate Resolutions and draft new ones. </w:t>
      </w:r>
      <w:r w:rsidR="00DF0D99">
        <w:t>Also, at its third meeting, four Thematic Priorities we</w:t>
      </w:r>
      <w:r w:rsidR="00DF0D99" w:rsidRPr="00456F80">
        <w:t>re proposed to assist ITU membership in their preparations for WTDC-21</w:t>
      </w:r>
      <w:r w:rsidR="00DF0D99">
        <w:t xml:space="preserve">. </w:t>
      </w:r>
      <w:r w:rsidR="00DF0D99" w:rsidRPr="00A54B12">
        <w:t>Please refer to</w:t>
      </w:r>
      <w:r w:rsidR="00DF0D99">
        <w:t xml:space="preserve"> Annex </w:t>
      </w:r>
      <w:r w:rsidR="00DF0D99" w:rsidRPr="00A54B12">
        <w:rPr>
          <w:rFonts w:eastAsiaTheme="minorEastAsia"/>
          <w:lang w:eastAsia="ja-JP"/>
        </w:rPr>
        <w:t>Ⅳ</w:t>
      </w:r>
      <w:r w:rsidR="00DF0D99">
        <w:rPr>
          <w:rFonts w:eastAsiaTheme="minorEastAsia"/>
          <w:lang w:eastAsia="ja-JP"/>
        </w:rPr>
        <w:t>, a p</w:t>
      </w:r>
      <w:r w:rsidR="00DF0D99" w:rsidRPr="00456F80">
        <w:t>roposal for WTDC-21 Thematic Priorities</w:t>
      </w:r>
      <w:r w:rsidR="00DF0D99">
        <w:t xml:space="preserve"> provided by the </w:t>
      </w:r>
      <w:r w:rsidR="00DF0D99" w:rsidRPr="00456F80">
        <w:t>Chairman</w:t>
      </w:r>
      <w:r w:rsidR="00DF0D99">
        <w:t xml:space="preserve"> of</w:t>
      </w:r>
      <w:r w:rsidR="00DF0D99" w:rsidRPr="00456F80">
        <w:t xml:space="preserve"> TDAG-WG-RDTP</w:t>
      </w:r>
      <w:r w:rsidR="00DF0D99">
        <w:t xml:space="preserve">. </w:t>
      </w:r>
      <w:r w:rsidR="0090038F" w:rsidRPr="00A54B12">
        <w:t xml:space="preserve">Please also see Annex </w:t>
      </w:r>
      <w:r w:rsidR="00456F80" w:rsidRPr="00A54B12">
        <w:rPr>
          <w:rFonts w:eastAsiaTheme="minorEastAsia"/>
          <w:lang w:eastAsia="ja-JP"/>
        </w:rPr>
        <w:t>Ⅴ</w:t>
      </w:r>
      <w:r w:rsidR="00DA58A4" w:rsidRPr="00A54B12">
        <w:t xml:space="preserve"> (Draft Mapping of WTDC Resolutions) and Annex </w:t>
      </w:r>
      <w:r w:rsidR="00F3436A">
        <w:t>Ⅵ</w:t>
      </w:r>
      <w:r w:rsidR="00DF0D99">
        <w:t xml:space="preserve"> </w:t>
      </w:r>
      <w:r w:rsidR="00DA58A4" w:rsidRPr="00A54B12">
        <w:rPr>
          <w:rFonts w:eastAsiaTheme="minorEastAsia"/>
          <w:lang w:eastAsia="ja-JP"/>
        </w:rPr>
        <w:t>(</w:t>
      </w:r>
      <w:r w:rsidR="00DA58A4" w:rsidRPr="00A54B12">
        <w:t>a framework for clustering of existing WTDC resolutions and recommendations)</w:t>
      </w:r>
      <w:r w:rsidR="00FE69DB" w:rsidRPr="00A54B12">
        <w:rPr>
          <w:rFonts w:eastAsiaTheme="minorEastAsia"/>
          <w:lang w:eastAsia="ja-JP"/>
        </w:rPr>
        <w:t xml:space="preserve"> </w:t>
      </w:r>
      <w:r w:rsidR="0090038F" w:rsidRPr="00A54B12">
        <w:t xml:space="preserve">submitted to the </w:t>
      </w:r>
      <w:r w:rsidR="00DA58A4" w:rsidRPr="00A54B12">
        <w:t>second</w:t>
      </w:r>
      <w:r w:rsidR="0090038F" w:rsidRPr="00A54B12">
        <w:t xml:space="preserve"> meeting of the TDAG-WG-RDTP </w:t>
      </w:r>
      <w:r w:rsidR="00F960FC" w:rsidRPr="00A54B12">
        <w:t>for</w:t>
      </w:r>
      <w:r w:rsidR="00D10AFB" w:rsidRPr="00A54B12">
        <w:t xml:space="preserve"> reference</w:t>
      </w:r>
      <w:r w:rsidR="00F960FC" w:rsidRPr="00A54B12">
        <w:t xml:space="preserve">.  </w:t>
      </w:r>
    </w:p>
    <w:p w14:paraId="18FEAF41" w14:textId="77777777" w:rsidR="0090038F" w:rsidRPr="00A54B12" w:rsidRDefault="0090038F" w:rsidP="0090038F">
      <w:pPr>
        <w:jc w:val="both"/>
      </w:pPr>
    </w:p>
    <w:p w14:paraId="6D6923B3" w14:textId="1686F386" w:rsidR="00F960FC" w:rsidRPr="001A696A" w:rsidRDefault="00D10AFB" w:rsidP="00F960FC">
      <w:r>
        <w:lastRenderedPageBreak/>
        <w:t xml:space="preserve">3.3    </w:t>
      </w:r>
      <w:r w:rsidR="00F960FC" w:rsidRPr="001A696A">
        <w:t xml:space="preserve">APT Members may </w:t>
      </w:r>
      <w:r w:rsidR="00F960FC">
        <w:t>wish to provide</w:t>
      </w:r>
      <w:r w:rsidR="00F960FC" w:rsidRPr="001A696A">
        <w:t xml:space="preserve"> comments on the discussion areas</w:t>
      </w:r>
      <w:r>
        <w:t xml:space="preserve"> stated in this section an</w:t>
      </w:r>
      <w:r w:rsidR="00F960FC" w:rsidRPr="001A696A">
        <w:t xml:space="preserve">d </w:t>
      </w:r>
      <w:r w:rsidR="00F960FC">
        <w:t xml:space="preserve">also propose </w:t>
      </w:r>
      <w:r w:rsidR="00F960FC" w:rsidRPr="001A696A">
        <w:t xml:space="preserve">additional issues, if any, for consideration relevant to WG3. </w:t>
      </w:r>
    </w:p>
    <w:p w14:paraId="1B234ACC" w14:textId="77777777" w:rsidR="009C05C2" w:rsidRPr="00A745F7" w:rsidRDefault="009C05C2" w:rsidP="009C05C2"/>
    <w:p w14:paraId="33F9342D" w14:textId="77777777" w:rsidR="009C05C2" w:rsidRPr="00A745F7" w:rsidRDefault="009C05C2" w:rsidP="009C05C2">
      <w:pPr>
        <w:pStyle w:val="Level1"/>
        <w:numPr>
          <w:ilvl w:val="0"/>
          <w:numId w:val="9"/>
        </w:numPr>
        <w:ind w:left="360"/>
        <w:rPr>
          <w:b/>
          <w:bCs/>
        </w:rPr>
      </w:pPr>
      <w:r w:rsidRPr="00A745F7">
        <w:rPr>
          <w:b/>
          <w:bCs/>
        </w:rPr>
        <w:t>CONCLUSION</w:t>
      </w:r>
      <w:r>
        <w:rPr>
          <w:b/>
          <w:bCs/>
        </w:rPr>
        <w:t>S</w:t>
      </w:r>
    </w:p>
    <w:p w14:paraId="07C2B514" w14:textId="68958E93" w:rsidR="00D10AFB" w:rsidRPr="008B4CD0" w:rsidRDefault="00F960FC" w:rsidP="00F960FC">
      <w:pPr>
        <w:jc w:val="both"/>
        <w:rPr>
          <w:rFonts w:cs="Calibri"/>
          <w:bCs/>
        </w:rPr>
      </w:pPr>
      <w:r w:rsidRPr="008B4CD0">
        <w:rPr>
          <w:rFonts w:cs="Calibri"/>
          <w:bCs/>
        </w:rPr>
        <w:t>The WG3 Chair and Vice-Chair welcome comments and suggestions from APT Members in relation to this issue</w:t>
      </w:r>
      <w:r w:rsidRPr="008B4CD0">
        <w:rPr>
          <w:rFonts w:cs="Calibri"/>
          <w:bCs/>
          <w:strike/>
        </w:rPr>
        <w:t>s</w:t>
      </w:r>
      <w:r w:rsidRPr="008B4CD0">
        <w:rPr>
          <w:rFonts w:cs="Calibri"/>
          <w:bCs/>
        </w:rPr>
        <w:t xml:space="preserve"> paper.</w:t>
      </w:r>
    </w:p>
    <w:p w14:paraId="0A1C8E6C" w14:textId="6BCDDD47" w:rsidR="002E2B2D" w:rsidRDefault="002E2B2D"/>
    <w:tbl>
      <w:tblPr>
        <w:tblW w:w="989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52"/>
        <w:gridCol w:w="4843"/>
      </w:tblGrid>
      <w:tr w:rsidR="00F960FC" w:rsidRPr="00C443E2" w14:paraId="3F927CE0" w14:textId="77777777" w:rsidTr="0090038F">
        <w:tc>
          <w:tcPr>
            <w:tcW w:w="5052" w:type="dxa"/>
          </w:tcPr>
          <w:p w14:paraId="7CEB7334" w14:textId="77777777" w:rsidR="00F960FC" w:rsidRPr="00C443E2" w:rsidRDefault="00F960FC" w:rsidP="004223AC">
            <w:pPr>
              <w:jc w:val="center"/>
              <w:rPr>
                <w:b/>
              </w:rPr>
            </w:pPr>
            <w:r w:rsidRPr="00C443E2">
              <w:rPr>
                <w:b/>
              </w:rPr>
              <w:t>Chair</w:t>
            </w:r>
          </w:p>
        </w:tc>
        <w:tc>
          <w:tcPr>
            <w:tcW w:w="4843" w:type="dxa"/>
          </w:tcPr>
          <w:p w14:paraId="6FAF9FCD" w14:textId="77777777" w:rsidR="00F960FC" w:rsidRPr="00C443E2" w:rsidRDefault="00F960FC" w:rsidP="004223AC">
            <w:pPr>
              <w:jc w:val="center"/>
              <w:rPr>
                <w:b/>
              </w:rPr>
            </w:pPr>
            <w:r w:rsidRPr="00C443E2">
              <w:rPr>
                <w:b/>
              </w:rPr>
              <w:t>Vice Chair</w:t>
            </w:r>
          </w:p>
        </w:tc>
      </w:tr>
      <w:tr w:rsidR="00F960FC" w:rsidRPr="00C443E2" w14:paraId="646E724E" w14:textId="77777777" w:rsidTr="0090038F">
        <w:tc>
          <w:tcPr>
            <w:tcW w:w="5052" w:type="dxa"/>
          </w:tcPr>
          <w:p w14:paraId="71CD6B86" w14:textId="26A52723" w:rsidR="00F960FC" w:rsidRDefault="0090038F" w:rsidP="004223AC">
            <w:pPr>
              <w:rPr>
                <w:b/>
                <w:bCs/>
                <w:u w:val="single"/>
                <w:lang w:val="pt-BR"/>
              </w:rPr>
            </w:pPr>
            <w:r>
              <w:rPr>
                <w:b/>
                <w:bCs/>
                <w:u w:val="single"/>
                <w:lang w:val="pt-BR"/>
              </w:rPr>
              <w:t>Japan</w:t>
            </w:r>
          </w:p>
          <w:p w14:paraId="70A2DED3" w14:textId="77777777" w:rsidR="00F960FC" w:rsidRPr="00C443E2" w:rsidRDefault="00F960FC" w:rsidP="004223AC">
            <w:pPr>
              <w:rPr>
                <w:lang w:val="pt-BR"/>
              </w:rPr>
            </w:pPr>
          </w:p>
          <w:p w14:paraId="334B3B44" w14:textId="55C2C120" w:rsidR="00F960FC" w:rsidRPr="00A35842" w:rsidRDefault="00F960FC" w:rsidP="004223AC">
            <w:pPr>
              <w:rPr>
                <w:rFonts w:cs="Calibri"/>
                <w:bCs/>
              </w:rPr>
            </w:pPr>
            <w:r>
              <w:rPr>
                <w:rFonts w:cs="Calibri"/>
                <w:bCs/>
              </w:rPr>
              <w:t>M</w:t>
            </w:r>
            <w:r w:rsidR="0090038F">
              <w:rPr>
                <w:rFonts w:cs="Calibri"/>
                <w:bCs/>
              </w:rPr>
              <w:t>s</w:t>
            </w:r>
            <w:r>
              <w:rPr>
                <w:rFonts w:cs="Calibri"/>
                <w:bCs/>
              </w:rPr>
              <w:t xml:space="preserve">. </w:t>
            </w:r>
            <w:r w:rsidR="0090038F">
              <w:rPr>
                <w:rFonts w:cs="Calibri"/>
                <w:bCs/>
              </w:rPr>
              <w:t>Memiko Otsuki</w:t>
            </w:r>
          </w:p>
          <w:p w14:paraId="6064B677" w14:textId="69B14087" w:rsidR="0090038F" w:rsidRPr="0090038F" w:rsidRDefault="00F960FC" w:rsidP="0090038F">
            <w:pPr>
              <w:rPr>
                <w:rFonts w:cs="Calibri"/>
                <w:bCs/>
              </w:rPr>
            </w:pPr>
            <w:r w:rsidRPr="00A35842">
              <w:rPr>
                <w:rFonts w:cs="Calibri"/>
                <w:bCs/>
              </w:rPr>
              <w:t xml:space="preserve">Assistant Director, </w:t>
            </w:r>
            <w:r w:rsidR="0090038F" w:rsidRPr="0090038F">
              <w:rPr>
                <w:rFonts w:cs="Calibri"/>
                <w:bCs/>
              </w:rPr>
              <w:t>International Policy Division, Global Strategy Bureau</w:t>
            </w:r>
          </w:p>
          <w:p w14:paraId="147D1E42" w14:textId="2386EB94" w:rsidR="00C60A2B" w:rsidRDefault="0090038F" w:rsidP="0090038F">
            <w:pPr>
              <w:rPr>
                <w:rFonts w:cs="Calibri"/>
                <w:bCs/>
              </w:rPr>
            </w:pPr>
            <w:r w:rsidRPr="0090038F">
              <w:rPr>
                <w:rFonts w:cs="Calibri"/>
                <w:bCs/>
              </w:rPr>
              <w:t>Ministry of Inte</w:t>
            </w:r>
            <w:r>
              <w:rPr>
                <w:rFonts w:cs="Calibri"/>
                <w:bCs/>
              </w:rPr>
              <w:t>rnal Affairs and Communications</w:t>
            </w:r>
          </w:p>
          <w:p w14:paraId="30F639B1" w14:textId="373A584D" w:rsidR="00F960FC" w:rsidRPr="00A35842" w:rsidRDefault="00F960FC" w:rsidP="004223AC">
            <w:pPr>
              <w:rPr>
                <w:rFonts w:cs="Calibri"/>
                <w:bCs/>
              </w:rPr>
            </w:pPr>
          </w:p>
          <w:p w14:paraId="710FFBD0" w14:textId="7E57F01F" w:rsidR="00F960FC" w:rsidRPr="00A35842" w:rsidRDefault="0090038F" w:rsidP="004223AC">
            <w:pPr>
              <w:rPr>
                <w:rFonts w:cs="Calibri"/>
                <w:bCs/>
              </w:rPr>
            </w:pPr>
            <w:r>
              <w:rPr>
                <w:rFonts w:cs="Calibri"/>
                <w:bCs/>
              </w:rPr>
              <w:t>Tel: +81 3 5253</w:t>
            </w:r>
            <w:r w:rsidR="00F960FC" w:rsidRPr="00A35842">
              <w:rPr>
                <w:rFonts w:cs="Calibri"/>
                <w:bCs/>
              </w:rPr>
              <w:t xml:space="preserve"> </w:t>
            </w:r>
            <w:r>
              <w:rPr>
                <w:rFonts w:cs="Calibri"/>
                <w:bCs/>
              </w:rPr>
              <w:t>5922</w:t>
            </w:r>
          </w:p>
          <w:p w14:paraId="0D3C4377" w14:textId="474F056F" w:rsidR="00F960FC" w:rsidRDefault="00F960FC" w:rsidP="004223AC">
            <w:pPr>
              <w:rPr>
                <w:rFonts w:cs="Calibri"/>
                <w:bCs/>
              </w:rPr>
            </w:pPr>
            <w:r w:rsidRPr="00A35842">
              <w:rPr>
                <w:rFonts w:cs="Calibri"/>
                <w:bCs/>
              </w:rPr>
              <w:t xml:space="preserve">Email: </w:t>
            </w:r>
            <w:hyperlink r:id="rId9" w:history="1">
              <w:r w:rsidR="0090038F" w:rsidRPr="00CE2B94">
                <w:rPr>
                  <w:rStyle w:val="Hyperlink"/>
                  <w:rFonts w:cs="Calibri"/>
                  <w:bCs/>
                </w:rPr>
                <w:t>m2.ohtsuki@soumu.go.jp</w:t>
              </w:r>
            </w:hyperlink>
          </w:p>
          <w:p w14:paraId="5BF4EB18" w14:textId="77777777" w:rsidR="00F960FC" w:rsidRPr="00B57C75" w:rsidRDefault="00F960FC" w:rsidP="004223AC">
            <w:pPr>
              <w:rPr>
                <w:rFonts w:cs="Calibri"/>
                <w:bCs/>
              </w:rPr>
            </w:pPr>
          </w:p>
        </w:tc>
        <w:tc>
          <w:tcPr>
            <w:tcW w:w="4843" w:type="dxa"/>
          </w:tcPr>
          <w:p w14:paraId="5DEBE0C4" w14:textId="02F31411" w:rsidR="00F960FC" w:rsidRPr="00DC640A" w:rsidRDefault="00DA58A4" w:rsidP="004223AC">
            <w:pPr>
              <w:rPr>
                <w:b/>
                <w:u w:val="single"/>
              </w:rPr>
            </w:pPr>
            <w:r>
              <w:rPr>
                <w:b/>
                <w:u w:val="single"/>
              </w:rPr>
              <w:t>Malaysia</w:t>
            </w:r>
          </w:p>
          <w:p w14:paraId="3D1AB25E" w14:textId="77777777" w:rsidR="00F960FC" w:rsidRDefault="00F960FC" w:rsidP="004223AC"/>
          <w:p w14:paraId="38257AE0" w14:textId="77777777" w:rsidR="00C60A2B" w:rsidRDefault="00C60A2B" w:rsidP="00C60A2B">
            <w:r w:rsidRPr="00007053">
              <w:t>Ms. Anna Amalina Imam Baweh</w:t>
            </w:r>
          </w:p>
          <w:p w14:paraId="10E7A2C4" w14:textId="77777777" w:rsidR="00C60A2B" w:rsidRDefault="00C60A2B" w:rsidP="00C60A2B">
            <w:r>
              <w:t>Deputy Undersecretary</w:t>
            </w:r>
          </w:p>
          <w:p w14:paraId="215C064E" w14:textId="77777777" w:rsidR="00C60A2B" w:rsidRDefault="00C60A2B" w:rsidP="00C60A2B">
            <w:r>
              <w:t>Communications Technology Division</w:t>
            </w:r>
          </w:p>
          <w:p w14:paraId="626AB4A7" w14:textId="490D0C69" w:rsidR="00C60A2B" w:rsidRDefault="00C60A2B" w:rsidP="00C60A2B">
            <w:r>
              <w:t xml:space="preserve">Ministry of Communications and Multimedia </w:t>
            </w:r>
          </w:p>
          <w:p w14:paraId="39B5EE17" w14:textId="47DE67AA" w:rsidR="00BC39DF" w:rsidRDefault="00BC39DF" w:rsidP="00C60A2B"/>
          <w:p w14:paraId="713DF058" w14:textId="77777777" w:rsidR="00C60A2B" w:rsidRDefault="00C60A2B" w:rsidP="00C60A2B">
            <w:r>
              <w:t>Tel: +60 3 8911 5699</w:t>
            </w:r>
          </w:p>
          <w:p w14:paraId="703A42F2" w14:textId="77777777" w:rsidR="00C60A2B" w:rsidRPr="00C443E2" w:rsidRDefault="00C60A2B" w:rsidP="00C60A2B">
            <w:r>
              <w:t xml:space="preserve">Email: </w:t>
            </w:r>
            <w:hyperlink r:id="rId10" w:history="1">
              <w:r w:rsidRPr="000E0C50">
                <w:rPr>
                  <w:rStyle w:val="Hyperlink"/>
                </w:rPr>
                <w:t>anna@kmm.gov.my</w:t>
              </w:r>
            </w:hyperlink>
            <w:r>
              <w:t xml:space="preserve"> </w:t>
            </w:r>
          </w:p>
          <w:p w14:paraId="5EE3CE4E" w14:textId="6135BC27" w:rsidR="00F960FC" w:rsidRPr="00C443E2" w:rsidRDefault="00F960FC" w:rsidP="004223AC"/>
        </w:tc>
      </w:tr>
    </w:tbl>
    <w:p w14:paraId="3628C7A4" w14:textId="7C6CB6B6" w:rsidR="002E2B2D" w:rsidRDefault="002E2B2D" w:rsidP="002E2B2D"/>
    <w:p w14:paraId="2A1EF2D2" w14:textId="399A8252" w:rsidR="002F6040" w:rsidRDefault="002F6040">
      <w:r>
        <w:br w:type="page"/>
      </w:r>
    </w:p>
    <w:p w14:paraId="03ACE423" w14:textId="3ED52D6C" w:rsidR="00A2417E" w:rsidRPr="00007053" w:rsidRDefault="00404C9A" w:rsidP="00167D77">
      <w:pPr>
        <w:tabs>
          <w:tab w:val="left" w:pos="0"/>
        </w:tabs>
        <w:rPr>
          <w:b/>
          <w:bCs/>
          <w:caps/>
          <w:u w:val="single"/>
        </w:rPr>
      </w:pPr>
      <w:r w:rsidRPr="00007053">
        <w:rPr>
          <w:b/>
          <w:bCs/>
          <w:caps/>
        </w:rPr>
        <w:lastRenderedPageBreak/>
        <w:t xml:space="preserve">ANNEX </w:t>
      </w:r>
      <w:r w:rsidR="00007053">
        <w:rPr>
          <w:b/>
          <w:bCs/>
          <w:caps/>
        </w:rPr>
        <w:t>Ⅰ</w:t>
      </w:r>
      <w:r w:rsidRPr="00007053">
        <w:rPr>
          <w:b/>
          <w:bCs/>
          <w:caps/>
        </w:rPr>
        <w:t>:</w:t>
      </w:r>
      <w:r w:rsidR="00167D77" w:rsidRPr="00007053">
        <w:rPr>
          <w:rFonts w:eastAsiaTheme="minorEastAsia"/>
          <w:b/>
          <w:bCs/>
          <w:caps/>
          <w:lang w:eastAsia="ja-JP"/>
        </w:rPr>
        <w:t xml:space="preserve"> </w:t>
      </w:r>
      <w:r w:rsidR="00A2417E" w:rsidRPr="00007053">
        <w:rPr>
          <w:b/>
          <w:bCs/>
          <w:caps/>
        </w:rPr>
        <w:t>STRATEGIC PILLARS AND ACTION PLANS of the APT</w:t>
      </w:r>
      <w:r w:rsidR="00167D77" w:rsidRPr="00007053">
        <w:rPr>
          <w:b/>
          <w:bCs/>
          <w:caps/>
        </w:rPr>
        <w:t xml:space="preserve"> </w:t>
      </w:r>
      <w:r w:rsidR="00A2417E" w:rsidRPr="00007053">
        <w:rPr>
          <w:b/>
          <w:bCs/>
          <w:caps/>
        </w:rPr>
        <w:t>STRATEGIC PLAN FOR 2021-2023</w:t>
      </w:r>
    </w:p>
    <w:p w14:paraId="07447F50" w14:textId="3ADAB57F" w:rsidR="002F6040" w:rsidRDefault="002F6040" w:rsidP="002F6040">
      <w:pPr>
        <w:tabs>
          <w:tab w:val="left" w:pos="0"/>
        </w:tabs>
        <w:jc w:val="center"/>
        <w:rPr>
          <w:b/>
          <w:bCs/>
          <w:caps/>
          <w:u w:val="single"/>
        </w:rPr>
      </w:pPr>
      <w:r>
        <w:rPr>
          <w:b/>
          <w:bCs/>
          <w:caps/>
          <w:u w:val="single"/>
        </w:rPr>
        <w:t xml:space="preserve"> </w:t>
      </w:r>
    </w:p>
    <w:p w14:paraId="69D4E166" w14:textId="77777777" w:rsidR="002F6040" w:rsidRDefault="002F6040" w:rsidP="002F6040">
      <w:pPr>
        <w:tabs>
          <w:tab w:val="left" w:pos="0"/>
        </w:tabs>
        <w:rPr>
          <w:b/>
          <w:bCs/>
          <w:caps/>
          <w:u w:val="single"/>
        </w:rPr>
      </w:pPr>
    </w:p>
    <w:p w14:paraId="4DAAD343" w14:textId="77777777" w:rsidR="00A2417E" w:rsidRPr="00A2417E" w:rsidRDefault="00A2417E" w:rsidP="00A2417E">
      <w:pPr>
        <w:jc w:val="both"/>
        <w:rPr>
          <w:rFonts w:eastAsia="Times New Roman"/>
          <w:b/>
          <w:lang w:val="en-SG" w:eastAsia="zh-CN"/>
        </w:rPr>
      </w:pPr>
      <w:r w:rsidRPr="00A2417E">
        <w:rPr>
          <w:rFonts w:eastAsia="Times New Roman"/>
          <w:b/>
          <w:lang w:val="en-SG" w:eastAsia="zh-CN"/>
        </w:rPr>
        <w:t>a.</w:t>
      </w:r>
      <w:r w:rsidRPr="00A2417E">
        <w:rPr>
          <w:rFonts w:eastAsia="Times New Roman"/>
          <w:b/>
          <w:lang w:val="en-SG" w:eastAsia="zh-CN"/>
        </w:rPr>
        <w:tab/>
        <w:t xml:space="preserve">CONNECTIVITY: Enhancing access and efficiency of digital infrastructure </w:t>
      </w:r>
    </w:p>
    <w:p w14:paraId="617D22CE" w14:textId="65E0B7B2" w:rsidR="002F6040" w:rsidRDefault="00A2417E" w:rsidP="00A2417E">
      <w:pPr>
        <w:jc w:val="both"/>
        <w:rPr>
          <w:rFonts w:eastAsia="Times New Roman"/>
          <w:lang w:val="en-SG" w:eastAsia="zh-CN"/>
        </w:rPr>
      </w:pPr>
      <w:r w:rsidRPr="00A2417E">
        <w:rPr>
          <w:rFonts w:eastAsia="Times New Roman"/>
          <w:lang w:val="en-SG" w:eastAsia="zh-CN"/>
        </w:rPr>
        <w:t>Taking into account the need to bridge the digital divide within the Asia-Pacific region, APT will assist members to increase broadband penetration with an emphasis on reaching unser</w:t>
      </w:r>
      <w:r w:rsidR="00446459">
        <w:rPr>
          <w:rFonts w:eastAsia="Times New Roman"/>
          <w:lang w:val="en-SG" w:eastAsia="zh-CN"/>
        </w:rPr>
        <w:t>ved and underserved populations</w:t>
      </w:r>
      <w:r w:rsidRPr="00A2417E">
        <w:rPr>
          <w:rFonts w:eastAsia="Times New Roman"/>
          <w:lang w:val="en-SG" w:eastAsia="zh-CN"/>
        </w:rPr>
        <w:t xml:space="preserve"> and </w:t>
      </w:r>
      <w:r w:rsidR="00007053">
        <w:rPr>
          <w:rFonts w:eastAsia="Times New Roman"/>
          <w:lang w:val="en-SG" w:eastAsia="zh-CN"/>
        </w:rPr>
        <w:t xml:space="preserve">to people of vulnerable groups </w:t>
      </w:r>
      <w:r w:rsidRPr="00A2417E">
        <w:rPr>
          <w:rFonts w:eastAsia="Times New Roman"/>
          <w:lang w:val="en-SG" w:eastAsia="zh-CN"/>
        </w:rPr>
        <w:t>focusing on affordability and quality of service and on improving speed, cost management of service, and coverage. APT will also assist members with improving spectrum management practices to mitigate digital infrastructure constraints relating to, and optimize, the use of this scarce resource.</w:t>
      </w:r>
    </w:p>
    <w:p w14:paraId="670A6CEF" w14:textId="77777777" w:rsidR="00A2417E" w:rsidRPr="009C5A86" w:rsidRDefault="00A2417E" w:rsidP="002F6040">
      <w:pPr>
        <w:jc w:val="both"/>
        <w:rPr>
          <w:rFonts w:eastAsia="Times New Roman"/>
          <w:lang w:val="en-SG" w:eastAsia="zh-CN"/>
        </w:rPr>
      </w:pPr>
    </w:p>
    <w:p w14:paraId="1C5B586A" w14:textId="3659A9FD" w:rsidR="00A2417E" w:rsidRPr="00A2417E" w:rsidRDefault="00A2417E" w:rsidP="00A2417E">
      <w:pPr>
        <w:jc w:val="both"/>
        <w:rPr>
          <w:rFonts w:eastAsia="Times New Roman"/>
          <w:b/>
          <w:lang w:val="en-SG" w:eastAsia="zh-CN"/>
        </w:rPr>
      </w:pPr>
      <w:r>
        <w:rPr>
          <w:rFonts w:eastAsia="Times New Roman"/>
          <w:b/>
          <w:lang w:val="en-SG" w:eastAsia="zh-CN"/>
        </w:rPr>
        <w:t>b</w:t>
      </w:r>
      <w:r w:rsidRPr="00A2417E">
        <w:rPr>
          <w:rFonts w:eastAsia="Times New Roman"/>
          <w:b/>
          <w:lang w:val="en-SG" w:eastAsia="zh-CN"/>
        </w:rPr>
        <w:t>.</w:t>
      </w:r>
      <w:r w:rsidRPr="00A2417E">
        <w:rPr>
          <w:rFonts w:eastAsia="Times New Roman"/>
          <w:b/>
          <w:lang w:val="en-SG" w:eastAsia="zh-CN"/>
        </w:rPr>
        <w:tab/>
        <w:t xml:space="preserve">INNOVATION: Enabling conducive environments and harnessing the benefits of telecommunication/ICT </w:t>
      </w:r>
    </w:p>
    <w:p w14:paraId="4BEE876C" w14:textId="775B9579" w:rsidR="00A2417E" w:rsidRPr="009C5A86" w:rsidRDefault="00A2417E" w:rsidP="00A2417E">
      <w:pPr>
        <w:jc w:val="both"/>
        <w:rPr>
          <w:rFonts w:eastAsia="Times New Roman"/>
          <w:lang w:val="en-SG" w:eastAsia="zh-CN"/>
        </w:rPr>
      </w:pPr>
      <w:r w:rsidRPr="00A2417E">
        <w:rPr>
          <w:rFonts w:eastAsia="Times New Roman"/>
          <w:lang w:val="en-SG" w:eastAsia="zh-CN"/>
        </w:rPr>
        <w:t>APT will continue its efforts to foster the development and adoption of the latest innovative telecommunication/ICT. Furthermore, APT will work with all members to develop policy and regulatory environments that enable them to effectively harness the benefits of telecommunication/ ICT innovation as an enabler in achieving the Sustainable Development Goals.</w:t>
      </w:r>
    </w:p>
    <w:p w14:paraId="3E2CAD4C" w14:textId="77777777" w:rsidR="002F6040" w:rsidRPr="00A2417E" w:rsidRDefault="002F6040" w:rsidP="002F6040">
      <w:pPr>
        <w:jc w:val="both"/>
        <w:rPr>
          <w:rFonts w:eastAsia="Times New Roman"/>
          <w:b/>
          <w:lang w:val="en-SG" w:eastAsia="zh-CN"/>
        </w:rPr>
      </w:pPr>
      <w:r w:rsidRPr="00A2417E">
        <w:rPr>
          <w:rFonts w:eastAsia="Times New Roman"/>
          <w:b/>
          <w:bCs/>
          <w:lang w:val="en-SG" w:eastAsia="zh-CN"/>
        </w:rPr>
        <w:t> </w:t>
      </w:r>
    </w:p>
    <w:p w14:paraId="19EAB96B" w14:textId="64692BB1" w:rsidR="00A2417E" w:rsidRPr="00A2417E" w:rsidRDefault="00A2417E" w:rsidP="00A2417E">
      <w:pPr>
        <w:jc w:val="both"/>
        <w:rPr>
          <w:rFonts w:eastAsia="Times New Roman"/>
          <w:b/>
          <w:lang w:val="en-SG" w:eastAsia="zh-CN"/>
        </w:rPr>
      </w:pPr>
      <w:r w:rsidRPr="00A2417E">
        <w:rPr>
          <w:rFonts w:eastAsia="Times New Roman"/>
          <w:b/>
          <w:lang w:val="en-SG" w:eastAsia="zh-CN"/>
        </w:rPr>
        <w:t>c.</w:t>
      </w:r>
      <w:r w:rsidRPr="00A2417E">
        <w:rPr>
          <w:rFonts w:eastAsia="Times New Roman"/>
          <w:b/>
          <w:lang w:val="en-SG" w:eastAsia="zh-CN"/>
        </w:rPr>
        <w:tab/>
        <w:t>TRUST AND SAFETY: Ensuring secure cyberspace, security and resilience through telecommunication/ICT</w:t>
      </w:r>
    </w:p>
    <w:p w14:paraId="65F6CD0B" w14:textId="5CD7EF66" w:rsidR="00A2417E" w:rsidRPr="009C5A86" w:rsidRDefault="00A2417E" w:rsidP="00A2417E">
      <w:pPr>
        <w:jc w:val="both"/>
        <w:rPr>
          <w:rFonts w:eastAsia="Times New Roman"/>
          <w:lang w:val="en-SG" w:eastAsia="zh-CN"/>
        </w:rPr>
      </w:pPr>
      <w:r w:rsidRPr="00A2417E">
        <w:rPr>
          <w:rFonts w:eastAsia="Times New Roman"/>
          <w:lang w:val="en-SG" w:eastAsia="zh-CN"/>
        </w:rPr>
        <w:t>Recognizing the vulnerability of citizens and members to cyberbullying, malicious cyber activities and natural disasters, APT will assist them to develop and maintain secure, trusted and resilient telecommunication/ICT network services as well as to address challenges related to disaster preparedness, risk reduction and mitigation.</w:t>
      </w:r>
    </w:p>
    <w:p w14:paraId="1AE85303" w14:textId="77777777" w:rsidR="002F6040" w:rsidRPr="009C5A86" w:rsidRDefault="002F6040" w:rsidP="002F6040">
      <w:pPr>
        <w:jc w:val="both"/>
        <w:rPr>
          <w:rFonts w:eastAsia="Times New Roman"/>
          <w:lang w:val="en-SG" w:eastAsia="zh-CN"/>
        </w:rPr>
      </w:pPr>
      <w:r w:rsidRPr="009C5A86">
        <w:rPr>
          <w:rFonts w:eastAsia="Times New Roman"/>
          <w:b/>
          <w:bCs/>
          <w:lang w:val="en-SG" w:eastAsia="zh-CN"/>
        </w:rPr>
        <w:t> </w:t>
      </w:r>
    </w:p>
    <w:p w14:paraId="4BC9D3AA" w14:textId="1EB6EE4C" w:rsidR="00A2417E" w:rsidRPr="00A2417E" w:rsidRDefault="00A2417E" w:rsidP="00A2417E">
      <w:pPr>
        <w:jc w:val="both"/>
        <w:rPr>
          <w:rFonts w:eastAsia="Times New Roman"/>
          <w:b/>
          <w:lang w:val="en-SG" w:eastAsia="zh-CN"/>
        </w:rPr>
      </w:pPr>
      <w:r w:rsidRPr="00A2417E">
        <w:rPr>
          <w:rFonts w:eastAsia="Times New Roman"/>
          <w:b/>
          <w:lang w:val="en-SG" w:eastAsia="zh-CN"/>
        </w:rPr>
        <w:t>d.</w:t>
      </w:r>
      <w:r w:rsidRPr="00A2417E">
        <w:rPr>
          <w:rFonts w:eastAsia="Times New Roman"/>
          <w:b/>
          <w:lang w:val="en-SG" w:eastAsia="zh-CN"/>
        </w:rPr>
        <w:tab/>
        <w:t xml:space="preserve">INCLUSION AND CAPACITY BUILDING: Promoting inclusiveness and enhancing digital skills and literacy </w:t>
      </w:r>
    </w:p>
    <w:p w14:paraId="389F2E98" w14:textId="18C9EE9C" w:rsidR="00A2417E" w:rsidRPr="009C5A86" w:rsidRDefault="00A2417E" w:rsidP="00A2417E">
      <w:pPr>
        <w:jc w:val="both"/>
        <w:rPr>
          <w:rFonts w:eastAsia="Times New Roman"/>
          <w:lang w:val="en-SG" w:eastAsia="zh-CN"/>
        </w:rPr>
      </w:pPr>
      <w:r w:rsidRPr="00A2417E">
        <w:rPr>
          <w:rFonts w:eastAsia="Times New Roman"/>
          <w:lang w:val="en-SG" w:eastAsia="zh-CN"/>
        </w:rPr>
        <w:t>APT will make telecommunication/ICT accessible to everyone in the region, including among unserved and underserved populations1 and geographical regions and people from vulnerable groups2, and to embrace diversity. APT will continue its efforts to strengthen the human and institutional capacity of its members, particularly developing and least developed countries.  Furthermore, APT would work with its members to enrich the digital skills and literacy of the citizens to leverage the benefits of telecommunication/ICT.</w:t>
      </w:r>
    </w:p>
    <w:p w14:paraId="0AE7CFCC" w14:textId="77777777" w:rsidR="002F6040" w:rsidRPr="009C5A86" w:rsidRDefault="002F6040" w:rsidP="002F6040">
      <w:pPr>
        <w:jc w:val="both"/>
        <w:rPr>
          <w:rFonts w:eastAsia="Times New Roman"/>
          <w:lang w:val="en-SG" w:eastAsia="zh-CN"/>
        </w:rPr>
      </w:pPr>
      <w:r w:rsidRPr="009C5A86">
        <w:rPr>
          <w:rFonts w:eastAsia="Times New Roman"/>
          <w:b/>
          <w:bCs/>
          <w:lang w:val="en-SG" w:eastAsia="zh-CN"/>
        </w:rPr>
        <w:t> </w:t>
      </w:r>
    </w:p>
    <w:p w14:paraId="3E8AA8DD" w14:textId="000676C1" w:rsidR="00A2417E" w:rsidRPr="00167D77" w:rsidRDefault="00167D77" w:rsidP="00A2417E">
      <w:pPr>
        <w:jc w:val="both"/>
        <w:rPr>
          <w:rFonts w:eastAsia="Times New Roman"/>
          <w:b/>
          <w:lang w:val="en-SG" w:eastAsia="zh-CN"/>
        </w:rPr>
      </w:pPr>
      <w:r w:rsidRPr="00167D77">
        <w:rPr>
          <w:rFonts w:eastAsia="Times New Roman"/>
          <w:b/>
          <w:bCs/>
          <w:lang w:val="en-SG" w:eastAsia="zh-CN"/>
        </w:rPr>
        <w:t>e</w:t>
      </w:r>
      <w:r w:rsidR="00A2417E" w:rsidRPr="00167D77">
        <w:rPr>
          <w:rFonts w:eastAsia="Times New Roman"/>
          <w:b/>
          <w:lang w:val="en-SG" w:eastAsia="zh-CN"/>
        </w:rPr>
        <w:t>.</w:t>
      </w:r>
      <w:r w:rsidR="00A2417E" w:rsidRPr="00167D77">
        <w:rPr>
          <w:rFonts w:eastAsia="Times New Roman"/>
          <w:b/>
          <w:lang w:val="en-SG" w:eastAsia="zh-CN"/>
        </w:rPr>
        <w:tab/>
        <w:t>COLLABORATION AND PARTNERSHIP: Solidifying strategic collaboration with stakeholders</w:t>
      </w:r>
    </w:p>
    <w:p w14:paraId="33012280" w14:textId="687D000C" w:rsidR="00A2417E" w:rsidRPr="009C5A86" w:rsidRDefault="00A2417E" w:rsidP="00A2417E">
      <w:pPr>
        <w:jc w:val="both"/>
        <w:rPr>
          <w:rFonts w:eastAsia="Times New Roman"/>
          <w:lang w:val="en-SG" w:eastAsia="zh-CN"/>
        </w:rPr>
      </w:pPr>
      <w:r w:rsidRPr="00A2417E">
        <w:rPr>
          <w:rFonts w:eastAsia="Times New Roman"/>
          <w:lang w:val="en-SG" w:eastAsia="zh-CN"/>
        </w:rPr>
        <w:t>APT will take a leading role in shaping the development agenda and coordinating regional views on telecommunication/ICT issues. In order to enrich its work and enhance its profile, APT needs to strengthen engagement with potential stakeholders as well as related international, regional and multilateral organizations.</w:t>
      </w:r>
    </w:p>
    <w:p w14:paraId="04E340CE" w14:textId="77777777" w:rsidR="002F6040" w:rsidRPr="009C5A86" w:rsidRDefault="002F6040" w:rsidP="002F6040">
      <w:pPr>
        <w:jc w:val="both"/>
        <w:rPr>
          <w:rFonts w:eastAsia="Times New Roman"/>
          <w:lang w:val="en-SG" w:eastAsia="zh-CN"/>
        </w:rPr>
      </w:pPr>
      <w:r w:rsidRPr="009C5A86">
        <w:rPr>
          <w:rFonts w:eastAsia="Times New Roman"/>
          <w:lang w:val="en-SG" w:eastAsia="zh-CN"/>
        </w:rPr>
        <w:t> </w:t>
      </w:r>
    </w:p>
    <w:p w14:paraId="6EBA6BF6" w14:textId="03468BD1" w:rsidR="00F7437C" w:rsidRDefault="00167D77">
      <w:r>
        <w:br w:type="page"/>
      </w:r>
    </w:p>
    <w:p w14:paraId="4029E45F" w14:textId="778A3F29" w:rsidR="00F7437C" w:rsidRDefault="00167D77" w:rsidP="00F7437C">
      <w:pPr>
        <w:tabs>
          <w:tab w:val="left" w:pos="1440"/>
        </w:tabs>
        <w:rPr>
          <w:b/>
          <w:bCs/>
          <w:color w:val="000000"/>
        </w:rPr>
      </w:pPr>
      <w:r>
        <w:rPr>
          <w:b/>
          <w:bCs/>
          <w:color w:val="000000"/>
        </w:rPr>
        <w:lastRenderedPageBreak/>
        <w:t xml:space="preserve">ANNEX </w:t>
      </w:r>
      <w:r w:rsidRPr="00007053">
        <w:rPr>
          <w:rFonts w:eastAsiaTheme="minorEastAsia"/>
          <w:b/>
          <w:bCs/>
          <w:color w:val="000000"/>
          <w:lang w:eastAsia="ja-JP"/>
        </w:rPr>
        <w:t>Ⅱ</w:t>
      </w:r>
      <w:r w:rsidR="00F7437C">
        <w:rPr>
          <w:b/>
          <w:bCs/>
          <w:color w:val="000000"/>
        </w:rPr>
        <w:t xml:space="preserve">: </w:t>
      </w:r>
      <w:r w:rsidR="00D91785" w:rsidRPr="00D91785">
        <w:rPr>
          <w:b/>
          <w:bCs/>
          <w:color w:val="000000"/>
        </w:rPr>
        <w:t>ASIA-PACIFIC REGIONAL INITIATIVES</w:t>
      </w:r>
      <w:r w:rsidR="00F7437C">
        <w:rPr>
          <w:b/>
          <w:bCs/>
          <w:color w:val="000000"/>
        </w:rPr>
        <w:t xml:space="preserve"> FROM THE </w:t>
      </w:r>
      <w:r w:rsidR="00404C9A" w:rsidRPr="00404C9A">
        <w:rPr>
          <w:b/>
          <w:bCs/>
          <w:color w:val="000000"/>
        </w:rPr>
        <w:t>B</w:t>
      </w:r>
      <w:r w:rsidR="00404C9A">
        <w:rPr>
          <w:b/>
          <w:bCs/>
          <w:color w:val="000000"/>
        </w:rPr>
        <w:t>UENOS</w:t>
      </w:r>
      <w:r w:rsidR="00404C9A" w:rsidRPr="00404C9A">
        <w:rPr>
          <w:b/>
          <w:bCs/>
          <w:color w:val="000000"/>
        </w:rPr>
        <w:t xml:space="preserve"> A</w:t>
      </w:r>
      <w:r w:rsidR="00404C9A">
        <w:rPr>
          <w:b/>
          <w:bCs/>
          <w:color w:val="000000"/>
        </w:rPr>
        <w:t>IRES</w:t>
      </w:r>
      <w:r w:rsidR="00404C9A" w:rsidRPr="00404C9A">
        <w:rPr>
          <w:b/>
          <w:bCs/>
          <w:color w:val="000000"/>
        </w:rPr>
        <w:t xml:space="preserve"> </w:t>
      </w:r>
      <w:r w:rsidR="00F7437C">
        <w:rPr>
          <w:b/>
          <w:bCs/>
          <w:color w:val="000000"/>
        </w:rPr>
        <w:t>ACTION PLAN</w:t>
      </w:r>
    </w:p>
    <w:p w14:paraId="222AEF73" w14:textId="77777777" w:rsidR="00F7437C" w:rsidRDefault="00F7437C" w:rsidP="00F7437C">
      <w:pPr>
        <w:tabs>
          <w:tab w:val="left" w:pos="1440"/>
        </w:tabs>
        <w:rPr>
          <w:b/>
          <w:bCs/>
          <w:color w:val="000000"/>
        </w:rPr>
      </w:pPr>
    </w:p>
    <w:tbl>
      <w:tblPr>
        <w:tblW w:w="94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9472"/>
      </w:tblGrid>
      <w:tr w:rsidR="00F7437C" w:rsidRPr="00CB2A90" w14:paraId="3E65201A" w14:textId="77777777" w:rsidTr="006D707B">
        <w:trPr>
          <w:trHeight w:val="314"/>
          <w:jc w:val="center"/>
        </w:trPr>
        <w:tc>
          <w:tcPr>
            <w:tcW w:w="9472" w:type="dxa"/>
            <w:shd w:val="clear" w:color="auto" w:fill="D9D9D9"/>
          </w:tcPr>
          <w:p w14:paraId="6430C792" w14:textId="263EB054" w:rsidR="00F7437C" w:rsidRPr="00DE2579" w:rsidRDefault="00404C9A" w:rsidP="006D707B">
            <w:pPr>
              <w:jc w:val="center"/>
              <w:rPr>
                <w:rFonts w:ascii="Calibri" w:hAnsi="Calibri" w:cs="Calibri"/>
                <w:b/>
                <w:bCs/>
                <w:sz w:val="28"/>
                <w:szCs w:val="28"/>
              </w:rPr>
            </w:pPr>
            <w:r w:rsidRPr="00404C9A">
              <w:rPr>
                <w:rFonts w:ascii="Calibri" w:hAnsi="Calibri" w:cs="Calibri"/>
                <w:b/>
                <w:bCs/>
              </w:rPr>
              <w:t>ASIA-PACIFIC REGIONAL INITIATIVES</w:t>
            </w:r>
          </w:p>
        </w:tc>
      </w:tr>
      <w:tr w:rsidR="00F7437C" w:rsidRPr="00CB2A90" w14:paraId="03452E22" w14:textId="77777777" w:rsidTr="006D707B">
        <w:trPr>
          <w:jc w:val="center"/>
        </w:trPr>
        <w:tc>
          <w:tcPr>
            <w:tcW w:w="9472" w:type="dxa"/>
            <w:shd w:val="clear" w:color="auto" w:fill="auto"/>
          </w:tcPr>
          <w:p w14:paraId="089FA601" w14:textId="38F9E4D9" w:rsidR="00404C9A" w:rsidRPr="005C4294" w:rsidRDefault="00F7437C" w:rsidP="00404C9A">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ASP1</w:t>
            </w:r>
            <w:r w:rsidRPr="005C4294">
              <w:rPr>
                <w:rFonts w:ascii="Calibri" w:hAnsi="Calibri" w:cs="Calibri"/>
                <w:bCs/>
              </w:rPr>
              <w:t xml:space="preserve">: </w:t>
            </w:r>
            <w:r w:rsidR="00404C9A" w:rsidRPr="00404C9A">
              <w:rPr>
                <w:rFonts w:ascii="Calibri" w:hAnsi="Calibri" w:cs="Calibri"/>
                <w:bCs/>
              </w:rPr>
              <w:t>Addressing special needs of least developed countries, small</w:t>
            </w:r>
            <w:r w:rsidR="00404C9A">
              <w:rPr>
                <w:rFonts w:ascii="Calibri" w:hAnsi="Calibri" w:cs="Calibri"/>
                <w:bCs/>
              </w:rPr>
              <w:t xml:space="preserve"> </w:t>
            </w:r>
            <w:r w:rsidR="00404C9A" w:rsidRPr="00404C9A">
              <w:rPr>
                <w:rFonts w:ascii="Calibri" w:hAnsi="Calibri" w:cs="Calibri"/>
                <w:bCs/>
              </w:rPr>
              <w:t>island developing states, including Pacific island countries,</w:t>
            </w:r>
            <w:r w:rsidR="00404C9A">
              <w:rPr>
                <w:rFonts w:ascii="Calibri" w:hAnsi="Calibri" w:cs="Calibri"/>
                <w:bCs/>
              </w:rPr>
              <w:t xml:space="preserve"> </w:t>
            </w:r>
            <w:r w:rsidR="00404C9A" w:rsidRPr="00404C9A">
              <w:rPr>
                <w:rFonts w:ascii="Calibri" w:hAnsi="Calibri" w:cs="Calibri"/>
                <w:bCs/>
              </w:rPr>
              <w:t>and landlocked developing countries</w:t>
            </w:r>
          </w:p>
          <w:p w14:paraId="74A10D43"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52D3947D" w14:textId="676F11CC" w:rsidR="00404C9A" w:rsidRPr="005C4294" w:rsidRDefault="00F7437C" w:rsidP="00404C9A">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Objective</w:t>
            </w:r>
            <w:r w:rsidRPr="005C4294">
              <w:rPr>
                <w:rFonts w:ascii="Calibri" w:hAnsi="Calibri" w:cs="Calibri"/>
                <w:bCs/>
              </w:rPr>
              <w:t xml:space="preserve">: </w:t>
            </w:r>
            <w:r w:rsidR="00404C9A" w:rsidRPr="00404C9A">
              <w:rPr>
                <w:rFonts w:ascii="Calibri" w:hAnsi="Calibri" w:cs="Calibri"/>
                <w:bCs/>
              </w:rPr>
              <w:t>To provide special assistance to least developed countries (LDCs),</w:t>
            </w:r>
            <w:r w:rsidR="00404C9A">
              <w:rPr>
                <w:rFonts w:ascii="Calibri" w:hAnsi="Calibri" w:cs="Calibri"/>
                <w:bCs/>
              </w:rPr>
              <w:t xml:space="preserve"> </w:t>
            </w:r>
            <w:r w:rsidR="00404C9A" w:rsidRPr="00404C9A">
              <w:rPr>
                <w:rFonts w:ascii="Calibri" w:hAnsi="Calibri" w:cs="Calibri"/>
                <w:bCs/>
              </w:rPr>
              <w:t>small island developing states (SIDS), including Pacific island countries, and</w:t>
            </w:r>
            <w:r w:rsidR="00404C9A">
              <w:rPr>
                <w:rFonts w:ascii="Calibri" w:hAnsi="Calibri" w:cs="Calibri"/>
                <w:bCs/>
              </w:rPr>
              <w:t xml:space="preserve"> </w:t>
            </w:r>
            <w:r w:rsidR="00404C9A" w:rsidRPr="00404C9A">
              <w:rPr>
                <w:rFonts w:ascii="Calibri" w:hAnsi="Calibri" w:cs="Calibri"/>
                <w:bCs/>
              </w:rPr>
              <w:t>landlocked developing countries (LLDCs) in order to meet their priority</w:t>
            </w:r>
            <w:r w:rsidR="00404C9A">
              <w:rPr>
                <w:rFonts w:ascii="Calibri" w:hAnsi="Calibri" w:cs="Calibri"/>
                <w:bCs/>
              </w:rPr>
              <w:t xml:space="preserve"> </w:t>
            </w:r>
            <w:r w:rsidR="00404C9A" w:rsidRPr="00404C9A">
              <w:rPr>
                <w:rFonts w:ascii="Calibri" w:hAnsi="Calibri" w:cs="Calibri"/>
                <w:bCs/>
              </w:rPr>
              <w:t>telecommunication/information and communication technology (ICT)</w:t>
            </w:r>
            <w:r w:rsidR="00404C9A">
              <w:rPr>
                <w:rFonts w:ascii="Calibri" w:hAnsi="Calibri" w:cs="Calibri"/>
                <w:bCs/>
              </w:rPr>
              <w:t xml:space="preserve"> </w:t>
            </w:r>
            <w:r w:rsidR="00404C9A" w:rsidRPr="00404C9A">
              <w:rPr>
                <w:rFonts w:ascii="Calibri" w:hAnsi="Calibri" w:cs="Calibri"/>
                <w:bCs/>
              </w:rPr>
              <w:t>requirements.</w:t>
            </w:r>
          </w:p>
          <w:p w14:paraId="0AB215B1"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6CF6DB4C"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Expected results</w:t>
            </w:r>
            <w:r w:rsidRPr="005C4294">
              <w:rPr>
                <w:rFonts w:ascii="Calibri" w:hAnsi="Calibri" w:cs="Calibri"/>
                <w:bCs/>
              </w:rPr>
              <w:t>:</w:t>
            </w:r>
          </w:p>
          <w:p w14:paraId="019639C4" w14:textId="3C62B71D" w:rsidR="00404C9A" w:rsidRPr="00404C9A" w:rsidRDefault="00404C9A" w:rsidP="00404C9A">
            <w:pPr>
              <w:pStyle w:val="ListParagraph"/>
              <w:numPr>
                <w:ilvl w:val="0"/>
                <w:numId w:val="19"/>
              </w:numPr>
              <w:tabs>
                <w:tab w:val="left" w:pos="459"/>
              </w:tabs>
              <w:autoSpaceDE w:val="0"/>
              <w:autoSpaceDN w:val="0"/>
              <w:adjustRightInd w:val="0"/>
              <w:rPr>
                <w:rFonts w:ascii="Calibri" w:hAnsi="Calibri" w:cs="Calibri"/>
                <w:bCs/>
              </w:rPr>
            </w:pPr>
            <w:r w:rsidRPr="00404C9A">
              <w:rPr>
                <w:rFonts w:ascii="Calibri" w:hAnsi="Calibri" w:cs="Calibri"/>
                <w:bCs/>
              </w:rPr>
              <w:t>Development of policy and regulatory frameworks for broadband infrastructure, ICT applications and cybersecurity, taking into account the special needs of LDCs, SIDS and LLDCs, and strengthening of human capacity to address future policy and regulatory challenges.</w:t>
            </w:r>
          </w:p>
          <w:p w14:paraId="66934AD7" w14:textId="34BD9FDA" w:rsidR="00404C9A" w:rsidRPr="00404C9A" w:rsidRDefault="00404C9A" w:rsidP="00404C9A">
            <w:pPr>
              <w:pStyle w:val="ListParagraph"/>
              <w:numPr>
                <w:ilvl w:val="0"/>
                <w:numId w:val="19"/>
              </w:numPr>
              <w:tabs>
                <w:tab w:val="left" w:pos="459"/>
              </w:tabs>
              <w:autoSpaceDE w:val="0"/>
              <w:autoSpaceDN w:val="0"/>
              <w:adjustRightInd w:val="0"/>
              <w:rPr>
                <w:rFonts w:ascii="Calibri" w:hAnsi="Calibri" w:cs="Calibri"/>
                <w:bCs/>
              </w:rPr>
            </w:pPr>
            <w:r w:rsidRPr="00404C9A">
              <w:rPr>
                <w:rFonts w:ascii="Calibri" w:hAnsi="Calibri" w:cs="Calibri"/>
                <w:bCs/>
              </w:rPr>
              <w:t>Promotion of universal access to telecommunications/ICTs in LDCs, SIDS, and LLDCs.</w:t>
            </w:r>
          </w:p>
          <w:p w14:paraId="1EF79475" w14:textId="4C4AD716" w:rsidR="00404C9A" w:rsidRPr="00404C9A" w:rsidRDefault="00404C9A" w:rsidP="00404C9A">
            <w:pPr>
              <w:pStyle w:val="ListParagraph"/>
              <w:numPr>
                <w:ilvl w:val="0"/>
                <w:numId w:val="19"/>
              </w:numPr>
              <w:tabs>
                <w:tab w:val="left" w:pos="459"/>
              </w:tabs>
              <w:autoSpaceDE w:val="0"/>
              <w:autoSpaceDN w:val="0"/>
              <w:adjustRightInd w:val="0"/>
              <w:rPr>
                <w:rFonts w:ascii="Calibri" w:hAnsi="Calibri" w:cs="Calibri"/>
                <w:bCs/>
              </w:rPr>
            </w:pPr>
            <w:r w:rsidRPr="00404C9A">
              <w:rPr>
                <w:rFonts w:ascii="Calibri" w:hAnsi="Calibri" w:cs="Calibri"/>
                <w:bCs/>
              </w:rPr>
              <w:t>Assistance to LDCs, SIDS and LLDCs in adopting telecommunication/ICT applications in disaster management, relating to disaster prediction, preparedness, adaptation, monitoring, mitigation, response, rehabilitation and recovery of telecommunication/ICT networks based on their priority needs.</w:t>
            </w:r>
          </w:p>
          <w:p w14:paraId="3EE8C7C9" w14:textId="58E00FBC" w:rsidR="00404C9A" w:rsidRPr="00404C9A" w:rsidRDefault="00404C9A" w:rsidP="00404C9A">
            <w:pPr>
              <w:pStyle w:val="ListParagraph"/>
              <w:numPr>
                <w:ilvl w:val="0"/>
                <w:numId w:val="19"/>
              </w:numPr>
              <w:tabs>
                <w:tab w:val="left" w:pos="459"/>
              </w:tabs>
              <w:autoSpaceDE w:val="0"/>
              <w:autoSpaceDN w:val="0"/>
              <w:adjustRightInd w:val="0"/>
              <w:rPr>
                <w:rFonts w:ascii="Calibri" w:hAnsi="Calibri" w:cs="Calibri"/>
                <w:bCs/>
              </w:rPr>
            </w:pPr>
            <w:r w:rsidRPr="00404C9A">
              <w:rPr>
                <w:rFonts w:ascii="Calibri" w:hAnsi="Calibri" w:cs="Calibri"/>
                <w:bCs/>
              </w:rPr>
              <w:t>Assistance to LDCs, SIDS and LLDCs in their efforts to achieve internationally agreed goals, such as the 2030 Agenda for Sustainable Development, the Sendai Framework for Disaster Risk Reduction, the Istanbul Programme of Action for LDCs, the Samoa Pathway for SIDS and the Vienna Programme of Action for LLDCs.</w:t>
            </w:r>
          </w:p>
        </w:tc>
      </w:tr>
      <w:tr w:rsidR="00F7437C" w:rsidRPr="00CB2A90" w14:paraId="2FEFF380" w14:textId="77777777" w:rsidTr="006D707B">
        <w:trPr>
          <w:jc w:val="center"/>
        </w:trPr>
        <w:tc>
          <w:tcPr>
            <w:tcW w:w="9472" w:type="dxa"/>
            <w:shd w:val="clear" w:color="auto" w:fill="auto"/>
          </w:tcPr>
          <w:p w14:paraId="1007861A" w14:textId="2029E0F6" w:rsidR="00F7437C" w:rsidRPr="005C4294" w:rsidRDefault="00F7437C" w:rsidP="00404C9A">
            <w:pPr>
              <w:rPr>
                <w:rFonts w:ascii="Calibri" w:hAnsi="Calibri" w:cs="Calibri"/>
                <w:b/>
                <w:bCs/>
              </w:rPr>
            </w:pPr>
            <w:r w:rsidRPr="005C4294">
              <w:rPr>
                <w:rFonts w:ascii="Calibri" w:hAnsi="Calibri" w:cs="Calibri"/>
                <w:b/>
                <w:bCs/>
              </w:rPr>
              <w:t xml:space="preserve">ASP2: </w:t>
            </w:r>
            <w:r w:rsidR="00404C9A" w:rsidRPr="00404C9A">
              <w:rPr>
                <w:rFonts w:ascii="Calibri" w:hAnsi="Calibri" w:cs="Calibri"/>
                <w:bCs/>
              </w:rPr>
              <w:t>Harnessing information and communication technologies to</w:t>
            </w:r>
            <w:r w:rsidR="00404C9A">
              <w:rPr>
                <w:rFonts w:ascii="Calibri" w:hAnsi="Calibri" w:cs="Calibri"/>
                <w:bCs/>
              </w:rPr>
              <w:t xml:space="preserve"> </w:t>
            </w:r>
            <w:r w:rsidR="00404C9A" w:rsidRPr="00404C9A">
              <w:rPr>
                <w:rFonts w:ascii="Calibri" w:hAnsi="Calibri" w:cs="Calibri"/>
                <w:bCs/>
              </w:rPr>
              <w:t>support the digital economy and an inclusive digital society</w:t>
            </w:r>
          </w:p>
          <w:p w14:paraId="0BB04C52" w14:textId="77777777" w:rsidR="00F7437C" w:rsidRPr="005C4294" w:rsidRDefault="00F7437C" w:rsidP="006D707B">
            <w:pPr>
              <w:rPr>
                <w:rFonts w:ascii="Calibri" w:hAnsi="Calibri" w:cs="Calibri"/>
                <w:bCs/>
              </w:rPr>
            </w:pPr>
          </w:p>
          <w:p w14:paraId="34ECB899" w14:textId="01C7709B" w:rsidR="00F7437C" w:rsidRDefault="00F7437C" w:rsidP="001E0592">
            <w:pPr>
              <w:rPr>
                <w:rFonts w:ascii="Calibri" w:hAnsi="Calibri" w:cs="Calibri"/>
                <w:bCs/>
              </w:rPr>
            </w:pPr>
            <w:r w:rsidRPr="005C4294">
              <w:rPr>
                <w:rFonts w:ascii="Calibri" w:hAnsi="Calibri" w:cs="Calibri"/>
                <w:b/>
                <w:bCs/>
              </w:rPr>
              <w:t>Objective</w:t>
            </w:r>
            <w:r w:rsidRPr="005C4294">
              <w:rPr>
                <w:rFonts w:ascii="Calibri" w:hAnsi="Calibri" w:cs="Calibri"/>
                <w:bCs/>
              </w:rPr>
              <w:t xml:space="preserve">: </w:t>
            </w:r>
            <w:r w:rsidR="001E0592" w:rsidRPr="001E0592">
              <w:rPr>
                <w:rFonts w:ascii="Calibri" w:hAnsi="Calibri" w:cs="Calibri"/>
                <w:bCs/>
              </w:rPr>
              <w:t>To assist Member States in utilizing information and communication</w:t>
            </w:r>
            <w:r w:rsidR="001E0592">
              <w:rPr>
                <w:rFonts w:ascii="Calibri" w:hAnsi="Calibri" w:cs="Calibri"/>
                <w:bCs/>
              </w:rPr>
              <w:t xml:space="preserve"> </w:t>
            </w:r>
            <w:r w:rsidR="001E0592" w:rsidRPr="001E0592">
              <w:rPr>
                <w:rFonts w:ascii="Calibri" w:hAnsi="Calibri" w:cs="Calibri"/>
                <w:bCs/>
              </w:rPr>
              <w:t>technologies (ICTs) to reap the benefits of the digital economy and in addressing</w:t>
            </w:r>
            <w:r w:rsidR="001E0592">
              <w:rPr>
                <w:rFonts w:ascii="Calibri" w:hAnsi="Calibri" w:cs="Calibri"/>
                <w:bCs/>
              </w:rPr>
              <w:t xml:space="preserve"> </w:t>
            </w:r>
            <w:r w:rsidR="001E0592" w:rsidRPr="001E0592">
              <w:rPr>
                <w:rFonts w:ascii="Calibri" w:hAnsi="Calibri" w:cs="Calibri"/>
                <w:bCs/>
              </w:rPr>
              <w:t>the human and technical capacity challenges for bridging the digital divide.</w:t>
            </w:r>
          </w:p>
          <w:p w14:paraId="5B37ACD8" w14:textId="77777777" w:rsidR="001E0592" w:rsidRPr="005C4294" w:rsidRDefault="001E0592" w:rsidP="001E0592">
            <w:pPr>
              <w:rPr>
                <w:rFonts w:ascii="Calibri" w:hAnsi="Calibri" w:cs="Calibri"/>
                <w:bCs/>
              </w:rPr>
            </w:pPr>
          </w:p>
          <w:p w14:paraId="7872893D" w14:textId="77777777" w:rsidR="00F7437C" w:rsidRPr="005C4294" w:rsidRDefault="00F7437C" w:rsidP="006D707B">
            <w:pPr>
              <w:rPr>
                <w:rFonts w:ascii="Calibri" w:hAnsi="Calibri" w:cs="Calibri"/>
                <w:bCs/>
              </w:rPr>
            </w:pPr>
            <w:r w:rsidRPr="005C4294">
              <w:rPr>
                <w:rFonts w:ascii="Calibri" w:hAnsi="Calibri" w:cs="Calibri"/>
                <w:b/>
                <w:bCs/>
              </w:rPr>
              <w:t>Expected results</w:t>
            </w:r>
            <w:r w:rsidRPr="005C4294">
              <w:rPr>
                <w:rFonts w:ascii="Calibri" w:hAnsi="Calibri" w:cs="Calibri"/>
                <w:bCs/>
              </w:rPr>
              <w:t>:</w:t>
            </w:r>
          </w:p>
          <w:p w14:paraId="395DBFA6" w14:textId="3ECE58BC"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t>Planning and elaboration of national strategic frameworks on the digital economy as well as associated toolkits for selected ICT applications and services.</w:t>
            </w:r>
          </w:p>
          <w:p w14:paraId="7C1826D2" w14:textId="1323A9C1"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t>Establishment and annual updating of a repository of all work done within ITU relating to the digital economy since the World Telecommunication Development Conference (Dubai, 2014).</w:t>
            </w:r>
          </w:p>
          <w:p w14:paraId="6F815454" w14:textId="58C74F61"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t>Development of policies, strategies and guidelines for practical implementation, including for the Internet of Things (IoT) and smart cities.</w:t>
            </w:r>
          </w:p>
          <w:p w14:paraId="504A462F" w14:textId="7CEF4D5E"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t>Deployment of ICT/mobile applications to improve the delivery of valueadded services in sectors such as health, education, agriculture, governance, energy, financial services and e-commerce.</w:t>
            </w:r>
          </w:p>
          <w:p w14:paraId="7F7A2A17" w14:textId="1A1D29ED"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t>Identification, collation and sharing of knowledge, best practices and case studies on various telecommunication/ICT applications.</w:t>
            </w:r>
          </w:p>
          <w:p w14:paraId="633629D6" w14:textId="55E55EDE" w:rsidR="001E0592" w:rsidRPr="001E0592" w:rsidRDefault="001E0592" w:rsidP="001E0592">
            <w:pPr>
              <w:pStyle w:val="ListParagraph"/>
              <w:numPr>
                <w:ilvl w:val="0"/>
                <w:numId w:val="21"/>
              </w:numPr>
              <w:rPr>
                <w:rFonts w:ascii="Calibri" w:hAnsi="Calibri" w:cs="Calibri"/>
                <w:bCs/>
              </w:rPr>
            </w:pPr>
            <w:r w:rsidRPr="001E0592">
              <w:rPr>
                <w:rFonts w:ascii="Calibri" w:hAnsi="Calibri" w:cs="Calibri"/>
                <w:bCs/>
              </w:rPr>
              <w:lastRenderedPageBreak/>
              <w:t>Development of cross-sectoral national digital skills programmes for inclusiveness, especially for women, youth, the elderly and persons with specific needs.</w:t>
            </w:r>
          </w:p>
        </w:tc>
      </w:tr>
      <w:tr w:rsidR="00F7437C" w:rsidRPr="00137562" w14:paraId="715CD2A8" w14:textId="77777777" w:rsidTr="006D707B">
        <w:trPr>
          <w:trHeight w:val="889"/>
          <w:jc w:val="center"/>
        </w:trPr>
        <w:tc>
          <w:tcPr>
            <w:tcW w:w="9472" w:type="dxa"/>
            <w:shd w:val="clear" w:color="auto" w:fill="auto"/>
          </w:tcPr>
          <w:p w14:paraId="235D3989" w14:textId="039B1885" w:rsidR="00F7437C" w:rsidRPr="005C4294" w:rsidRDefault="00F7437C" w:rsidP="001E0592">
            <w:pPr>
              <w:rPr>
                <w:rFonts w:ascii="Calibri" w:hAnsi="Calibri" w:cs="Calibri"/>
                <w:bCs/>
              </w:rPr>
            </w:pPr>
            <w:r w:rsidRPr="005C4294">
              <w:rPr>
                <w:rFonts w:ascii="Calibri" w:hAnsi="Calibri" w:cs="Calibri"/>
                <w:b/>
                <w:bCs/>
              </w:rPr>
              <w:lastRenderedPageBreak/>
              <w:t>ASP3</w:t>
            </w:r>
            <w:r w:rsidRPr="005C4294">
              <w:rPr>
                <w:rFonts w:ascii="Calibri" w:hAnsi="Calibri" w:cs="Calibri"/>
                <w:bCs/>
              </w:rPr>
              <w:t xml:space="preserve">: </w:t>
            </w:r>
            <w:r w:rsidR="001E0592" w:rsidRPr="001E0592">
              <w:rPr>
                <w:rFonts w:ascii="Calibri" w:hAnsi="Calibri" w:cs="Calibri"/>
                <w:bCs/>
              </w:rPr>
              <w:t>Fostering development of infrastructure to enhance digital</w:t>
            </w:r>
            <w:r w:rsidR="001E0592">
              <w:rPr>
                <w:rFonts w:ascii="Calibri" w:hAnsi="Calibri" w:cs="Calibri"/>
                <w:bCs/>
              </w:rPr>
              <w:t xml:space="preserve"> </w:t>
            </w:r>
            <w:r w:rsidR="001E0592" w:rsidRPr="001E0592">
              <w:rPr>
                <w:rFonts w:ascii="Calibri" w:hAnsi="Calibri" w:cs="Calibri"/>
                <w:bCs/>
              </w:rPr>
              <w:t>connectivity</w:t>
            </w:r>
          </w:p>
          <w:p w14:paraId="4A7513E9" w14:textId="77777777" w:rsidR="00F7437C" w:rsidRPr="005C4294" w:rsidRDefault="00F7437C" w:rsidP="006D707B">
            <w:pPr>
              <w:rPr>
                <w:rFonts w:ascii="Calibri" w:hAnsi="Calibri" w:cs="Calibri"/>
                <w:bCs/>
              </w:rPr>
            </w:pPr>
          </w:p>
          <w:p w14:paraId="0889B501" w14:textId="77D1534F" w:rsidR="00F7437C" w:rsidRPr="005C4294" w:rsidRDefault="00F7437C" w:rsidP="001E0592">
            <w:pPr>
              <w:rPr>
                <w:rFonts w:ascii="Calibri" w:hAnsi="Calibri" w:cs="Calibri"/>
                <w:bCs/>
              </w:rPr>
            </w:pPr>
            <w:r w:rsidRPr="005C4294">
              <w:rPr>
                <w:rFonts w:ascii="Calibri" w:hAnsi="Calibri" w:cs="Calibri"/>
                <w:b/>
                <w:bCs/>
              </w:rPr>
              <w:t>Objective</w:t>
            </w:r>
            <w:r w:rsidRPr="005C4294">
              <w:rPr>
                <w:rFonts w:ascii="Calibri" w:hAnsi="Calibri" w:cs="Calibri"/>
                <w:bCs/>
              </w:rPr>
              <w:t xml:space="preserve">: </w:t>
            </w:r>
            <w:r w:rsidR="001E0592" w:rsidRPr="001E0592">
              <w:rPr>
                <w:rFonts w:ascii="Calibri" w:hAnsi="Calibri" w:cs="Calibri"/>
                <w:bCs/>
              </w:rPr>
              <w:t>To assist Member States in the development of</w:t>
            </w:r>
            <w:r w:rsidR="001E0592">
              <w:rPr>
                <w:rFonts w:ascii="Calibri" w:hAnsi="Calibri" w:cs="Calibri"/>
                <w:bCs/>
              </w:rPr>
              <w:t xml:space="preserve"> </w:t>
            </w:r>
            <w:r w:rsidR="001E0592" w:rsidRPr="001E0592">
              <w:rPr>
                <w:rFonts w:ascii="Calibri" w:hAnsi="Calibri" w:cs="Calibri"/>
                <w:bCs/>
              </w:rPr>
              <w:t>telecommunication/information and communication technology (ICT)</w:t>
            </w:r>
            <w:r w:rsidR="001E0592">
              <w:rPr>
                <w:rFonts w:ascii="Calibri" w:hAnsi="Calibri" w:cs="Calibri"/>
                <w:bCs/>
              </w:rPr>
              <w:t xml:space="preserve"> </w:t>
            </w:r>
            <w:r w:rsidR="001E0592" w:rsidRPr="001E0592">
              <w:rPr>
                <w:rFonts w:ascii="Calibri" w:hAnsi="Calibri" w:cs="Calibri"/>
                <w:bCs/>
              </w:rPr>
              <w:t>infrastructure in order to facilitate provision of services and applications on that</w:t>
            </w:r>
            <w:r w:rsidR="001E0592">
              <w:rPr>
                <w:rFonts w:ascii="Calibri" w:hAnsi="Calibri" w:cs="Calibri"/>
                <w:bCs/>
              </w:rPr>
              <w:t xml:space="preserve"> </w:t>
            </w:r>
            <w:r w:rsidR="001E0592" w:rsidRPr="001E0592">
              <w:rPr>
                <w:rFonts w:ascii="Calibri" w:hAnsi="Calibri" w:cs="Calibri"/>
                <w:bCs/>
              </w:rPr>
              <w:t>infrastructure.</w:t>
            </w:r>
          </w:p>
          <w:p w14:paraId="25F1954C" w14:textId="77777777" w:rsidR="00F7437C" w:rsidRPr="005C4294" w:rsidRDefault="00F7437C" w:rsidP="006D707B">
            <w:pPr>
              <w:rPr>
                <w:rFonts w:ascii="Calibri" w:hAnsi="Calibri" w:cs="Calibri"/>
                <w:bCs/>
              </w:rPr>
            </w:pPr>
          </w:p>
          <w:p w14:paraId="3FF94559" w14:textId="77777777" w:rsidR="00F7437C" w:rsidRPr="005C4294" w:rsidRDefault="00F7437C" w:rsidP="006D707B">
            <w:pPr>
              <w:rPr>
                <w:rFonts w:ascii="Calibri" w:hAnsi="Calibri" w:cs="Calibri"/>
                <w:bCs/>
              </w:rPr>
            </w:pPr>
            <w:r w:rsidRPr="005C4294">
              <w:rPr>
                <w:rFonts w:ascii="Calibri" w:hAnsi="Calibri" w:cs="Calibri"/>
                <w:b/>
                <w:bCs/>
              </w:rPr>
              <w:t>Expected results</w:t>
            </w:r>
            <w:r w:rsidRPr="005C4294">
              <w:rPr>
                <w:rFonts w:ascii="Calibri" w:hAnsi="Calibri" w:cs="Calibri"/>
                <w:bCs/>
              </w:rPr>
              <w:t>:</w:t>
            </w:r>
          </w:p>
          <w:p w14:paraId="33FFFF83" w14:textId="3F8CD2A4" w:rsidR="001E0592" w:rsidRPr="001E0592" w:rsidRDefault="001E0592" w:rsidP="001E0592">
            <w:pPr>
              <w:pStyle w:val="CEONormal"/>
              <w:numPr>
                <w:ilvl w:val="0"/>
                <w:numId w:val="23"/>
              </w:numPr>
              <w:tabs>
                <w:tab w:val="left" w:pos="459"/>
              </w:tabs>
              <w:rPr>
                <w:rFonts w:ascii="Calibri" w:eastAsia="MS Mincho" w:hAnsi="Calibri" w:cs="Calibri"/>
                <w:bCs/>
                <w:sz w:val="24"/>
                <w:szCs w:val="24"/>
                <w:lang w:val="en-US" w:eastAsia="ja-JP"/>
              </w:rPr>
            </w:pPr>
            <w:r w:rsidRPr="001E0592">
              <w:rPr>
                <w:rFonts w:ascii="Calibri" w:eastAsia="MS Mincho" w:hAnsi="Calibri" w:cs="Calibri"/>
                <w:bCs/>
                <w:sz w:val="24"/>
                <w:szCs w:val="24"/>
                <w:lang w:val="en-US" w:eastAsia="ja-JP"/>
              </w:rPr>
              <w:t>Migration/transition of analogue networks to digital networks,</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application of affordable wired and wireless technologies (including</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interoperability of ICT infrastructure), and optimized use of the digital</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dividend</w:t>
            </w:r>
          </w:p>
          <w:p w14:paraId="2CC863D3" w14:textId="646BC546" w:rsidR="001E0592" w:rsidRPr="001E0592" w:rsidRDefault="001E0592" w:rsidP="001E0592">
            <w:pPr>
              <w:pStyle w:val="CEONormal"/>
              <w:numPr>
                <w:ilvl w:val="0"/>
                <w:numId w:val="23"/>
              </w:numPr>
              <w:tabs>
                <w:tab w:val="left" w:pos="459"/>
              </w:tabs>
              <w:rPr>
                <w:rFonts w:ascii="Calibri" w:eastAsia="MS Mincho" w:hAnsi="Calibri" w:cs="Calibri"/>
                <w:bCs/>
                <w:sz w:val="24"/>
                <w:szCs w:val="24"/>
                <w:lang w:val="en-US" w:eastAsia="ja-JP"/>
              </w:rPr>
            </w:pPr>
            <w:r w:rsidRPr="001E0592">
              <w:rPr>
                <w:rFonts w:ascii="Calibri" w:eastAsia="MS Mincho" w:hAnsi="Calibri" w:cs="Calibri"/>
                <w:bCs/>
                <w:sz w:val="24"/>
                <w:szCs w:val="24"/>
                <w:lang w:val="en-US" w:eastAsia="ja-JP"/>
              </w:rPr>
              <w:t>Maximized use of new and emerging technologies for the development</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of telecommunication/ICT networks, including 5G and smart grid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infrastructure and services</w:t>
            </w:r>
          </w:p>
          <w:p w14:paraId="5F394E37" w14:textId="157BE9B2" w:rsidR="001E0592" w:rsidRPr="001E0592" w:rsidRDefault="001E0592" w:rsidP="001E0592">
            <w:pPr>
              <w:pStyle w:val="CEONormal"/>
              <w:numPr>
                <w:ilvl w:val="0"/>
                <w:numId w:val="23"/>
              </w:numPr>
              <w:tabs>
                <w:tab w:val="left" w:pos="459"/>
              </w:tabs>
              <w:rPr>
                <w:rFonts w:ascii="Calibri" w:eastAsia="MS Mincho" w:hAnsi="Calibri" w:cs="Calibri"/>
                <w:bCs/>
                <w:sz w:val="24"/>
                <w:szCs w:val="24"/>
                <w:lang w:val="en-US" w:eastAsia="ja-JP"/>
              </w:rPr>
            </w:pPr>
            <w:r w:rsidRPr="001E0592">
              <w:rPr>
                <w:rFonts w:ascii="Calibri" w:eastAsia="MS Mincho" w:hAnsi="Calibri" w:cs="Calibri"/>
                <w:bCs/>
                <w:sz w:val="24"/>
                <w:szCs w:val="24"/>
                <w:lang w:val="en-US" w:eastAsia="ja-JP"/>
              </w:rPr>
              <w:t>Strengthening of capacity to develop and implement national broadband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plans in order to provide broadband access to unserved and underserved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areas (including support for study of the status of national broadband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networks and international connectivity), to promote affordable access,</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especially for youth, women, indigenous peoples and children, to select</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appropriate technologies, to develop and use universal service funds</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effectively, and to develop financially and operationally sustainable</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business models</w:t>
            </w:r>
          </w:p>
          <w:p w14:paraId="57250521" w14:textId="4DC10E48" w:rsidR="001E0592" w:rsidRDefault="001E0592" w:rsidP="001E0592">
            <w:pPr>
              <w:pStyle w:val="CEONormal"/>
              <w:numPr>
                <w:ilvl w:val="0"/>
                <w:numId w:val="23"/>
              </w:numPr>
              <w:tabs>
                <w:tab w:val="left" w:pos="459"/>
              </w:tabs>
              <w:rPr>
                <w:rFonts w:ascii="Calibri" w:eastAsia="MS Mincho" w:hAnsi="Calibri" w:cs="Calibri"/>
                <w:bCs/>
                <w:sz w:val="24"/>
                <w:szCs w:val="24"/>
                <w:lang w:val="en-US" w:eastAsia="ja-JP"/>
              </w:rPr>
            </w:pPr>
            <w:r w:rsidRPr="001E0592">
              <w:rPr>
                <w:rFonts w:ascii="Calibri" w:eastAsia="MS Mincho" w:hAnsi="Calibri" w:cs="Calibri"/>
                <w:bCs/>
                <w:sz w:val="24"/>
                <w:szCs w:val="24"/>
                <w:lang w:val="en-US" w:eastAsia="ja-JP"/>
              </w:rPr>
              <w:t>Promotion of Internet exchange points (IXPs) as a long-term solution to</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advance connectivity, deployment of IPv6-based networks and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applications, and progress in the transition from IPv4 to IPv6</w:t>
            </w:r>
            <w:r>
              <w:rPr>
                <w:rFonts w:ascii="Calibri" w:eastAsia="MS Mincho" w:hAnsi="Calibri" w:cs="Calibri"/>
                <w:bCs/>
                <w:sz w:val="24"/>
                <w:szCs w:val="24"/>
                <w:lang w:val="en-US" w:eastAsia="ja-JP"/>
              </w:rPr>
              <w:t xml:space="preserve"> </w:t>
            </w:r>
          </w:p>
          <w:p w14:paraId="071313B5" w14:textId="17BD9DBB" w:rsidR="00613322" w:rsidRDefault="001E0592" w:rsidP="00613322">
            <w:pPr>
              <w:pStyle w:val="CEONormal"/>
              <w:numPr>
                <w:ilvl w:val="0"/>
                <w:numId w:val="23"/>
              </w:numPr>
              <w:tabs>
                <w:tab w:val="left" w:pos="459"/>
              </w:tabs>
              <w:rPr>
                <w:rFonts w:ascii="Calibri" w:eastAsia="MS Mincho" w:hAnsi="Calibri" w:cs="Calibri"/>
                <w:bCs/>
                <w:sz w:val="24"/>
                <w:szCs w:val="24"/>
                <w:lang w:val="en-US" w:eastAsia="ja-JP"/>
              </w:rPr>
            </w:pPr>
            <w:r w:rsidRPr="001E0592">
              <w:rPr>
                <w:rFonts w:ascii="Calibri" w:eastAsia="MS Mincho" w:hAnsi="Calibri" w:cs="Calibri"/>
                <w:bCs/>
                <w:sz w:val="24"/>
                <w:szCs w:val="24"/>
                <w:lang w:val="en-US" w:eastAsia="ja-JP"/>
              </w:rPr>
              <w:t>Strengthening of the capacity to implement conformance and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interoperability (C&amp;I) procedures and testing and to plan resources for</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C&amp;I programmes, and facilitation of the establishment of common</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regional and subregional C&amp;I regimes (including the adoption and</w:t>
            </w:r>
            <w:r>
              <w:rPr>
                <w:rFonts w:ascii="Calibri" w:eastAsia="MS Mincho" w:hAnsi="Calibri" w:cs="Calibri"/>
                <w:bCs/>
                <w:sz w:val="24"/>
                <w:szCs w:val="24"/>
                <w:lang w:val="en-US" w:eastAsia="ja-JP"/>
              </w:rPr>
              <w:t xml:space="preserve"> </w:t>
            </w:r>
            <w:r w:rsidRPr="001E0592">
              <w:rPr>
                <w:rFonts w:ascii="Calibri" w:eastAsia="MS Mincho" w:hAnsi="Calibri" w:cs="Calibri"/>
                <w:bCs/>
                <w:sz w:val="24"/>
                <w:szCs w:val="24"/>
                <w:lang w:val="en-US" w:eastAsia="ja-JP"/>
              </w:rPr>
              <w:t>implementation of mutual recognition arrangements)</w:t>
            </w:r>
          </w:p>
          <w:p w14:paraId="1E93BCAF" w14:textId="77777777" w:rsidR="00613322" w:rsidRDefault="00613322" w:rsidP="00613322">
            <w:pPr>
              <w:pStyle w:val="CEONormal"/>
              <w:numPr>
                <w:ilvl w:val="0"/>
                <w:numId w:val="23"/>
              </w:numPr>
              <w:tabs>
                <w:tab w:val="left" w:pos="459"/>
              </w:tabs>
              <w:rPr>
                <w:rFonts w:ascii="Calibri" w:eastAsia="MS Mincho" w:hAnsi="Calibri" w:cs="Calibri"/>
                <w:bCs/>
                <w:sz w:val="24"/>
                <w:szCs w:val="24"/>
                <w:lang w:val="en-US" w:eastAsia="ja-JP"/>
              </w:rPr>
            </w:pPr>
            <w:r w:rsidRPr="00613322">
              <w:rPr>
                <w:rFonts w:ascii="Calibri" w:eastAsia="MS Mincho" w:hAnsi="Calibri" w:cs="Calibri"/>
                <w:bCs/>
                <w:sz w:val="24"/>
                <w:szCs w:val="24"/>
                <w:lang w:val="en-US" w:eastAsia="ja-JP"/>
              </w:rPr>
              <w:t>Attention to spectrum-management issues, including radio-frequency planning, new spectrum-sharing approaches, harmonized spectrum allocation and spectrum monitoring systems, and support for preparations for world radiocommunication conferences (WRCs) and implementation of their outcomes</w:t>
            </w:r>
          </w:p>
          <w:p w14:paraId="10A6A9F2" w14:textId="77777777" w:rsidR="00613322" w:rsidRDefault="00613322" w:rsidP="00613322">
            <w:pPr>
              <w:pStyle w:val="CEONormal"/>
              <w:numPr>
                <w:ilvl w:val="0"/>
                <w:numId w:val="23"/>
              </w:numPr>
              <w:tabs>
                <w:tab w:val="left" w:pos="459"/>
              </w:tabs>
              <w:rPr>
                <w:rFonts w:ascii="Calibri" w:eastAsia="MS Mincho" w:hAnsi="Calibri" w:cs="Calibri"/>
                <w:bCs/>
                <w:sz w:val="24"/>
                <w:szCs w:val="24"/>
                <w:lang w:val="en-US" w:eastAsia="ja-JP"/>
              </w:rPr>
            </w:pPr>
            <w:r w:rsidRPr="00613322">
              <w:rPr>
                <w:rFonts w:ascii="Calibri" w:eastAsia="MS Mincho" w:hAnsi="Calibri" w:cs="Calibri"/>
                <w:bCs/>
                <w:sz w:val="24"/>
                <w:szCs w:val="24"/>
                <w:lang w:val="en-US" w:eastAsia="ja-JP"/>
              </w:rPr>
              <w:t>Building of skills for the development and use of satellite telecommunications</w:t>
            </w:r>
          </w:p>
          <w:p w14:paraId="35C212ED" w14:textId="38FB02C9" w:rsidR="00613322" w:rsidRPr="00613322" w:rsidRDefault="00613322" w:rsidP="00613322">
            <w:pPr>
              <w:pStyle w:val="CEONormal"/>
              <w:numPr>
                <w:ilvl w:val="0"/>
                <w:numId w:val="23"/>
              </w:numPr>
              <w:tabs>
                <w:tab w:val="left" w:pos="459"/>
              </w:tabs>
              <w:rPr>
                <w:rFonts w:ascii="Calibri" w:eastAsia="MS Mincho" w:hAnsi="Calibri" w:cs="Calibri"/>
                <w:bCs/>
                <w:sz w:val="24"/>
                <w:szCs w:val="24"/>
                <w:lang w:val="en-US" w:eastAsia="ja-JP"/>
              </w:rPr>
            </w:pPr>
            <w:r w:rsidRPr="00613322">
              <w:rPr>
                <w:rFonts w:ascii="Calibri" w:eastAsia="MS Mincho" w:hAnsi="Calibri" w:cs="Calibri"/>
                <w:bCs/>
                <w:sz w:val="24"/>
                <w:szCs w:val="24"/>
                <w:lang w:val="en-US" w:eastAsia="ja-JP"/>
              </w:rPr>
              <w:t>Strengthening of cooperation with international/regional organizations to enhance regional ICT connectivity, such as the Asia-Pacific Information Superhighway (AP-IS).</w:t>
            </w:r>
          </w:p>
        </w:tc>
      </w:tr>
      <w:tr w:rsidR="00F7437C" w:rsidRPr="00CB2A90" w14:paraId="58A3F93F" w14:textId="77777777" w:rsidTr="006D707B">
        <w:trPr>
          <w:jc w:val="center"/>
        </w:trPr>
        <w:tc>
          <w:tcPr>
            <w:tcW w:w="9472" w:type="dxa"/>
            <w:shd w:val="clear" w:color="auto" w:fill="auto"/>
          </w:tcPr>
          <w:p w14:paraId="110A5897" w14:textId="6B1A96BE" w:rsidR="00F7437C" w:rsidRPr="005C4294" w:rsidRDefault="00F7437C" w:rsidP="006D707B">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ASP4</w:t>
            </w:r>
            <w:r w:rsidRPr="005C4294">
              <w:rPr>
                <w:rFonts w:ascii="Calibri" w:hAnsi="Calibri" w:cs="Calibri"/>
                <w:bCs/>
              </w:rPr>
              <w:t xml:space="preserve">: </w:t>
            </w:r>
            <w:r w:rsidR="00613322" w:rsidRPr="00613322">
              <w:rPr>
                <w:rFonts w:ascii="Calibri" w:hAnsi="Calibri" w:cs="Calibri"/>
                <w:bCs/>
              </w:rPr>
              <w:t>Enabling policy and regulatory environments</w:t>
            </w:r>
          </w:p>
          <w:p w14:paraId="54F55F83"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6C57BA37" w14:textId="6D3C478E" w:rsidR="00613322" w:rsidRPr="005C4294" w:rsidRDefault="00F7437C" w:rsidP="00613322">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Objective</w:t>
            </w:r>
            <w:r w:rsidRPr="005C4294">
              <w:rPr>
                <w:rFonts w:ascii="Calibri" w:hAnsi="Calibri" w:cs="Calibri"/>
                <w:bCs/>
              </w:rPr>
              <w:t xml:space="preserve">: </w:t>
            </w:r>
            <w:r w:rsidR="00613322" w:rsidRPr="00613322">
              <w:rPr>
                <w:rFonts w:ascii="Calibri" w:hAnsi="Calibri" w:cs="Calibri"/>
                <w:bCs/>
              </w:rPr>
              <w:t>To assist Member States in developing appropriate policy and</w:t>
            </w:r>
            <w:r w:rsidR="00613322">
              <w:rPr>
                <w:rFonts w:ascii="Calibri" w:hAnsi="Calibri" w:cs="Calibri"/>
                <w:bCs/>
              </w:rPr>
              <w:t xml:space="preserve"> </w:t>
            </w:r>
            <w:r w:rsidR="00613322" w:rsidRPr="00613322">
              <w:rPr>
                <w:rFonts w:ascii="Calibri" w:hAnsi="Calibri" w:cs="Calibri"/>
                <w:bCs/>
              </w:rPr>
              <w:t>regulatory frameworks, fostering innovation, enhancing skills, increasing</w:t>
            </w:r>
            <w:r w:rsidR="00613322">
              <w:rPr>
                <w:rFonts w:ascii="Calibri" w:hAnsi="Calibri" w:cs="Calibri"/>
                <w:bCs/>
              </w:rPr>
              <w:t xml:space="preserve"> </w:t>
            </w:r>
            <w:r w:rsidR="00613322" w:rsidRPr="00613322">
              <w:rPr>
                <w:rFonts w:ascii="Calibri" w:hAnsi="Calibri" w:cs="Calibri"/>
                <w:bCs/>
              </w:rPr>
              <w:t>information sharing and strengthening regulatory cooperation, thereby</w:t>
            </w:r>
            <w:r w:rsidR="00613322">
              <w:rPr>
                <w:rFonts w:ascii="Calibri" w:hAnsi="Calibri" w:cs="Calibri"/>
                <w:bCs/>
              </w:rPr>
              <w:t xml:space="preserve"> </w:t>
            </w:r>
            <w:r w:rsidR="00613322" w:rsidRPr="00613322">
              <w:rPr>
                <w:rFonts w:ascii="Calibri" w:hAnsi="Calibri" w:cs="Calibri"/>
                <w:bCs/>
              </w:rPr>
              <w:t>contributing to a supportive regulatory environment for all stakeholders.</w:t>
            </w:r>
          </w:p>
          <w:p w14:paraId="069D20A0"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54F9552B" w14:textId="77777777" w:rsidR="00F7437C" w:rsidRPr="005C4294" w:rsidRDefault="00F7437C" w:rsidP="006D707B">
            <w:pPr>
              <w:pStyle w:val="ListParagraph"/>
              <w:tabs>
                <w:tab w:val="left" w:pos="459"/>
              </w:tabs>
              <w:autoSpaceDE w:val="0"/>
              <w:autoSpaceDN w:val="0"/>
              <w:adjustRightInd w:val="0"/>
              <w:ind w:left="0"/>
              <w:rPr>
                <w:rFonts w:ascii="Calibri" w:hAnsi="Calibri" w:cs="Calibri"/>
                <w:b/>
                <w:bCs/>
              </w:rPr>
            </w:pPr>
            <w:r w:rsidRPr="005C4294">
              <w:rPr>
                <w:rFonts w:ascii="Calibri" w:hAnsi="Calibri" w:cs="Calibri"/>
                <w:b/>
                <w:bCs/>
              </w:rPr>
              <w:t>Expected results</w:t>
            </w:r>
            <w:r w:rsidRPr="005C4294">
              <w:rPr>
                <w:rFonts w:ascii="Calibri" w:hAnsi="Calibri" w:cs="Calibri"/>
                <w:bCs/>
              </w:rPr>
              <w:t>:</w:t>
            </w:r>
          </w:p>
          <w:p w14:paraId="45A898AC" w14:textId="58FCF565" w:rsidR="00613322"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lastRenderedPageBreak/>
              <w:t>Sharing of information on developments in policy, legal and regulatory frameworks as well as market developments in the information and communication technology (ICT) sector and the digital economies it enables</w:t>
            </w:r>
          </w:p>
          <w:p w14:paraId="118E92E8" w14:textId="0B94F7A7" w:rsidR="00F7437C"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t>Development, implementation and review of strategies, policies and legal and regulatory frameworks, including for next-generation universal service obligation (USO), consumer protection, transformation of small and medium-sized enterprises (SMEs) to digital enterprises, and innovation and entrepreneurship</w:t>
            </w:r>
          </w:p>
          <w:p w14:paraId="33E9C7DE" w14:textId="65ABECD3" w:rsidR="00613322"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t>Encouraging inclusive dialogues and strengthening cooperation among national and regional regulators, policy-makers and other telecommunication/ICT stakeholders, as well as with other sectors of the economy, on topical policy, legal, regulatory and market issues</w:t>
            </w:r>
          </w:p>
          <w:p w14:paraId="16743A8E" w14:textId="63AC4160" w:rsidR="00613322"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t>Strengthening institutional, human and technical capacity on topical policy, legal and regulatory issues, as well as on economic and financial issues and market developments</w:t>
            </w:r>
          </w:p>
          <w:p w14:paraId="58579BF8" w14:textId="56BF52E7" w:rsidR="00613322"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t xml:space="preserve">Improved awareness of policy and regulatory frameworks relating to data privacy and cross-border data </w:t>
            </w:r>
          </w:p>
          <w:p w14:paraId="125EC478" w14:textId="2AEC8134" w:rsidR="00613322" w:rsidRPr="00613322" w:rsidRDefault="00613322" w:rsidP="00613322">
            <w:pPr>
              <w:pStyle w:val="ListParagraph"/>
              <w:numPr>
                <w:ilvl w:val="0"/>
                <w:numId w:val="25"/>
              </w:numPr>
              <w:tabs>
                <w:tab w:val="left" w:pos="158"/>
              </w:tabs>
              <w:autoSpaceDE w:val="0"/>
              <w:autoSpaceDN w:val="0"/>
              <w:adjustRightInd w:val="0"/>
              <w:rPr>
                <w:rFonts w:ascii="Calibri" w:hAnsi="Calibri" w:cs="Calibri"/>
                <w:bCs/>
              </w:rPr>
            </w:pPr>
            <w:r w:rsidRPr="00613322">
              <w:rPr>
                <w:rFonts w:ascii="Calibri" w:hAnsi="Calibri" w:cs="Calibri"/>
                <w:bCs/>
              </w:rPr>
              <w:t>Development of strategic frameworks to support research and development activities in ICT in developing countries.</w:t>
            </w:r>
          </w:p>
        </w:tc>
      </w:tr>
      <w:tr w:rsidR="00F7437C" w:rsidRPr="00CB2A90" w14:paraId="5302288E" w14:textId="77777777" w:rsidTr="006D707B">
        <w:trPr>
          <w:jc w:val="center"/>
        </w:trPr>
        <w:tc>
          <w:tcPr>
            <w:tcW w:w="9472" w:type="dxa"/>
            <w:shd w:val="clear" w:color="auto" w:fill="auto"/>
          </w:tcPr>
          <w:p w14:paraId="259DD4EF" w14:textId="6404EB02" w:rsidR="00F7437C" w:rsidRPr="005C4294" w:rsidRDefault="00F7437C" w:rsidP="006D707B">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lastRenderedPageBreak/>
              <w:t>ASP5</w:t>
            </w:r>
            <w:r w:rsidRPr="005C4294">
              <w:rPr>
                <w:rFonts w:ascii="Calibri" w:hAnsi="Calibri" w:cs="Calibri"/>
                <w:bCs/>
              </w:rPr>
              <w:t xml:space="preserve">: </w:t>
            </w:r>
            <w:r w:rsidR="00613322" w:rsidRPr="00613322">
              <w:rPr>
                <w:rFonts w:ascii="Calibri" w:hAnsi="Calibri" w:cs="Calibri"/>
                <w:bCs/>
              </w:rPr>
              <w:t>Contributing to a secure and resilient environment</w:t>
            </w:r>
          </w:p>
          <w:p w14:paraId="32FE8FA5"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4D5EE048" w14:textId="7F29EA73" w:rsidR="00613322" w:rsidRPr="005C4294" w:rsidRDefault="00F7437C" w:rsidP="00613322">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Objectives</w:t>
            </w:r>
            <w:r w:rsidRPr="005C4294">
              <w:rPr>
                <w:rFonts w:ascii="Calibri" w:hAnsi="Calibri" w:cs="Calibri"/>
                <w:bCs/>
              </w:rPr>
              <w:t xml:space="preserve">: </w:t>
            </w:r>
            <w:r w:rsidR="00613322" w:rsidRPr="00613322">
              <w:rPr>
                <w:rFonts w:ascii="Calibri" w:hAnsi="Calibri" w:cs="Calibri"/>
                <w:bCs/>
              </w:rPr>
              <w:t>To assist Member States to develop and maintain secure, trusted and</w:t>
            </w:r>
            <w:r w:rsidR="00613322">
              <w:rPr>
                <w:rFonts w:ascii="Calibri" w:hAnsi="Calibri" w:cs="Calibri"/>
                <w:bCs/>
              </w:rPr>
              <w:t xml:space="preserve"> </w:t>
            </w:r>
            <w:r w:rsidR="00613322" w:rsidRPr="00613322">
              <w:rPr>
                <w:rFonts w:ascii="Calibri" w:hAnsi="Calibri" w:cs="Calibri"/>
                <w:bCs/>
              </w:rPr>
              <w:t>resilient networks and services, and to address challenges related to climate</w:t>
            </w:r>
            <w:r w:rsidR="00613322">
              <w:rPr>
                <w:rFonts w:ascii="Calibri" w:hAnsi="Calibri" w:cs="Calibri"/>
                <w:bCs/>
              </w:rPr>
              <w:t xml:space="preserve"> </w:t>
            </w:r>
            <w:r w:rsidR="00613322" w:rsidRPr="00613322">
              <w:rPr>
                <w:rFonts w:ascii="Calibri" w:hAnsi="Calibri" w:cs="Calibri"/>
                <w:bCs/>
              </w:rPr>
              <w:t>change and disaster management.</w:t>
            </w:r>
          </w:p>
          <w:p w14:paraId="33B5F39E"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p>
          <w:p w14:paraId="664FC10C" w14:textId="77777777" w:rsidR="00F7437C" w:rsidRPr="005C4294" w:rsidRDefault="00F7437C" w:rsidP="006D707B">
            <w:pPr>
              <w:pStyle w:val="ListParagraph"/>
              <w:tabs>
                <w:tab w:val="left" w:pos="459"/>
              </w:tabs>
              <w:autoSpaceDE w:val="0"/>
              <w:autoSpaceDN w:val="0"/>
              <w:adjustRightInd w:val="0"/>
              <w:ind w:left="0"/>
              <w:rPr>
                <w:rFonts w:ascii="Calibri" w:hAnsi="Calibri" w:cs="Calibri"/>
                <w:bCs/>
              </w:rPr>
            </w:pPr>
            <w:r w:rsidRPr="005C4294">
              <w:rPr>
                <w:rFonts w:ascii="Calibri" w:hAnsi="Calibri" w:cs="Calibri"/>
                <w:b/>
                <w:bCs/>
              </w:rPr>
              <w:t>Expected results</w:t>
            </w:r>
            <w:r w:rsidRPr="005C4294">
              <w:rPr>
                <w:rFonts w:ascii="Calibri" w:hAnsi="Calibri" w:cs="Calibri"/>
                <w:bCs/>
              </w:rPr>
              <w:t>:</w:t>
            </w:r>
          </w:p>
          <w:p w14:paraId="6D10F2B0" w14:textId="00E0201D" w:rsidR="00613322"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Compilation of national and/or regional cybersecurity strategies, establishment of national cybersecurity capabilities such as computer incident response teams (CIRTs), and sharing of good practices, through the Global Cybersecurity Index (GCI), to nurture a culture of cybersecurity</w:t>
            </w:r>
          </w:p>
          <w:p w14:paraId="4659644D" w14:textId="7D0E9A53" w:rsidR="00F7437C"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Strengthening of institutional cooperation and coordination among the key actors and stakeholders at the national, regional and global level (including through organizing cyberdrills) and of the capacity to address issues related to cybersecurity</w:t>
            </w:r>
          </w:p>
          <w:p w14:paraId="2F16A304" w14:textId="469C1152" w:rsidR="00613322"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Development of national emergency telecommunication plans and ICT-based initiatives for providing medical (e-health) and humanitarian assistance in disasters and emergencies</w:t>
            </w:r>
          </w:p>
          <w:p w14:paraId="74C9324E" w14:textId="37C0FE3D" w:rsidR="00613322"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Incorporation of disaster-resilient features in telecommunication networks and infrastructure, and development of ICT-based solutions (including wireless and satellite-based technologies) to enhance network resilience</w:t>
            </w:r>
          </w:p>
          <w:p w14:paraId="21915A98" w14:textId="5B753849" w:rsidR="00613322"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Development of standards-based monitoring and early-warning systems linked to national and regional networks, and enhanced use of active and passive space-based sensing systems for disaster prediction, detection and mitigation</w:t>
            </w:r>
          </w:p>
          <w:p w14:paraId="42ABC71B" w14:textId="57FB543C" w:rsidR="00613322" w:rsidRPr="00613322" w:rsidRDefault="00613322" w:rsidP="00613322">
            <w:pPr>
              <w:pStyle w:val="ListParagraph"/>
              <w:numPr>
                <w:ilvl w:val="0"/>
                <w:numId w:val="27"/>
              </w:numPr>
              <w:tabs>
                <w:tab w:val="left" w:pos="459"/>
              </w:tabs>
              <w:autoSpaceDE w:val="0"/>
              <w:autoSpaceDN w:val="0"/>
              <w:adjustRightInd w:val="0"/>
              <w:rPr>
                <w:rFonts w:ascii="Calibri" w:hAnsi="Calibri" w:cs="Calibri"/>
                <w:bCs/>
              </w:rPr>
            </w:pPr>
            <w:r w:rsidRPr="00613322">
              <w:rPr>
                <w:rFonts w:ascii="Calibri" w:hAnsi="Calibri" w:cs="Calibri"/>
                <w:bCs/>
              </w:rPr>
              <w:t>Formulation of comprehensive strategies and measures to help mitigate and respond to the devastating effects of climate change, including e-waste policy.</w:t>
            </w:r>
          </w:p>
        </w:tc>
      </w:tr>
    </w:tbl>
    <w:p w14:paraId="14DAAFF2" w14:textId="465FF70F" w:rsidR="00AB52BC" w:rsidRDefault="00AB52BC" w:rsidP="00F7437C">
      <w:pPr>
        <w:tabs>
          <w:tab w:val="left" w:pos="1440"/>
        </w:tabs>
        <w:rPr>
          <w:b/>
          <w:bCs/>
          <w:color w:val="000000"/>
        </w:rPr>
      </w:pPr>
    </w:p>
    <w:p w14:paraId="6A95D82F" w14:textId="045B2B80" w:rsidR="00613322" w:rsidRDefault="00613322">
      <w:pPr>
        <w:rPr>
          <w:b/>
          <w:bCs/>
          <w:color w:val="000000"/>
        </w:rPr>
      </w:pPr>
      <w:r>
        <w:rPr>
          <w:b/>
          <w:bCs/>
          <w:color w:val="000000"/>
        </w:rPr>
        <w:br w:type="page"/>
      </w:r>
    </w:p>
    <w:p w14:paraId="662A4FEB" w14:textId="77777777" w:rsidR="00041A33" w:rsidRDefault="00AB52BC" w:rsidP="00041A33">
      <w:pPr>
        <w:tabs>
          <w:tab w:val="left" w:pos="1440"/>
        </w:tabs>
      </w:pPr>
      <w:r>
        <w:rPr>
          <w:b/>
          <w:bCs/>
          <w:color w:val="000000"/>
        </w:rPr>
        <w:lastRenderedPageBreak/>
        <w:t xml:space="preserve">ANNEX </w:t>
      </w:r>
      <w:r w:rsidR="00041A33" w:rsidRPr="00007053">
        <w:rPr>
          <w:rFonts w:eastAsiaTheme="minorEastAsia"/>
          <w:b/>
          <w:bCs/>
          <w:color w:val="000000"/>
          <w:lang w:eastAsia="ja-JP"/>
        </w:rPr>
        <w:t>Ⅲ</w:t>
      </w:r>
      <w:r w:rsidRPr="00007053">
        <w:rPr>
          <w:b/>
          <w:bCs/>
          <w:color w:val="000000"/>
        </w:rPr>
        <w:t>:</w:t>
      </w:r>
      <w:r>
        <w:rPr>
          <w:b/>
          <w:bCs/>
          <w:color w:val="000000"/>
        </w:rPr>
        <w:t xml:space="preserve"> </w:t>
      </w:r>
      <w:r w:rsidRPr="007A6B88">
        <w:rPr>
          <w:b/>
          <w:bCs/>
          <w:color w:val="000000"/>
        </w:rPr>
        <w:t>GUIDING PRINCIPLES FOR STREAMLINING WTDC RESOLUTIONS</w:t>
      </w:r>
      <w:r w:rsidR="00041A33">
        <w:rPr>
          <w:b/>
          <w:bCs/>
          <w:color w:val="000000"/>
        </w:rPr>
        <w:t xml:space="preserve"> </w:t>
      </w:r>
      <w:r w:rsidR="00041A33" w:rsidRPr="00041A33">
        <w:rPr>
          <w:bCs/>
          <w:color w:val="000000"/>
        </w:rPr>
        <w:t>(</w:t>
      </w:r>
      <w:r w:rsidR="00041A33" w:rsidRPr="00B6110E">
        <w:t>ANNEX 1</w:t>
      </w:r>
      <w:r w:rsidR="00041A33">
        <w:t xml:space="preserve"> </w:t>
      </w:r>
      <w:r w:rsidR="00041A33" w:rsidRPr="00B6110E">
        <w:t>to document TDAG-WG-RDTP/DT/2)</w:t>
      </w:r>
    </w:p>
    <w:p w14:paraId="4BA28C55" w14:textId="77777777" w:rsidR="00041A33" w:rsidRPr="00041A33" w:rsidRDefault="00041A33" w:rsidP="00041A33">
      <w:pPr>
        <w:jc w:val="center"/>
        <w:rPr>
          <w:rFonts w:ascii="Calibri" w:eastAsia="MS Mincho" w:hAnsi="Calibri"/>
          <w:sz w:val="28"/>
          <w:szCs w:val="28"/>
          <w:lang w:val="en-GB"/>
        </w:rPr>
      </w:pPr>
      <w:r w:rsidRPr="003A48B8">
        <w:t xml:space="preserve"> </w:t>
      </w:r>
    </w:p>
    <w:p w14:paraId="35EE7D95" w14:textId="77777777" w:rsidR="00041A33" w:rsidRPr="00041A33" w:rsidRDefault="00041A33" w:rsidP="00041A33">
      <w:pPr>
        <w:keepNext/>
        <w:keepLines/>
        <w:tabs>
          <w:tab w:val="left" w:pos="567"/>
          <w:tab w:val="left" w:pos="1134"/>
          <w:tab w:val="left" w:pos="1701"/>
        </w:tabs>
        <w:overflowPunct w:val="0"/>
        <w:autoSpaceDE w:val="0"/>
        <w:autoSpaceDN w:val="0"/>
        <w:adjustRightInd w:val="0"/>
        <w:spacing w:before="240" w:after="120"/>
        <w:ind w:left="567" w:hanging="567"/>
        <w:textAlignment w:val="baseline"/>
        <w:outlineLvl w:val="3"/>
        <w:rPr>
          <w:rFonts w:ascii="Calibri" w:eastAsia="MS Mincho" w:hAnsi="Calibri"/>
          <w:b/>
          <w:lang w:val="en-GB"/>
        </w:rPr>
      </w:pPr>
      <w:r w:rsidRPr="00041A33">
        <w:rPr>
          <w:rFonts w:ascii="Calibri" w:eastAsia="MS Mincho" w:hAnsi="Calibri"/>
          <w:b/>
          <w:sz w:val="26"/>
          <w:szCs w:val="20"/>
          <w:lang w:val="en-GB"/>
        </w:rPr>
        <w:t xml:space="preserve">A. </w:t>
      </w:r>
      <w:r w:rsidRPr="00041A33">
        <w:rPr>
          <w:rFonts w:ascii="Calibri" w:eastAsia="MS Mincho" w:hAnsi="Calibri"/>
          <w:b/>
          <w:sz w:val="26"/>
          <w:szCs w:val="20"/>
          <w:lang w:val="en-GB"/>
        </w:rPr>
        <w:tab/>
      </w:r>
      <w:r w:rsidRPr="00041A33">
        <w:rPr>
          <w:rFonts w:ascii="Calibri" w:eastAsia="MS Mincho" w:hAnsi="Calibri"/>
          <w:b/>
          <w:lang w:val="en-GB"/>
        </w:rPr>
        <w:t xml:space="preserve">Guiding principles for streamlining existing WTDC resolutions </w:t>
      </w:r>
    </w:p>
    <w:p w14:paraId="19549BC4" w14:textId="77777777" w:rsidR="00041A33" w:rsidRPr="00041A33" w:rsidRDefault="00041A33" w:rsidP="00041A33">
      <w:pPr>
        <w:tabs>
          <w:tab w:val="left" w:pos="567"/>
          <w:tab w:val="left" w:pos="1134"/>
          <w:tab w:val="left" w:pos="1701"/>
        </w:tabs>
        <w:spacing w:before="120" w:after="120"/>
        <w:jc w:val="both"/>
        <w:rPr>
          <w:rFonts w:ascii="Calibri" w:eastAsia="SimSun" w:hAnsi="Calibri"/>
          <w:lang w:eastAsia="ja-JP"/>
        </w:rPr>
      </w:pPr>
      <w:r w:rsidRPr="00041A33">
        <w:rPr>
          <w:rFonts w:ascii="Calibri" w:eastAsia="SimSun" w:hAnsi="Calibri"/>
          <w:lang w:eastAsia="ja-JP"/>
        </w:rPr>
        <w:t>The following guiding principles might prove useful in the work on streamlining resolutions:</w:t>
      </w:r>
    </w:p>
    <w:tbl>
      <w:tblPr>
        <w:tblStyle w:val="11"/>
        <w:tblW w:w="0" w:type="auto"/>
        <w:jc w:val="center"/>
        <w:tblLayout w:type="fixed"/>
        <w:tblLook w:val="04A0" w:firstRow="1" w:lastRow="0" w:firstColumn="1" w:lastColumn="0" w:noHBand="0" w:noVBand="1"/>
      </w:tblPr>
      <w:tblGrid>
        <w:gridCol w:w="2127"/>
        <w:gridCol w:w="7371"/>
      </w:tblGrid>
      <w:tr w:rsidR="00041A33" w:rsidRPr="00041A33" w14:paraId="4C41FB6C" w14:textId="77777777" w:rsidTr="00A854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Pr>
          <w:p w14:paraId="5DE8717D"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rPr>
                <w:rFonts w:eastAsia="SimSun"/>
                <w:sz w:val="22"/>
                <w:szCs w:val="22"/>
                <w:lang w:val="en-GB"/>
              </w:rPr>
            </w:pPr>
            <w:r w:rsidRPr="00041A33">
              <w:rPr>
                <w:rFonts w:eastAsia="SimSun"/>
                <w:sz w:val="22"/>
                <w:szCs w:val="22"/>
                <w:lang w:val="en-GB"/>
              </w:rPr>
              <w:t>Principle</w:t>
            </w:r>
          </w:p>
        </w:tc>
        <w:tc>
          <w:tcPr>
            <w:tcW w:w="7371" w:type="dxa"/>
          </w:tcPr>
          <w:p w14:paraId="3956A699"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cnfStyle w:val="100000000000" w:firstRow="1" w:lastRow="0" w:firstColumn="0" w:lastColumn="0" w:oddVBand="0" w:evenVBand="0" w:oddHBand="0" w:evenHBand="0" w:firstRowFirstColumn="0" w:firstRowLastColumn="0" w:lastRowFirstColumn="0" w:lastRowLastColumn="0"/>
              <w:rPr>
                <w:rFonts w:eastAsia="SimSun"/>
                <w:sz w:val="22"/>
                <w:szCs w:val="22"/>
                <w:lang w:val="en-GB"/>
              </w:rPr>
            </w:pPr>
            <w:r w:rsidRPr="00041A33">
              <w:rPr>
                <w:rFonts w:eastAsia="SimSun"/>
                <w:sz w:val="22"/>
                <w:szCs w:val="22"/>
                <w:lang w:val="en-GB"/>
              </w:rPr>
              <w:t>Questions</w:t>
            </w:r>
          </w:p>
        </w:tc>
      </w:tr>
      <w:tr w:rsidR="00041A33" w:rsidRPr="00041A33" w14:paraId="33C7505A" w14:textId="77777777" w:rsidTr="00041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cPr>
          <w:p w14:paraId="1A572EC9"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60" w:after="60"/>
              <w:textAlignment w:val="baseline"/>
              <w:rPr>
                <w:rFonts w:eastAsia="SimSun"/>
                <w:sz w:val="22"/>
                <w:szCs w:val="22"/>
                <w:lang w:val="en-GB"/>
              </w:rPr>
            </w:pPr>
            <w:r w:rsidRPr="00041A33">
              <w:rPr>
                <w:rFonts w:eastAsia="SimSun"/>
                <w:sz w:val="22"/>
                <w:szCs w:val="22"/>
                <w:lang w:val="en-GB"/>
              </w:rPr>
              <w:t xml:space="preserve">Coherence </w:t>
            </w:r>
            <w:r w:rsidRPr="00041A33">
              <w:rPr>
                <w:rFonts w:eastAsia="SimSun"/>
                <w:sz w:val="22"/>
                <w:szCs w:val="22"/>
                <w:lang w:val="en-GB"/>
              </w:rPr>
              <w:br/>
              <w:t>and consistency</w:t>
            </w:r>
          </w:p>
        </w:tc>
        <w:tc>
          <w:tcPr>
            <w:tcW w:w="7371" w:type="dxa"/>
            <w:tcBorders>
              <w:top w:val="nil"/>
              <w:bottom w:val="nil"/>
            </w:tcBorders>
            <w:shd w:val="clear" w:color="auto" w:fill="F2F2F2"/>
          </w:tcPr>
          <w:p w14:paraId="1DAA929D"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cnfStyle w:val="000000100000" w:firstRow="0" w:lastRow="0" w:firstColumn="0" w:lastColumn="0" w:oddVBand="0" w:evenVBand="0" w:oddHBand="1" w:evenHBand="0" w:firstRowFirstColumn="0" w:firstRowLastColumn="0" w:lastRowFirstColumn="0" w:lastRowLastColumn="0"/>
              <w:rPr>
                <w:rFonts w:eastAsia="SimSun"/>
                <w:sz w:val="22"/>
                <w:szCs w:val="22"/>
                <w:lang w:val="en-GB"/>
              </w:rPr>
            </w:pPr>
            <w:r w:rsidRPr="00041A33">
              <w:rPr>
                <w:rFonts w:eastAsia="SimSun"/>
                <w:sz w:val="22"/>
                <w:szCs w:val="22"/>
                <w:lang w:val="en-GB"/>
              </w:rPr>
              <w:t>Is the resolution consistent with the BDT mandate and the WTDC Action Plan?</w:t>
            </w:r>
          </w:p>
        </w:tc>
      </w:tr>
      <w:tr w:rsidR="00041A33" w:rsidRPr="00041A33" w14:paraId="2BAA6A33" w14:textId="77777777" w:rsidTr="00A854E6">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FFFFF"/>
          </w:tcPr>
          <w:p w14:paraId="006252D5"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60" w:after="60"/>
              <w:textAlignment w:val="baseline"/>
              <w:rPr>
                <w:rFonts w:eastAsia="SimSun"/>
                <w:sz w:val="22"/>
                <w:szCs w:val="22"/>
                <w:lang w:val="en-GB"/>
              </w:rPr>
            </w:pPr>
            <w:r w:rsidRPr="00041A33">
              <w:rPr>
                <w:rFonts w:eastAsia="SimSun"/>
                <w:sz w:val="22"/>
                <w:szCs w:val="22"/>
                <w:lang w:val="en-GB"/>
              </w:rPr>
              <w:t>Overlap and duplication</w:t>
            </w:r>
          </w:p>
        </w:tc>
        <w:tc>
          <w:tcPr>
            <w:tcW w:w="7371" w:type="dxa"/>
            <w:tcBorders>
              <w:top w:val="nil"/>
              <w:bottom w:val="nil"/>
            </w:tcBorders>
            <w:shd w:val="clear" w:color="auto" w:fill="FFFFFF"/>
          </w:tcPr>
          <w:p w14:paraId="57106974"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cnfStyle w:val="000000000000" w:firstRow="0" w:lastRow="0" w:firstColumn="0" w:lastColumn="0" w:oddVBand="0" w:evenVBand="0" w:oddHBand="0" w:evenHBand="0" w:firstRowFirstColumn="0" w:firstRowLastColumn="0" w:lastRowFirstColumn="0" w:lastRowLastColumn="0"/>
              <w:rPr>
                <w:rFonts w:eastAsia="SimSun"/>
                <w:sz w:val="22"/>
                <w:szCs w:val="22"/>
                <w:lang w:val="en-GB"/>
              </w:rPr>
            </w:pPr>
            <w:r w:rsidRPr="00041A33">
              <w:rPr>
                <w:rFonts w:eastAsia="SimSun"/>
                <w:sz w:val="22"/>
                <w:szCs w:val="22"/>
                <w:lang w:val="en-GB"/>
              </w:rPr>
              <w:t>Is there an overlap or duplication with existing WTDC resolutions or with the Action Plan? Are the goals of resolutions already reflected in the ITU-D Strategic Plan objectives, programmes, regional initiatives (RIs), Study Group (SG) questions, or BDT working methods?</w:t>
            </w:r>
          </w:p>
        </w:tc>
      </w:tr>
      <w:tr w:rsidR="00041A33" w:rsidRPr="00041A33" w14:paraId="49A02C73" w14:textId="77777777" w:rsidTr="00041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shd w:val="clear" w:color="auto" w:fill="F2F2F2"/>
          </w:tcPr>
          <w:p w14:paraId="43B8ED56"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60" w:after="60"/>
              <w:textAlignment w:val="baseline"/>
              <w:rPr>
                <w:rFonts w:eastAsia="SimSun"/>
                <w:sz w:val="22"/>
                <w:szCs w:val="22"/>
                <w:lang w:val="en-GB"/>
              </w:rPr>
            </w:pPr>
            <w:r w:rsidRPr="00041A33">
              <w:rPr>
                <w:rFonts w:eastAsia="SimSun"/>
                <w:sz w:val="22"/>
                <w:szCs w:val="22"/>
                <w:lang w:val="en-GB"/>
              </w:rPr>
              <w:t>Necessity</w:t>
            </w:r>
          </w:p>
        </w:tc>
        <w:tc>
          <w:tcPr>
            <w:tcW w:w="7371" w:type="dxa"/>
            <w:tcBorders>
              <w:top w:val="nil"/>
              <w:bottom w:val="nil"/>
            </w:tcBorders>
            <w:shd w:val="clear" w:color="auto" w:fill="F2F2F2"/>
          </w:tcPr>
          <w:p w14:paraId="2875C8AC"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cnfStyle w:val="000000100000" w:firstRow="0" w:lastRow="0" w:firstColumn="0" w:lastColumn="0" w:oddVBand="0" w:evenVBand="0" w:oddHBand="1" w:evenHBand="0" w:firstRowFirstColumn="0" w:firstRowLastColumn="0" w:lastRowFirstColumn="0" w:lastRowLastColumn="0"/>
              <w:rPr>
                <w:rFonts w:eastAsia="SimSun"/>
                <w:sz w:val="22"/>
                <w:szCs w:val="22"/>
                <w:lang w:val="en-GB"/>
              </w:rPr>
            </w:pPr>
            <w:r w:rsidRPr="00041A33">
              <w:rPr>
                <w:rFonts w:eastAsia="SimSun"/>
                <w:sz w:val="22"/>
                <w:szCs w:val="22"/>
                <w:lang w:val="en-GB"/>
              </w:rPr>
              <w:t>Is the resolution indispensable? Is there already another WTDC/Council/PP resolution or resolutions which address the same topic or action? Has the resolution already been implemented?</w:t>
            </w:r>
          </w:p>
        </w:tc>
      </w:tr>
      <w:tr w:rsidR="00041A33" w:rsidRPr="00041A33" w14:paraId="3453F1CB" w14:textId="77777777" w:rsidTr="00041A33">
        <w:trPr>
          <w:jc w:val="center"/>
        </w:trPr>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8" w:space="0" w:color="000000"/>
            </w:tcBorders>
            <w:shd w:val="clear" w:color="auto" w:fill="FFFFFF"/>
          </w:tcPr>
          <w:p w14:paraId="20D619F0"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60" w:after="60"/>
              <w:textAlignment w:val="baseline"/>
              <w:rPr>
                <w:rFonts w:eastAsia="SimSun"/>
                <w:sz w:val="22"/>
                <w:szCs w:val="22"/>
                <w:lang w:val="en-GB"/>
              </w:rPr>
            </w:pPr>
            <w:r w:rsidRPr="00041A33">
              <w:rPr>
                <w:rFonts w:eastAsia="SimSun"/>
                <w:sz w:val="22"/>
                <w:szCs w:val="22"/>
                <w:lang w:val="en-GB"/>
              </w:rPr>
              <w:t>Action-orientation and accountability</w:t>
            </w:r>
          </w:p>
        </w:tc>
        <w:tc>
          <w:tcPr>
            <w:tcW w:w="7371" w:type="dxa"/>
            <w:tcBorders>
              <w:top w:val="nil"/>
              <w:bottom w:val="single" w:sz="8" w:space="0" w:color="000000"/>
            </w:tcBorders>
            <w:shd w:val="clear" w:color="auto" w:fill="FFFFFF"/>
          </w:tcPr>
          <w:p w14:paraId="50ADBDB7"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after="120"/>
              <w:textAlignment w:val="baseline"/>
              <w:cnfStyle w:val="000000000000" w:firstRow="0" w:lastRow="0" w:firstColumn="0" w:lastColumn="0" w:oddVBand="0" w:evenVBand="0" w:oddHBand="0" w:evenHBand="0" w:firstRowFirstColumn="0" w:firstRowLastColumn="0" w:lastRowFirstColumn="0" w:lastRowLastColumn="0"/>
              <w:rPr>
                <w:rFonts w:eastAsia="SimSun"/>
                <w:sz w:val="22"/>
                <w:szCs w:val="22"/>
                <w:lang w:val="en-GB"/>
              </w:rPr>
            </w:pPr>
            <w:r w:rsidRPr="00041A33">
              <w:rPr>
                <w:rFonts w:eastAsia="SimSun"/>
                <w:sz w:val="22"/>
                <w:szCs w:val="22"/>
                <w:lang w:val="en-GB"/>
              </w:rPr>
              <w:t>Does the resolution call for a specific action or outcome? Is there a clear accountability line in the resolution? What are the cost implications of the resolution for ITU-D, in terms of implementation budget and related costs?</w:t>
            </w:r>
          </w:p>
        </w:tc>
      </w:tr>
    </w:tbl>
    <w:p w14:paraId="136FCA32" w14:textId="77777777" w:rsidR="00041A33" w:rsidRPr="00041A33" w:rsidRDefault="00041A33" w:rsidP="00041A33">
      <w:pPr>
        <w:tabs>
          <w:tab w:val="left" w:pos="851"/>
          <w:tab w:val="left" w:pos="1134"/>
          <w:tab w:val="left" w:pos="1701"/>
        </w:tabs>
        <w:overflowPunct w:val="0"/>
        <w:autoSpaceDE w:val="0"/>
        <w:autoSpaceDN w:val="0"/>
        <w:adjustRightInd w:val="0"/>
        <w:spacing w:before="120"/>
        <w:textAlignment w:val="baseline"/>
        <w:rPr>
          <w:rFonts w:ascii="Calibri" w:eastAsia="MS Mincho" w:hAnsi="Calibri"/>
          <w:lang w:val="en-GB"/>
        </w:rPr>
      </w:pPr>
      <w:r w:rsidRPr="00041A33">
        <w:rPr>
          <w:rFonts w:ascii="Calibri" w:eastAsia="MS Mincho" w:hAnsi="Calibri"/>
          <w:lang w:val="en-GB"/>
        </w:rPr>
        <w:t>In general, streamlining existing resolutions is preferable to adding a new resolution.</w:t>
      </w:r>
    </w:p>
    <w:p w14:paraId="42ACA4A6" w14:textId="77777777" w:rsidR="00041A33" w:rsidRPr="00041A33" w:rsidRDefault="00041A33" w:rsidP="00041A33">
      <w:pPr>
        <w:tabs>
          <w:tab w:val="left" w:pos="851"/>
          <w:tab w:val="left" w:pos="1134"/>
          <w:tab w:val="left" w:pos="1701"/>
        </w:tabs>
        <w:overflowPunct w:val="0"/>
        <w:autoSpaceDE w:val="0"/>
        <w:autoSpaceDN w:val="0"/>
        <w:adjustRightInd w:val="0"/>
        <w:spacing w:before="120"/>
        <w:textAlignment w:val="baseline"/>
        <w:rPr>
          <w:rFonts w:ascii="Calibri" w:eastAsia="MS Mincho" w:hAnsi="Calibri"/>
          <w:lang w:val="en-GB"/>
        </w:rPr>
      </w:pPr>
      <w:r w:rsidRPr="00041A33">
        <w:rPr>
          <w:rFonts w:ascii="Calibri" w:eastAsia="MS Mincho" w:hAnsi="Calibri"/>
          <w:lang w:val="en-GB"/>
        </w:rPr>
        <w:t>When the actions or activities put forward in a resolution have been implemented or accomplished, the resolution can be viewed as fulfilled and removed.</w:t>
      </w:r>
    </w:p>
    <w:p w14:paraId="74354EE4" w14:textId="77777777" w:rsidR="00041A33" w:rsidRPr="00041A33" w:rsidRDefault="00041A33" w:rsidP="00041A33">
      <w:pPr>
        <w:tabs>
          <w:tab w:val="left" w:pos="851"/>
          <w:tab w:val="left" w:pos="1134"/>
          <w:tab w:val="left" w:pos="1701"/>
        </w:tabs>
        <w:overflowPunct w:val="0"/>
        <w:autoSpaceDE w:val="0"/>
        <w:autoSpaceDN w:val="0"/>
        <w:adjustRightInd w:val="0"/>
        <w:spacing w:before="120"/>
        <w:textAlignment w:val="baseline"/>
        <w:rPr>
          <w:rFonts w:ascii="Calibri" w:eastAsia="MS Mincho" w:hAnsi="Calibri"/>
          <w:szCs w:val="20"/>
          <w:highlight w:val="yellow"/>
          <w:lang w:val="en-GB"/>
        </w:rPr>
      </w:pPr>
      <w:r w:rsidRPr="00041A33">
        <w:rPr>
          <w:rFonts w:ascii="Calibri" w:eastAsia="MS Mincho" w:hAnsi="Calibri"/>
          <w:lang w:val="en-GB"/>
        </w:rPr>
        <w:t>Edit</w:t>
      </w:r>
      <w:r w:rsidRPr="00041A33">
        <w:rPr>
          <w:rFonts w:ascii="Calibri" w:eastAsia="MS Mincho" w:hAnsi="Calibri"/>
          <w:szCs w:val="20"/>
          <w:lang w:val="en-GB"/>
        </w:rPr>
        <w:t xml:space="preserve">orial revisions of adopted resolutions should be kept to the minimum or to what is strictly necessary for its efficient implementation. </w:t>
      </w:r>
    </w:p>
    <w:p w14:paraId="3C2071D2"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textAlignment w:val="baseline"/>
        <w:rPr>
          <w:rFonts w:ascii="Calibri" w:eastAsia="MS Mincho" w:hAnsi="Calibri"/>
          <w:b/>
          <w:szCs w:val="20"/>
          <w:lang w:val="en-GB"/>
        </w:rPr>
      </w:pPr>
      <w:r w:rsidRPr="00041A33">
        <w:rPr>
          <w:rFonts w:ascii="Calibri" w:eastAsia="MS Mincho" w:hAnsi="Calibri"/>
          <w:szCs w:val="20"/>
          <w:lang w:val="en-GB"/>
        </w:rPr>
        <w:t>If only editorial updates are required to a WTDC resolution, the need to produce a revised version should be questioned.</w:t>
      </w:r>
    </w:p>
    <w:p w14:paraId="43BB5BD5" w14:textId="77777777" w:rsidR="00041A33" w:rsidRPr="00041A33" w:rsidRDefault="00041A33" w:rsidP="00041A33">
      <w:pPr>
        <w:keepNext/>
        <w:keepLines/>
        <w:tabs>
          <w:tab w:val="left" w:pos="567"/>
          <w:tab w:val="left" w:pos="1134"/>
          <w:tab w:val="left" w:pos="1701"/>
        </w:tabs>
        <w:overflowPunct w:val="0"/>
        <w:autoSpaceDE w:val="0"/>
        <w:autoSpaceDN w:val="0"/>
        <w:adjustRightInd w:val="0"/>
        <w:spacing w:before="240" w:after="120"/>
        <w:ind w:left="567" w:hanging="567"/>
        <w:textAlignment w:val="baseline"/>
        <w:outlineLvl w:val="3"/>
        <w:rPr>
          <w:rFonts w:ascii="Calibri" w:eastAsia="MS Mincho" w:hAnsi="Calibri"/>
          <w:b/>
          <w:szCs w:val="20"/>
          <w:lang w:val="en-GB"/>
        </w:rPr>
      </w:pPr>
      <w:r w:rsidRPr="00041A33">
        <w:rPr>
          <w:rFonts w:ascii="Calibri" w:eastAsia="MS Mincho" w:hAnsi="Calibri"/>
          <w:b/>
          <w:szCs w:val="20"/>
          <w:lang w:val="en-GB"/>
        </w:rPr>
        <w:t xml:space="preserve">B. </w:t>
      </w:r>
      <w:r w:rsidRPr="00041A33">
        <w:rPr>
          <w:rFonts w:ascii="Calibri" w:eastAsia="MS Mincho" w:hAnsi="Calibri"/>
          <w:b/>
          <w:szCs w:val="20"/>
          <w:lang w:val="en-GB"/>
        </w:rPr>
        <w:tab/>
        <w:t xml:space="preserve">Guidelines for drafting new WTDC Resolutions </w:t>
      </w:r>
    </w:p>
    <w:p w14:paraId="05BECC5B" w14:textId="77777777" w:rsidR="00041A33" w:rsidRPr="00041A33" w:rsidRDefault="00041A33" w:rsidP="00041A33">
      <w:pPr>
        <w:tabs>
          <w:tab w:val="left" w:pos="851"/>
          <w:tab w:val="left" w:pos="1134"/>
          <w:tab w:val="left" w:pos="1701"/>
        </w:tabs>
        <w:overflowPunct w:val="0"/>
        <w:autoSpaceDE w:val="0"/>
        <w:autoSpaceDN w:val="0"/>
        <w:adjustRightInd w:val="0"/>
        <w:spacing w:before="120"/>
        <w:textAlignment w:val="baseline"/>
        <w:rPr>
          <w:rFonts w:ascii="Calibri" w:eastAsia="MS Mincho" w:hAnsi="Calibri"/>
          <w:szCs w:val="20"/>
        </w:rPr>
      </w:pPr>
      <w:r w:rsidRPr="00041A33">
        <w:rPr>
          <w:rFonts w:ascii="Calibri" w:eastAsia="MS Mincho" w:hAnsi="Calibri"/>
          <w:szCs w:val="20"/>
        </w:rPr>
        <w:t xml:space="preserve">New resolutions are intended to </w:t>
      </w:r>
      <w:r w:rsidRPr="00041A33">
        <w:rPr>
          <w:rFonts w:ascii="Calibri" w:eastAsia="MS Mincho" w:hAnsi="Calibri"/>
          <w:szCs w:val="20"/>
          <w:lang w:val="en-GB"/>
        </w:rPr>
        <w:t>define working methods</w:t>
      </w:r>
      <w:r w:rsidRPr="00041A33">
        <w:rPr>
          <w:rFonts w:ascii="Calibri" w:eastAsia="MS Mincho" w:hAnsi="Calibri"/>
          <w:i/>
          <w:iCs/>
          <w:szCs w:val="20"/>
          <w:lang w:val="en-GB"/>
        </w:rPr>
        <w:t xml:space="preserve"> </w:t>
      </w:r>
      <w:r w:rsidRPr="00041A33">
        <w:rPr>
          <w:rFonts w:ascii="Calibri" w:eastAsia="MS Mincho" w:hAnsi="Calibri"/>
          <w:szCs w:val="20"/>
          <w:lang w:val="en-GB"/>
        </w:rPr>
        <w:t>or</w:t>
      </w:r>
      <w:r w:rsidRPr="00041A33">
        <w:rPr>
          <w:rFonts w:ascii="Calibri" w:eastAsia="MS Mincho" w:hAnsi="Calibri"/>
          <w:i/>
          <w:iCs/>
          <w:szCs w:val="20"/>
          <w:lang w:val="en-GB"/>
        </w:rPr>
        <w:t xml:space="preserve"> </w:t>
      </w:r>
      <w:r w:rsidRPr="00041A33">
        <w:rPr>
          <w:rFonts w:ascii="Calibri" w:eastAsia="MS Mincho" w:hAnsi="Calibri"/>
          <w:szCs w:val="20"/>
        </w:rPr>
        <w:t>address issues which are demonstrably new and of highest importance for ITU-D, and which have not been considered in existing WTDC documents or internationally agreed development agendas.</w:t>
      </w:r>
    </w:p>
    <w:p w14:paraId="03B26799" w14:textId="77777777" w:rsidR="00041A33" w:rsidRPr="00041A33" w:rsidRDefault="00041A33" w:rsidP="00041A33">
      <w:pPr>
        <w:tabs>
          <w:tab w:val="left" w:pos="851"/>
          <w:tab w:val="left" w:pos="1134"/>
          <w:tab w:val="left" w:pos="1701"/>
        </w:tabs>
        <w:overflowPunct w:val="0"/>
        <w:autoSpaceDE w:val="0"/>
        <w:autoSpaceDN w:val="0"/>
        <w:adjustRightInd w:val="0"/>
        <w:spacing w:before="120"/>
        <w:textAlignment w:val="baseline"/>
        <w:rPr>
          <w:rFonts w:ascii="Calibri" w:eastAsia="MS Mincho" w:hAnsi="Calibri"/>
          <w:szCs w:val="20"/>
        </w:rPr>
      </w:pPr>
      <w:r w:rsidRPr="00041A33">
        <w:rPr>
          <w:rFonts w:ascii="Calibri" w:eastAsia="MS Mincho" w:hAnsi="Calibri"/>
          <w:szCs w:val="20"/>
        </w:rPr>
        <w:t>Concretely:</w:t>
      </w:r>
    </w:p>
    <w:p w14:paraId="6E3D1652"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rPr>
        <w:t>New proposed resolutions should be aligned and harmonized with existing ones;</w:t>
      </w:r>
    </w:p>
    <w:p w14:paraId="388E3B67"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rPr>
        <w:t>New proposed resolutions should involve a distinct new subject within the scope of BDT and/or an issue that represents a significant new or unaddressed challenge related to telecommunication/ICT development or public policy;</w:t>
      </w:r>
    </w:p>
    <w:p w14:paraId="4389C2BF"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rPr>
        <w:t>New proposed resolutions should normally not involve a subject already covered in the WTDC Action Plan and the Operational Plan;</w:t>
      </w:r>
    </w:p>
    <w:p w14:paraId="1700FB8C"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lang w:val="en-GB"/>
        </w:rPr>
        <w:t>If an existing Plenipotentiary Conference (PP) resolution identifies a priority issue, the need for a similar WTDC resolution should be carefully considered;</w:t>
      </w:r>
    </w:p>
    <w:p w14:paraId="1BBEDB64"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lang w:val="en-GB"/>
        </w:rPr>
        <w:lastRenderedPageBreak/>
        <w:t xml:space="preserve">The need for a new WTDC resolution should be carefully examined </w:t>
      </w:r>
      <w:r w:rsidRPr="00041A33">
        <w:rPr>
          <w:rFonts w:ascii="Calibri" w:eastAsia="MS Mincho" w:hAnsi="Calibri"/>
          <w:szCs w:val="20"/>
        </w:rPr>
        <w:t>if a new proposed resolution involves subjects already covered by internationally agreed development goals, such as the Sustainable Development Goals (SDGs) and the goals of the World Summit on the Information Society (WSIS), as those are also already established as reporting lines;</w:t>
      </w:r>
    </w:p>
    <w:p w14:paraId="03F34148"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rPr>
        <w:t>A new proposed resolution should specify an expected result(s) or outcome(s) so that its implementation can be measured, in line with result-based management principles. It should likewise specify an appropriate reporting mechanism;</w:t>
      </w:r>
    </w:p>
    <w:p w14:paraId="261C123E" w14:textId="77777777" w:rsidR="00041A33" w:rsidRPr="00041A33" w:rsidRDefault="00041A33" w:rsidP="00041A33">
      <w:pPr>
        <w:numPr>
          <w:ilvl w:val="0"/>
          <w:numId w:val="17"/>
        </w:numPr>
        <w:tabs>
          <w:tab w:val="left" w:pos="567"/>
          <w:tab w:val="left" w:pos="794"/>
          <w:tab w:val="left" w:pos="1134"/>
          <w:tab w:val="left" w:pos="1191"/>
          <w:tab w:val="left" w:pos="1588"/>
          <w:tab w:val="left" w:pos="1701"/>
          <w:tab w:val="left" w:pos="1985"/>
        </w:tabs>
        <w:overflowPunct w:val="0"/>
        <w:autoSpaceDE w:val="0"/>
        <w:autoSpaceDN w:val="0"/>
        <w:adjustRightInd w:val="0"/>
        <w:spacing w:before="60"/>
        <w:ind w:left="567" w:hanging="567"/>
        <w:textAlignment w:val="baseline"/>
        <w:rPr>
          <w:rFonts w:ascii="Calibri" w:eastAsia="MS Mincho" w:hAnsi="Calibri"/>
          <w:szCs w:val="20"/>
        </w:rPr>
      </w:pPr>
      <w:r w:rsidRPr="00041A33">
        <w:rPr>
          <w:rFonts w:ascii="Calibri" w:eastAsia="MS Mincho" w:hAnsi="Calibri"/>
          <w:szCs w:val="20"/>
        </w:rPr>
        <w:t>New proposed resolutions should be backed by more than one Member State Administration.</w:t>
      </w:r>
    </w:p>
    <w:p w14:paraId="1DF49903" w14:textId="77777777" w:rsidR="00041A33" w:rsidRPr="00041A33" w:rsidRDefault="00041A33" w:rsidP="00CA620C">
      <w:pPr>
        <w:tabs>
          <w:tab w:val="left" w:pos="567"/>
          <w:tab w:val="left" w:pos="1134"/>
          <w:tab w:val="left" w:pos="1701"/>
        </w:tabs>
        <w:spacing w:before="120"/>
        <w:rPr>
          <w:rFonts w:ascii="Calibri" w:eastAsia="MS Mincho" w:hAnsi="Calibri"/>
        </w:rPr>
      </w:pPr>
    </w:p>
    <w:p w14:paraId="4B9EBC51" w14:textId="77777777" w:rsidR="00041A33" w:rsidRPr="00041A33" w:rsidRDefault="00041A33" w:rsidP="00041A33">
      <w:pPr>
        <w:tabs>
          <w:tab w:val="left" w:pos="794"/>
          <w:tab w:val="left" w:pos="1191"/>
          <w:tab w:val="left" w:pos="1588"/>
          <w:tab w:val="left" w:pos="1985"/>
        </w:tabs>
        <w:overflowPunct w:val="0"/>
        <w:autoSpaceDE w:val="0"/>
        <w:autoSpaceDN w:val="0"/>
        <w:adjustRightInd w:val="0"/>
        <w:spacing w:before="120"/>
        <w:jc w:val="center"/>
        <w:textAlignment w:val="baseline"/>
        <w:rPr>
          <w:rFonts w:ascii="Calibri" w:eastAsia="MS Mincho" w:hAnsi="Calibri"/>
          <w:sz w:val="22"/>
          <w:szCs w:val="20"/>
          <w:lang w:val="en-GB"/>
        </w:rPr>
      </w:pPr>
      <w:r w:rsidRPr="00041A33">
        <w:rPr>
          <w:rFonts w:ascii="Calibri" w:eastAsia="MS Mincho" w:hAnsi="Calibri"/>
          <w:sz w:val="22"/>
          <w:szCs w:val="20"/>
          <w:lang w:val="en-GB"/>
        </w:rPr>
        <w:t>________________</w:t>
      </w:r>
    </w:p>
    <w:p w14:paraId="0729B0ED" w14:textId="63B00D96" w:rsidR="00CA620C" w:rsidRDefault="00CA620C">
      <w:r>
        <w:br w:type="page"/>
      </w:r>
    </w:p>
    <w:p w14:paraId="6020B660" w14:textId="77777777" w:rsidR="00BC39DF" w:rsidRDefault="00BC39DF" w:rsidP="00BC39DF">
      <w:pPr>
        <w:tabs>
          <w:tab w:val="left" w:pos="1440"/>
        </w:tabs>
        <w:rPr>
          <w:b/>
          <w:bCs/>
          <w:color w:val="000000"/>
        </w:rPr>
      </w:pPr>
      <w:r>
        <w:rPr>
          <w:b/>
          <w:bCs/>
          <w:color w:val="000000"/>
        </w:rPr>
        <w:lastRenderedPageBreak/>
        <w:t xml:space="preserve">ANNEX </w:t>
      </w:r>
      <w:r w:rsidRPr="001D6CCD">
        <w:rPr>
          <w:rFonts w:eastAsia="Malgun Gothic Semilight"/>
          <w:b/>
          <w:bCs/>
        </w:rPr>
        <w:t>Ⅳ</w:t>
      </w:r>
      <w:r w:rsidRPr="00007053">
        <w:rPr>
          <w:b/>
          <w:bCs/>
          <w:color w:val="000000"/>
        </w:rPr>
        <w:t>:</w:t>
      </w:r>
      <w:r>
        <w:rPr>
          <w:b/>
          <w:bCs/>
          <w:color w:val="000000"/>
        </w:rPr>
        <w:t xml:space="preserve"> </w:t>
      </w:r>
      <w:r w:rsidRPr="00CA620C">
        <w:rPr>
          <w:b/>
          <w:bCs/>
          <w:color w:val="000000"/>
        </w:rPr>
        <w:t>P</w:t>
      </w:r>
      <w:r>
        <w:rPr>
          <w:b/>
          <w:bCs/>
          <w:color w:val="000000"/>
        </w:rPr>
        <w:t xml:space="preserve">ROPOSAL FOR </w:t>
      </w:r>
      <w:r w:rsidRPr="00CA620C">
        <w:rPr>
          <w:b/>
          <w:bCs/>
          <w:color w:val="000000"/>
        </w:rPr>
        <w:t>WTDC-21 T</w:t>
      </w:r>
      <w:r>
        <w:rPr>
          <w:b/>
          <w:bCs/>
          <w:color w:val="000000"/>
        </w:rPr>
        <w:t>HEMATIC PRIORITIES</w:t>
      </w:r>
    </w:p>
    <w:p w14:paraId="62015D7C" w14:textId="15CEE67A" w:rsidR="00BC39DF" w:rsidRDefault="00BC39DF" w:rsidP="00BC39DF">
      <w:pPr>
        <w:tabs>
          <w:tab w:val="left" w:pos="1440"/>
        </w:tabs>
      </w:pPr>
      <w:r>
        <w:rPr>
          <w:b/>
          <w:bCs/>
          <w:color w:val="000000"/>
        </w:rPr>
        <w:t xml:space="preserve"> </w:t>
      </w:r>
      <w:r w:rsidRPr="00041A33">
        <w:rPr>
          <w:bCs/>
          <w:color w:val="000000"/>
        </w:rPr>
        <w:t>(</w:t>
      </w:r>
      <w:r>
        <w:rPr>
          <w:bCs/>
          <w:color w:val="000000"/>
        </w:rPr>
        <w:t>D</w:t>
      </w:r>
      <w:r w:rsidRPr="00B6110E">
        <w:t>ocument TDAG-WG-RDTP</w:t>
      </w:r>
      <w:r w:rsidRPr="00BC39DF">
        <w:t>/20-E</w:t>
      </w:r>
      <w:r w:rsidRPr="00B6110E">
        <w:t>)</w:t>
      </w:r>
    </w:p>
    <w:p w14:paraId="7406181E" w14:textId="33B38DD6" w:rsidR="00041A33" w:rsidRDefault="00041A33" w:rsidP="00041A33">
      <w:pPr>
        <w:tabs>
          <w:tab w:val="left" w:pos="1440"/>
        </w:tabs>
      </w:pPr>
    </w:p>
    <w:tbl>
      <w:tblPr>
        <w:tblpPr w:leftFromText="180" w:rightFromText="180" w:vertAnchor="page" w:horzAnchor="margin" w:tblpY="2031"/>
        <w:tblW w:w="9155"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109"/>
        <w:gridCol w:w="4578"/>
        <w:gridCol w:w="3468"/>
      </w:tblGrid>
      <w:tr w:rsidR="00BC39DF" w:rsidRPr="00BC39DF" w14:paraId="5762FD3A" w14:textId="77777777" w:rsidTr="00BC39DF">
        <w:trPr>
          <w:cantSplit/>
          <w:trHeight w:val="818"/>
        </w:trPr>
        <w:tc>
          <w:tcPr>
            <w:tcW w:w="9155" w:type="dxa"/>
            <w:gridSpan w:val="3"/>
            <w:tcBorders>
              <w:bottom w:val="single" w:sz="2" w:space="0" w:color="00B0F0"/>
            </w:tcBorders>
          </w:tcPr>
          <w:p w14:paraId="5771D6FB" w14:textId="77777777" w:rsidR="00BC39DF" w:rsidRPr="00BC39DF" w:rsidRDefault="00BC39DF" w:rsidP="00BC39DF">
            <w:pPr>
              <w:spacing w:before="240"/>
              <w:ind w:left="34"/>
              <w:rPr>
                <w:rFonts w:asciiTheme="minorHAnsi" w:hAnsiTheme="minorHAnsi" w:cstheme="minorHAnsi"/>
                <w:b/>
                <w:bCs/>
                <w:sz w:val="32"/>
                <w:szCs w:val="32"/>
              </w:rPr>
            </w:pPr>
            <w:r w:rsidRPr="00BC39DF">
              <w:rPr>
                <w:rFonts w:asciiTheme="minorHAnsi" w:hAnsiTheme="minorHAnsi" w:cstheme="minorHAnsi"/>
                <w:noProof/>
                <w:color w:val="3399FF"/>
                <w:sz w:val="32"/>
                <w:szCs w:val="32"/>
                <w:lang w:eastAsia="ja-JP"/>
              </w:rPr>
              <w:drawing>
                <wp:anchor distT="0" distB="0" distL="114300" distR="114300" simplePos="0" relativeHeight="251659264" behindDoc="0" locked="0" layoutInCell="1" allowOverlap="1" wp14:anchorId="6E6DAF5C" wp14:editId="00ED54C3">
                  <wp:simplePos x="0" y="0"/>
                  <wp:positionH relativeFrom="column">
                    <wp:posOffset>21590</wp:posOffset>
                  </wp:positionH>
                  <wp:positionV relativeFrom="paragraph">
                    <wp:posOffset>79375</wp:posOffset>
                  </wp:positionV>
                  <wp:extent cx="838200" cy="838200"/>
                  <wp:effectExtent l="0" t="0" r="0" b="0"/>
                  <wp:wrapSquare wrapText="bothSides"/>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r w:rsidRPr="00BC39DF">
              <w:rPr>
                <w:rFonts w:asciiTheme="minorHAnsi" w:hAnsiTheme="minorHAnsi" w:cstheme="minorHAnsi"/>
                <w:b/>
                <w:bCs/>
                <w:sz w:val="32"/>
                <w:szCs w:val="32"/>
              </w:rPr>
              <w:t>TDAG Working Group on Resolutions, Declaration and Thematic Priorities</w:t>
            </w:r>
          </w:p>
          <w:p w14:paraId="455134CA" w14:textId="77777777" w:rsidR="00BC39DF" w:rsidRPr="00BC39DF" w:rsidRDefault="00BC39DF" w:rsidP="00BC39DF">
            <w:pPr>
              <w:spacing w:before="120"/>
              <w:ind w:right="142"/>
              <w:rPr>
                <w:rFonts w:asciiTheme="minorHAnsi" w:hAnsiTheme="minorHAnsi" w:cstheme="minorHAnsi"/>
                <w:sz w:val="26"/>
                <w:szCs w:val="26"/>
              </w:rPr>
            </w:pPr>
            <w:r w:rsidRPr="00BC39DF">
              <w:rPr>
                <w:rFonts w:asciiTheme="minorHAnsi" w:hAnsiTheme="minorHAnsi" w:cstheme="minorHAnsi"/>
                <w:b/>
                <w:bCs/>
                <w:sz w:val="26"/>
                <w:szCs w:val="26"/>
              </w:rPr>
              <w:t>21 January 2021, Virtual</w:t>
            </w:r>
          </w:p>
        </w:tc>
      </w:tr>
      <w:tr w:rsidR="00BC39DF" w:rsidRPr="00BC39DF" w14:paraId="31C2C37E" w14:textId="77777777" w:rsidTr="00BC39DF">
        <w:trPr>
          <w:cantSplit/>
          <w:trHeight w:val="70"/>
        </w:trPr>
        <w:tc>
          <w:tcPr>
            <w:tcW w:w="5687" w:type="dxa"/>
            <w:gridSpan w:val="2"/>
            <w:tcBorders>
              <w:top w:val="single" w:sz="2" w:space="0" w:color="00B0F0"/>
            </w:tcBorders>
          </w:tcPr>
          <w:p w14:paraId="0B997DBA" w14:textId="77777777" w:rsidR="00BC39DF" w:rsidRPr="00BC39DF" w:rsidRDefault="00BC39DF" w:rsidP="00BC39DF">
            <w:pPr>
              <w:rPr>
                <w:rFonts w:asciiTheme="minorHAnsi" w:hAnsiTheme="minorHAnsi" w:cstheme="minorHAnsi"/>
                <w:b/>
                <w:bCs/>
                <w:sz w:val="20"/>
              </w:rPr>
            </w:pPr>
          </w:p>
        </w:tc>
        <w:tc>
          <w:tcPr>
            <w:tcW w:w="3468" w:type="dxa"/>
            <w:tcBorders>
              <w:top w:val="single" w:sz="2" w:space="0" w:color="00B0F0"/>
            </w:tcBorders>
          </w:tcPr>
          <w:p w14:paraId="1A791261" w14:textId="77777777" w:rsidR="00BC39DF" w:rsidRPr="00BC39DF" w:rsidRDefault="00BC39DF" w:rsidP="00BC39DF">
            <w:pPr>
              <w:spacing w:before="120"/>
              <w:rPr>
                <w:rFonts w:asciiTheme="minorHAnsi" w:hAnsiTheme="minorHAnsi" w:cstheme="minorHAnsi"/>
                <w:b/>
                <w:bCs/>
                <w:szCs w:val="28"/>
                <w:lang w:val="es-ES"/>
              </w:rPr>
            </w:pPr>
            <w:r w:rsidRPr="00BC39DF">
              <w:rPr>
                <w:rFonts w:asciiTheme="minorHAnsi" w:hAnsiTheme="minorHAnsi" w:cstheme="minorHAnsi"/>
                <w:b/>
                <w:bCs/>
                <w:szCs w:val="28"/>
                <w:lang w:val="es-ES"/>
              </w:rPr>
              <w:t>Document TDAG-WG-RDTP/20-E</w:t>
            </w:r>
          </w:p>
        </w:tc>
      </w:tr>
      <w:tr w:rsidR="00BC39DF" w:rsidRPr="00BC39DF" w14:paraId="493D9C75" w14:textId="77777777" w:rsidTr="00BC39DF">
        <w:trPr>
          <w:cantSplit/>
          <w:trHeight w:val="209"/>
        </w:trPr>
        <w:tc>
          <w:tcPr>
            <w:tcW w:w="5687" w:type="dxa"/>
            <w:gridSpan w:val="2"/>
          </w:tcPr>
          <w:p w14:paraId="17D291B7" w14:textId="77777777" w:rsidR="00BC39DF" w:rsidRPr="00BC39DF" w:rsidRDefault="00BC39DF" w:rsidP="00BC39DF">
            <w:pPr>
              <w:rPr>
                <w:rFonts w:asciiTheme="minorHAnsi" w:hAnsiTheme="minorHAnsi" w:cstheme="minorHAnsi"/>
                <w:b/>
                <w:bCs/>
                <w:sz w:val="20"/>
                <w:lang w:val="es-ES"/>
              </w:rPr>
            </w:pPr>
          </w:p>
        </w:tc>
        <w:tc>
          <w:tcPr>
            <w:tcW w:w="3468" w:type="dxa"/>
          </w:tcPr>
          <w:p w14:paraId="042CE443" w14:textId="77777777" w:rsidR="00BC39DF" w:rsidRPr="00BC39DF" w:rsidRDefault="00BC39DF" w:rsidP="00BC39DF">
            <w:pPr>
              <w:rPr>
                <w:rFonts w:asciiTheme="minorHAnsi" w:hAnsiTheme="minorHAnsi" w:cstheme="minorHAnsi"/>
                <w:b/>
                <w:bCs/>
                <w:szCs w:val="28"/>
              </w:rPr>
            </w:pPr>
            <w:r w:rsidRPr="00BC39DF">
              <w:rPr>
                <w:rFonts w:asciiTheme="minorHAnsi" w:hAnsiTheme="minorHAnsi" w:cstheme="minorHAnsi"/>
                <w:b/>
                <w:bCs/>
                <w:szCs w:val="28"/>
              </w:rPr>
              <w:t>18 January 2021</w:t>
            </w:r>
          </w:p>
        </w:tc>
      </w:tr>
      <w:tr w:rsidR="00BC39DF" w:rsidRPr="00BC39DF" w14:paraId="2DE3D97A" w14:textId="77777777" w:rsidTr="00BC39DF">
        <w:trPr>
          <w:cantSplit/>
          <w:trHeight w:val="98"/>
        </w:trPr>
        <w:tc>
          <w:tcPr>
            <w:tcW w:w="5687" w:type="dxa"/>
            <w:gridSpan w:val="2"/>
          </w:tcPr>
          <w:p w14:paraId="5BA7FE3B" w14:textId="77777777" w:rsidR="00BC39DF" w:rsidRPr="00BC39DF" w:rsidRDefault="00BC39DF" w:rsidP="00BC39DF">
            <w:pPr>
              <w:rPr>
                <w:rFonts w:asciiTheme="minorHAnsi" w:hAnsiTheme="minorHAnsi" w:cstheme="minorHAnsi"/>
                <w:b/>
                <w:bCs/>
                <w:sz w:val="20"/>
              </w:rPr>
            </w:pPr>
          </w:p>
        </w:tc>
        <w:tc>
          <w:tcPr>
            <w:tcW w:w="3468" w:type="dxa"/>
          </w:tcPr>
          <w:p w14:paraId="56D11372" w14:textId="77777777" w:rsidR="00BC39DF" w:rsidRPr="00BC39DF" w:rsidRDefault="00BC39DF" w:rsidP="00BC39DF">
            <w:pPr>
              <w:spacing w:after="120"/>
              <w:rPr>
                <w:rFonts w:asciiTheme="minorHAnsi" w:hAnsiTheme="minorHAnsi" w:cstheme="minorHAnsi"/>
                <w:b/>
                <w:bCs/>
                <w:szCs w:val="28"/>
              </w:rPr>
            </w:pPr>
            <w:r w:rsidRPr="00BC39DF">
              <w:rPr>
                <w:rFonts w:asciiTheme="minorHAnsi" w:hAnsiTheme="minorHAnsi" w:cstheme="minorHAnsi"/>
                <w:b/>
                <w:bCs/>
                <w:szCs w:val="28"/>
              </w:rPr>
              <w:t>English only</w:t>
            </w:r>
          </w:p>
        </w:tc>
      </w:tr>
      <w:tr w:rsidR="00BC39DF" w:rsidRPr="00BC39DF" w14:paraId="6C67AB96" w14:textId="77777777" w:rsidTr="00BC39DF">
        <w:trPr>
          <w:cantSplit/>
          <w:trHeight w:val="60"/>
        </w:trPr>
        <w:tc>
          <w:tcPr>
            <w:tcW w:w="1109" w:type="dxa"/>
          </w:tcPr>
          <w:p w14:paraId="191AE7BA" w14:textId="77777777" w:rsidR="00BC39DF" w:rsidRPr="00BC39DF" w:rsidRDefault="00BC39DF" w:rsidP="00BC39DF">
            <w:pPr>
              <w:spacing w:before="80" w:after="80"/>
              <w:rPr>
                <w:rFonts w:asciiTheme="minorHAnsi" w:hAnsiTheme="minorHAnsi" w:cstheme="minorHAnsi"/>
                <w:b/>
              </w:rPr>
            </w:pPr>
            <w:r w:rsidRPr="00BC39DF">
              <w:rPr>
                <w:rFonts w:asciiTheme="minorHAnsi" w:hAnsiTheme="minorHAnsi" w:cstheme="minorHAnsi"/>
                <w:b/>
                <w:bCs/>
              </w:rPr>
              <w:t>Source:</w:t>
            </w:r>
          </w:p>
        </w:tc>
        <w:tc>
          <w:tcPr>
            <w:tcW w:w="8046" w:type="dxa"/>
            <w:gridSpan w:val="2"/>
          </w:tcPr>
          <w:p w14:paraId="38388C35" w14:textId="77777777" w:rsidR="00BC39DF" w:rsidRPr="00BC39DF" w:rsidRDefault="00BC39DF" w:rsidP="00BC39DF">
            <w:pPr>
              <w:spacing w:before="80" w:after="80"/>
              <w:rPr>
                <w:rFonts w:asciiTheme="minorHAnsi" w:hAnsiTheme="minorHAnsi" w:cstheme="minorHAnsi"/>
                <w:bCs/>
              </w:rPr>
            </w:pPr>
            <w:r w:rsidRPr="00BC39DF">
              <w:rPr>
                <w:rFonts w:asciiTheme="minorHAnsi" w:hAnsiTheme="minorHAnsi" w:cstheme="minorHAnsi"/>
                <w:bCs/>
              </w:rPr>
              <w:t>Chairman, TDAG-WG-RDTP</w:t>
            </w:r>
          </w:p>
        </w:tc>
      </w:tr>
      <w:tr w:rsidR="00BC39DF" w:rsidRPr="00BC39DF" w14:paraId="0D6ECAFB" w14:textId="77777777" w:rsidTr="00BC39DF">
        <w:trPr>
          <w:cantSplit/>
          <w:trHeight w:val="293"/>
        </w:trPr>
        <w:tc>
          <w:tcPr>
            <w:tcW w:w="1109" w:type="dxa"/>
            <w:tcBorders>
              <w:bottom w:val="single" w:sz="4" w:space="0" w:color="00B0F0"/>
            </w:tcBorders>
          </w:tcPr>
          <w:p w14:paraId="602E8DA1" w14:textId="77777777" w:rsidR="00BC39DF" w:rsidRPr="00BC39DF" w:rsidRDefault="00BC39DF" w:rsidP="00BC39DF">
            <w:pPr>
              <w:spacing w:before="80" w:after="80"/>
              <w:rPr>
                <w:rFonts w:asciiTheme="minorHAnsi" w:hAnsiTheme="minorHAnsi" w:cstheme="minorHAnsi"/>
                <w:b/>
                <w:bCs/>
              </w:rPr>
            </w:pPr>
            <w:r w:rsidRPr="00BC39DF">
              <w:rPr>
                <w:rFonts w:asciiTheme="minorHAnsi" w:hAnsiTheme="minorHAnsi" w:cstheme="minorHAnsi"/>
                <w:b/>
                <w:bCs/>
              </w:rPr>
              <w:t>Title:</w:t>
            </w:r>
          </w:p>
        </w:tc>
        <w:tc>
          <w:tcPr>
            <w:tcW w:w="8046" w:type="dxa"/>
            <w:gridSpan w:val="2"/>
            <w:tcBorders>
              <w:bottom w:val="single" w:sz="4" w:space="0" w:color="00B0F0"/>
            </w:tcBorders>
          </w:tcPr>
          <w:p w14:paraId="74FC484E" w14:textId="77777777" w:rsidR="00BC39DF" w:rsidRPr="00BC39DF" w:rsidRDefault="00BC39DF" w:rsidP="00BC39DF">
            <w:pPr>
              <w:spacing w:before="80" w:after="80"/>
              <w:rPr>
                <w:rFonts w:asciiTheme="minorHAnsi" w:hAnsiTheme="minorHAnsi" w:cstheme="minorHAnsi"/>
                <w:bCs/>
              </w:rPr>
            </w:pPr>
            <w:r w:rsidRPr="00BC39DF">
              <w:rPr>
                <w:rFonts w:asciiTheme="minorHAnsi" w:hAnsiTheme="minorHAnsi" w:cstheme="minorHAnsi"/>
                <w:bCs/>
              </w:rPr>
              <w:t>Proposal for WTDC-21 Thematic Priorities</w:t>
            </w:r>
          </w:p>
        </w:tc>
      </w:tr>
    </w:tbl>
    <w:p w14:paraId="291E99C1" w14:textId="77777777" w:rsidR="00BC39DF" w:rsidRPr="00BC39DF" w:rsidRDefault="00BC39DF" w:rsidP="00BC39DF">
      <w:pPr>
        <w:pStyle w:val="paragraph"/>
        <w:tabs>
          <w:tab w:val="left" w:pos="567"/>
          <w:tab w:val="left" w:pos="1134"/>
        </w:tabs>
        <w:spacing w:before="120" w:beforeAutospacing="0" w:after="0" w:afterAutospacing="0"/>
        <w:textAlignment w:val="baseline"/>
        <w:rPr>
          <w:rFonts w:asciiTheme="minorHAnsi" w:hAnsiTheme="minorHAnsi" w:cstheme="minorHAnsi"/>
        </w:rPr>
      </w:pPr>
      <w:r w:rsidRPr="00BC39DF">
        <w:rPr>
          <w:rFonts w:asciiTheme="minorHAnsi" w:hAnsiTheme="minorHAnsi" w:cstheme="minorHAnsi"/>
        </w:rPr>
        <w:t xml:space="preserve">TDAG, </w:t>
      </w:r>
      <w:r w:rsidRPr="00BC39DF">
        <w:rPr>
          <w:rStyle w:val="normaltextrun"/>
          <w:rFonts w:asciiTheme="minorHAnsi" w:hAnsiTheme="minorHAnsi" w:cstheme="minorHAnsi"/>
        </w:rPr>
        <w:t>noting that 3.7 billion people remain unconnected,</w:t>
      </w:r>
      <w:r w:rsidRPr="00BC39DF">
        <w:rPr>
          <w:rFonts w:asciiTheme="minorHAnsi" w:hAnsiTheme="minorHAnsi" w:cstheme="minorHAnsi"/>
        </w:rPr>
        <w:t xml:space="preserve"> has adopted </w:t>
      </w:r>
      <w:r w:rsidRPr="00BC39DF">
        <w:rPr>
          <w:rFonts w:asciiTheme="minorHAnsi" w:hAnsiTheme="minorHAnsi" w:cstheme="minorHAnsi"/>
          <w:spacing w:val="-1"/>
        </w:rPr>
        <w:t>“</w:t>
      </w:r>
      <w:r w:rsidRPr="00BC39DF">
        <w:rPr>
          <w:rFonts w:asciiTheme="minorHAnsi" w:hAnsiTheme="minorHAnsi" w:cstheme="minorHAnsi"/>
          <w:b/>
        </w:rPr>
        <w:t xml:space="preserve">Connecting the Unconnected to Achieve Sustainable Development” </w:t>
      </w:r>
      <w:r w:rsidRPr="00BC39DF">
        <w:rPr>
          <w:rFonts w:asciiTheme="minorHAnsi" w:hAnsiTheme="minorHAnsi" w:cstheme="minorHAnsi"/>
          <w:bCs/>
        </w:rPr>
        <w:t>as the theme of the 2021</w:t>
      </w:r>
      <w:r w:rsidRPr="00BC39DF">
        <w:rPr>
          <w:rFonts w:asciiTheme="minorHAnsi" w:hAnsiTheme="minorHAnsi" w:cstheme="minorHAnsi"/>
          <w:spacing w:val="-4"/>
        </w:rPr>
        <w:t xml:space="preserve"> </w:t>
      </w:r>
      <w:r w:rsidRPr="00BC39DF">
        <w:rPr>
          <w:rFonts w:asciiTheme="minorHAnsi" w:hAnsiTheme="minorHAnsi" w:cstheme="minorHAnsi"/>
          <w:spacing w:val="-1"/>
        </w:rPr>
        <w:t>World</w:t>
      </w:r>
      <w:r w:rsidRPr="00BC39DF">
        <w:rPr>
          <w:rFonts w:asciiTheme="minorHAnsi" w:hAnsiTheme="minorHAnsi" w:cstheme="minorHAnsi"/>
          <w:spacing w:val="-6"/>
        </w:rPr>
        <w:t xml:space="preserve"> </w:t>
      </w:r>
      <w:r w:rsidRPr="00BC39DF">
        <w:rPr>
          <w:rFonts w:asciiTheme="minorHAnsi" w:hAnsiTheme="minorHAnsi" w:cstheme="minorHAnsi"/>
          <w:spacing w:val="-1"/>
        </w:rPr>
        <w:t>Telecommunication</w:t>
      </w:r>
      <w:r w:rsidRPr="00BC39DF">
        <w:rPr>
          <w:rFonts w:asciiTheme="minorHAnsi" w:hAnsiTheme="minorHAnsi" w:cstheme="minorHAnsi"/>
          <w:spacing w:val="-5"/>
        </w:rPr>
        <w:t xml:space="preserve"> </w:t>
      </w:r>
      <w:r w:rsidRPr="00BC39DF">
        <w:rPr>
          <w:rFonts w:asciiTheme="minorHAnsi" w:hAnsiTheme="minorHAnsi" w:cstheme="minorHAnsi"/>
          <w:spacing w:val="-1"/>
        </w:rPr>
        <w:t>Development</w:t>
      </w:r>
      <w:r w:rsidRPr="00BC39DF">
        <w:rPr>
          <w:rFonts w:asciiTheme="minorHAnsi" w:hAnsiTheme="minorHAnsi" w:cstheme="minorHAnsi"/>
          <w:spacing w:val="-6"/>
        </w:rPr>
        <w:t xml:space="preserve"> </w:t>
      </w:r>
      <w:r w:rsidRPr="00BC39DF">
        <w:rPr>
          <w:rFonts w:asciiTheme="minorHAnsi" w:hAnsiTheme="minorHAnsi" w:cstheme="minorHAnsi"/>
          <w:spacing w:val="-1"/>
        </w:rPr>
        <w:t>Conference</w:t>
      </w:r>
      <w:r w:rsidRPr="00BC39DF">
        <w:rPr>
          <w:rFonts w:asciiTheme="minorHAnsi" w:hAnsiTheme="minorHAnsi" w:cstheme="minorHAnsi"/>
          <w:spacing w:val="-4"/>
        </w:rPr>
        <w:t xml:space="preserve"> </w:t>
      </w:r>
      <w:r w:rsidRPr="00BC39DF">
        <w:rPr>
          <w:rFonts w:asciiTheme="minorHAnsi" w:hAnsiTheme="minorHAnsi" w:cstheme="minorHAnsi"/>
          <w:spacing w:val="-1"/>
        </w:rPr>
        <w:t>(Addis Ababa,</w:t>
      </w:r>
      <w:r w:rsidRPr="00BC39DF">
        <w:rPr>
          <w:rFonts w:asciiTheme="minorHAnsi" w:hAnsiTheme="minorHAnsi" w:cstheme="minorHAnsi"/>
          <w:spacing w:val="-6"/>
        </w:rPr>
        <w:t xml:space="preserve"> </w:t>
      </w:r>
      <w:r w:rsidRPr="00BC39DF">
        <w:rPr>
          <w:rFonts w:asciiTheme="minorHAnsi" w:hAnsiTheme="minorHAnsi" w:cstheme="minorHAnsi"/>
          <w:spacing w:val="-1"/>
        </w:rPr>
        <w:t>2021).</w:t>
      </w:r>
      <w:r w:rsidRPr="00BC39DF">
        <w:rPr>
          <w:rFonts w:asciiTheme="minorHAnsi" w:hAnsiTheme="minorHAnsi" w:cstheme="minorHAnsi"/>
          <w:bCs/>
        </w:rPr>
        <w:t xml:space="preserve"> </w:t>
      </w:r>
      <w:r w:rsidRPr="00BC39DF">
        <w:rPr>
          <w:rStyle w:val="normaltextrun"/>
          <w:rFonts w:asciiTheme="minorHAnsi" w:hAnsiTheme="minorHAnsi" w:cstheme="minorHAnsi"/>
        </w:rPr>
        <w:t>Ensuring a ubiquitous, equitable and affordable connectivity has become increasingly more important in the context of the global pandemic that continues to cause serious socioeconomic shifts and an increasing reliance on ICTs. This was also noted in the UNSG's Digital Cooperation Roadmap.</w:t>
      </w:r>
    </w:p>
    <w:p w14:paraId="15FD4899" w14:textId="77777777" w:rsidR="00BC39DF" w:rsidRPr="00BC39DF" w:rsidRDefault="00BC39DF" w:rsidP="00BC39DF">
      <w:pPr>
        <w:keepNext/>
        <w:tabs>
          <w:tab w:val="left" w:pos="567"/>
          <w:tab w:val="left" w:pos="1134"/>
        </w:tabs>
        <w:spacing w:before="120"/>
        <w:textAlignment w:val="baseline"/>
        <w:rPr>
          <w:rFonts w:asciiTheme="minorHAnsi" w:hAnsiTheme="minorHAnsi" w:cstheme="minorHAnsi"/>
        </w:rPr>
      </w:pPr>
      <w:r w:rsidRPr="00BC39DF">
        <w:rPr>
          <w:rFonts w:asciiTheme="minorHAnsi" w:hAnsiTheme="minorHAnsi" w:cstheme="minorHAnsi"/>
        </w:rPr>
        <w:t xml:space="preserve">The work of BDT is aligned along Topics that emanate from its objectives, programmes, projects, and initiatives. Hence, such Topics play a key role in facilitating coordination and creating synergies with different stakeholders and within the BDT for achieving ITU-D mandates and objectives. The following are the ten topics based on WTDC-17 Buenos Aires Action Plan (BAP) as presented in Document </w:t>
      </w:r>
      <w:hyperlink r:id="rId12" w:history="1">
        <w:r w:rsidRPr="00BC39DF">
          <w:rPr>
            <w:rStyle w:val="Hyperlink"/>
            <w:rFonts w:asciiTheme="minorHAnsi" w:hAnsiTheme="minorHAnsi" w:cstheme="minorHAnsi"/>
          </w:rPr>
          <w:t>TDAG-WG-RDTP/2-E</w:t>
        </w:r>
      </w:hyperlink>
      <w:r w:rsidRPr="00BC39DF">
        <w:rPr>
          <w:rFonts w:asciiTheme="minorHAnsi" w:hAnsiTheme="minorHAnsi" w:cstheme="minorHAnsi"/>
        </w:rPr>
        <w:t xml:space="preserve"> (13 July 2020): </w:t>
      </w:r>
    </w:p>
    <w:p w14:paraId="30D6D400"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Capacity Development</w:t>
      </w:r>
    </w:p>
    <w:p w14:paraId="3C8FC33D"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Cybersecurity</w:t>
      </w:r>
    </w:p>
    <w:p w14:paraId="7241E0AF"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Inclusion</w:t>
      </w:r>
    </w:p>
    <w:p w14:paraId="64559E7F"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Innovation Ecosystems</w:t>
      </w:r>
    </w:p>
    <w:p w14:paraId="43AE50F8"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Digital Services &amp; Applications</w:t>
      </w:r>
    </w:p>
    <w:p w14:paraId="116503FA"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Emergency Telecommunications</w:t>
      </w:r>
    </w:p>
    <w:p w14:paraId="6B56450A"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Environment</w:t>
      </w:r>
    </w:p>
    <w:p w14:paraId="67A38BD0"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Networks &amp; Digital Infrastructure</w:t>
      </w:r>
    </w:p>
    <w:p w14:paraId="08379C15"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Policy &amp; Regulation</w:t>
      </w:r>
    </w:p>
    <w:p w14:paraId="586B8C39" w14:textId="77777777" w:rsidR="00BC39DF" w:rsidRPr="00BC39DF" w:rsidRDefault="00BC39DF" w:rsidP="00BC39DF">
      <w:pPr>
        <w:pStyle w:val="ListParagraph"/>
        <w:numPr>
          <w:ilvl w:val="0"/>
          <w:numId w:val="30"/>
        </w:numPr>
        <w:tabs>
          <w:tab w:val="left" w:pos="567"/>
          <w:tab w:val="left" w:pos="1134"/>
        </w:tabs>
        <w:spacing w:before="60" w:line="259" w:lineRule="auto"/>
        <w:ind w:left="1134" w:hanging="567"/>
        <w:contextualSpacing w:val="0"/>
        <w:rPr>
          <w:rFonts w:asciiTheme="minorHAnsi" w:hAnsiTheme="minorHAnsi" w:cstheme="minorHAnsi"/>
        </w:rPr>
      </w:pPr>
      <w:r w:rsidRPr="00BC39DF">
        <w:rPr>
          <w:rFonts w:asciiTheme="minorHAnsi" w:hAnsiTheme="minorHAnsi" w:cstheme="minorHAnsi"/>
        </w:rPr>
        <w:t>Statistics</w:t>
      </w:r>
    </w:p>
    <w:p w14:paraId="30EF4232" w14:textId="77777777" w:rsidR="00BC39DF" w:rsidRPr="00BC39DF" w:rsidRDefault="00BC39DF" w:rsidP="00BC39DF">
      <w:pPr>
        <w:pStyle w:val="paragraph"/>
        <w:keepNext/>
        <w:tabs>
          <w:tab w:val="left" w:pos="567"/>
          <w:tab w:val="left" w:pos="1134"/>
        </w:tabs>
        <w:spacing w:before="120" w:beforeAutospacing="0" w:after="0" w:afterAutospacing="0"/>
        <w:textAlignment w:val="baseline"/>
        <w:rPr>
          <w:rFonts w:asciiTheme="minorHAnsi" w:hAnsiTheme="minorHAnsi" w:cstheme="minorHAnsi"/>
          <w:lang w:val="en-US"/>
        </w:rPr>
      </w:pPr>
      <w:r w:rsidRPr="00BC39DF">
        <w:rPr>
          <w:rFonts w:asciiTheme="minorHAnsi" w:hAnsiTheme="minorHAnsi" w:cstheme="minorHAnsi"/>
          <w:lang w:val="en-US"/>
        </w:rPr>
        <w:t xml:space="preserve">For better impact, more coherence, improved coordination and enhanced clarity, clustering of Topics into Thematic Priorities can be considered by combining related topics. The objective is to present succinct and comprehensive Thematic Priorities that are aligned with the theme of the Conference and at the same time facilitate the work and management of BDT. The Topics that can be considered as supporting components of the Thematic Priorities should emanate from the Addis Ababa Action Plan to be adopted by WTDC-21 and will determine the work of ITU-D over the next four years (2022-2025). In what follows, four </w:t>
      </w:r>
      <w:r w:rsidRPr="00BC39DF">
        <w:rPr>
          <w:rFonts w:asciiTheme="minorHAnsi" w:hAnsiTheme="minorHAnsi" w:cstheme="minorHAnsi"/>
          <w:lang w:val="en-US"/>
        </w:rPr>
        <w:lastRenderedPageBreak/>
        <w:t>Thematic Priorities are proposed to assist ITU membership in their preparations for WTDC-21 and to start discussions in TDAG-WG RDTP with a view to achieving a fit-for-purpose ITU-D:</w:t>
      </w:r>
    </w:p>
    <w:p w14:paraId="65CB49AF"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Connectivity: </w:t>
      </w:r>
      <w:r w:rsidRPr="00BC39DF">
        <w:rPr>
          <w:rFonts w:asciiTheme="minorHAnsi" w:hAnsiTheme="minorHAnsi" w:cstheme="minorHAnsi"/>
        </w:rPr>
        <w:t xml:space="preserve">The focus of this Thematic Priority is on the deployment of modern, available, secure, accessible, and affordable broadband telecommunication/ICT infrastructure. This Thematic Priority would seek to foster the development of infrastructure and services by utilizing new and emerging digital technologies, including building confidence and security in the use of telecommunications/ICT. The needs of </w:t>
      </w:r>
      <w:r w:rsidRPr="00BC39DF">
        <w:rPr>
          <w:rStyle w:val="normaltextrun"/>
          <w:rFonts w:asciiTheme="minorHAnsi" w:hAnsiTheme="minorHAnsi" w:cstheme="minorHAnsi"/>
        </w:rPr>
        <w:t xml:space="preserve">LDCs, LLDCs and SIDS </w:t>
      </w:r>
      <w:r w:rsidRPr="00BC39DF">
        <w:rPr>
          <w:rFonts w:asciiTheme="minorHAnsi" w:hAnsiTheme="minorHAnsi" w:cstheme="minorHAnsi"/>
        </w:rPr>
        <w:t xml:space="preserve">should be prioritized and given due attention. The following topics can be considered as supporting components of this Thematic Priority: </w:t>
      </w:r>
      <w:r w:rsidRPr="00BC39DF">
        <w:rPr>
          <w:rFonts w:asciiTheme="minorHAnsi" w:hAnsiTheme="minorHAnsi" w:cstheme="minorHAnsi"/>
          <w:b/>
          <w:bCs/>
          <w:i/>
          <w:iCs/>
        </w:rPr>
        <w:t>Future Networks and Digital Infrastructure</w:t>
      </w:r>
      <w:r w:rsidRPr="00BC39DF">
        <w:rPr>
          <w:rFonts w:asciiTheme="minorHAnsi" w:hAnsiTheme="minorHAnsi" w:cstheme="minorHAnsi"/>
          <w:b/>
          <w:bCs/>
        </w:rPr>
        <w:t xml:space="preserve">, </w:t>
      </w:r>
      <w:r w:rsidRPr="00BC39DF">
        <w:rPr>
          <w:rFonts w:asciiTheme="minorHAnsi" w:hAnsiTheme="minorHAnsi" w:cstheme="minorHAnsi"/>
          <w:b/>
          <w:bCs/>
          <w:i/>
          <w:iCs/>
        </w:rPr>
        <w:t>Cybersecurity</w:t>
      </w:r>
      <w:r w:rsidRPr="00BC39DF">
        <w:rPr>
          <w:rFonts w:asciiTheme="minorHAnsi" w:hAnsiTheme="minorHAnsi" w:cstheme="minorHAnsi"/>
          <w:i/>
          <w:iCs/>
        </w:rPr>
        <w:t>,</w:t>
      </w:r>
      <w:r w:rsidRPr="00BC39DF">
        <w:rPr>
          <w:rFonts w:asciiTheme="minorHAnsi" w:hAnsiTheme="minorHAnsi" w:cstheme="minorHAnsi"/>
        </w:rPr>
        <w:t xml:space="preserve"> and </w:t>
      </w:r>
      <w:r w:rsidRPr="00BC39DF">
        <w:rPr>
          <w:rFonts w:asciiTheme="minorHAnsi" w:hAnsiTheme="minorHAnsi" w:cstheme="minorHAnsi"/>
          <w:b/>
          <w:bCs/>
          <w:i/>
          <w:iCs/>
        </w:rPr>
        <w:t>Emergency Telecommunications</w:t>
      </w:r>
      <w:r w:rsidRPr="00BC39DF">
        <w:rPr>
          <w:rFonts w:asciiTheme="minorHAnsi" w:hAnsiTheme="minorHAnsi" w:cstheme="minorHAnsi"/>
          <w:i/>
          <w:iCs/>
        </w:rPr>
        <w:t>.</w:t>
      </w:r>
    </w:p>
    <w:p w14:paraId="42D6B064"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Digital Society: </w:t>
      </w:r>
      <w:r w:rsidRPr="00BC39DF">
        <w:rPr>
          <w:rFonts w:asciiTheme="minorHAnsi" w:hAnsiTheme="minorHAnsi" w:cstheme="minorHAnsi"/>
        </w:rPr>
        <w:t xml:space="preserve">The focus of this Thematic Priority is on the development and use of telecommunications/ICTs and applications and services to close the Digital Divides and empower people and societies for sustainable development. </w:t>
      </w:r>
      <w:r w:rsidRPr="00BC39DF">
        <w:rPr>
          <w:rStyle w:val="normaltextrun"/>
          <w:rFonts w:asciiTheme="minorHAnsi" w:hAnsiTheme="minorHAnsi" w:cstheme="minorHAnsi"/>
        </w:rPr>
        <w:t xml:space="preserve">This is of critical importance as societies adapt to the changes that are needed to reengineer as a result of the Covid-19 pandemic. </w:t>
      </w:r>
      <w:r w:rsidRPr="00BC39DF">
        <w:rPr>
          <w:rFonts w:asciiTheme="minorHAnsi" w:hAnsiTheme="minorHAnsi" w:cstheme="minorHAnsi"/>
        </w:rPr>
        <w:t xml:space="preserve">In doing so, there is need to recognize the important role that women and youth can play in making the digital society a reality. The following topics can be considered as supporting components of this Thematic Priority: </w:t>
      </w:r>
      <w:r w:rsidRPr="00BC39DF">
        <w:rPr>
          <w:rFonts w:asciiTheme="minorHAnsi" w:hAnsiTheme="minorHAnsi" w:cstheme="minorHAnsi"/>
          <w:b/>
          <w:bCs/>
          <w:i/>
          <w:iCs/>
        </w:rPr>
        <w:t>Digital Inclusion</w:t>
      </w:r>
      <w:r w:rsidRPr="00BC39DF">
        <w:rPr>
          <w:rFonts w:asciiTheme="minorHAnsi" w:hAnsiTheme="minorHAnsi" w:cstheme="minorHAnsi"/>
        </w:rPr>
        <w:t xml:space="preserve">, </w:t>
      </w:r>
      <w:r w:rsidRPr="00BC39DF">
        <w:rPr>
          <w:rFonts w:asciiTheme="minorHAnsi" w:hAnsiTheme="minorHAnsi" w:cstheme="minorHAnsi"/>
          <w:b/>
          <w:bCs/>
          <w:i/>
          <w:iCs/>
        </w:rPr>
        <w:t>Digital Services and Applications</w:t>
      </w:r>
      <w:r w:rsidRPr="00BC39DF">
        <w:rPr>
          <w:rFonts w:asciiTheme="minorHAnsi" w:hAnsiTheme="minorHAnsi" w:cstheme="minorHAnsi"/>
        </w:rPr>
        <w:t xml:space="preserve">, and </w:t>
      </w:r>
      <w:r w:rsidRPr="00BC39DF">
        <w:rPr>
          <w:rFonts w:asciiTheme="minorHAnsi" w:hAnsiTheme="minorHAnsi" w:cstheme="minorHAnsi"/>
          <w:b/>
          <w:bCs/>
          <w:i/>
          <w:iCs/>
        </w:rPr>
        <w:t>Environment.</w:t>
      </w:r>
    </w:p>
    <w:p w14:paraId="4139C2CC"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Enabling Environment: </w:t>
      </w:r>
      <w:r w:rsidRPr="00BC39DF">
        <w:rPr>
          <w:rFonts w:asciiTheme="minorHAnsi" w:hAnsiTheme="minorHAnsi" w:cstheme="minorHAnsi"/>
        </w:rPr>
        <w:t xml:space="preserve">The focus of this Thematic Priority is on fostering an enabling policy and regulatory environment conducive to sustainable telecommunication/ICT development. </w:t>
      </w:r>
      <w:r w:rsidRPr="00BC39DF">
        <w:rPr>
          <w:rStyle w:val="normaltextrun"/>
          <w:rFonts w:asciiTheme="minorHAnsi" w:hAnsiTheme="minorHAnsi" w:cstheme="minorHAnsi"/>
        </w:rPr>
        <w:t xml:space="preserve">This Thematic Priority comprises key enablers that underpin ITU’s work to deliver on the Connectivity and Digital Society priorities. </w:t>
      </w:r>
      <w:r w:rsidRPr="00BC39DF">
        <w:rPr>
          <w:rFonts w:asciiTheme="minorHAnsi" w:hAnsiTheme="minorHAnsi" w:cstheme="minorHAnsi"/>
        </w:rPr>
        <w:t>The following topics can be considered as supporting components of this Thematic Priority:</w:t>
      </w:r>
      <w:r w:rsidRPr="00BC39DF">
        <w:rPr>
          <w:rFonts w:asciiTheme="minorHAnsi" w:hAnsiTheme="minorHAnsi" w:cstheme="minorHAnsi"/>
          <w:i/>
          <w:iCs/>
        </w:rPr>
        <w:t xml:space="preserve"> </w:t>
      </w:r>
      <w:r w:rsidRPr="00BC39DF">
        <w:rPr>
          <w:rFonts w:asciiTheme="minorHAnsi" w:hAnsiTheme="minorHAnsi" w:cstheme="minorHAnsi"/>
          <w:b/>
          <w:bCs/>
          <w:i/>
          <w:iCs/>
        </w:rPr>
        <w:t>Statistics</w:t>
      </w:r>
      <w:r w:rsidRPr="00BC39DF">
        <w:rPr>
          <w:rFonts w:asciiTheme="minorHAnsi" w:hAnsiTheme="minorHAnsi" w:cstheme="minorHAnsi"/>
          <w:i/>
          <w:iCs/>
        </w:rPr>
        <w:t xml:space="preserve">, </w:t>
      </w:r>
      <w:r w:rsidRPr="00BC39DF">
        <w:rPr>
          <w:rFonts w:asciiTheme="minorHAnsi" w:hAnsiTheme="minorHAnsi" w:cstheme="minorHAnsi"/>
          <w:b/>
          <w:bCs/>
          <w:i/>
          <w:iCs/>
        </w:rPr>
        <w:t>Digital Innovation Ecosystems, Policy and Regulatory environments</w:t>
      </w:r>
      <w:r w:rsidRPr="00BC39DF">
        <w:rPr>
          <w:rFonts w:asciiTheme="minorHAnsi" w:hAnsiTheme="minorHAnsi" w:cstheme="minorHAnsi"/>
          <w:i/>
          <w:iCs/>
        </w:rPr>
        <w:t>,</w:t>
      </w:r>
      <w:r w:rsidRPr="00BC39DF">
        <w:rPr>
          <w:rFonts w:asciiTheme="minorHAnsi" w:hAnsiTheme="minorHAnsi" w:cstheme="minorHAnsi"/>
        </w:rPr>
        <w:t xml:space="preserve"> and </w:t>
      </w:r>
      <w:r w:rsidRPr="00BC39DF">
        <w:rPr>
          <w:rFonts w:asciiTheme="minorHAnsi" w:hAnsiTheme="minorHAnsi" w:cstheme="minorHAnsi"/>
          <w:b/>
          <w:bCs/>
          <w:i/>
          <w:iCs/>
        </w:rPr>
        <w:t>Capacity Development</w:t>
      </w:r>
      <w:r w:rsidRPr="00BC39DF">
        <w:rPr>
          <w:rFonts w:asciiTheme="minorHAnsi" w:hAnsiTheme="minorHAnsi" w:cstheme="minorHAnsi"/>
          <w:i/>
          <w:iCs/>
        </w:rPr>
        <w:t>.</w:t>
      </w:r>
    </w:p>
    <w:p w14:paraId="5FF2D71C" w14:textId="77777777" w:rsidR="00BC39DF" w:rsidRPr="00BC39DF" w:rsidRDefault="00BC39DF" w:rsidP="00BC39DF">
      <w:pPr>
        <w:pStyle w:val="ListParagraph"/>
        <w:numPr>
          <w:ilvl w:val="0"/>
          <w:numId w:val="29"/>
        </w:numPr>
        <w:tabs>
          <w:tab w:val="left" w:pos="567"/>
          <w:tab w:val="left" w:pos="1134"/>
        </w:tabs>
        <w:spacing w:before="60" w:line="259" w:lineRule="auto"/>
        <w:ind w:left="567" w:hanging="567"/>
        <w:contextualSpacing w:val="0"/>
        <w:rPr>
          <w:rFonts w:asciiTheme="minorHAnsi" w:hAnsiTheme="minorHAnsi" w:cstheme="minorHAnsi"/>
          <w:i/>
          <w:iCs/>
        </w:rPr>
      </w:pPr>
      <w:r w:rsidRPr="00BC39DF">
        <w:rPr>
          <w:rFonts w:asciiTheme="minorHAnsi" w:hAnsiTheme="minorHAnsi" w:cstheme="minorHAnsi"/>
          <w:b/>
          <w:bCs/>
          <w:color w:val="0070C0"/>
        </w:rPr>
        <w:t xml:space="preserve">Resource Mobilization and International Cooperation: </w:t>
      </w:r>
      <w:r w:rsidRPr="00BC39DF">
        <w:rPr>
          <w:rFonts w:asciiTheme="minorHAnsi" w:hAnsiTheme="minorHAnsi" w:cstheme="minorHAnsi"/>
        </w:rPr>
        <w:t xml:space="preserve">The focus of this Thematic Priority is on mobilizing and attracting resources and fostering international cooperation on telecommunication/ICT development issues. </w:t>
      </w:r>
      <w:r w:rsidRPr="00BC39DF">
        <w:rPr>
          <w:rStyle w:val="normaltextrun"/>
          <w:rFonts w:asciiTheme="minorHAnsi" w:hAnsiTheme="minorHAnsi" w:cstheme="minorHAnsi"/>
        </w:rPr>
        <w:t xml:space="preserve">This Thematic Priority is also cross cutting by providing the resources and fostering international cooperation to deliver the relevant global outcomes. </w:t>
      </w:r>
      <w:r w:rsidRPr="00BC39DF">
        <w:rPr>
          <w:rFonts w:asciiTheme="minorHAnsi" w:hAnsiTheme="minorHAnsi" w:cstheme="minorHAnsi"/>
        </w:rPr>
        <w:t xml:space="preserve">The following topics can be considered as the supporting components of this Thematic Priority: </w:t>
      </w:r>
      <w:r w:rsidRPr="00BC39DF">
        <w:rPr>
          <w:rFonts w:asciiTheme="minorHAnsi" w:hAnsiTheme="minorHAnsi" w:cstheme="minorHAnsi"/>
          <w:b/>
          <w:bCs/>
          <w:i/>
          <w:iCs/>
        </w:rPr>
        <w:t xml:space="preserve">Projects, Partnerships, Membership, </w:t>
      </w:r>
      <w:r w:rsidRPr="00BC39DF">
        <w:rPr>
          <w:rFonts w:asciiTheme="minorHAnsi" w:hAnsiTheme="minorHAnsi" w:cstheme="minorHAnsi"/>
        </w:rPr>
        <w:t xml:space="preserve">and </w:t>
      </w:r>
      <w:r w:rsidRPr="00BC39DF">
        <w:rPr>
          <w:rFonts w:asciiTheme="minorHAnsi" w:hAnsiTheme="minorHAnsi" w:cstheme="minorHAnsi"/>
          <w:b/>
          <w:bCs/>
          <w:i/>
          <w:iCs/>
        </w:rPr>
        <w:t>ITU-D Study Groups</w:t>
      </w:r>
      <w:r w:rsidRPr="00BC39DF">
        <w:rPr>
          <w:rFonts w:asciiTheme="minorHAnsi" w:hAnsiTheme="minorHAnsi" w:cstheme="minorHAnsi"/>
        </w:rPr>
        <w:t>.</w:t>
      </w:r>
    </w:p>
    <w:p w14:paraId="0233468F" w14:textId="77777777" w:rsidR="00BC39DF" w:rsidRPr="00BC39DF" w:rsidRDefault="00BC39DF" w:rsidP="00BC39DF">
      <w:pPr>
        <w:tabs>
          <w:tab w:val="left" w:pos="567"/>
          <w:tab w:val="left" w:pos="1134"/>
        </w:tabs>
        <w:spacing w:before="120"/>
        <w:rPr>
          <w:rFonts w:asciiTheme="minorHAnsi" w:hAnsiTheme="minorHAnsi" w:cstheme="minorHAnsi"/>
        </w:rPr>
      </w:pPr>
      <w:r w:rsidRPr="00BC39DF">
        <w:rPr>
          <w:rStyle w:val="normaltextrun"/>
          <w:rFonts w:asciiTheme="minorHAnsi" w:hAnsiTheme="minorHAnsi" w:cstheme="minorHAnsi"/>
        </w:rPr>
        <w:t xml:space="preserve">The concerns and needs of LDCs, LLDCs and SIDS are crosscutting across all Thematic Priorities. </w:t>
      </w:r>
      <w:r w:rsidRPr="00BC39DF">
        <w:rPr>
          <w:rFonts w:asciiTheme="minorHAnsi" w:hAnsiTheme="minorHAnsi" w:cstheme="minorHAnsi"/>
        </w:rPr>
        <w:t>Below is a pictorial presentation of the above concepts, mapping thematic priorities to topics and their boundaries.</w:t>
      </w:r>
    </w:p>
    <w:p w14:paraId="0A5517D9" w14:textId="672FFADC" w:rsidR="00BC39DF" w:rsidRDefault="00BC39DF" w:rsidP="00041A33">
      <w:pPr>
        <w:tabs>
          <w:tab w:val="left" w:pos="1440"/>
        </w:tabs>
      </w:pPr>
    </w:p>
    <w:p w14:paraId="36B7C52E" w14:textId="3924390C" w:rsidR="00BC39DF" w:rsidRDefault="00BC39DF" w:rsidP="00041A33">
      <w:pPr>
        <w:tabs>
          <w:tab w:val="left" w:pos="1440"/>
        </w:tabs>
      </w:pPr>
      <w:r>
        <w:rPr>
          <w:noProof/>
          <w:lang w:eastAsia="ja-JP"/>
        </w:rPr>
        <w:lastRenderedPageBreak/>
        <w:drawing>
          <wp:inline distT="0" distB="0" distL="0" distR="0" wp14:anchorId="1983B9DD" wp14:editId="6D7E0A94">
            <wp:extent cx="5731510" cy="3223895"/>
            <wp:effectExtent l="0" t="0" r="2540" b="0"/>
            <wp:docPr id="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31510" cy="3223895"/>
                    </a:xfrm>
                    <a:prstGeom prst="rect">
                      <a:avLst/>
                    </a:prstGeom>
                  </pic:spPr>
                </pic:pic>
              </a:graphicData>
            </a:graphic>
          </wp:inline>
        </w:drawing>
      </w:r>
    </w:p>
    <w:p w14:paraId="3DAD4D56" w14:textId="6B4B7A46" w:rsidR="00C0137C" w:rsidRDefault="00C0137C" w:rsidP="00041A33">
      <w:pPr>
        <w:tabs>
          <w:tab w:val="left" w:pos="1440"/>
        </w:tabs>
      </w:pPr>
    </w:p>
    <w:p w14:paraId="32543F9C" w14:textId="77777777" w:rsidR="00C0137C" w:rsidRPr="00041A33" w:rsidRDefault="00C0137C" w:rsidP="00C0137C">
      <w:pPr>
        <w:tabs>
          <w:tab w:val="left" w:pos="794"/>
          <w:tab w:val="left" w:pos="1191"/>
          <w:tab w:val="left" w:pos="1588"/>
          <w:tab w:val="left" w:pos="1985"/>
        </w:tabs>
        <w:overflowPunct w:val="0"/>
        <w:autoSpaceDE w:val="0"/>
        <w:autoSpaceDN w:val="0"/>
        <w:adjustRightInd w:val="0"/>
        <w:spacing w:before="120"/>
        <w:jc w:val="center"/>
        <w:textAlignment w:val="baseline"/>
        <w:rPr>
          <w:rFonts w:ascii="Calibri" w:eastAsia="MS Mincho" w:hAnsi="Calibri"/>
          <w:sz w:val="22"/>
          <w:szCs w:val="20"/>
          <w:lang w:val="en-GB"/>
        </w:rPr>
      </w:pPr>
      <w:r w:rsidRPr="00041A33">
        <w:rPr>
          <w:rFonts w:ascii="Calibri" w:eastAsia="MS Mincho" w:hAnsi="Calibri"/>
          <w:sz w:val="22"/>
          <w:szCs w:val="20"/>
          <w:lang w:val="en-GB"/>
        </w:rPr>
        <w:t>________________</w:t>
      </w:r>
    </w:p>
    <w:p w14:paraId="499EC67E" w14:textId="77777777" w:rsidR="00C0137C" w:rsidRPr="003A48B8" w:rsidRDefault="00C0137C" w:rsidP="00041A33">
      <w:pPr>
        <w:tabs>
          <w:tab w:val="left" w:pos="1440"/>
        </w:tabs>
      </w:pPr>
    </w:p>
    <w:sectPr w:rsidR="00C0137C" w:rsidRPr="003A48B8" w:rsidSect="002E2B2D">
      <w:headerReference w:type="default" r:id="rId15"/>
      <w:footerReference w:type="even" r:id="rId16"/>
      <w:footerReference w:type="default" r:id="rId17"/>
      <w:footerReference w:type="first" r:id="rId18"/>
      <w:pgSz w:w="11909" w:h="16834" w:code="9"/>
      <w:pgMar w:top="1152" w:right="1296"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C0689" w14:textId="77777777" w:rsidR="00380748" w:rsidRDefault="00380748">
      <w:r>
        <w:separator/>
      </w:r>
    </w:p>
  </w:endnote>
  <w:endnote w:type="continuationSeparator" w:id="0">
    <w:p w14:paraId="7815AE23" w14:textId="77777777" w:rsidR="00380748" w:rsidRDefault="0038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BatangChe">
    <w:altName w:val="Malgun Gothic Semilight"/>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Malgun Gothic Semilight">
    <w:panose1 w:val="020B0502040204020203"/>
    <w:charset w:val="81"/>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D6163"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DD9B3" w14:textId="77777777" w:rsidR="0097693B" w:rsidRDefault="0097693B" w:rsidP="00DB0A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167F" w14:textId="2FE728CC" w:rsidR="0097693B" w:rsidRDefault="00341CD0" w:rsidP="00341CD0">
    <w:pPr>
      <w:pStyle w:val="Footer"/>
      <w:tabs>
        <w:tab w:val="clear" w:pos="4320"/>
        <w:tab w:val="clear" w:pos="8640"/>
        <w:tab w:val="right" w:pos="9180"/>
      </w:tabs>
      <w:ind w:right="-7"/>
      <w:jc w:val="right"/>
    </w:pPr>
    <w:r>
      <w:rPr>
        <w:rStyle w:val="PageNumber"/>
      </w:rPr>
      <w:t>APT WT</w:t>
    </w:r>
    <w:r w:rsidR="002E2B2D">
      <w:rPr>
        <w:rStyle w:val="PageNumber"/>
      </w:rPr>
      <w:t>DC</w:t>
    </w:r>
    <w:r>
      <w:rPr>
        <w:rStyle w:val="PageNumber"/>
      </w:rPr>
      <w:t>2</w:t>
    </w:r>
    <w:r w:rsidR="002E2B2D">
      <w:rPr>
        <w:rStyle w:val="PageNumber"/>
      </w:rPr>
      <w:t>1</w:t>
    </w:r>
    <w:r>
      <w:rPr>
        <w:rStyle w:val="PageNumber"/>
      </w:rPr>
      <w:t>-</w:t>
    </w:r>
    <w:r w:rsidR="00532959">
      <w:rPr>
        <w:rStyle w:val="PageNumber"/>
      </w:rPr>
      <w:t>2</w:t>
    </w:r>
    <w:r>
      <w:rPr>
        <w:rStyle w:val="PageNumber"/>
      </w:rPr>
      <w:t>/INP-</w:t>
    </w:r>
    <w:r w:rsidR="002E2B2D">
      <w:rPr>
        <w:rStyle w:val="PageNumber"/>
      </w:rPr>
      <w:t>xx</w:t>
    </w:r>
    <w:r>
      <w:rPr>
        <w:rStyle w:val="PageNumber"/>
      </w:rPr>
      <w:tab/>
    </w:r>
    <w:r w:rsidR="002C7EA9" w:rsidRPr="002C7EA9">
      <w:rPr>
        <w:rStyle w:val="PageNumber"/>
      </w:rPr>
      <w:t xml:space="preserve">Page </w:t>
    </w:r>
    <w:r w:rsidR="002C7EA9" w:rsidRPr="002C7EA9">
      <w:rPr>
        <w:rStyle w:val="PageNumber"/>
      </w:rPr>
      <w:fldChar w:fldCharType="begin"/>
    </w:r>
    <w:r w:rsidR="002C7EA9" w:rsidRPr="002C7EA9">
      <w:rPr>
        <w:rStyle w:val="PageNumber"/>
      </w:rPr>
      <w:instrText xml:space="preserve"> PAGE </w:instrText>
    </w:r>
    <w:r w:rsidR="002C7EA9" w:rsidRPr="002C7EA9">
      <w:rPr>
        <w:rStyle w:val="PageNumber"/>
      </w:rPr>
      <w:fldChar w:fldCharType="separate"/>
    </w:r>
    <w:r w:rsidR="001D6CCD">
      <w:rPr>
        <w:rStyle w:val="PageNumber"/>
        <w:noProof/>
      </w:rPr>
      <w:t>8</w:t>
    </w:r>
    <w:r w:rsidR="002C7EA9" w:rsidRPr="002C7EA9">
      <w:rPr>
        <w:rStyle w:val="PageNumber"/>
      </w:rPr>
      <w:fldChar w:fldCharType="end"/>
    </w:r>
    <w:r w:rsidR="002C7EA9" w:rsidRPr="002C7EA9">
      <w:rPr>
        <w:rStyle w:val="PageNumber"/>
      </w:rPr>
      <w:t xml:space="preserve"> of </w:t>
    </w:r>
    <w:r w:rsidR="002C7EA9" w:rsidRPr="002C7EA9">
      <w:rPr>
        <w:rStyle w:val="PageNumber"/>
      </w:rPr>
      <w:fldChar w:fldCharType="begin"/>
    </w:r>
    <w:r w:rsidR="002C7EA9" w:rsidRPr="002C7EA9">
      <w:rPr>
        <w:rStyle w:val="PageNumber"/>
      </w:rPr>
      <w:instrText xml:space="preserve"> NUMPAGES </w:instrText>
    </w:r>
    <w:r w:rsidR="002C7EA9" w:rsidRPr="002C7EA9">
      <w:rPr>
        <w:rStyle w:val="PageNumber"/>
      </w:rPr>
      <w:fldChar w:fldCharType="separate"/>
    </w:r>
    <w:r w:rsidR="001D6CCD">
      <w:rPr>
        <w:rStyle w:val="PageNumber"/>
        <w:noProof/>
      </w:rPr>
      <w:t>12</w:t>
    </w:r>
    <w:r w:rsidR="002C7EA9" w:rsidRPr="002C7EA9">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88" w:type="dxa"/>
      <w:jc w:val="center"/>
      <w:tblBorders>
        <w:top w:val="single" w:sz="8" w:space="0" w:color="auto"/>
      </w:tblBorders>
      <w:tblLayout w:type="fixed"/>
      <w:tblCellMar>
        <w:left w:w="57" w:type="dxa"/>
        <w:right w:w="57" w:type="dxa"/>
      </w:tblCellMar>
      <w:tblLook w:val="0000" w:firstRow="0" w:lastRow="0" w:firstColumn="0" w:lastColumn="0" w:noHBand="0" w:noVBand="0"/>
    </w:tblPr>
    <w:tblGrid>
      <w:gridCol w:w="1152"/>
      <w:gridCol w:w="5472"/>
      <w:gridCol w:w="2664"/>
    </w:tblGrid>
    <w:tr w:rsidR="00341CD0" w:rsidRPr="005E75F4" w14:paraId="23026B3F" w14:textId="77777777" w:rsidTr="007B0725">
      <w:trPr>
        <w:cantSplit/>
        <w:trHeight w:val="204"/>
        <w:jc w:val="center"/>
      </w:trPr>
      <w:tc>
        <w:tcPr>
          <w:tcW w:w="1152" w:type="dxa"/>
        </w:tcPr>
        <w:p w14:paraId="32CDC3AA" w14:textId="77777777" w:rsidR="00341CD0" w:rsidRPr="005E75F4" w:rsidRDefault="00341CD0" w:rsidP="00341CD0">
          <w:pPr>
            <w:rPr>
              <w:b/>
              <w:bCs/>
            </w:rPr>
          </w:pPr>
          <w:r w:rsidRPr="005E75F4">
            <w:rPr>
              <w:b/>
              <w:bCs/>
            </w:rPr>
            <w:t>Contact:</w:t>
          </w:r>
        </w:p>
      </w:tc>
      <w:tc>
        <w:tcPr>
          <w:tcW w:w="5472" w:type="dxa"/>
        </w:tcPr>
        <w:p w14:paraId="6F631E38" w14:textId="3D0DA019" w:rsidR="00341CD0" w:rsidRPr="005E75F4" w:rsidRDefault="00341CD0" w:rsidP="00341CD0">
          <w:pPr>
            <w:rPr>
              <w:rFonts w:eastAsia="Batang"/>
            </w:rPr>
          </w:pPr>
        </w:p>
      </w:tc>
      <w:tc>
        <w:tcPr>
          <w:tcW w:w="2664" w:type="dxa"/>
        </w:tcPr>
        <w:p w14:paraId="488B4C7E" w14:textId="4EC3A8F6" w:rsidR="00341CD0" w:rsidRPr="005E75F4" w:rsidRDefault="00341CD0" w:rsidP="002E2B2D">
          <w:pPr>
            <w:rPr>
              <w:lang w:eastAsia="ja-JP"/>
            </w:rPr>
          </w:pPr>
          <w:r w:rsidRPr="005E75F4">
            <w:t xml:space="preserve">Email: </w:t>
          </w:r>
        </w:p>
      </w:tc>
    </w:tr>
  </w:tbl>
  <w:p w14:paraId="6E9AF77B" w14:textId="77777777" w:rsidR="00341CD0" w:rsidRPr="00341CD0" w:rsidRDefault="00341CD0" w:rsidP="00341CD0">
    <w:pPr>
      <w:pStyle w:val="Footer"/>
      <w:tabs>
        <w:tab w:val="clear" w:pos="4320"/>
        <w:tab w:val="clear" w:pos="8640"/>
        <w:tab w:val="right" w:pos="9173"/>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622804" w14:textId="77777777" w:rsidR="00380748" w:rsidRDefault="00380748">
      <w:r>
        <w:separator/>
      </w:r>
    </w:p>
  </w:footnote>
  <w:footnote w:type="continuationSeparator" w:id="0">
    <w:p w14:paraId="05AF6010" w14:textId="77777777" w:rsidR="00380748" w:rsidRDefault="00380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8AB4" w14:textId="4A151A73" w:rsidR="0097693B" w:rsidRDefault="0097693B" w:rsidP="00341CD0">
    <w:pPr>
      <w:pStyle w:val="Header"/>
      <w:tabs>
        <w:tab w:val="clear" w:pos="4320"/>
        <w:tab w:val="clear" w:pos="8640"/>
      </w:tabs>
      <w:rPr>
        <w:lang w:eastAsia="ko-KR"/>
      </w:rPr>
    </w:pPr>
  </w:p>
  <w:p w14:paraId="07EFF3BC" w14:textId="77777777" w:rsidR="0097693B" w:rsidRDefault="0097693B" w:rsidP="00341CD0">
    <w:pPr>
      <w:pStyle w:val="Header"/>
      <w:tabs>
        <w:tab w:val="clear" w:pos="4320"/>
        <w:tab w:val="clear" w:pos="8640"/>
      </w:tabs>
      <w:rPr>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22387"/>
    <w:multiLevelType w:val="hybridMultilevel"/>
    <w:tmpl w:val="558098E6"/>
    <w:lvl w:ilvl="0" w:tplc="01240BCE">
      <w:start w:val="1"/>
      <w:numFmt w:val="decimal"/>
      <w:lvlText w:val="%1)"/>
      <w:lvlJc w:val="left"/>
      <w:pPr>
        <w:ind w:left="360" w:hanging="360"/>
      </w:pPr>
      <w:rPr>
        <w:rFonts w:hint="default"/>
      </w:rPr>
    </w:lvl>
    <w:lvl w:ilvl="1" w:tplc="5BBA42F4">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D2E5E14"/>
    <w:multiLevelType w:val="hybridMultilevel"/>
    <w:tmpl w:val="BD22571A"/>
    <w:lvl w:ilvl="0" w:tplc="4E30F0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 w15:restartNumberingAfterBreak="0">
    <w:nsid w:val="13C35313"/>
    <w:multiLevelType w:val="hybridMultilevel"/>
    <w:tmpl w:val="77FC9D50"/>
    <w:lvl w:ilvl="0" w:tplc="0C090011">
      <w:start w:val="1"/>
      <w:numFmt w:val="decimal"/>
      <w:lvlText w:val="%1)"/>
      <w:lvlJc w:val="left"/>
      <w:pPr>
        <w:ind w:left="422" w:hanging="420"/>
      </w:p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 w15:restartNumberingAfterBreak="0">
    <w:nsid w:val="18790FAF"/>
    <w:multiLevelType w:val="hybridMultilevel"/>
    <w:tmpl w:val="CAFA4F3A"/>
    <w:lvl w:ilvl="0" w:tplc="C442C3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5E2C70"/>
    <w:multiLevelType w:val="hybridMultilevel"/>
    <w:tmpl w:val="0D7C8ABC"/>
    <w:lvl w:ilvl="0" w:tplc="4BE0203C">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7"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8" w15:restartNumberingAfterBreak="0">
    <w:nsid w:val="22E01702"/>
    <w:multiLevelType w:val="hybridMultilevel"/>
    <w:tmpl w:val="23D89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8A4360"/>
    <w:multiLevelType w:val="hybridMultilevel"/>
    <w:tmpl w:val="23C6EC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5E4893"/>
    <w:multiLevelType w:val="hybridMultilevel"/>
    <w:tmpl w:val="D058556C"/>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15:restartNumberingAfterBreak="0">
    <w:nsid w:val="313C7E68"/>
    <w:multiLevelType w:val="hybridMultilevel"/>
    <w:tmpl w:val="B366C446"/>
    <w:lvl w:ilvl="0" w:tplc="B2A60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174DC1"/>
    <w:multiLevelType w:val="hybridMultilevel"/>
    <w:tmpl w:val="29643F34"/>
    <w:lvl w:ilvl="0" w:tplc="16F4FDA4">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5" w15:restartNumberingAfterBreak="0">
    <w:nsid w:val="34043B7A"/>
    <w:multiLevelType w:val="hybridMultilevel"/>
    <w:tmpl w:val="558098E6"/>
    <w:lvl w:ilvl="0" w:tplc="01240BCE">
      <w:start w:val="1"/>
      <w:numFmt w:val="decimal"/>
      <w:lvlText w:val="%1)"/>
      <w:lvlJc w:val="left"/>
      <w:pPr>
        <w:ind w:left="360" w:hanging="360"/>
      </w:pPr>
      <w:rPr>
        <w:rFonts w:hint="default"/>
      </w:rPr>
    </w:lvl>
    <w:lvl w:ilvl="1" w:tplc="5BBA42F4">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15:restartNumberingAfterBreak="0">
    <w:nsid w:val="3810776C"/>
    <w:multiLevelType w:val="hybridMultilevel"/>
    <w:tmpl w:val="FC2CBFFA"/>
    <w:lvl w:ilvl="0" w:tplc="76BA598C">
      <w:start w:val="1"/>
      <w:numFmt w:val="bullet"/>
      <w:lvlText w:val="-"/>
      <w:lvlJc w:val="left"/>
      <w:pPr>
        <w:ind w:left="770" w:hanging="360"/>
      </w:pPr>
      <w:rPr>
        <w:rFonts w:ascii="Vrinda" w:hAnsi="Vrinda"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9" w15:restartNumberingAfterBreak="0">
    <w:nsid w:val="416E5489"/>
    <w:multiLevelType w:val="hybridMultilevel"/>
    <w:tmpl w:val="5012543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986312"/>
    <w:multiLevelType w:val="hybridMultilevel"/>
    <w:tmpl w:val="E876AE20"/>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6641B2"/>
    <w:multiLevelType w:val="hybridMultilevel"/>
    <w:tmpl w:val="FC5CF0FE"/>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9B14B2"/>
    <w:multiLevelType w:val="hybridMultilevel"/>
    <w:tmpl w:val="3468FAA6"/>
    <w:lvl w:ilvl="0" w:tplc="0C090011">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A4661C"/>
    <w:multiLevelType w:val="hybridMultilevel"/>
    <w:tmpl w:val="33BE71BA"/>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5436B2"/>
    <w:multiLevelType w:val="hybridMultilevel"/>
    <w:tmpl w:val="054A2C96"/>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B664DC"/>
    <w:multiLevelType w:val="hybridMultilevel"/>
    <w:tmpl w:val="22465B1A"/>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11F2449"/>
    <w:multiLevelType w:val="hybridMultilevel"/>
    <w:tmpl w:val="3E92F116"/>
    <w:lvl w:ilvl="0" w:tplc="D7A43D5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8" w15:restartNumberingAfterBreak="0">
    <w:nsid w:val="75173EF5"/>
    <w:multiLevelType w:val="hybridMultilevel"/>
    <w:tmpl w:val="4558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5E08DA"/>
    <w:multiLevelType w:val="hybridMultilevel"/>
    <w:tmpl w:val="ED2C35C2"/>
    <w:lvl w:ilvl="0" w:tplc="AE2075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7"/>
  </w:num>
  <w:num w:numId="4">
    <w:abstractNumId w:val="27"/>
  </w:num>
  <w:num w:numId="5">
    <w:abstractNumId w:val="12"/>
  </w:num>
  <w:num w:numId="6">
    <w:abstractNumId w:val="17"/>
  </w:num>
  <w:num w:numId="7">
    <w:abstractNumId w:val="6"/>
  </w:num>
  <w:num w:numId="8">
    <w:abstractNumId w:val="2"/>
  </w:num>
  <w:num w:numId="9">
    <w:abstractNumId w:val="28"/>
  </w:num>
  <w:num w:numId="10">
    <w:abstractNumId w:val="24"/>
  </w:num>
  <w:num w:numId="11">
    <w:abstractNumId w:val="23"/>
  </w:num>
  <w:num w:numId="12">
    <w:abstractNumId w:val="19"/>
  </w:num>
  <w:num w:numId="13">
    <w:abstractNumId w:val="10"/>
  </w:num>
  <w:num w:numId="14">
    <w:abstractNumId w:val="0"/>
  </w:num>
  <w:num w:numId="15">
    <w:abstractNumId w:val="15"/>
  </w:num>
  <w:num w:numId="16">
    <w:abstractNumId w:val="25"/>
  </w:num>
  <w:num w:numId="17">
    <w:abstractNumId w:val="18"/>
  </w:num>
  <w:num w:numId="18">
    <w:abstractNumId w:val="26"/>
  </w:num>
  <w:num w:numId="19">
    <w:abstractNumId w:val="3"/>
  </w:num>
  <w:num w:numId="20">
    <w:abstractNumId w:val="14"/>
  </w:num>
  <w:num w:numId="21">
    <w:abstractNumId w:val="11"/>
  </w:num>
  <w:num w:numId="22">
    <w:abstractNumId w:val="1"/>
  </w:num>
  <w:num w:numId="23">
    <w:abstractNumId w:val="22"/>
  </w:num>
  <w:num w:numId="24">
    <w:abstractNumId w:val="4"/>
  </w:num>
  <w:num w:numId="25">
    <w:abstractNumId w:val="20"/>
  </w:num>
  <w:num w:numId="26">
    <w:abstractNumId w:val="29"/>
  </w:num>
  <w:num w:numId="27">
    <w:abstractNumId w:val="21"/>
  </w:num>
  <w:num w:numId="28">
    <w:abstractNumId w:val="13"/>
  </w:num>
  <w:num w:numId="29">
    <w:abstractNumId w:val="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33"/>
    <w:rsid w:val="00007053"/>
    <w:rsid w:val="00010385"/>
    <w:rsid w:val="00022F2A"/>
    <w:rsid w:val="00033B4D"/>
    <w:rsid w:val="0003595B"/>
    <w:rsid w:val="00041A33"/>
    <w:rsid w:val="0006669E"/>
    <w:rsid w:val="000713CF"/>
    <w:rsid w:val="00090630"/>
    <w:rsid w:val="00094B87"/>
    <w:rsid w:val="000A5418"/>
    <w:rsid w:val="000F517C"/>
    <w:rsid w:val="000F5540"/>
    <w:rsid w:val="00104ACB"/>
    <w:rsid w:val="001069CD"/>
    <w:rsid w:val="00107D2B"/>
    <w:rsid w:val="001539DD"/>
    <w:rsid w:val="00167D77"/>
    <w:rsid w:val="00167EA9"/>
    <w:rsid w:val="00182505"/>
    <w:rsid w:val="00182C10"/>
    <w:rsid w:val="00184519"/>
    <w:rsid w:val="00196568"/>
    <w:rsid w:val="001A2F16"/>
    <w:rsid w:val="001B18C2"/>
    <w:rsid w:val="001C2B9C"/>
    <w:rsid w:val="001C78A5"/>
    <w:rsid w:val="001D5D7E"/>
    <w:rsid w:val="001D6CCD"/>
    <w:rsid w:val="001E0592"/>
    <w:rsid w:val="001E08FB"/>
    <w:rsid w:val="001F048C"/>
    <w:rsid w:val="001F2466"/>
    <w:rsid w:val="00213077"/>
    <w:rsid w:val="0021588B"/>
    <w:rsid w:val="002216AC"/>
    <w:rsid w:val="00250CFE"/>
    <w:rsid w:val="00254A1B"/>
    <w:rsid w:val="002624D9"/>
    <w:rsid w:val="00271852"/>
    <w:rsid w:val="0028454D"/>
    <w:rsid w:val="00291C9E"/>
    <w:rsid w:val="002926D4"/>
    <w:rsid w:val="00294C06"/>
    <w:rsid w:val="002A2CE3"/>
    <w:rsid w:val="002B4101"/>
    <w:rsid w:val="002C07DA"/>
    <w:rsid w:val="002C7EA9"/>
    <w:rsid w:val="002E2B2D"/>
    <w:rsid w:val="002F5401"/>
    <w:rsid w:val="002F6040"/>
    <w:rsid w:val="00341CD0"/>
    <w:rsid w:val="00342F20"/>
    <w:rsid w:val="003478EF"/>
    <w:rsid w:val="003500E0"/>
    <w:rsid w:val="003669CB"/>
    <w:rsid w:val="00380748"/>
    <w:rsid w:val="003809C7"/>
    <w:rsid w:val="00382004"/>
    <w:rsid w:val="003A3B9E"/>
    <w:rsid w:val="003B6263"/>
    <w:rsid w:val="003C167B"/>
    <w:rsid w:val="003C64A7"/>
    <w:rsid w:val="003D3FDA"/>
    <w:rsid w:val="00404C9A"/>
    <w:rsid w:val="00417015"/>
    <w:rsid w:val="00420822"/>
    <w:rsid w:val="00421855"/>
    <w:rsid w:val="00446459"/>
    <w:rsid w:val="0045458F"/>
    <w:rsid w:val="00456F80"/>
    <w:rsid w:val="00460753"/>
    <w:rsid w:val="004633B4"/>
    <w:rsid w:val="004745C7"/>
    <w:rsid w:val="00495E04"/>
    <w:rsid w:val="004B3553"/>
    <w:rsid w:val="004C057E"/>
    <w:rsid w:val="004F0EF2"/>
    <w:rsid w:val="005154C0"/>
    <w:rsid w:val="00530E8C"/>
    <w:rsid w:val="00532959"/>
    <w:rsid w:val="00545933"/>
    <w:rsid w:val="00557544"/>
    <w:rsid w:val="00587875"/>
    <w:rsid w:val="005939B5"/>
    <w:rsid w:val="005A561F"/>
    <w:rsid w:val="005B72DF"/>
    <w:rsid w:val="005C5C5B"/>
    <w:rsid w:val="0060108A"/>
    <w:rsid w:val="00607E2B"/>
    <w:rsid w:val="00613322"/>
    <w:rsid w:val="006139D6"/>
    <w:rsid w:val="00615134"/>
    <w:rsid w:val="00623CE1"/>
    <w:rsid w:val="00626A1E"/>
    <w:rsid w:val="00627A48"/>
    <w:rsid w:val="0063062B"/>
    <w:rsid w:val="0064269D"/>
    <w:rsid w:val="00662815"/>
    <w:rsid w:val="00667229"/>
    <w:rsid w:val="00682BE5"/>
    <w:rsid w:val="00690FED"/>
    <w:rsid w:val="006939A5"/>
    <w:rsid w:val="00696442"/>
    <w:rsid w:val="006B190B"/>
    <w:rsid w:val="006B335F"/>
    <w:rsid w:val="006C5A78"/>
    <w:rsid w:val="006F09C5"/>
    <w:rsid w:val="00712451"/>
    <w:rsid w:val="00731041"/>
    <w:rsid w:val="007319FC"/>
    <w:rsid w:val="00732F08"/>
    <w:rsid w:val="0074190C"/>
    <w:rsid w:val="00762576"/>
    <w:rsid w:val="00772F3C"/>
    <w:rsid w:val="00791060"/>
    <w:rsid w:val="00796084"/>
    <w:rsid w:val="007B5626"/>
    <w:rsid w:val="007F3D5D"/>
    <w:rsid w:val="0080570B"/>
    <w:rsid w:val="008148E1"/>
    <w:rsid w:val="008319BF"/>
    <w:rsid w:val="00843431"/>
    <w:rsid w:val="008A396A"/>
    <w:rsid w:val="008D0E09"/>
    <w:rsid w:val="008D1DB6"/>
    <w:rsid w:val="008E3045"/>
    <w:rsid w:val="008E6B7B"/>
    <w:rsid w:val="0090038F"/>
    <w:rsid w:val="00942816"/>
    <w:rsid w:val="009472CF"/>
    <w:rsid w:val="0097693B"/>
    <w:rsid w:val="00992351"/>
    <w:rsid w:val="00993355"/>
    <w:rsid w:val="009A4A6D"/>
    <w:rsid w:val="009C05C2"/>
    <w:rsid w:val="009E5BCA"/>
    <w:rsid w:val="009E7ACB"/>
    <w:rsid w:val="00A13265"/>
    <w:rsid w:val="00A2417E"/>
    <w:rsid w:val="00A4164C"/>
    <w:rsid w:val="00A54B12"/>
    <w:rsid w:val="00A552AE"/>
    <w:rsid w:val="00A55820"/>
    <w:rsid w:val="00A71136"/>
    <w:rsid w:val="00A849DD"/>
    <w:rsid w:val="00AA474C"/>
    <w:rsid w:val="00AA6C59"/>
    <w:rsid w:val="00AB52BC"/>
    <w:rsid w:val="00AC5F7C"/>
    <w:rsid w:val="00AD7E5F"/>
    <w:rsid w:val="00B01AA1"/>
    <w:rsid w:val="00B30C81"/>
    <w:rsid w:val="00B4793B"/>
    <w:rsid w:val="00B60228"/>
    <w:rsid w:val="00B623AD"/>
    <w:rsid w:val="00B81326"/>
    <w:rsid w:val="00B81708"/>
    <w:rsid w:val="00B90441"/>
    <w:rsid w:val="00B90D0A"/>
    <w:rsid w:val="00BC39DF"/>
    <w:rsid w:val="00BC6D6B"/>
    <w:rsid w:val="00C0137C"/>
    <w:rsid w:val="00C15633"/>
    <w:rsid w:val="00C15799"/>
    <w:rsid w:val="00C357AD"/>
    <w:rsid w:val="00C3695D"/>
    <w:rsid w:val="00C4785B"/>
    <w:rsid w:val="00C6069C"/>
    <w:rsid w:val="00C60A2B"/>
    <w:rsid w:val="00C85119"/>
    <w:rsid w:val="00C900BC"/>
    <w:rsid w:val="00CA478D"/>
    <w:rsid w:val="00CA620C"/>
    <w:rsid w:val="00CB75C8"/>
    <w:rsid w:val="00CC4B55"/>
    <w:rsid w:val="00CD5431"/>
    <w:rsid w:val="00CF2491"/>
    <w:rsid w:val="00D06C0C"/>
    <w:rsid w:val="00D10AFB"/>
    <w:rsid w:val="00D1252E"/>
    <w:rsid w:val="00D348D1"/>
    <w:rsid w:val="00D421BD"/>
    <w:rsid w:val="00D57772"/>
    <w:rsid w:val="00D643DC"/>
    <w:rsid w:val="00D715CA"/>
    <w:rsid w:val="00D72AE3"/>
    <w:rsid w:val="00D75244"/>
    <w:rsid w:val="00D75A4D"/>
    <w:rsid w:val="00D8355B"/>
    <w:rsid w:val="00D8478B"/>
    <w:rsid w:val="00D84DFB"/>
    <w:rsid w:val="00D86151"/>
    <w:rsid w:val="00D91785"/>
    <w:rsid w:val="00DA58A4"/>
    <w:rsid w:val="00DA7595"/>
    <w:rsid w:val="00DB0A68"/>
    <w:rsid w:val="00DC43A3"/>
    <w:rsid w:val="00DD0603"/>
    <w:rsid w:val="00DD7C09"/>
    <w:rsid w:val="00DF0D99"/>
    <w:rsid w:val="00E0124F"/>
    <w:rsid w:val="00E534CE"/>
    <w:rsid w:val="00E674D3"/>
    <w:rsid w:val="00E70FD0"/>
    <w:rsid w:val="00EA6162"/>
    <w:rsid w:val="00EB49C2"/>
    <w:rsid w:val="00EF042F"/>
    <w:rsid w:val="00EF189C"/>
    <w:rsid w:val="00F11135"/>
    <w:rsid w:val="00F21C70"/>
    <w:rsid w:val="00F3436A"/>
    <w:rsid w:val="00F36FD6"/>
    <w:rsid w:val="00F66584"/>
    <w:rsid w:val="00F7437C"/>
    <w:rsid w:val="00F84067"/>
    <w:rsid w:val="00F960FC"/>
    <w:rsid w:val="00FC6EC3"/>
    <w:rsid w:val="00FE3DE5"/>
    <w:rsid w:val="00FE69D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602B46"/>
  <w15:docId w15:val="{6D5CF89F-CD09-4586-9194-DCFD350F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595"/>
    <w:rPr>
      <w:rFonts w:eastAsia="BatangChe"/>
      <w:sz w:val="24"/>
      <w:szCs w:val="24"/>
    </w:rPr>
  </w:style>
  <w:style w:type="paragraph" w:styleId="Heading1">
    <w:name w:val="heading 1"/>
    <w:basedOn w:val="Normal"/>
    <w:next w:val="Normal"/>
    <w:qFormat/>
    <w:rsid w:val="00DA7595"/>
    <w:pPr>
      <w:keepNext/>
      <w:jc w:val="center"/>
      <w:outlineLvl w:val="0"/>
    </w:pPr>
    <w:rPr>
      <w:b/>
      <w:bCs/>
      <w:u w:val="single"/>
    </w:rPr>
  </w:style>
  <w:style w:type="paragraph" w:styleId="Heading2">
    <w:name w:val="heading 2"/>
    <w:basedOn w:val="Normal"/>
    <w:next w:val="Normal"/>
    <w:link w:val="Heading2Char"/>
    <w:semiHidden/>
    <w:unhideWhenUsed/>
    <w:qFormat/>
    <w:rsid w:val="004C057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semiHidden/>
    <w:unhideWhenUsed/>
    <w:qFormat/>
    <w:rsid w:val="00AB52BC"/>
    <w:pPr>
      <w:keepNext/>
      <w:ind w:leftChars="400" w:left="400"/>
      <w:outlineLvl w:val="3"/>
    </w:pPr>
    <w:rPr>
      <w:b/>
      <w:bCs/>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paragraph" w:styleId="BalloonText">
    <w:name w:val="Balloon Text"/>
    <w:basedOn w:val="Normal"/>
    <w:link w:val="BalloonTextChar"/>
    <w:semiHidden/>
    <w:unhideWhenUsed/>
    <w:rsid w:val="00022F2A"/>
    <w:rPr>
      <w:rFonts w:ascii="Segoe UI" w:hAnsi="Segoe UI" w:cs="Segoe UI"/>
      <w:sz w:val="18"/>
      <w:szCs w:val="18"/>
    </w:rPr>
  </w:style>
  <w:style w:type="character" w:customStyle="1" w:styleId="BalloonTextChar">
    <w:name w:val="Balloon Text Char"/>
    <w:basedOn w:val="DefaultParagraphFont"/>
    <w:link w:val="BalloonText"/>
    <w:semiHidden/>
    <w:rsid w:val="00022F2A"/>
    <w:rPr>
      <w:rFonts w:ascii="Segoe UI" w:eastAsia="BatangChe" w:hAnsi="Segoe UI" w:cs="Segoe UI"/>
      <w:sz w:val="18"/>
      <w:szCs w:val="18"/>
    </w:rPr>
  </w:style>
  <w:style w:type="paragraph" w:styleId="ListParagraph">
    <w:name w:val="List Paragraph"/>
    <w:aliases w:val="List Paragraph1,Recommendation,List Paragraph11"/>
    <w:basedOn w:val="Normal"/>
    <w:link w:val="ListParagraphChar"/>
    <w:uiPriority w:val="34"/>
    <w:qFormat/>
    <w:rsid w:val="00D06C0C"/>
    <w:pPr>
      <w:ind w:left="720"/>
      <w:contextualSpacing/>
    </w:pPr>
  </w:style>
  <w:style w:type="character" w:customStyle="1" w:styleId="ListParagraphChar">
    <w:name w:val="List Paragraph Char"/>
    <w:aliases w:val="List Paragraph1 Char,Recommendation Char,List Paragraph11 Char"/>
    <w:link w:val="ListParagraph"/>
    <w:uiPriority w:val="34"/>
    <w:locked/>
    <w:rsid w:val="00D06C0C"/>
    <w:rPr>
      <w:rFonts w:eastAsia="BatangChe"/>
      <w:sz w:val="24"/>
      <w:szCs w:val="24"/>
    </w:rPr>
  </w:style>
  <w:style w:type="character" w:customStyle="1" w:styleId="Heading2Char">
    <w:name w:val="Heading 2 Char"/>
    <w:basedOn w:val="DefaultParagraphFont"/>
    <w:link w:val="Heading2"/>
    <w:semiHidden/>
    <w:rsid w:val="004C057E"/>
    <w:rPr>
      <w:rFonts w:asciiTheme="majorHAnsi" w:eastAsiaTheme="majorEastAsia" w:hAnsiTheme="majorHAnsi" w:cstheme="majorBidi"/>
      <w:color w:val="365F91" w:themeColor="accent1" w:themeShade="BF"/>
      <w:sz w:val="26"/>
      <w:szCs w:val="26"/>
    </w:rPr>
  </w:style>
  <w:style w:type="character" w:styleId="Hyperlink">
    <w:name w:val="Hyperlink"/>
    <w:aliases w:val="CEO_Hyperlink"/>
    <w:basedOn w:val="DefaultParagraphFont"/>
    <w:uiPriority w:val="99"/>
    <w:unhideWhenUsed/>
    <w:rsid w:val="00341CD0"/>
    <w:rPr>
      <w:color w:val="0000FF"/>
      <w:u w:val="single"/>
    </w:rPr>
  </w:style>
  <w:style w:type="paragraph" w:customStyle="1" w:styleId="Level1">
    <w:name w:val="Level1"/>
    <w:basedOn w:val="Heading2"/>
    <w:next w:val="Normal"/>
    <w:qFormat/>
    <w:rsid w:val="009C05C2"/>
    <w:rPr>
      <w:rFonts w:ascii="Times New Roman" w:hAnsi="Times New Roman"/>
      <w:color w:val="000000" w:themeColor="text1"/>
      <w:sz w:val="24"/>
    </w:rPr>
  </w:style>
  <w:style w:type="paragraph" w:customStyle="1" w:styleId="CEONormal">
    <w:name w:val="CEO_Normal"/>
    <w:link w:val="CEONormalChar"/>
    <w:rsid w:val="00F7437C"/>
    <w:pPr>
      <w:spacing w:before="120" w:after="120"/>
    </w:pPr>
    <w:rPr>
      <w:rFonts w:ascii="Verdana" w:eastAsia="SimSun" w:hAnsi="Verdana"/>
      <w:sz w:val="19"/>
      <w:szCs w:val="19"/>
      <w:lang w:val="en-GB"/>
    </w:rPr>
  </w:style>
  <w:style w:type="character" w:customStyle="1" w:styleId="CEONormalChar">
    <w:name w:val="CEO_Normal Char"/>
    <w:link w:val="CEONormal"/>
    <w:rsid w:val="00F7437C"/>
    <w:rPr>
      <w:rFonts w:ascii="Verdana" w:eastAsia="SimSun" w:hAnsi="Verdana"/>
      <w:sz w:val="19"/>
      <w:szCs w:val="19"/>
      <w:lang w:val="en-GB"/>
    </w:rPr>
  </w:style>
  <w:style w:type="character" w:customStyle="1" w:styleId="Heading4Char">
    <w:name w:val="Heading 4 Char"/>
    <w:basedOn w:val="DefaultParagraphFont"/>
    <w:link w:val="Heading4"/>
    <w:semiHidden/>
    <w:rsid w:val="00AB52BC"/>
    <w:rPr>
      <w:rFonts w:eastAsia="BatangChe"/>
      <w:b/>
      <w:bCs/>
      <w:sz w:val="24"/>
      <w:szCs w:val="24"/>
    </w:rPr>
  </w:style>
  <w:style w:type="paragraph" w:customStyle="1" w:styleId="Restitle">
    <w:name w:val="Res_title"/>
    <w:basedOn w:val="Normal"/>
    <w:next w:val="Normal"/>
    <w:link w:val="RestitleChar"/>
    <w:rsid w:val="00AB52BC"/>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rFonts w:ascii="Calibri" w:eastAsia="Times New Roman" w:hAnsi="Calibri"/>
      <w:b/>
      <w:sz w:val="28"/>
      <w:szCs w:val="20"/>
      <w:lang w:val="en-GB"/>
    </w:rPr>
  </w:style>
  <w:style w:type="character" w:customStyle="1" w:styleId="RestitleChar">
    <w:name w:val="Res_title Char"/>
    <w:link w:val="Restitle"/>
    <w:rsid w:val="00AB52BC"/>
    <w:rPr>
      <w:rFonts w:ascii="Calibri" w:eastAsia="Times New Roman" w:hAnsi="Calibri"/>
      <w:b/>
      <w:sz w:val="28"/>
      <w:lang w:val="en-GB"/>
    </w:rPr>
  </w:style>
  <w:style w:type="paragraph" w:customStyle="1" w:styleId="NormalFR">
    <w:name w:val="NormalFR"/>
    <w:basedOn w:val="Normal"/>
    <w:qFormat/>
    <w:rsid w:val="00AB52BC"/>
    <w:pPr>
      <w:tabs>
        <w:tab w:val="left" w:pos="794"/>
        <w:tab w:val="left" w:pos="1191"/>
        <w:tab w:val="left" w:pos="1588"/>
        <w:tab w:val="left" w:pos="1985"/>
      </w:tabs>
      <w:spacing w:before="120"/>
      <w:jc w:val="both"/>
    </w:pPr>
    <w:rPr>
      <w:rFonts w:ascii="Calibri" w:eastAsia="SimSun" w:hAnsi="Calibri"/>
      <w:sz w:val="22"/>
      <w:lang w:eastAsia="ja-JP"/>
    </w:rPr>
  </w:style>
  <w:style w:type="paragraph" w:customStyle="1" w:styleId="Heading1RES">
    <w:name w:val="Heading 1_RES"/>
    <w:basedOn w:val="Heading1"/>
    <w:qFormat/>
    <w:rsid w:val="00AB52BC"/>
    <w:pPr>
      <w:keepLines/>
      <w:tabs>
        <w:tab w:val="left" w:pos="794"/>
        <w:tab w:val="left" w:pos="1191"/>
        <w:tab w:val="left" w:pos="1588"/>
        <w:tab w:val="left" w:pos="1985"/>
      </w:tabs>
      <w:overflowPunct w:val="0"/>
      <w:autoSpaceDE w:val="0"/>
      <w:autoSpaceDN w:val="0"/>
      <w:adjustRightInd w:val="0"/>
      <w:spacing w:before="280"/>
      <w:ind w:left="794" w:hanging="794"/>
      <w:jc w:val="both"/>
      <w:textAlignment w:val="baseline"/>
    </w:pPr>
    <w:rPr>
      <w:rFonts w:ascii="Calibri" w:eastAsia="Times New Roman" w:hAnsi="Calibri"/>
      <w:bCs w:val="0"/>
      <w:sz w:val="26"/>
      <w:szCs w:val="20"/>
      <w:u w:val="none"/>
      <w:lang w:val="en-GB"/>
    </w:rPr>
  </w:style>
  <w:style w:type="paragraph" w:customStyle="1" w:styleId="TableParagraph">
    <w:name w:val="Table Paragraph"/>
    <w:basedOn w:val="Normal"/>
    <w:uiPriority w:val="1"/>
    <w:qFormat/>
    <w:rsid w:val="00AB52BC"/>
    <w:pPr>
      <w:widowControl w:val="0"/>
    </w:pPr>
    <w:rPr>
      <w:rFonts w:ascii="Calibri" w:eastAsia="Calibri" w:hAnsi="Calibri" w:cs="Arial"/>
      <w:sz w:val="22"/>
      <w:szCs w:val="22"/>
    </w:rPr>
  </w:style>
  <w:style w:type="table" w:styleId="LightShading">
    <w:name w:val="Light Shading"/>
    <w:basedOn w:val="TableNormal"/>
    <w:uiPriority w:val="60"/>
    <w:rsid w:val="00041A33"/>
    <w:rPr>
      <w:rFonts w:asciiTheme="minorHAnsi" w:eastAsiaTheme="minorEastAsia" w:hAnsiTheme="minorHAnsi" w:cstheme="minorBidi"/>
      <w:color w:val="000000" w:themeColor="text1" w:themeShade="BF"/>
      <w:sz w:val="22"/>
      <w:szCs w:val="22"/>
      <w:lang w:eastAsia="zh-C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asons">
    <w:name w:val="Reasons"/>
    <w:basedOn w:val="Normal"/>
    <w:qFormat/>
    <w:rsid w:val="00041A33"/>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eastAsia="MS Mincho" w:hAnsiTheme="minorHAnsi"/>
      <w:sz w:val="22"/>
      <w:szCs w:val="20"/>
      <w:lang w:val="en-GB"/>
    </w:rPr>
  </w:style>
  <w:style w:type="table" w:customStyle="1" w:styleId="11">
    <w:name w:val="表 (モノトーン)  11"/>
    <w:basedOn w:val="TableNormal"/>
    <w:next w:val="LightShading"/>
    <w:uiPriority w:val="60"/>
    <w:rsid w:val="00041A33"/>
    <w:rPr>
      <w:rFonts w:ascii="Calibri" w:eastAsia="SimSun" w:hAnsi="Calibri" w:cs="Arial"/>
      <w:color w:val="000000"/>
      <w:sz w:val="22"/>
      <w:szCs w:val="22"/>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PlaceholderText">
    <w:name w:val="Placeholder Text"/>
    <w:basedOn w:val="DefaultParagraphFont"/>
    <w:uiPriority w:val="99"/>
    <w:semiHidden/>
    <w:rsid w:val="00A54B12"/>
    <w:rPr>
      <w:color w:val="808080"/>
    </w:rPr>
  </w:style>
  <w:style w:type="character" w:customStyle="1" w:styleId="normaltextrun">
    <w:name w:val="normaltextrun"/>
    <w:basedOn w:val="DefaultParagraphFont"/>
    <w:rsid w:val="00BC39DF"/>
  </w:style>
  <w:style w:type="paragraph" w:customStyle="1" w:styleId="paragraph">
    <w:name w:val="paragraph"/>
    <w:basedOn w:val="Normal"/>
    <w:rsid w:val="00BC39DF"/>
    <w:pPr>
      <w:spacing w:before="100" w:beforeAutospacing="1" w:after="100" w:afterAutospacing="1"/>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13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D18-TDAG26.RDTP-C-0002/e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nna@kmm.gov.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2.ohtsuki@soumu.go.jp" TargetMode="Externa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6B132-6B1B-4A1E-8DD8-2153D8FA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12</Pages>
  <Words>3631</Words>
  <Characters>20702</Characters>
  <Application>Microsoft Office Word</Application>
  <DocSecurity>0</DocSecurity>
  <Lines>172</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APT</Company>
  <LinksUpToDate>false</LinksUpToDate>
  <CharactersWithSpaces>24285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Arnold</dc:creator>
  <cp:lastModifiedBy>Pubate S.</cp:lastModifiedBy>
  <cp:revision>29</cp:revision>
  <cp:lastPrinted>2004-07-28T02:14:00Z</cp:lastPrinted>
  <dcterms:created xsi:type="dcterms:W3CDTF">2021-01-06T06:15:00Z</dcterms:created>
  <dcterms:modified xsi:type="dcterms:W3CDTF">2021-01-25T08:00:00Z</dcterms:modified>
</cp:coreProperties>
</file>