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08C74" w14:textId="4951245E" w:rsidR="00DD1BF8" w:rsidRDefault="00DD1BF8">
      <w:pPr>
        <w:rPr>
          <w:rFonts w:ascii="Calibri" w:hAnsi="Calibri" w:cs="Calibri"/>
          <w:b/>
          <w:bCs/>
        </w:rPr>
      </w:pPr>
    </w:p>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DD1BF8" w:rsidRPr="00CE5A55" w14:paraId="2201E10D" w14:textId="77777777" w:rsidTr="00483952">
        <w:trPr>
          <w:cantSplit/>
          <w:trHeight w:val="288"/>
        </w:trPr>
        <w:tc>
          <w:tcPr>
            <w:tcW w:w="1440" w:type="dxa"/>
            <w:vMerge w:val="restart"/>
            <w:hideMark/>
          </w:tcPr>
          <w:p w14:paraId="03347D76" w14:textId="77777777" w:rsidR="00DD1BF8" w:rsidRPr="00CE5A55" w:rsidRDefault="00DD1BF8" w:rsidP="00DD1BF8">
            <w:pPr>
              <w:jc w:val="center"/>
              <w:rPr>
                <w:b/>
                <w:bCs/>
              </w:rPr>
            </w:pPr>
            <w:r w:rsidRPr="00CE5A55">
              <w:rPr>
                <w:b/>
                <w:bCs/>
                <w:noProof/>
              </w:rPr>
              <w:drawing>
                <wp:inline distT="0" distB="0" distL="0" distR="0" wp14:anchorId="4523CBAD" wp14:editId="094997E6">
                  <wp:extent cx="762000" cy="714375"/>
                  <wp:effectExtent l="0" t="0" r="0" b="9525"/>
                  <wp:docPr id="3" name="Picture 3"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FBDCEB8" w14:textId="77777777" w:rsidR="00DD1BF8" w:rsidRPr="00CE5A55" w:rsidRDefault="00DD1BF8" w:rsidP="00E1516F">
            <w:r w:rsidRPr="00CE5A55">
              <w:t>ASIA-PACIFIC TELECOMMUNITY</w:t>
            </w:r>
          </w:p>
        </w:tc>
        <w:tc>
          <w:tcPr>
            <w:tcW w:w="2448" w:type="dxa"/>
          </w:tcPr>
          <w:p w14:paraId="7FB01AD2" w14:textId="77777777" w:rsidR="00DD1BF8" w:rsidRPr="00CE5A55" w:rsidRDefault="00DD1BF8" w:rsidP="00E1516F">
            <w:pPr>
              <w:rPr>
                <w:b/>
                <w:bCs/>
              </w:rPr>
            </w:pPr>
            <w:r w:rsidRPr="00CE5A55">
              <w:rPr>
                <w:b/>
                <w:bCs/>
                <w:lang w:val="fr-FR"/>
              </w:rPr>
              <w:t>Document No.:</w:t>
            </w:r>
          </w:p>
        </w:tc>
      </w:tr>
      <w:tr w:rsidR="00DD1BF8" w:rsidRPr="00CE5A55" w14:paraId="7C34BDBC" w14:textId="77777777" w:rsidTr="00483952">
        <w:trPr>
          <w:cantSplit/>
          <w:trHeight w:val="576"/>
        </w:trPr>
        <w:tc>
          <w:tcPr>
            <w:tcW w:w="1440" w:type="dxa"/>
            <w:vMerge/>
            <w:vAlign w:val="center"/>
            <w:hideMark/>
          </w:tcPr>
          <w:p w14:paraId="3D2385D1" w14:textId="77777777" w:rsidR="00DD1BF8" w:rsidRPr="00CE5A55" w:rsidRDefault="00DD1BF8" w:rsidP="00DD1BF8">
            <w:pPr>
              <w:jc w:val="center"/>
              <w:rPr>
                <w:b/>
                <w:bCs/>
              </w:rPr>
            </w:pPr>
          </w:p>
        </w:tc>
        <w:tc>
          <w:tcPr>
            <w:tcW w:w="5328" w:type="dxa"/>
            <w:hideMark/>
          </w:tcPr>
          <w:p w14:paraId="16D17174" w14:textId="77777777" w:rsidR="00DD1BF8" w:rsidRPr="00CE5A55" w:rsidRDefault="00DD1BF8" w:rsidP="00E1516F">
            <w:pPr>
              <w:rPr>
                <w:b/>
                <w:bCs/>
              </w:rPr>
            </w:pPr>
            <w:r w:rsidRPr="00CE5A55">
              <w:rPr>
                <w:b/>
                <w:bCs/>
              </w:rPr>
              <w:t>The 3rd Meeting of the APT Preparatory Group</w:t>
            </w:r>
            <w:r w:rsidRPr="00CE5A55">
              <w:rPr>
                <w:b/>
                <w:bCs/>
              </w:rPr>
              <w:br/>
              <w:t>for WTDC-21 (APT WTDC21-3)</w:t>
            </w:r>
          </w:p>
        </w:tc>
        <w:tc>
          <w:tcPr>
            <w:tcW w:w="2448" w:type="dxa"/>
            <w:hideMark/>
          </w:tcPr>
          <w:p w14:paraId="05467CF7" w14:textId="0F811499" w:rsidR="00DD1BF8" w:rsidRPr="00CE5A55" w:rsidRDefault="00DD1BF8" w:rsidP="00E1516F">
            <w:pPr>
              <w:rPr>
                <w:b/>
                <w:bCs/>
                <w:lang w:val="en-GB"/>
              </w:rPr>
            </w:pPr>
            <w:r w:rsidRPr="00CE5A55">
              <w:rPr>
                <w:b/>
                <w:bCs/>
                <w:lang w:val="en-GB"/>
              </w:rPr>
              <w:t>APT WTDC21-3/</w:t>
            </w:r>
            <w:r w:rsidR="00E1516F">
              <w:rPr>
                <w:b/>
                <w:bCs/>
                <w:lang w:val="en-GB"/>
              </w:rPr>
              <w:br/>
            </w:r>
            <w:r w:rsidR="00B23535">
              <w:rPr>
                <w:b/>
                <w:bCs/>
                <w:lang w:val="en-GB"/>
              </w:rPr>
              <w:t>OUT-05</w:t>
            </w:r>
            <w:r w:rsidR="00FF6598">
              <w:rPr>
                <w:b/>
                <w:bCs/>
                <w:lang w:val="en-GB"/>
              </w:rPr>
              <w:t xml:space="preserve"> (Rev.1)</w:t>
            </w:r>
          </w:p>
        </w:tc>
      </w:tr>
      <w:tr w:rsidR="00DD1BF8" w:rsidRPr="00CE5A55" w14:paraId="457AFFEC" w14:textId="77777777" w:rsidTr="00483952">
        <w:trPr>
          <w:cantSplit/>
          <w:trHeight w:val="288"/>
        </w:trPr>
        <w:tc>
          <w:tcPr>
            <w:tcW w:w="1440" w:type="dxa"/>
            <w:vMerge/>
            <w:vAlign w:val="center"/>
            <w:hideMark/>
          </w:tcPr>
          <w:p w14:paraId="0E5FC35F" w14:textId="77777777" w:rsidR="00DD1BF8" w:rsidRPr="00CE5A55" w:rsidRDefault="00DD1BF8" w:rsidP="00DD1BF8">
            <w:pPr>
              <w:jc w:val="center"/>
              <w:rPr>
                <w:b/>
                <w:bCs/>
              </w:rPr>
            </w:pPr>
          </w:p>
        </w:tc>
        <w:tc>
          <w:tcPr>
            <w:tcW w:w="5328" w:type="dxa"/>
            <w:hideMark/>
          </w:tcPr>
          <w:p w14:paraId="0AD6C08C" w14:textId="77777777" w:rsidR="00DD1BF8" w:rsidRPr="00CE5A55" w:rsidRDefault="00DD1BF8" w:rsidP="00E1516F">
            <w:r w:rsidRPr="00CE5A55">
              <w:t>5-8 October 2021, Virtual/Online Meeting</w:t>
            </w:r>
          </w:p>
        </w:tc>
        <w:tc>
          <w:tcPr>
            <w:tcW w:w="2448" w:type="dxa"/>
            <w:hideMark/>
          </w:tcPr>
          <w:p w14:paraId="6BA574B4" w14:textId="1B32EBD5" w:rsidR="00DD1BF8" w:rsidRPr="00CE5A55" w:rsidRDefault="00FF6598" w:rsidP="00E1516F">
            <w:r>
              <w:t>7 February 2022</w:t>
            </w:r>
          </w:p>
        </w:tc>
      </w:tr>
    </w:tbl>
    <w:p w14:paraId="1AB8D52E" w14:textId="77777777" w:rsidR="00DD1BF8" w:rsidRPr="00CE5A55" w:rsidRDefault="00DD1BF8" w:rsidP="00DD1BF8">
      <w:pPr>
        <w:jc w:val="center"/>
        <w:rPr>
          <w:b/>
          <w:bCs/>
        </w:rPr>
      </w:pPr>
    </w:p>
    <w:p w14:paraId="3FD71463" w14:textId="77777777" w:rsidR="00DD1BF8" w:rsidRPr="00CE5A55" w:rsidRDefault="00DD1BF8" w:rsidP="00DD1BF8">
      <w:pPr>
        <w:jc w:val="center"/>
      </w:pPr>
      <w:r w:rsidRPr="00CE5A55">
        <w:t>Chair, WG1</w:t>
      </w:r>
    </w:p>
    <w:p w14:paraId="3935E92A" w14:textId="77777777" w:rsidR="00DD1BF8" w:rsidRPr="00CE5A55" w:rsidRDefault="00DD1BF8" w:rsidP="00DD1BF8">
      <w:pPr>
        <w:jc w:val="center"/>
        <w:rPr>
          <w:b/>
          <w:bCs/>
        </w:rPr>
      </w:pPr>
    </w:p>
    <w:p w14:paraId="643EC9DF" w14:textId="575CA895" w:rsidR="00DD1BF8" w:rsidRPr="00CE5A55" w:rsidRDefault="00DD1BF8" w:rsidP="00DD1BF8">
      <w:pPr>
        <w:jc w:val="center"/>
        <w:rPr>
          <w:b/>
          <w:bCs/>
        </w:rPr>
      </w:pPr>
      <w:r w:rsidRPr="00CE5A55">
        <w:rPr>
          <w:b/>
          <w:bCs/>
        </w:rPr>
        <w:t>PRELIMINARY APT COMMON PROPOSAL</w:t>
      </w:r>
    </w:p>
    <w:p w14:paraId="57D35324" w14:textId="77777777" w:rsidR="00DD1BF8" w:rsidRPr="00CE5A55" w:rsidRDefault="00DD1BF8" w:rsidP="00DD1BF8">
      <w:pPr>
        <w:jc w:val="center"/>
        <w:rPr>
          <w:b/>
          <w:bCs/>
        </w:rPr>
      </w:pPr>
    </w:p>
    <w:p w14:paraId="612971D4" w14:textId="77777777" w:rsidR="00DD1BF8" w:rsidRPr="00CE5A55" w:rsidRDefault="00DD1BF8" w:rsidP="00DD1BF8">
      <w:pPr>
        <w:jc w:val="center"/>
        <w:rPr>
          <w:b/>
          <w:bCs/>
        </w:rPr>
      </w:pPr>
      <w:r w:rsidRPr="00CE5A55">
        <w:rPr>
          <w:b/>
          <w:bCs/>
        </w:rPr>
        <w:t>Proposed modification TO WTDC-17 RESOLUTION 64</w:t>
      </w:r>
    </w:p>
    <w:p w14:paraId="0E00C57C" w14:textId="77777777" w:rsidR="00DD1BF8" w:rsidRPr="00CE5A55" w:rsidRDefault="00DD1BF8" w:rsidP="00DD1BF8">
      <w:pPr>
        <w:jc w:val="center"/>
        <w:rPr>
          <w:b/>
          <w:bCs/>
        </w:rPr>
      </w:pPr>
      <w:r w:rsidRPr="00CE5A55">
        <w:rPr>
          <w:b/>
          <w:bCs/>
        </w:rPr>
        <w:t>Protecting and Supporting Users/ Consumers of Telecommunication/ Information and Communication Technology Services</w:t>
      </w:r>
    </w:p>
    <w:p w14:paraId="4EA4D600" w14:textId="77777777" w:rsidR="00DD1BF8" w:rsidRPr="00CE5A55" w:rsidRDefault="00DD1BF8" w:rsidP="00DD1BF8">
      <w:pPr>
        <w:jc w:val="center"/>
        <w:rPr>
          <w:b/>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DD1BF8" w:rsidRPr="00CE5A55" w14:paraId="10493108" w14:textId="77777777" w:rsidTr="00483952">
        <w:tc>
          <w:tcPr>
            <w:tcW w:w="9163" w:type="dxa"/>
          </w:tcPr>
          <w:p w14:paraId="24B2A16F" w14:textId="77777777" w:rsidR="00DD1BF8" w:rsidRPr="00CE5A55" w:rsidRDefault="00DD1BF8" w:rsidP="00DD1BF8">
            <w:pPr>
              <w:rPr>
                <w:b/>
                <w:bCs/>
              </w:rPr>
            </w:pPr>
          </w:p>
          <w:p w14:paraId="73E7D439" w14:textId="77777777" w:rsidR="00DD1BF8" w:rsidRPr="00CE5A55" w:rsidRDefault="00DD1BF8" w:rsidP="00DD1BF8">
            <w:r w:rsidRPr="00CE5A55">
              <w:rPr>
                <w:b/>
                <w:bCs/>
              </w:rPr>
              <w:t>Priority area: (</w:t>
            </w:r>
            <w:r w:rsidRPr="00CE5A55">
              <w:t>Please mark “X” in front of the appropriate item)</w:t>
            </w:r>
          </w:p>
          <w:p w14:paraId="1FC571B1" w14:textId="77777777" w:rsidR="00DD1BF8" w:rsidRPr="00CE5A55" w:rsidRDefault="00DD1BF8" w:rsidP="00DD1BF8"/>
          <w:p w14:paraId="74A744D3" w14:textId="77777777" w:rsidR="00DD1BF8" w:rsidRPr="00CE5A55" w:rsidRDefault="00DD1BF8" w:rsidP="00DD1BF8">
            <w:r w:rsidRPr="00CE5A55">
              <w:t>___ Declaration</w:t>
            </w:r>
          </w:p>
          <w:p w14:paraId="50085554" w14:textId="77777777" w:rsidR="00DD1BF8" w:rsidRPr="00CE5A55" w:rsidRDefault="00DD1BF8" w:rsidP="00DD1BF8">
            <w:r w:rsidRPr="00CE5A55">
              <w:t>___ Thematic Priorities, Action Plan, Regional Initiatives and SG Questions</w:t>
            </w:r>
          </w:p>
          <w:p w14:paraId="6ABE48F6" w14:textId="77777777" w:rsidR="00DD1BF8" w:rsidRPr="00CE5A55" w:rsidRDefault="00DD1BF8" w:rsidP="00DD1BF8">
            <w:r w:rsidRPr="00CE5A55">
              <w:t>___ Working Methods</w:t>
            </w:r>
          </w:p>
          <w:p w14:paraId="2101F038" w14:textId="77777777" w:rsidR="00DD1BF8" w:rsidRPr="00CE5A55" w:rsidRDefault="00DD1BF8" w:rsidP="00DD1BF8">
            <w:r w:rsidRPr="00CE5A55">
              <w:t>_</w:t>
            </w:r>
            <w:r w:rsidRPr="00CE5A55">
              <w:rPr>
                <w:u w:val="single"/>
              </w:rPr>
              <w:t>X</w:t>
            </w:r>
            <w:r w:rsidRPr="00CE5A55">
              <w:t>_ Resolutions and Recommendations</w:t>
            </w:r>
          </w:p>
          <w:p w14:paraId="62694891" w14:textId="77777777" w:rsidR="00DD1BF8" w:rsidRPr="00CE5A55" w:rsidRDefault="00DD1BF8" w:rsidP="00DD1BF8">
            <w:r w:rsidRPr="00CE5A55">
              <w:t>__ Other proposals</w:t>
            </w:r>
          </w:p>
          <w:p w14:paraId="7C11D3AA" w14:textId="77777777" w:rsidR="00DD1BF8" w:rsidRPr="00CE5A55" w:rsidRDefault="00DD1BF8" w:rsidP="00DD1BF8">
            <w:pPr>
              <w:rPr>
                <w:b/>
                <w:bCs/>
              </w:rPr>
            </w:pPr>
          </w:p>
          <w:p w14:paraId="52F21DAA" w14:textId="77777777" w:rsidR="00DD1BF8" w:rsidRPr="00CE5A55" w:rsidRDefault="00DD1BF8" w:rsidP="00DD1BF8">
            <w:pPr>
              <w:rPr>
                <w:b/>
                <w:bCs/>
              </w:rPr>
            </w:pPr>
          </w:p>
          <w:p w14:paraId="2D68D4CE" w14:textId="77777777" w:rsidR="00DD1BF8" w:rsidRPr="00CE5A55" w:rsidRDefault="00DD1BF8" w:rsidP="00DD1BF8">
            <w:pPr>
              <w:rPr>
                <w:b/>
                <w:bCs/>
              </w:rPr>
            </w:pPr>
            <w:r w:rsidRPr="00CE5A55">
              <w:rPr>
                <w:b/>
                <w:bCs/>
              </w:rPr>
              <w:t>Summary:</w:t>
            </w:r>
          </w:p>
          <w:p w14:paraId="29B8B8B5" w14:textId="77777777" w:rsidR="00DD1BF8" w:rsidRPr="00CE5A55" w:rsidRDefault="00DD1BF8" w:rsidP="00DD1BF8">
            <w:pPr>
              <w:rPr>
                <w:b/>
                <w:bCs/>
              </w:rPr>
            </w:pPr>
          </w:p>
          <w:p w14:paraId="2E92B160" w14:textId="5DD7E883" w:rsidR="00DD1BF8" w:rsidRPr="00CE5A55" w:rsidRDefault="00DD1BF8" w:rsidP="00DD1BF8">
            <w:r w:rsidRPr="00CE5A55">
              <w:t>The COVID-19 pandemic has accelerated the use and applications of digital technologies both in speed and magnitude. Its shock to the world economies have profoundly re-engineered the working environments and challenged cybersecurity priorities, massively due to the work-from-home (WFH) arrangement.</w:t>
            </w:r>
          </w:p>
          <w:p w14:paraId="4CAB7D80" w14:textId="77777777" w:rsidR="00DD1BF8" w:rsidRPr="00CE5A55" w:rsidRDefault="00DD1BF8" w:rsidP="00DD1BF8"/>
          <w:p w14:paraId="69FA783B" w14:textId="77777777" w:rsidR="00DD1BF8" w:rsidRPr="00CE5A55" w:rsidRDefault="00DD1BF8" w:rsidP="00DD1BF8">
            <w:r w:rsidRPr="00CE5A55">
              <w:t>Following intensive use of ICTs and digital technologies that enable video conferencing, collaboration tools and cloud-based applications, and at the same time putting pressure to the networks and remote access infrastructure, the world has seen two years of digital transformation in just two months. Approximately 1.2 billion workers reported duties from their homes by utilizing digital technologies and internet-enabled communication tools to substitute physical meetings, teaching, marketing, trading, accounting, etc. at a demand level higher than it ever was pre-pandemic.</w:t>
            </w:r>
          </w:p>
          <w:p w14:paraId="48E35C61" w14:textId="77777777" w:rsidR="00DD1BF8" w:rsidRPr="00CE5A55" w:rsidRDefault="00DD1BF8" w:rsidP="00DD1BF8"/>
          <w:p w14:paraId="555BD31F" w14:textId="63414FDD" w:rsidR="00DD1BF8" w:rsidRPr="00CE5A55" w:rsidRDefault="00DD1BF8" w:rsidP="00DD1BF8">
            <w:r w:rsidRPr="00CE5A55">
              <w:t>This in turn has contributed to the snowballing of security risks, in particular, personal data breaches, disinformation, device theft and delivery of deceitful digital services. This challenges member states to prioritize focus and reassert the importance of cybersecurity awareness in a post COVID-19 world through legal measures, technical measures, organization measures, capacity building and cooperation</w:t>
            </w:r>
            <w:r w:rsidR="0089660D" w:rsidRPr="00CE5A55">
              <w:t>.</w:t>
            </w:r>
          </w:p>
          <w:p w14:paraId="0A54D1F2" w14:textId="77777777" w:rsidR="00DD1BF8" w:rsidRPr="00CE5A55" w:rsidRDefault="00DD1BF8" w:rsidP="00DD1BF8">
            <w:pPr>
              <w:rPr>
                <w:color w:val="000000" w:themeColor="text1"/>
              </w:rPr>
            </w:pPr>
          </w:p>
          <w:p w14:paraId="7306D7F3" w14:textId="30C1CD4F" w:rsidR="00DD1BF8" w:rsidRPr="00CE5A55" w:rsidRDefault="00DD1BF8" w:rsidP="00DD1BF8">
            <w:pPr>
              <w:rPr>
                <w:color w:val="000000" w:themeColor="text1"/>
              </w:rPr>
            </w:pPr>
            <w:r w:rsidRPr="00CE5A55">
              <w:rPr>
                <w:color w:val="000000" w:themeColor="text1"/>
              </w:rPr>
              <w:t xml:space="preserve">This document contains proposed modifications to WTDC-17 Resolution 64 </w:t>
            </w:r>
            <w:r w:rsidR="0089660D" w:rsidRPr="00CE5A55">
              <w:rPr>
                <w:color w:val="000000" w:themeColor="text1"/>
              </w:rPr>
              <w:t xml:space="preserve">on </w:t>
            </w:r>
            <w:r w:rsidRPr="00CE5A55">
              <w:rPr>
                <w:color w:val="000000" w:themeColor="text1"/>
              </w:rPr>
              <w:t>“Protecting and Supporting Users/ Consumers of Telecommunication/ Information and Communication Technology Services”. The</w:t>
            </w:r>
            <w:r w:rsidR="0089660D" w:rsidRPr="00CE5A55">
              <w:rPr>
                <w:color w:val="000000" w:themeColor="text1"/>
              </w:rPr>
              <w:t xml:space="preserve"> p</w:t>
            </w:r>
            <w:r w:rsidRPr="00CE5A55">
              <w:rPr>
                <w:color w:val="000000" w:themeColor="text1"/>
              </w:rPr>
              <w:t xml:space="preserve">roposed modifications </w:t>
            </w:r>
            <w:r w:rsidR="0089660D" w:rsidRPr="00CE5A55">
              <w:rPr>
                <w:color w:val="000000" w:themeColor="text1"/>
              </w:rPr>
              <w:t xml:space="preserve">reflect the </w:t>
            </w:r>
            <w:r w:rsidRPr="00CE5A55">
              <w:rPr>
                <w:color w:val="000000" w:themeColor="text1"/>
              </w:rPr>
              <w:t>acknowledge</w:t>
            </w:r>
            <w:r w:rsidR="0089660D" w:rsidRPr="00CE5A55">
              <w:rPr>
                <w:color w:val="000000" w:themeColor="text1"/>
              </w:rPr>
              <w:t>ment that</w:t>
            </w:r>
            <w:r w:rsidRPr="00CE5A55">
              <w:rPr>
                <w:color w:val="000000" w:themeColor="text1"/>
              </w:rPr>
              <w:t xml:space="preserve"> </w:t>
            </w:r>
            <w:r w:rsidR="0089660D" w:rsidRPr="00CE5A55">
              <w:rPr>
                <w:color w:val="000000" w:themeColor="text1"/>
              </w:rPr>
              <w:t xml:space="preserve">while </w:t>
            </w:r>
            <w:r w:rsidRPr="00CE5A55">
              <w:rPr>
                <w:color w:val="000000" w:themeColor="text1"/>
              </w:rPr>
              <w:t xml:space="preserve">the </w:t>
            </w:r>
            <w:r w:rsidR="00983636" w:rsidRPr="00CE5A55">
              <w:rPr>
                <w:color w:val="000000" w:themeColor="text1"/>
              </w:rPr>
              <w:t>COVID</w:t>
            </w:r>
            <w:r w:rsidRPr="00CE5A55">
              <w:rPr>
                <w:color w:val="000000" w:themeColor="text1"/>
              </w:rPr>
              <w:t>-19 pandemic has a</w:t>
            </w:r>
            <w:r w:rsidR="0089660D" w:rsidRPr="00CE5A55">
              <w:rPr>
                <w:color w:val="000000" w:themeColor="text1"/>
              </w:rPr>
              <w:t xml:space="preserve">ccelerated the adoption of ICTs, it has </w:t>
            </w:r>
            <w:r w:rsidRPr="00CE5A55">
              <w:rPr>
                <w:color w:val="000000" w:themeColor="text1"/>
              </w:rPr>
              <w:t>given rise to the increase of the cybersecurity incidences and risks among users</w:t>
            </w:r>
            <w:r w:rsidR="0089660D" w:rsidRPr="00CE5A55">
              <w:rPr>
                <w:color w:val="000000" w:themeColor="text1"/>
              </w:rPr>
              <w:t>. The proposed modifications are calling for the importance to</w:t>
            </w:r>
            <w:r w:rsidRPr="00CE5A55">
              <w:rPr>
                <w:color w:val="000000" w:themeColor="text1"/>
              </w:rPr>
              <w:t xml:space="preserve"> increase awareness </w:t>
            </w:r>
            <w:r w:rsidR="0089660D" w:rsidRPr="00CE5A55">
              <w:rPr>
                <w:color w:val="000000" w:themeColor="text1"/>
              </w:rPr>
              <w:t xml:space="preserve">on the </w:t>
            </w:r>
            <w:r w:rsidRPr="00CE5A55">
              <w:rPr>
                <w:color w:val="000000" w:themeColor="text1"/>
              </w:rPr>
              <w:t xml:space="preserve">safe use of the internet among </w:t>
            </w:r>
            <w:r w:rsidRPr="00CE5A55">
              <w:rPr>
                <w:color w:val="000000" w:themeColor="text1"/>
              </w:rPr>
              <w:lastRenderedPageBreak/>
              <w:t>users/consumers</w:t>
            </w:r>
            <w:r w:rsidR="0089660D" w:rsidRPr="00CE5A55">
              <w:rPr>
                <w:color w:val="000000" w:themeColor="text1"/>
              </w:rPr>
              <w:t xml:space="preserve">, including the need to </w:t>
            </w:r>
            <w:r w:rsidRPr="00CE5A55">
              <w:rPr>
                <w:color w:val="000000" w:themeColor="text1"/>
              </w:rPr>
              <w:t xml:space="preserve">develop a cybersecurity toolkit </w:t>
            </w:r>
            <w:r w:rsidR="0089660D" w:rsidRPr="00CE5A55">
              <w:rPr>
                <w:color w:val="000000" w:themeColor="text1"/>
              </w:rPr>
              <w:t xml:space="preserve">based on </w:t>
            </w:r>
            <w:r w:rsidRPr="00CE5A55">
              <w:rPr>
                <w:color w:val="000000" w:themeColor="text1"/>
              </w:rPr>
              <w:t>the five pillars of the Global Cybersecurity Agenda.</w:t>
            </w:r>
          </w:p>
          <w:p w14:paraId="68977777" w14:textId="77777777" w:rsidR="00DD1BF8" w:rsidRPr="00CE5A55" w:rsidRDefault="00DD1BF8" w:rsidP="00DD1BF8">
            <w:pPr>
              <w:rPr>
                <w:b/>
                <w:bCs/>
              </w:rPr>
            </w:pPr>
          </w:p>
          <w:p w14:paraId="42ADCFE5" w14:textId="77777777" w:rsidR="00DD1BF8" w:rsidRPr="00CE5A55" w:rsidRDefault="00DD1BF8" w:rsidP="00DD1BF8">
            <w:pPr>
              <w:rPr>
                <w:b/>
                <w:bCs/>
              </w:rPr>
            </w:pPr>
            <w:r w:rsidRPr="00CE5A55">
              <w:rPr>
                <w:b/>
                <w:bCs/>
              </w:rPr>
              <w:t>Expected results:</w:t>
            </w:r>
          </w:p>
          <w:p w14:paraId="210D5916" w14:textId="77777777" w:rsidR="00DD1BF8" w:rsidRPr="00CE5A55" w:rsidRDefault="00DD1BF8" w:rsidP="00DD1BF8">
            <w:pPr>
              <w:rPr>
                <w:b/>
                <w:bCs/>
              </w:rPr>
            </w:pPr>
          </w:p>
          <w:p w14:paraId="181F731E" w14:textId="0597B05B" w:rsidR="00DD1BF8" w:rsidRPr="00CE5A55" w:rsidRDefault="00DD1BF8" w:rsidP="00DD1BF8">
            <w:r w:rsidRPr="00FF6598">
              <w:t xml:space="preserve">APT Member administrations </w:t>
            </w:r>
            <w:r w:rsidR="009F79FB" w:rsidRPr="00FF6598">
              <w:t>invite WTDC to examine the proposal and approve the modifications to Resolution</w:t>
            </w:r>
            <w:r w:rsidRPr="00FF6598">
              <w:t xml:space="preserve"> 64</w:t>
            </w:r>
          </w:p>
          <w:p w14:paraId="098FFC60" w14:textId="77777777" w:rsidR="00DD1BF8" w:rsidRPr="00CE5A55" w:rsidRDefault="00DD1BF8" w:rsidP="00DD1BF8">
            <w:pPr>
              <w:rPr>
                <w:b/>
                <w:bCs/>
              </w:rPr>
            </w:pPr>
          </w:p>
          <w:p w14:paraId="73D1A45F" w14:textId="77777777" w:rsidR="00DD1BF8" w:rsidRPr="00CE5A55" w:rsidRDefault="00DD1BF8" w:rsidP="00DD1BF8">
            <w:pPr>
              <w:rPr>
                <w:b/>
                <w:bCs/>
              </w:rPr>
            </w:pPr>
            <w:r w:rsidRPr="00CE5A55">
              <w:rPr>
                <w:b/>
                <w:bCs/>
              </w:rPr>
              <w:t>References:</w:t>
            </w:r>
          </w:p>
          <w:p w14:paraId="4C9BC4E0" w14:textId="77777777" w:rsidR="00DD1BF8" w:rsidRPr="00CE5A55" w:rsidRDefault="00DD1BF8" w:rsidP="00DD1BF8">
            <w:pPr>
              <w:rPr>
                <w:b/>
                <w:bCs/>
              </w:rPr>
            </w:pPr>
          </w:p>
          <w:p w14:paraId="0EDCA2AA" w14:textId="77777777" w:rsidR="00DD1BF8" w:rsidRPr="00CE5A55" w:rsidRDefault="00DD1BF8" w:rsidP="00DD1BF8">
            <w:r w:rsidRPr="00CE5A55">
              <w:t>ITU Global Cybersecurity Index 2020</w:t>
            </w:r>
          </w:p>
          <w:p w14:paraId="41590CB4" w14:textId="77777777" w:rsidR="00DD1BF8" w:rsidRPr="00CE5A55" w:rsidRDefault="00DD1BF8" w:rsidP="00DD1BF8">
            <w:pPr>
              <w:rPr>
                <w:b/>
                <w:bCs/>
              </w:rPr>
            </w:pPr>
            <w:r w:rsidRPr="00CE5A55">
              <w:t xml:space="preserve">ITU Global Cybersecurity Index (GCI) &amp; </w:t>
            </w:r>
            <w:proofErr w:type="spellStart"/>
            <w:r w:rsidRPr="00CE5A55">
              <w:t>Cyberwellness</w:t>
            </w:r>
            <w:proofErr w:type="spellEnd"/>
            <w:r w:rsidRPr="00CE5A55">
              <w:t xml:space="preserve"> Profiles 2015</w:t>
            </w:r>
          </w:p>
        </w:tc>
      </w:tr>
      <w:tr w:rsidR="00DD1BF8" w:rsidRPr="00CE5A55" w14:paraId="61C81E92" w14:textId="77777777" w:rsidTr="00483952">
        <w:tc>
          <w:tcPr>
            <w:tcW w:w="9163" w:type="dxa"/>
          </w:tcPr>
          <w:p w14:paraId="62EAB900" w14:textId="77777777" w:rsidR="00DD1BF8" w:rsidRPr="00CE5A55" w:rsidRDefault="00DD1BF8" w:rsidP="00DD1BF8">
            <w:pPr>
              <w:jc w:val="center"/>
              <w:rPr>
                <w:b/>
                <w:bCs/>
              </w:rPr>
            </w:pPr>
          </w:p>
        </w:tc>
      </w:tr>
    </w:tbl>
    <w:p w14:paraId="5549C49E" w14:textId="77777777" w:rsidR="00DD1BF8" w:rsidRPr="00CE5A55" w:rsidRDefault="00DD1BF8" w:rsidP="00DD1BF8">
      <w:pPr>
        <w:jc w:val="center"/>
        <w:rPr>
          <w:b/>
          <w:bCs/>
        </w:rPr>
      </w:pPr>
    </w:p>
    <w:p w14:paraId="0A08CBBA" w14:textId="77777777" w:rsidR="00DD1BF8" w:rsidRPr="00CE5A55" w:rsidRDefault="00DD1BF8" w:rsidP="00DD1BF8">
      <w:pPr>
        <w:rPr>
          <w:b/>
          <w:bCs/>
        </w:rPr>
      </w:pPr>
      <w:r w:rsidRPr="00CE5A55">
        <w:rPr>
          <w:b/>
          <w:bCs/>
        </w:rPr>
        <w:t>PROPOSALS</w:t>
      </w:r>
    </w:p>
    <w:p w14:paraId="0E7C4862" w14:textId="77777777" w:rsidR="00DD1BF8" w:rsidRPr="00CE5A55" w:rsidRDefault="00DD1BF8" w:rsidP="00DD1BF8">
      <w:pPr>
        <w:jc w:val="center"/>
        <w:rPr>
          <w:b/>
          <w:bCs/>
        </w:rPr>
      </w:pPr>
    </w:p>
    <w:p w14:paraId="50F198B7" w14:textId="77777777" w:rsidR="00DD1BF8" w:rsidRPr="00CE5A55" w:rsidRDefault="00DD1BF8" w:rsidP="00DD1BF8">
      <w:r w:rsidRPr="00CE5A55">
        <w:t>APT Member administrations propose to modify WTDC Resolution 64, according to the annex below.</w:t>
      </w:r>
    </w:p>
    <w:p w14:paraId="5F7C7866" w14:textId="77777777" w:rsidR="00DD1BF8" w:rsidRPr="00DD1BF8" w:rsidRDefault="00DD1BF8" w:rsidP="00DD1BF8">
      <w:pPr>
        <w:jc w:val="center"/>
        <w:rPr>
          <w:rFonts w:ascii="Calibri" w:hAnsi="Calibri" w:cs="Calibri"/>
          <w:b/>
          <w:bCs/>
        </w:rPr>
      </w:pPr>
    </w:p>
    <w:p w14:paraId="58F50127" w14:textId="50D9EE87" w:rsidR="008261FE" w:rsidRPr="00C4692B" w:rsidRDefault="008261FE" w:rsidP="00673E36">
      <w:pPr>
        <w:jc w:val="center"/>
        <w:rPr>
          <w:rFonts w:ascii="Calibri" w:hAnsi="Calibri" w:cs="Calibri"/>
          <w:b/>
          <w:bCs/>
        </w:rPr>
      </w:pPr>
      <w:r w:rsidRPr="00C4692B">
        <w:rPr>
          <w:rFonts w:ascii="Calibri" w:hAnsi="Calibri" w:cs="Calibri"/>
          <w:b/>
          <w:bCs/>
        </w:rPr>
        <w:br w:type="page"/>
      </w:r>
    </w:p>
    <w:p w14:paraId="611AA572" w14:textId="0D06CD0C" w:rsidR="00673E36" w:rsidRPr="00C4692B" w:rsidRDefault="00673E36" w:rsidP="00673E36">
      <w:pPr>
        <w:jc w:val="center"/>
      </w:pPr>
      <w:r w:rsidRPr="00C4692B">
        <w:lastRenderedPageBreak/>
        <w:t xml:space="preserve">RESOLUTION 64 (Rev. </w:t>
      </w:r>
      <w:del w:id="0" w:author="Author">
        <w:r w:rsidRPr="00C4692B" w:rsidDel="001940D2">
          <w:delText>Buenos Aires, 2017</w:delText>
        </w:r>
      </w:del>
      <w:ins w:id="1" w:author="Author">
        <w:r w:rsidR="00E003FD" w:rsidRPr="00C4692B">
          <w:t>Addis Ababa, 2021</w:t>
        </w:r>
      </w:ins>
      <w:r w:rsidRPr="00C4692B">
        <w:t>)</w:t>
      </w:r>
    </w:p>
    <w:p w14:paraId="6322E5E4" w14:textId="77777777" w:rsidR="00673E36" w:rsidRPr="00C4692B" w:rsidRDefault="00673E36" w:rsidP="00673E36"/>
    <w:p w14:paraId="6E93E819" w14:textId="44263DBD" w:rsidR="00673E36" w:rsidRPr="00C4692B" w:rsidRDefault="00673E36" w:rsidP="008261FE">
      <w:pPr>
        <w:jc w:val="center"/>
        <w:rPr>
          <w:b/>
          <w:bCs/>
        </w:rPr>
      </w:pPr>
      <w:r w:rsidRPr="00C4692B">
        <w:rPr>
          <w:b/>
          <w:bCs/>
        </w:rPr>
        <w:t>Protecting and supporting users/</w:t>
      </w:r>
      <w:r w:rsidR="008261FE" w:rsidRPr="00C4692B">
        <w:rPr>
          <w:b/>
          <w:bCs/>
        </w:rPr>
        <w:t xml:space="preserve"> </w:t>
      </w:r>
      <w:r w:rsidRPr="00C4692B">
        <w:rPr>
          <w:b/>
          <w:bCs/>
        </w:rPr>
        <w:t>consumers of telecommunication/</w:t>
      </w:r>
      <w:r w:rsidR="00C47598" w:rsidRPr="00C4692B">
        <w:rPr>
          <w:b/>
          <w:bCs/>
        </w:rPr>
        <w:t xml:space="preserve"> </w:t>
      </w:r>
      <w:r w:rsidRPr="00C4692B">
        <w:rPr>
          <w:b/>
          <w:bCs/>
        </w:rPr>
        <w:t>information and communication technology services</w:t>
      </w:r>
    </w:p>
    <w:p w14:paraId="33624577" w14:textId="77777777" w:rsidR="00673E36" w:rsidRPr="00C4692B" w:rsidRDefault="00673E36" w:rsidP="00673E36"/>
    <w:p w14:paraId="3B3BF1C8" w14:textId="33DDC3CF" w:rsidR="00673E36" w:rsidRPr="00C4692B" w:rsidRDefault="00673E36" w:rsidP="00673E36">
      <w:r w:rsidRPr="00C4692B">
        <w:t>The World Telecommunication Development Conference (</w:t>
      </w:r>
      <w:del w:id="2" w:author="Author">
        <w:r w:rsidRPr="00C4692B" w:rsidDel="00E003FD">
          <w:delText>Buenos Aires, 2017</w:delText>
        </w:r>
      </w:del>
      <w:ins w:id="3" w:author="Author">
        <w:r w:rsidR="00E003FD" w:rsidRPr="00C4692B">
          <w:t>Addis Ababa, 2021</w:t>
        </w:r>
      </w:ins>
      <w:r w:rsidRPr="00C4692B">
        <w:t>),</w:t>
      </w:r>
    </w:p>
    <w:p w14:paraId="3D863438" w14:textId="77777777" w:rsidR="00BF67AC" w:rsidRPr="00C4692B" w:rsidRDefault="00BF67AC" w:rsidP="00673E36"/>
    <w:p w14:paraId="05B75250" w14:textId="703B4D40" w:rsidR="00673E36" w:rsidRPr="00C4692B" w:rsidRDefault="00BF67AC" w:rsidP="00BF67AC">
      <w:pPr>
        <w:ind w:firstLine="720"/>
        <w:rPr>
          <w:i/>
          <w:iCs/>
        </w:rPr>
      </w:pPr>
      <w:r w:rsidRPr="00C4692B">
        <w:rPr>
          <w:i/>
          <w:iCs/>
        </w:rPr>
        <w:t>c</w:t>
      </w:r>
      <w:r w:rsidR="00673E36" w:rsidRPr="00C4692B">
        <w:rPr>
          <w:i/>
          <w:iCs/>
        </w:rPr>
        <w:t>onsidering</w:t>
      </w:r>
    </w:p>
    <w:p w14:paraId="46F3400F" w14:textId="77777777" w:rsidR="00BF67AC" w:rsidRPr="00C4692B" w:rsidRDefault="00BF67AC" w:rsidP="00BF67AC">
      <w:pPr>
        <w:ind w:firstLine="720"/>
        <w:rPr>
          <w:i/>
          <w:iCs/>
        </w:rPr>
      </w:pPr>
    </w:p>
    <w:p w14:paraId="78DA8286" w14:textId="7FB9D1D3" w:rsidR="00224A37" w:rsidRPr="00C4692B" w:rsidRDefault="00673E36" w:rsidP="00CE5A55">
      <w:pPr>
        <w:tabs>
          <w:tab w:val="left" w:pos="567"/>
        </w:tabs>
        <w:jc w:val="both"/>
        <w:rPr>
          <w:ins w:id="4" w:author="Author"/>
        </w:rPr>
      </w:pPr>
      <w:r w:rsidRPr="00CE5A55">
        <w:rPr>
          <w:i/>
          <w:iCs/>
        </w:rPr>
        <w:t>a)</w:t>
      </w:r>
      <w:r w:rsidRPr="00C4692B">
        <w:t xml:space="preserve"> </w:t>
      </w:r>
      <w:r w:rsidR="00CE5A55">
        <w:tab/>
      </w:r>
      <w:ins w:id="5" w:author="Author">
        <w:r w:rsidR="00224A37" w:rsidRPr="00C4692B">
          <w:rPr>
            <w:bCs/>
          </w:rPr>
          <w:t>UNGA76 Keynote Address by the UN Secretary-General on 21 September 2021 which called for greater actions against the 6 Great Divides, in particular</w:t>
        </w:r>
        <w:r w:rsidR="00224A37" w:rsidRPr="00C4692B">
          <w:t xml:space="preserve"> the digital technology dangers and perils of digital connectivity, given the growing reach of digital platforms, and the use and abuse of data</w:t>
        </w:r>
        <w:r w:rsidR="00CE5A55">
          <w:t>;</w:t>
        </w:r>
      </w:ins>
    </w:p>
    <w:p w14:paraId="0090F48C" w14:textId="77777777" w:rsidR="00224A37" w:rsidRPr="00C4692B" w:rsidRDefault="00224A37" w:rsidP="00CE5A55">
      <w:pPr>
        <w:tabs>
          <w:tab w:val="left" w:pos="567"/>
        </w:tabs>
        <w:rPr>
          <w:ins w:id="6" w:author="Author"/>
        </w:rPr>
      </w:pPr>
    </w:p>
    <w:p w14:paraId="1EA77DD6" w14:textId="30D1C16B" w:rsidR="00673E36" w:rsidRPr="00C4692B" w:rsidRDefault="00224A37" w:rsidP="00CE5A55">
      <w:pPr>
        <w:tabs>
          <w:tab w:val="left" w:pos="567"/>
        </w:tabs>
        <w:jc w:val="both"/>
      </w:pPr>
      <w:ins w:id="7" w:author="Author">
        <w:r w:rsidRPr="00CE5A55">
          <w:rPr>
            <w:i/>
            <w:iCs/>
          </w:rPr>
          <w:t>b)</w:t>
        </w:r>
        <w:r w:rsidRPr="00C4692B">
          <w:t xml:space="preserve"> </w:t>
        </w:r>
      </w:ins>
      <w:r w:rsidR="00CE5A55">
        <w:tab/>
      </w:r>
      <w:r w:rsidR="00673E36" w:rsidRPr="00C4692B">
        <w:t>Resolution 196 (</w:t>
      </w:r>
      <w:del w:id="8" w:author="Author">
        <w:r w:rsidR="00673E36" w:rsidRPr="00C4692B" w:rsidDel="004A6B3E">
          <w:delText>Busan, 2014</w:delText>
        </w:r>
      </w:del>
      <w:ins w:id="9" w:author="Author">
        <w:r w:rsidR="004A6B3E" w:rsidRPr="00C4692B">
          <w:t>Dubai, 2018</w:t>
        </w:r>
      </w:ins>
      <w:r w:rsidR="00673E36" w:rsidRPr="00C4692B">
        <w:t>) of the Plenipotentiary Conference, on</w:t>
      </w:r>
      <w:r w:rsidR="00BF67AC" w:rsidRPr="00C4692B">
        <w:t xml:space="preserve"> </w:t>
      </w:r>
      <w:r w:rsidR="00673E36" w:rsidRPr="00C4692B">
        <w:t>protecting telecommunication service users/consumers;</w:t>
      </w:r>
    </w:p>
    <w:p w14:paraId="056A49AC" w14:textId="77777777" w:rsidR="00BF67AC" w:rsidRPr="00C4692B" w:rsidRDefault="00BF67AC" w:rsidP="00CE5A55">
      <w:pPr>
        <w:tabs>
          <w:tab w:val="left" w:pos="567"/>
        </w:tabs>
        <w:jc w:val="both"/>
      </w:pPr>
    </w:p>
    <w:p w14:paraId="3344A20C" w14:textId="79F5F18C" w:rsidR="00673E36" w:rsidRPr="00C4692B" w:rsidRDefault="00224A37" w:rsidP="00CE5A55">
      <w:pPr>
        <w:tabs>
          <w:tab w:val="left" w:pos="567"/>
        </w:tabs>
        <w:jc w:val="both"/>
        <w:rPr>
          <w:ins w:id="10" w:author="Author"/>
        </w:rPr>
      </w:pPr>
      <w:ins w:id="11" w:author="Author">
        <w:r w:rsidRPr="00CE5A55">
          <w:rPr>
            <w:i/>
            <w:iCs/>
          </w:rPr>
          <w:t>c</w:t>
        </w:r>
      </w:ins>
      <w:del w:id="12" w:author="Author">
        <w:r w:rsidR="00673E36" w:rsidRPr="00CE5A55" w:rsidDel="00224A37">
          <w:rPr>
            <w:i/>
            <w:iCs/>
          </w:rPr>
          <w:delText>b</w:delText>
        </w:r>
      </w:del>
      <w:r w:rsidR="00673E36" w:rsidRPr="00CE5A55">
        <w:rPr>
          <w:i/>
          <w:iCs/>
        </w:rPr>
        <w:t>)</w:t>
      </w:r>
      <w:r w:rsidR="00673E36" w:rsidRPr="00C4692B">
        <w:t xml:space="preserve"> </w:t>
      </w:r>
      <w:r w:rsidR="00CE5A55">
        <w:tab/>
      </w:r>
      <w:r w:rsidR="00673E36" w:rsidRPr="00C4692B">
        <w:t>Resolution 84 (</w:t>
      </w:r>
      <w:proofErr w:type="spellStart"/>
      <w:r w:rsidR="00673E36" w:rsidRPr="00C4692B">
        <w:t>Hammamet</w:t>
      </w:r>
      <w:proofErr w:type="spellEnd"/>
      <w:r w:rsidR="00673E36" w:rsidRPr="00C4692B">
        <w:t>, 2016) of the World Telecommunication</w:t>
      </w:r>
      <w:r w:rsidR="00BF67AC" w:rsidRPr="00C4692B">
        <w:t xml:space="preserve"> </w:t>
      </w:r>
      <w:r w:rsidR="00673E36" w:rsidRPr="00C4692B">
        <w:t>Standardization Assembly, on studies concerning the protection of users of</w:t>
      </w:r>
      <w:r w:rsidR="00BF67AC" w:rsidRPr="00C4692B">
        <w:t xml:space="preserve"> </w:t>
      </w:r>
      <w:r w:rsidR="00673E36" w:rsidRPr="00C4692B">
        <w:t>telecommunication/information and communication technology (ICT) services;</w:t>
      </w:r>
    </w:p>
    <w:p w14:paraId="48EFA1DE" w14:textId="23DE7D0D" w:rsidR="00E003FD" w:rsidRPr="00C4692B" w:rsidRDefault="00E003FD" w:rsidP="00CE5A55">
      <w:pPr>
        <w:tabs>
          <w:tab w:val="left" w:pos="567"/>
        </w:tabs>
        <w:jc w:val="both"/>
        <w:rPr>
          <w:ins w:id="13" w:author="Author"/>
        </w:rPr>
      </w:pPr>
    </w:p>
    <w:p w14:paraId="297033B1" w14:textId="6B40733B" w:rsidR="00E003FD" w:rsidRPr="00C4692B" w:rsidRDefault="00224A37" w:rsidP="00CE5A55">
      <w:pPr>
        <w:tabs>
          <w:tab w:val="left" w:pos="567"/>
        </w:tabs>
        <w:jc w:val="both"/>
      </w:pPr>
      <w:ins w:id="14" w:author="Author">
        <w:r w:rsidRPr="00CE5A55">
          <w:rPr>
            <w:i/>
            <w:iCs/>
          </w:rPr>
          <w:t>d</w:t>
        </w:r>
        <w:r w:rsidR="00E003FD" w:rsidRPr="00CE5A55">
          <w:rPr>
            <w:i/>
            <w:iCs/>
          </w:rPr>
          <w:t>)</w:t>
        </w:r>
        <w:r w:rsidR="00E003FD" w:rsidRPr="00C4692B">
          <w:t xml:space="preserve"> </w:t>
        </w:r>
      </w:ins>
      <w:r w:rsidR="00CE5A55">
        <w:tab/>
      </w:r>
      <w:ins w:id="15" w:author="Author">
        <w:r w:rsidR="00E003FD" w:rsidRPr="00C4692B">
          <w:t>Resolution 64 (Rev. Buenos Aires, 2017) of this conference on protecting and supporting users/consumers of telecommunication/information and communication technology services;</w:t>
        </w:r>
      </w:ins>
    </w:p>
    <w:p w14:paraId="2D894483" w14:textId="77777777" w:rsidR="00BF67AC" w:rsidRPr="00C4692B" w:rsidRDefault="00BF67AC" w:rsidP="00CE5A55">
      <w:pPr>
        <w:tabs>
          <w:tab w:val="left" w:pos="567"/>
        </w:tabs>
        <w:jc w:val="both"/>
      </w:pPr>
    </w:p>
    <w:p w14:paraId="4D99D1D8" w14:textId="22918384" w:rsidR="00673E36" w:rsidRPr="00C4692B" w:rsidRDefault="00CE5A55" w:rsidP="00CE5A55">
      <w:pPr>
        <w:tabs>
          <w:tab w:val="left" w:pos="567"/>
        </w:tabs>
        <w:jc w:val="both"/>
      </w:pPr>
      <w:del w:id="16" w:author="Author">
        <w:r w:rsidRPr="00CE5A55" w:rsidDel="00CE5A55">
          <w:rPr>
            <w:i/>
            <w:iCs/>
          </w:rPr>
          <w:delText>c</w:delText>
        </w:r>
      </w:del>
      <w:ins w:id="17" w:author="Author">
        <w:r w:rsidR="00224A37" w:rsidRPr="00CE5A55">
          <w:rPr>
            <w:i/>
            <w:iCs/>
          </w:rPr>
          <w:t>e</w:t>
        </w:r>
      </w:ins>
      <w:r w:rsidR="00673E36" w:rsidRPr="00CE5A55">
        <w:rPr>
          <w:i/>
          <w:iCs/>
        </w:rPr>
        <w:t>)</w:t>
      </w:r>
      <w:r w:rsidR="00673E36" w:rsidRPr="00C4692B">
        <w:t xml:space="preserve"> </w:t>
      </w:r>
      <w:r>
        <w:tab/>
      </w:r>
      <w:r w:rsidR="00673E36" w:rsidRPr="00C4692B">
        <w:t>United Nations guidelines on consumer protection, reviewed and</w:t>
      </w:r>
      <w:r w:rsidR="00BF67AC" w:rsidRPr="00C4692B">
        <w:t xml:space="preserve"> </w:t>
      </w:r>
      <w:r w:rsidR="00673E36" w:rsidRPr="00C4692B">
        <w:t>approved by the United Nations General Assembly in Resolution 70/186 of</w:t>
      </w:r>
      <w:r w:rsidR="00BF67AC" w:rsidRPr="00C4692B">
        <w:t xml:space="preserve"> </w:t>
      </w:r>
      <w:r w:rsidR="00673E36" w:rsidRPr="00C4692B">
        <w:t>22 December 2015, which establish the main characteristics that consumer</w:t>
      </w:r>
      <w:r w:rsidR="00BF67AC" w:rsidRPr="00C4692B">
        <w:t xml:space="preserve"> </w:t>
      </w:r>
      <w:r w:rsidR="00673E36" w:rsidRPr="00C4692B">
        <w:t>protection laws must have, the institutions in charge of enforcing them, and</w:t>
      </w:r>
      <w:r w:rsidR="00BF67AC" w:rsidRPr="00C4692B">
        <w:t xml:space="preserve"> </w:t>
      </w:r>
      <w:r w:rsidR="00673E36" w:rsidRPr="00C4692B">
        <w:t>compensation systems so they can be effective;</w:t>
      </w:r>
    </w:p>
    <w:p w14:paraId="74EFF617" w14:textId="77777777" w:rsidR="00BF67AC" w:rsidRPr="00C4692B" w:rsidRDefault="00BF67AC" w:rsidP="00CE5A55">
      <w:pPr>
        <w:tabs>
          <w:tab w:val="left" w:pos="567"/>
        </w:tabs>
        <w:jc w:val="both"/>
      </w:pPr>
    </w:p>
    <w:p w14:paraId="1F635CCB" w14:textId="436F13C7" w:rsidR="00673E36" w:rsidRPr="00C4692B" w:rsidRDefault="00CE5A55" w:rsidP="00CE5A55">
      <w:pPr>
        <w:tabs>
          <w:tab w:val="left" w:pos="567"/>
        </w:tabs>
        <w:jc w:val="both"/>
      </w:pPr>
      <w:del w:id="18" w:author="Author">
        <w:r w:rsidRPr="00CE5A55" w:rsidDel="00CE5A55">
          <w:rPr>
            <w:i/>
            <w:iCs/>
          </w:rPr>
          <w:delText>d</w:delText>
        </w:r>
      </w:del>
      <w:ins w:id="19" w:author="Author">
        <w:r w:rsidR="00224A37" w:rsidRPr="00CE5A55">
          <w:rPr>
            <w:i/>
            <w:iCs/>
          </w:rPr>
          <w:t>f</w:t>
        </w:r>
      </w:ins>
      <w:r w:rsidR="00673E36" w:rsidRPr="00CE5A55">
        <w:rPr>
          <w:i/>
          <w:iCs/>
        </w:rPr>
        <w:t>)</w:t>
      </w:r>
      <w:r w:rsidR="00673E36" w:rsidRPr="00C4692B">
        <w:t xml:space="preserve"> </w:t>
      </w:r>
      <w:r>
        <w:tab/>
      </w:r>
      <w:r w:rsidR="00673E36" w:rsidRPr="00C4692B">
        <w:t>Resolution 188 (</w:t>
      </w:r>
      <w:del w:id="20" w:author="Author">
        <w:r w:rsidR="00673E36" w:rsidRPr="00C4692B" w:rsidDel="001E5CCB">
          <w:delText>Busan, 2014</w:delText>
        </w:r>
      </w:del>
      <w:ins w:id="21" w:author="Author">
        <w:r w:rsidR="001E5CCB" w:rsidRPr="00C4692B">
          <w:t>Dubai, 2018</w:t>
        </w:r>
      </w:ins>
      <w:r w:rsidR="00673E36" w:rsidRPr="00C4692B">
        <w:t>) of the Plenipotentiary Conference, on</w:t>
      </w:r>
      <w:r w:rsidR="00BF67AC" w:rsidRPr="00C4692B">
        <w:t xml:space="preserve"> </w:t>
      </w:r>
      <w:r w:rsidR="00673E36" w:rsidRPr="00C4692B">
        <w:t>combating counterfeit telecommunication/ICT devices;</w:t>
      </w:r>
    </w:p>
    <w:p w14:paraId="7D95FCB5" w14:textId="77777777" w:rsidR="00BF67AC" w:rsidRPr="00C4692B" w:rsidRDefault="00BF67AC" w:rsidP="00CE5A55">
      <w:pPr>
        <w:tabs>
          <w:tab w:val="left" w:pos="567"/>
        </w:tabs>
        <w:jc w:val="both"/>
      </w:pPr>
    </w:p>
    <w:p w14:paraId="60E5BAFF" w14:textId="1756954F" w:rsidR="0011198E" w:rsidRPr="00C4692B" w:rsidRDefault="00CE5A55" w:rsidP="00CE5A55">
      <w:pPr>
        <w:tabs>
          <w:tab w:val="left" w:pos="567"/>
        </w:tabs>
        <w:jc w:val="both"/>
      </w:pPr>
      <w:del w:id="22" w:author="Author">
        <w:r w:rsidRPr="00CE5A55" w:rsidDel="00CE5A55">
          <w:rPr>
            <w:i/>
            <w:iCs/>
          </w:rPr>
          <w:delText>e</w:delText>
        </w:r>
      </w:del>
      <w:ins w:id="23" w:author="Author">
        <w:r w:rsidR="00224A37" w:rsidRPr="00CE5A55">
          <w:rPr>
            <w:i/>
            <w:iCs/>
          </w:rPr>
          <w:t>g</w:t>
        </w:r>
      </w:ins>
      <w:r w:rsidR="00673E36" w:rsidRPr="00CE5A55">
        <w:rPr>
          <w:i/>
          <w:iCs/>
        </w:rPr>
        <w:t>)</w:t>
      </w:r>
      <w:r w:rsidR="00673E36" w:rsidRPr="00C4692B">
        <w:t xml:space="preserve"> </w:t>
      </w:r>
      <w:r>
        <w:tab/>
      </w:r>
      <w:r w:rsidR="00673E36" w:rsidRPr="00C4692B">
        <w:t>Resolution 189 (</w:t>
      </w:r>
      <w:ins w:id="24" w:author="Author">
        <w:r w:rsidR="001E5CCB" w:rsidRPr="00C4692B">
          <w:t>Dubai, 2018</w:t>
        </w:r>
      </w:ins>
      <w:del w:id="25" w:author="Author">
        <w:r w:rsidR="00673E36" w:rsidRPr="00C4692B" w:rsidDel="001E5CCB">
          <w:delText>Busan, 2014</w:delText>
        </w:r>
      </w:del>
      <w:r w:rsidR="00673E36" w:rsidRPr="00C4692B">
        <w:t>) of the Plenipotentiary Conference, on</w:t>
      </w:r>
      <w:r w:rsidR="00BF67AC" w:rsidRPr="00C4692B">
        <w:t xml:space="preserve"> </w:t>
      </w:r>
      <w:r w:rsidR="00673E36" w:rsidRPr="00C4692B">
        <w:t>assisting Member States to combat and deter mobile device theft;</w:t>
      </w:r>
    </w:p>
    <w:p w14:paraId="246FDC10" w14:textId="725A0895" w:rsidR="00007ED8" w:rsidRPr="00C4692B" w:rsidRDefault="00007ED8" w:rsidP="00CE5A55">
      <w:pPr>
        <w:tabs>
          <w:tab w:val="left" w:pos="567"/>
        </w:tabs>
        <w:jc w:val="both"/>
      </w:pPr>
    </w:p>
    <w:p w14:paraId="1538FA85" w14:textId="6FAAAD45" w:rsidR="00007ED8" w:rsidRPr="00C4692B" w:rsidRDefault="00007ED8" w:rsidP="00CE5A55">
      <w:pPr>
        <w:tabs>
          <w:tab w:val="left" w:pos="567"/>
        </w:tabs>
        <w:jc w:val="both"/>
      </w:pPr>
      <w:r w:rsidRPr="00C4692B">
        <w:rPr>
          <w:rFonts w:ascii="Calibri" w:hAnsi="Calibri" w:cs="Calibri"/>
        </w:rPr>
        <w:t>﻿</w:t>
      </w:r>
      <w:del w:id="26" w:author="Author">
        <w:r w:rsidR="00CE5A55" w:rsidRPr="00CE5A55" w:rsidDel="00CE5A55">
          <w:rPr>
            <w:i/>
            <w:iCs/>
          </w:rPr>
          <w:delText>f</w:delText>
        </w:r>
      </w:del>
      <w:ins w:id="27" w:author="Author">
        <w:r w:rsidR="00224A37" w:rsidRPr="00CE5A55">
          <w:rPr>
            <w:i/>
            <w:iCs/>
          </w:rPr>
          <w:t>h</w:t>
        </w:r>
      </w:ins>
      <w:r w:rsidRPr="00CE5A55">
        <w:rPr>
          <w:i/>
          <w:iCs/>
        </w:rPr>
        <w:t>)</w:t>
      </w:r>
      <w:r w:rsidRPr="00C4692B">
        <w:t xml:space="preserve"> </w:t>
      </w:r>
      <w:r w:rsidR="00CE5A55">
        <w:tab/>
      </w:r>
      <w:r w:rsidRPr="00C4692B">
        <w:t>§ 13 e) of the Geneva Plan of Action of the World Summit on the Information Society, which states that governments should continue to update their domestic consumer-protection laws to respond to the new requirements of the information society;</w:t>
      </w:r>
    </w:p>
    <w:p w14:paraId="33A5F1C8" w14:textId="77777777" w:rsidR="00007ED8" w:rsidRPr="00C4692B" w:rsidRDefault="00007ED8" w:rsidP="00CE5A55">
      <w:pPr>
        <w:tabs>
          <w:tab w:val="left" w:pos="567"/>
        </w:tabs>
        <w:jc w:val="both"/>
      </w:pPr>
    </w:p>
    <w:p w14:paraId="3D7DE989" w14:textId="2EDCCA78" w:rsidR="006057CC" w:rsidRPr="00C4692B" w:rsidRDefault="00CE5A55" w:rsidP="00CE5A55">
      <w:pPr>
        <w:tabs>
          <w:tab w:val="left" w:pos="567"/>
        </w:tabs>
        <w:jc w:val="both"/>
        <w:rPr>
          <w:ins w:id="28" w:author="Author"/>
        </w:rPr>
      </w:pPr>
      <w:del w:id="29" w:author="Author">
        <w:r w:rsidRPr="00CE5A55" w:rsidDel="00CE5A55">
          <w:rPr>
            <w:i/>
            <w:iCs/>
          </w:rPr>
          <w:delText>g</w:delText>
        </w:r>
      </w:del>
      <w:proofErr w:type="spellStart"/>
      <w:ins w:id="30" w:author="Author">
        <w:r w:rsidR="00224A37" w:rsidRPr="00CE5A55">
          <w:rPr>
            <w:i/>
            <w:iCs/>
          </w:rPr>
          <w:t>i</w:t>
        </w:r>
      </w:ins>
      <w:proofErr w:type="spellEnd"/>
      <w:r w:rsidR="00007ED8" w:rsidRPr="00CE5A55">
        <w:rPr>
          <w:i/>
          <w:iCs/>
        </w:rPr>
        <w:t>)</w:t>
      </w:r>
      <w:r w:rsidR="00007ED8" w:rsidRPr="00C4692B">
        <w:t xml:space="preserve"> </w:t>
      </w:r>
      <w:r>
        <w:tab/>
      </w:r>
      <w:r w:rsidR="00007ED8" w:rsidRPr="00C4692B">
        <w:t>§§ 4.4 and 4.5 of Article 4 of the International Telecommunication Regulations</w:t>
      </w:r>
      <w:ins w:id="31" w:author="Author">
        <w:r w:rsidR="00571257" w:rsidRPr="00C4692B">
          <w:t>;</w:t>
        </w:r>
      </w:ins>
    </w:p>
    <w:p w14:paraId="76B606BA" w14:textId="71CD9D53" w:rsidR="00270B09" w:rsidRPr="00C4692B" w:rsidRDefault="00270B09" w:rsidP="00CE5A55">
      <w:pPr>
        <w:tabs>
          <w:tab w:val="left" w:pos="567"/>
        </w:tabs>
        <w:jc w:val="both"/>
        <w:rPr>
          <w:ins w:id="32" w:author="Author"/>
        </w:rPr>
      </w:pPr>
    </w:p>
    <w:p w14:paraId="781961F9" w14:textId="2A7BC14C" w:rsidR="00270B09" w:rsidRPr="00C4692B" w:rsidRDefault="00224A37" w:rsidP="00CE5A55">
      <w:pPr>
        <w:tabs>
          <w:tab w:val="left" w:pos="567"/>
        </w:tabs>
        <w:jc w:val="both"/>
      </w:pPr>
      <w:ins w:id="33" w:author="Author">
        <w:r w:rsidRPr="00CE5A55">
          <w:rPr>
            <w:i/>
            <w:iCs/>
          </w:rPr>
          <w:t>j</w:t>
        </w:r>
        <w:r w:rsidR="000C0DED" w:rsidRPr="00CE5A55">
          <w:rPr>
            <w:i/>
            <w:iCs/>
          </w:rPr>
          <w:t>)</w:t>
        </w:r>
        <w:r w:rsidR="000C0DED" w:rsidRPr="00C4692B">
          <w:t xml:space="preserve"> </w:t>
        </w:r>
      </w:ins>
      <w:r w:rsidR="00CE5A55">
        <w:tab/>
      </w:r>
      <w:ins w:id="34" w:author="Author">
        <w:r w:rsidR="000C0DED" w:rsidRPr="00C4692B">
          <w:t>ITU initiatives on cybersecurity, including the Global Cybersecurity Index (GCI)</w:t>
        </w:r>
        <w:r w:rsidR="00571257" w:rsidRPr="00C4692B">
          <w:t>;</w:t>
        </w:r>
      </w:ins>
    </w:p>
    <w:p w14:paraId="305D02C2" w14:textId="77777777" w:rsidR="000C0DED" w:rsidRPr="00C4692B" w:rsidRDefault="000C0DED" w:rsidP="00CE5A55">
      <w:pPr>
        <w:tabs>
          <w:tab w:val="left" w:pos="567"/>
        </w:tabs>
        <w:jc w:val="both"/>
        <w:rPr>
          <w:ins w:id="35" w:author="Author"/>
        </w:rPr>
      </w:pPr>
    </w:p>
    <w:p w14:paraId="738FE9CD" w14:textId="68B340E6" w:rsidR="00B62E08" w:rsidRPr="00C4692B" w:rsidRDefault="00224A37" w:rsidP="00CE5A55">
      <w:pPr>
        <w:tabs>
          <w:tab w:val="left" w:pos="567"/>
        </w:tabs>
        <w:jc w:val="both"/>
        <w:rPr>
          <w:ins w:id="36" w:author="Author"/>
          <w:bCs/>
        </w:rPr>
      </w:pPr>
      <w:ins w:id="37" w:author="Author">
        <w:r w:rsidRPr="00CE5A55">
          <w:rPr>
            <w:i/>
            <w:iCs/>
          </w:rPr>
          <w:t>k</w:t>
        </w:r>
        <w:r w:rsidR="000C0DED" w:rsidRPr="00CE5A55">
          <w:rPr>
            <w:i/>
            <w:iCs/>
          </w:rPr>
          <w:t>)</w:t>
        </w:r>
        <w:r w:rsidR="000C0DED" w:rsidRPr="00C4692B">
          <w:t xml:space="preserve"> </w:t>
        </w:r>
      </w:ins>
      <w:r w:rsidR="00CE5A55">
        <w:tab/>
      </w:r>
      <w:ins w:id="38" w:author="Author">
        <w:r w:rsidR="00B62E08" w:rsidRPr="00C4692B">
          <w:t xml:space="preserve">Goals 2 and 3 of the ITU Connect 2030 Agenda on </w:t>
        </w:r>
        <w:r w:rsidR="00B62E08" w:rsidRPr="00C4692B">
          <w:rPr>
            <w:bCs/>
          </w:rPr>
          <w:t>bridging the digital divide and provide broadband for all, and managing challenges resulting from telecommunication/ICT</w:t>
        </w:r>
        <w:r w:rsidR="00571257" w:rsidRPr="00C4692B">
          <w:rPr>
            <w:bCs/>
          </w:rPr>
          <w:t>;</w:t>
        </w:r>
        <w:r w:rsidR="00B62E08" w:rsidRPr="00C4692B">
          <w:rPr>
            <w:bCs/>
          </w:rPr>
          <w:t xml:space="preserve"> development, respectively</w:t>
        </w:r>
        <w:r w:rsidR="00CE5A55">
          <w:rPr>
            <w:bCs/>
          </w:rPr>
          <w:t>,</w:t>
        </w:r>
      </w:ins>
    </w:p>
    <w:p w14:paraId="0D3D0FCD" w14:textId="4CE7CC28" w:rsidR="00007ED8" w:rsidRPr="00C4692B" w:rsidRDefault="00007ED8" w:rsidP="00950E29">
      <w:pPr>
        <w:jc w:val="both"/>
      </w:pPr>
      <w:r w:rsidRPr="00C4692B">
        <w:t xml:space="preserve"> </w:t>
      </w:r>
    </w:p>
    <w:p w14:paraId="7A93EFE1" w14:textId="77777777" w:rsidR="00007ED8" w:rsidRPr="00C4692B" w:rsidRDefault="00007ED8" w:rsidP="006057CC">
      <w:pPr>
        <w:ind w:firstLine="720"/>
        <w:rPr>
          <w:i/>
          <w:iCs/>
        </w:rPr>
      </w:pPr>
      <w:r w:rsidRPr="00C4692B">
        <w:rPr>
          <w:i/>
          <w:iCs/>
        </w:rPr>
        <w:t>taking into account</w:t>
      </w:r>
    </w:p>
    <w:p w14:paraId="7EDBDCB8" w14:textId="77777777" w:rsidR="006057CC" w:rsidRPr="00C4692B" w:rsidRDefault="006057CC" w:rsidP="00007ED8"/>
    <w:p w14:paraId="2FFE7BF5" w14:textId="433D8834" w:rsidR="00007ED8" w:rsidRPr="00C4692B" w:rsidRDefault="00007ED8" w:rsidP="00CE5A55">
      <w:pPr>
        <w:tabs>
          <w:tab w:val="left" w:pos="567"/>
        </w:tabs>
        <w:jc w:val="both"/>
      </w:pPr>
      <w:r w:rsidRPr="00CE5A55">
        <w:rPr>
          <w:i/>
          <w:iCs/>
        </w:rPr>
        <w:lastRenderedPageBreak/>
        <w:t>a)</w:t>
      </w:r>
      <w:r w:rsidRPr="00C4692B">
        <w:t xml:space="preserve"> </w:t>
      </w:r>
      <w:r w:rsidR="00CE5A55">
        <w:tab/>
      </w:r>
      <w:r w:rsidRPr="00C4692B">
        <w:t>ITU's mandate to serve as coordinator and facilitator for Action Lines C5</w:t>
      </w:r>
      <w:r w:rsidR="006057CC" w:rsidRPr="00C4692B">
        <w:t xml:space="preserve"> </w:t>
      </w:r>
      <w:r w:rsidRPr="00C4692B">
        <w:t>and C6 of the Geneva Plan of Action;</w:t>
      </w:r>
    </w:p>
    <w:p w14:paraId="50EB9D6B" w14:textId="77777777" w:rsidR="006057CC" w:rsidRPr="00C4692B" w:rsidRDefault="006057CC" w:rsidP="00CE5A55">
      <w:pPr>
        <w:tabs>
          <w:tab w:val="left" w:pos="567"/>
        </w:tabs>
        <w:jc w:val="both"/>
      </w:pPr>
    </w:p>
    <w:p w14:paraId="3AA4E18F" w14:textId="2A9F1306" w:rsidR="00007ED8" w:rsidRPr="00C4692B" w:rsidRDefault="00007ED8" w:rsidP="00CE5A55">
      <w:pPr>
        <w:tabs>
          <w:tab w:val="left" w:pos="567"/>
        </w:tabs>
        <w:jc w:val="both"/>
      </w:pPr>
      <w:r w:rsidRPr="00CE5A55">
        <w:rPr>
          <w:i/>
          <w:iCs/>
        </w:rPr>
        <w:t>b)</w:t>
      </w:r>
      <w:r w:rsidRPr="00C4692B">
        <w:t xml:space="preserve"> </w:t>
      </w:r>
      <w:r w:rsidR="00CE5A55">
        <w:tab/>
      </w:r>
      <w:r w:rsidRPr="00C4692B">
        <w:t>that the basic principles of consumer and user relations include education</w:t>
      </w:r>
      <w:r w:rsidR="006057CC" w:rsidRPr="00C4692B">
        <w:t xml:space="preserve"> </w:t>
      </w:r>
      <w:r w:rsidRPr="00C4692B">
        <w:t>and outreach on the appropriate consumption and use of products and services</w:t>
      </w:r>
      <w:r w:rsidR="006763AB" w:rsidRPr="00C4692B">
        <w:t xml:space="preserve"> </w:t>
      </w:r>
      <w:r w:rsidRPr="00C4692B">
        <w:t>in order to guarantee freedom of choice and fairness in contracting, together</w:t>
      </w:r>
      <w:r w:rsidR="006763AB" w:rsidRPr="00C4692B">
        <w:t xml:space="preserve"> </w:t>
      </w:r>
      <w:r w:rsidRPr="00C4692B">
        <w:t xml:space="preserve">with clear and appropriate information on different </w:t>
      </w:r>
      <w:ins w:id="39" w:author="Author">
        <w:r w:rsidR="00E35CC8" w:rsidRPr="00C4692B">
          <w:t xml:space="preserve">telecommunications/ICTs </w:t>
        </w:r>
      </w:ins>
      <w:r w:rsidRPr="00C4692B">
        <w:t>products and services, with</w:t>
      </w:r>
      <w:r w:rsidR="006763AB" w:rsidRPr="00C4692B">
        <w:t xml:space="preserve"> </w:t>
      </w:r>
      <w:r w:rsidRPr="00C4692B">
        <w:t>the correct specification of quantities, characteristics, composition, quality and</w:t>
      </w:r>
      <w:r w:rsidR="006763AB" w:rsidRPr="00C4692B">
        <w:t xml:space="preserve"> </w:t>
      </w:r>
      <w:r w:rsidRPr="00C4692B">
        <w:t>price, taking into account the 2030 Agenda for Sustainable Development;</w:t>
      </w:r>
    </w:p>
    <w:p w14:paraId="116C8FC8" w14:textId="77777777" w:rsidR="006763AB" w:rsidRPr="00C4692B" w:rsidRDefault="006763AB" w:rsidP="00CE5A55">
      <w:pPr>
        <w:tabs>
          <w:tab w:val="left" w:pos="567"/>
        </w:tabs>
        <w:jc w:val="both"/>
      </w:pPr>
    </w:p>
    <w:p w14:paraId="45072F2D" w14:textId="33A9A8BE" w:rsidR="00007ED8" w:rsidRPr="00C4692B" w:rsidRDefault="00007ED8" w:rsidP="00CE5A55">
      <w:pPr>
        <w:tabs>
          <w:tab w:val="left" w:pos="567"/>
        </w:tabs>
        <w:jc w:val="both"/>
      </w:pPr>
      <w:r w:rsidRPr="00CE5A55">
        <w:rPr>
          <w:i/>
          <w:iCs/>
        </w:rPr>
        <w:t>c)</w:t>
      </w:r>
      <w:r w:rsidRPr="00C4692B">
        <w:t xml:space="preserve"> </w:t>
      </w:r>
      <w:r w:rsidR="00CE5A55">
        <w:tab/>
      </w:r>
      <w:r w:rsidRPr="00C4692B">
        <w:t>that information is the main input of the digital economy</w:t>
      </w:r>
      <w:ins w:id="40" w:author="Author">
        <w:r w:rsidR="00D43AF6" w:rsidRPr="00C4692B">
          <w:t xml:space="preserve"> and transformation</w:t>
        </w:r>
      </w:ins>
      <w:r w:rsidRPr="00C4692B">
        <w:t>, for which</w:t>
      </w:r>
      <w:r w:rsidR="006763AB" w:rsidRPr="00C4692B">
        <w:t xml:space="preserve"> </w:t>
      </w:r>
      <w:r w:rsidRPr="00C4692B">
        <w:t>reason it is recognized that the cross-border flow of personal consumer and user</w:t>
      </w:r>
      <w:r w:rsidR="006763AB" w:rsidRPr="00C4692B">
        <w:t xml:space="preserve"> </w:t>
      </w:r>
      <w:r w:rsidRPr="00C4692B">
        <w:t>data demands the observance of national laws and regulations;</w:t>
      </w:r>
    </w:p>
    <w:p w14:paraId="0657DAF8" w14:textId="77777777" w:rsidR="006763AB" w:rsidRPr="00C4692B" w:rsidRDefault="006763AB" w:rsidP="00CE5A55">
      <w:pPr>
        <w:tabs>
          <w:tab w:val="left" w:pos="567"/>
        </w:tabs>
        <w:jc w:val="both"/>
      </w:pPr>
    </w:p>
    <w:p w14:paraId="69197921" w14:textId="0EBB5984" w:rsidR="00007ED8" w:rsidRPr="00C4692B" w:rsidRDefault="00007ED8" w:rsidP="00CE5A55">
      <w:pPr>
        <w:tabs>
          <w:tab w:val="left" w:pos="567"/>
        </w:tabs>
        <w:jc w:val="both"/>
      </w:pPr>
      <w:r w:rsidRPr="00CE5A55">
        <w:rPr>
          <w:i/>
          <w:iCs/>
        </w:rPr>
        <w:t>d)</w:t>
      </w:r>
      <w:r w:rsidRPr="00C4692B">
        <w:t xml:space="preserve"> </w:t>
      </w:r>
      <w:r w:rsidR="00CE5A55">
        <w:tab/>
      </w:r>
      <w:r w:rsidRPr="00C4692B">
        <w:t xml:space="preserve">that it is necessary to work in </w:t>
      </w:r>
      <w:ins w:id="41" w:author="Author">
        <w:r w:rsidR="006B6441" w:rsidRPr="00C4692B">
          <w:t xml:space="preserve">empowering  </w:t>
        </w:r>
      </w:ins>
      <w:del w:id="42" w:author="Author">
        <w:r w:rsidRPr="00C4692B" w:rsidDel="006B6441">
          <w:delText xml:space="preserve">redefining </w:delText>
        </w:r>
      </w:del>
      <w:r w:rsidRPr="00C4692B">
        <w:t>the protection needs of users</w:t>
      </w:r>
      <w:r w:rsidR="006763AB" w:rsidRPr="00C4692B">
        <w:t xml:space="preserve"> </w:t>
      </w:r>
      <w:r w:rsidRPr="00C4692B">
        <w:t>and consumers in an increasingly connected world</w:t>
      </w:r>
      <w:ins w:id="43" w:author="Author">
        <w:r w:rsidR="00E73B4F" w:rsidRPr="00C4692B">
          <w:t xml:space="preserve"> in particular, post COVID-19;</w:t>
        </w:r>
      </w:ins>
      <w:del w:id="44" w:author="Author">
        <w:r w:rsidRPr="00C4692B" w:rsidDel="00E73B4F">
          <w:delText>;</w:delText>
        </w:r>
      </w:del>
    </w:p>
    <w:p w14:paraId="7BB49CA1" w14:textId="77777777" w:rsidR="006763AB" w:rsidRPr="00C4692B" w:rsidRDefault="006763AB" w:rsidP="00CE5A55">
      <w:pPr>
        <w:tabs>
          <w:tab w:val="left" w:pos="567"/>
        </w:tabs>
        <w:jc w:val="both"/>
      </w:pPr>
    </w:p>
    <w:p w14:paraId="030833DE" w14:textId="4465E449" w:rsidR="00007ED8" w:rsidRPr="00C4692B" w:rsidRDefault="00007ED8" w:rsidP="00CE5A55">
      <w:pPr>
        <w:tabs>
          <w:tab w:val="left" w:pos="567"/>
        </w:tabs>
        <w:jc w:val="both"/>
      </w:pPr>
      <w:r w:rsidRPr="00CE5A55">
        <w:rPr>
          <w:i/>
          <w:iCs/>
        </w:rPr>
        <w:t>e)</w:t>
      </w:r>
      <w:r w:rsidRPr="00C4692B">
        <w:t xml:space="preserve"> </w:t>
      </w:r>
      <w:r w:rsidR="00CE5A55">
        <w:tab/>
      </w:r>
      <w:r w:rsidRPr="00C4692B">
        <w:t>that the establishment of effective protection for users and consumers</w:t>
      </w:r>
      <w:r w:rsidR="006763AB" w:rsidRPr="00C4692B">
        <w:t xml:space="preserve"> </w:t>
      </w:r>
      <w:r w:rsidRPr="00C4692B">
        <w:t>must also take into account issues like their economic interests, information</w:t>
      </w:r>
      <w:r w:rsidR="006763AB" w:rsidRPr="00C4692B">
        <w:t xml:space="preserve"> </w:t>
      </w:r>
      <w:r w:rsidRPr="00C4692B">
        <w:t>about security and protection of their personal data, the coordinated fight</w:t>
      </w:r>
      <w:r w:rsidR="006763AB" w:rsidRPr="00C4692B">
        <w:t xml:space="preserve"> </w:t>
      </w:r>
      <w:r w:rsidRPr="00C4692B">
        <w:t>against device theft, and advances in financial services,</w:t>
      </w:r>
      <w:ins w:id="45" w:author="Author">
        <w:r w:rsidR="00F24FD0" w:rsidRPr="00C4692B">
          <w:t xml:space="preserve"> and the delivery of trusted digital services</w:t>
        </w:r>
      </w:ins>
      <w:r w:rsidRPr="00C4692B">
        <w:t xml:space="preserve"> among others;</w:t>
      </w:r>
    </w:p>
    <w:p w14:paraId="6EFC42CE" w14:textId="77777777" w:rsidR="00277B2C" w:rsidRPr="00C4692B" w:rsidRDefault="00277B2C" w:rsidP="00CE5A55">
      <w:pPr>
        <w:tabs>
          <w:tab w:val="left" w:pos="567"/>
        </w:tabs>
        <w:jc w:val="both"/>
      </w:pPr>
    </w:p>
    <w:p w14:paraId="605B2F87" w14:textId="7D3FB9F8" w:rsidR="00277B2C" w:rsidRPr="00C4692B" w:rsidRDefault="00277B2C" w:rsidP="00CE5A55">
      <w:pPr>
        <w:tabs>
          <w:tab w:val="left" w:pos="567"/>
        </w:tabs>
        <w:jc w:val="both"/>
      </w:pPr>
      <w:r w:rsidRPr="00CE5A55">
        <w:rPr>
          <w:rFonts w:ascii="Tahoma" w:hAnsi="Tahoma" w:cs="Tahoma"/>
        </w:rPr>
        <w:t>﻿</w:t>
      </w:r>
      <w:r w:rsidRPr="00CE5A55">
        <w:rPr>
          <w:i/>
          <w:iCs/>
        </w:rPr>
        <w:t>f)</w:t>
      </w:r>
      <w:r w:rsidRPr="00C4692B">
        <w:t xml:space="preserve"> </w:t>
      </w:r>
      <w:r w:rsidR="00CE5A55">
        <w:tab/>
      </w:r>
      <w:r w:rsidRPr="00C4692B">
        <w:t>that the same policies should ensure access to telecommunications/ICTs</w:t>
      </w:r>
      <w:ins w:id="46" w:author="Author">
        <w:r w:rsidR="00EA59E4">
          <w:t xml:space="preserve"> </w:t>
        </w:r>
      </w:ins>
      <w:r w:rsidRPr="00C4692B">
        <w:t xml:space="preserve">for </w:t>
      </w:r>
      <w:ins w:id="47" w:author="Author">
        <w:r w:rsidR="00F32CC1" w:rsidRPr="00C4692B">
          <w:t xml:space="preserve">women and girls, youth, children, </w:t>
        </w:r>
      </w:ins>
      <w:r w:rsidRPr="00C4692B">
        <w:t xml:space="preserve">persons with disabilities, persons with specific needs, and the elderly, </w:t>
      </w:r>
      <w:ins w:id="48" w:author="Author">
        <w:r w:rsidR="007D5C91" w:rsidRPr="00C4692B">
          <w:t xml:space="preserve">indigenous and people living in rural areas </w:t>
        </w:r>
        <w:r w:rsidR="00DE098F">
          <w:t>are</w:t>
        </w:r>
        <w:r w:rsidR="007D5C91" w:rsidRPr="00C4692B">
          <w:t xml:space="preserve"> equal </w:t>
        </w:r>
      </w:ins>
      <w:del w:id="49" w:author="Author">
        <w:r w:rsidRPr="00C4692B" w:rsidDel="007D5C91">
          <w:delText xml:space="preserve">in conditions of use comparable </w:delText>
        </w:r>
      </w:del>
      <w:r w:rsidRPr="00C4692B">
        <w:t>to all other consumers and users;</w:t>
      </w:r>
    </w:p>
    <w:p w14:paraId="278D45C1" w14:textId="77777777" w:rsidR="00277B2C" w:rsidRPr="00C4692B" w:rsidRDefault="00277B2C" w:rsidP="00CE5A55">
      <w:pPr>
        <w:tabs>
          <w:tab w:val="left" w:pos="567"/>
        </w:tabs>
        <w:jc w:val="both"/>
      </w:pPr>
    </w:p>
    <w:p w14:paraId="164C57DC" w14:textId="039C0645" w:rsidR="00277B2C" w:rsidRPr="00C4692B" w:rsidRDefault="00277B2C" w:rsidP="00CE5A55">
      <w:pPr>
        <w:tabs>
          <w:tab w:val="left" w:pos="567"/>
        </w:tabs>
        <w:jc w:val="both"/>
      </w:pPr>
      <w:r w:rsidRPr="00CE5A55">
        <w:rPr>
          <w:i/>
          <w:iCs/>
        </w:rPr>
        <w:t>g)</w:t>
      </w:r>
      <w:r w:rsidRPr="00C4692B">
        <w:t xml:space="preserve"> </w:t>
      </w:r>
      <w:r w:rsidR="00CE5A55">
        <w:tab/>
      </w:r>
      <w:r w:rsidRPr="00C4692B">
        <w:t>the report presented by the Rapporteur for Question 6/1, on information to consumers, protection and rights: laws, regulations, economic bases, consumer networks;</w:t>
      </w:r>
    </w:p>
    <w:p w14:paraId="2D76DAF4" w14:textId="77777777" w:rsidR="00277B2C" w:rsidRPr="00C4692B" w:rsidRDefault="00277B2C" w:rsidP="00CE5A55">
      <w:pPr>
        <w:tabs>
          <w:tab w:val="left" w:pos="567"/>
        </w:tabs>
        <w:jc w:val="both"/>
      </w:pPr>
    </w:p>
    <w:p w14:paraId="0BC46BC3" w14:textId="13A9437C" w:rsidR="00277B2C" w:rsidRPr="00C4692B" w:rsidRDefault="00277B2C" w:rsidP="00CE5A55">
      <w:pPr>
        <w:tabs>
          <w:tab w:val="left" w:pos="567"/>
        </w:tabs>
        <w:jc w:val="both"/>
      </w:pPr>
      <w:r w:rsidRPr="00CE5A55">
        <w:rPr>
          <w:i/>
          <w:iCs/>
        </w:rPr>
        <w:t xml:space="preserve">h) </w:t>
      </w:r>
      <w:r w:rsidR="00CE5A55">
        <w:tab/>
      </w:r>
      <w:r w:rsidRPr="00C4692B">
        <w:t>that telecommunication/ICT services provided to users and consumers should be based on quality standards;</w:t>
      </w:r>
    </w:p>
    <w:p w14:paraId="3AD7D66E" w14:textId="77777777" w:rsidR="00277B2C" w:rsidRPr="00C4692B" w:rsidRDefault="00277B2C" w:rsidP="00CE5A55">
      <w:pPr>
        <w:tabs>
          <w:tab w:val="left" w:pos="567"/>
        </w:tabs>
        <w:jc w:val="both"/>
      </w:pPr>
    </w:p>
    <w:p w14:paraId="03A044A1" w14:textId="067FED3C" w:rsidR="00277B2C" w:rsidRPr="00C4692B" w:rsidRDefault="00950E29" w:rsidP="00CE5A55">
      <w:pPr>
        <w:tabs>
          <w:tab w:val="left" w:pos="567"/>
        </w:tabs>
        <w:jc w:val="both"/>
        <w:rPr>
          <w:ins w:id="50" w:author="Author"/>
        </w:rPr>
      </w:pPr>
      <w:proofErr w:type="spellStart"/>
      <w:ins w:id="51" w:author="Author">
        <w:r w:rsidRPr="00CE5A55">
          <w:rPr>
            <w:i/>
            <w:iCs/>
          </w:rPr>
          <w:t>i</w:t>
        </w:r>
        <w:proofErr w:type="spellEnd"/>
        <w:r w:rsidRPr="00CE5A55">
          <w:rPr>
            <w:i/>
            <w:iCs/>
          </w:rPr>
          <w:t>)</w:t>
        </w:r>
        <w:r w:rsidRPr="00C4692B">
          <w:t xml:space="preserve"> </w:t>
        </w:r>
      </w:ins>
      <w:r w:rsidR="00CE5A55">
        <w:tab/>
      </w:r>
      <w:r w:rsidR="00277B2C" w:rsidRPr="00C4692B">
        <w:t>that policies on information transparency make it possible to increase the level and quality of the information provided by operators to users and consumers</w:t>
      </w:r>
      <w:del w:id="52" w:author="Author">
        <w:r w:rsidR="00277B2C" w:rsidRPr="00C4692B" w:rsidDel="00CE5A55">
          <w:delText>,</w:delText>
        </w:r>
      </w:del>
      <w:ins w:id="53" w:author="Author">
        <w:r w:rsidR="00CE5A55">
          <w:t>;</w:t>
        </w:r>
      </w:ins>
    </w:p>
    <w:p w14:paraId="5FB097E5" w14:textId="627E0C00" w:rsidR="0046568D" w:rsidRPr="00C4692B" w:rsidRDefault="0046568D" w:rsidP="00CE5A55">
      <w:pPr>
        <w:tabs>
          <w:tab w:val="left" w:pos="567"/>
        </w:tabs>
        <w:jc w:val="both"/>
        <w:rPr>
          <w:ins w:id="54" w:author="Author"/>
        </w:rPr>
      </w:pPr>
    </w:p>
    <w:p w14:paraId="189F43DA" w14:textId="733CFB1E" w:rsidR="0046568D" w:rsidRPr="00C4692B" w:rsidRDefault="0046568D" w:rsidP="00CE5A55">
      <w:pPr>
        <w:tabs>
          <w:tab w:val="left" w:pos="567"/>
        </w:tabs>
        <w:jc w:val="both"/>
        <w:rPr>
          <w:ins w:id="55" w:author="Author"/>
        </w:rPr>
      </w:pPr>
      <w:ins w:id="56" w:author="Author">
        <w:r w:rsidRPr="00CE5A55">
          <w:rPr>
            <w:i/>
            <w:iCs/>
          </w:rPr>
          <w:t>j)</w:t>
        </w:r>
        <w:r w:rsidRPr="00C4692B">
          <w:t xml:space="preserve"> </w:t>
        </w:r>
      </w:ins>
      <w:r w:rsidR="00CE5A55">
        <w:tab/>
      </w:r>
      <w:ins w:id="57" w:author="Author">
        <w:r w:rsidR="00745FC5" w:rsidRPr="00C4692B">
          <w:t xml:space="preserve">that the </w:t>
        </w:r>
        <w:r w:rsidR="00983636">
          <w:t>COVID</w:t>
        </w:r>
        <w:r w:rsidR="00745FC5" w:rsidRPr="00C4692B">
          <w:t>-19 pandemic has accelerated the adoption of ICTs; and at the same time</w:t>
        </w:r>
        <w:r w:rsidR="00940EF7" w:rsidRPr="00C4692B">
          <w:t xml:space="preserve"> has given rise to the increase of the cybersecurity incidences and risks among users</w:t>
        </w:r>
        <w:r w:rsidR="00CE5A55">
          <w:t>;</w:t>
        </w:r>
      </w:ins>
    </w:p>
    <w:p w14:paraId="496D6C68" w14:textId="7D08ACE7" w:rsidR="00940EF7" w:rsidRPr="00C4692B" w:rsidRDefault="00940EF7" w:rsidP="00CE5A55">
      <w:pPr>
        <w:tabs>
          <w:tab w:val="left" w:pos="567"/>
        </w:tabs>
        <w:jc w:val="both"/>
        <w:rPr>
          <w:ins w:id="58" w:author="Author"/>
        </w:rPr>
      </w:pPr>
    </w:p>
    <w:p w14:paraId="50DE1B8B" w14:textId="6CBEABEB" w:rsidR="00940EF7" w:rsidRPr="00C4692B" w:rsidRDefault="0002137C" w:rsidP="00CE5A55">
      <w:pPr>
        <w:tabs>
          <w:tab w:val="left" w:pos="567"/>
        </w:tabs>
        <w:jc w:val="both"/>
      </w:pPr>
      <w:ins w:id="59" w:author="Author">
        <w:r w:rsidRPr="00CE5A55">
          <w:rPr>
            <w:i/>
            <w:iCs/>
          </w:rPr>
          <w:t>k)</w:t>
        </w:r>
        <w:r w:rsidRPr="00C4692B">
          <w:t xml:space="preserve"> </w:t>
        </w:r>
      </w:ins>
      <w:r w:rsidR="00CE5A55">
        <w:tab/>
      </w:r>
      <w:ins w:id="60" w:author="Author">
        <w:r w:rsidRPr="00C4692B">
          <w:t xml:space="preserve">the rise of cybersecurity incidences in </w:t>
        </w:r>
        <w:r w:rsidR="00981770" w:rsidRPr="00C4692B">
          <w:t>particular disinformation, spam, malware and DDOS attacks, phishing, identity theft and online child abuse as more users get online and become dependent on ICT</w:t>
        </w:r>
        <w:r w:rsidR="00406AC6">
          <w:t>s</w:t>
        </w:r>
        <w:r w:rsidR="00981770" w:rsidRPr="00C4692B">
          <w:t xml:space="preserve"> requires an urgent call for a comprehensive cyber</w:t>
        </w:r>
        <w:r w:rsidR="00FC700B">
          <w:t>security</w:t>
        </w:r>
        <w:r w:rsidR="00981770" w:rsidRPr="00C4692B">
          <w:t xml:space="preserve"> </w:t>
        </w:r>
        <w:r w:rsidR="006144D8" w:rsidRPr="00C4692B">
          <w:t>awareness</w:t>
        </w:r>
        <w:r w:rsidR="00950E29" w:rsidRPr="00C4692B">
          <w:t>,</w:t>
        </w:r>
        <w:r w:rsidRPr="00C4692B">
          <w:t xml:space="preserve"> </w:t>
        </w:r>
      </w:ins>
    </w:p>
    <w:p w14:paraId="571B1319" w14:textId="77777777" w:rsidR="00277B2C" w:rsidRPr="00C4692B" w:rsidRDefault="00277B2C" w:rsidP="00950E29">
      <w:pPr>
        <w:jc w:val="both"/>
      </w:pPr>
    </w:p>
    <w:p w14:paraId="3675947A" w14:textId="11D297ED" w:rsidR="00277B2C" w:rsidRPr="00C4692B" w:rsidRDefault="00277B2C" w:rsidP="00950E29">
      <w:pPr>
        <w:ind w:firstLine="720"/>
        <w:jc w:val="both"/>
        <w:rPr>
          <w:i/>
          <w:iCs/>
        </w:rPr>
      </w:pPr>
      <w:r w:rsidRPr="00C4692B">
        <w:rPr>
          <w:i/>
          <w:iCs/>
        </w:rPr>
        <w:t>resolves</w:t>
      </w:r>
    </w:p>
    <w:p w14:paraId="75668E86" w14:textId="77777777" w:rsidR="00277B2C" w:rsidRPr="00C4692B" w:rsidRDefault="00277B2C" w:rsidP="00950E29">
      <w:pPr>
        <w:jc w:val="both"/>
      </w:pPr>
    </w:p>
    <w:p w14:paraId="739BDE0C" w14:textId="4EF361F8" w:rsidR="00277B2C" w:rsidRPr="00C4692B" w:rsidRDefault="00277B2C" w:rsidP="00950E29">
      <w:pPr>
        <w:jc w:val="both"/>
      </w:pPr>
      <w:r w:rsidRPr="00C4692B">
        <w:t>to continue leading studies to establish guidelines and best practices on the protection of users and consumers regarding issues such</w:t>
      </w:r>
      <w:ins w:id="61" w:author="Author">
        <w:r w:rsidR="00EA59E4">
          <w:t xml:space="preserve"> as</w:t>
        </w:r>
      </w:ins>
      <w:r w:rsidRPr="00C4692B">
        <w:t xml:space="preserve"> </w:t>
      </w:r>
      <w:ins w:id="62" w:author="Author">
        <w:r w:rsidR="000A2BE2" w:rsidRPr="00C4692B">
          <w:t>cyber</w:t>
        </w:r>
        <w:r w:rsidR="00406AC6">
          <w:t>security</w:t>
        </w:r>
        <w:r w:rsidR="000A2BE2" w:rsidRPr="00C4692B">
          <w:t>, as well as awareness on</w:t>
        </w:r>
      </w:ins>
      <w:del w:id="63" w:author="Author">
        <w:r w:rsidRPr="00C4692B" w:rsidDel="000A2BE2">
          <w:delText>as</w:delText>
        </w:r>
      </w:del>
      <w:r w:rsidRPr="00C4692B">
        <w:t xml:space="preserve"> information on the basic features of the telecommunication/ICT services being provided, their rates and prices, their quality and security, and the protection of personal data, among other aspects,</w:t>
      </w:r>
    </w:p>
    <w:p w14:paraId="2F4D81C4" w14:textId="77777777" w:rsidR="00791F95" w:rsidRPr="00C4692B" w:rsidRDefault="00791F95" w:rsidP="00277B2C"/>
    <w:p w14:paraId="3DA25929" w14:textId="77777777" w:rsidR="00277B2C" w:rsidRPr="00C4692B" w:rsidRDefault="00277B2C" w:rsidP="00950E29">
      <w:pPr>
        <w:ind w:firstLine="720"/>
        <w:jc w:val="both"/>
        <w:rPr>
          <w:i/>
          <w:iCs/>
        </w:rPr>
      </w:pPr>
      <w:r w:rsidRPr="00C4692B">
        <w:rPr>
          <w:i/>
          <w:iCs/>
        </w:rPr>
        <w:t>to instruct the Director of the Telecommunication Development Bureau in</w:t>
      </w:r>
    </w:p>
    <w:p w14:paraId="6B269700" w14:textId="35C879DE" w:rsidR="00277B2C" w:rsidRPr="00C4692B" w:rsidRDefault="00277B2C" w:rsidP="00791F95">
      <w:pPr>
        <w:ind w:left="720"/>
        <w:rPr>
          <w:i/>
          <w:iCs/>
        </w:rPr>
      </w:pPr>
      <w:r w:rsidRPr="00C4692B">
        <w:rPr>
          <w:i/>
          <w:iCs/>
        </w:rPr>
        <w:lastRenderedPageBreak/>
        <w:t>collaboration with the Directors of the Radiocommunication Bureau and</w:t>
      </w:r>
      <w:r w:rsidR="00791F95" w:rsidRPr="00C4692B">
        <w:rPr>
          <w:i/>
          <w:iCs/>
        </w:rPr>
        <w:t xml:space="preserve"> </w:t>
      </w:r>
      <w:r w:rsidRPr="00C4692B">
        <w:rPr>
          <w:i/>
          <w:iCs/>
        </w:rPr>
        <w:t>the Telecommunication Standardization Bureau</w:t>
      </w:r>
    </w:p>
    <w:p w14:paraId="66F80865" w14:textId="77777777" w:rsidR="00791F95" w:rsidRPr="00C4692B" w:rsidRDefault="00791F95" w:rsidP="00277B2C"/>
    <w:p w14:paraId="5C6B46CA" w14:textId="5B0E2A5F" w:rsidR="006763AB" w:rsidRPr="00C4692B" w:rsidRDefault="00277B2C" w:rsidP="00950E29">
      <w:pPr>
        <w:jc w:val="both"/>
      </w:pPr>
      <w:r w:rsidRPr="00C4692B">
        <w:t xml:space="preserve">1 </w:t>
      </w:r>
      <w:r w:rsidR="00791F95" w:rsidRPr="00C4692B">
        <w:tab/>
      </w:r>
      <w:r w:rsidRPr="00C4692B">
        <w:t>to continue to support work aimed at raising awareness among decision</w:t>
      </w:r>
      <w:r w:rsidR="009103BC" w:rsidRPr="00C4692B">
        <w:t xml:space="preserve"> </w:t>
      </w:r>
      <w:r w:rsidRPr="00C4692B">
        <w:t>makers</w:t>
      </w:r>
      <w:r w:rsidR="00791F95" w:rsidRPr="00C4692B">
        <w:t xml:space="preserve"> </w:t>
      </w:r>
      <w:r w:rsidRPr="00C4692B">
        <w:t>regarding telecommunications/ICTs as well as among regulatory</w:t>
      </w:r>
      <w:r w:rsidR="00791F95" w:rsidRPr="00C4692B">
        <w:t xml:space="preserve"> </w:t>
      </w:r>
      <w:r w:rsidRPr="00C4692B">
        <w:t>agencies regarding the importance of keeping users and consumers informed</w:t>
      </w:r>
      <w:r w:rsidR="00791F95" w:rsidRPr="00C4692B">
        <w:t xml:space="preserve"> </w:t>
      </w:r>
      <w:ins w:id="64" w:author="Author">
        <w:r w:rsidR="00D26C5D" w:rsidRPr="00C4692B">
          <w:t xml:space="preserve">and empowered </w:t>
        </w:r>
      </w:ins>
      <w:r w:rsidRPr="00C4692B">
        <w:t>about the basic characteristics, quality, security and rates of the different</w:t>
      </w:r>
      <w:r w:rsidR="00791F95" w:rsidRPr="00C4692B">
        <w:t xml:space="preserve"> </w:t>
      </w:r>
      <w:r w:rsidRPr="00C4692B">
        <w:t>services offered by operators, and at creating other protection mechanisms to</w:t>
      </w:r>
      <w:r w:rsidR="00791F95" w:rsidRPr="00C4692B">
        <w:t xml:space="preserve"> </w:t>
      </w:r>
      <w:r w:rsidRPr="00C4692B">
        <w:t>facilitate the exercise of consumers' and users' rights;</w:t>
      </w:r>
    </w:p>
    <w:p w14:paraId="09D47BAB" w14:textId="7B68A70F" w:rsidR="00791F95" w:rsidRPr="00C4692B" w:rsidRDefault="00791F95" w:rsidP="00950E29">
      <w:pPr>
        <w:jc w:val="both"/>
      </w:pPr>
    </w:p>
    <w:p w14:paraId="13742856" w14:textId="4756F0DB" w:rsidR="00F6068A" w:rsidRPr="00C4692B" w:rsidRDefault="00F6068A" w:rsidP="00950E29">
      <w:pPr>
        <w:jc w:val="both"/>
      </w:pPr>
      <w:r w:rsidRPr="00C4692B">
        <w:rPr>
          <w:rFonts w:ascii="Calibri" w:hAnsi="Calibri" w:cs="Calibri"/>
        </w:rPr>
        <w:t>﻿</w:t>
      </w:r>
      <w:r w:rsidRPr="00C4692B">
        <w:t>2</w:t>
      </w:r>
      <w:r w:rsidRPr="00C4692B">
        <w:tab/>
        <w:t>to continue coordination with the ITU Telecommunication Standardization Sector on such topics as service quality, perceived quality and security;</w:t>
      </w:r>
    </w:p>
    <w:p w14:paraId="6D62EF07" w14:textId="77777777" w:rsidR="00F6068A" w:rsidRPr="00C4692B" w:rsidRDefault="00F6068A" w:rsidP="00950E29">
      <w:pPr>
        <w:jc w:val="both"/>
      </w:pPr>
    </w:p>
    <w:p w14:paraId="429DE643" w14:textId="05A47A26" w:rsidR="00F6068A" w:rsidRPr="00C4692B" w:rsidRDefault="00F6068A" w:rsidP="00950E29">
      <w:pPr>
        <w:jc w:val="both"/>
      </w:pPr>
      <w:r w:rsidRPr="00C4692B">
        <w:t>3</w:t>
      </w:r>
      <w:r w:rsidRPr="00C4692B">
        <w:tab/>
        <w:t>to issue regular information about relations and joint efforts with other international organizations and entities involved in consumer and use</w:t>
      </w:r>
      <w:r w:rsidR="006F14CA" w:rsidRPr="00C4692B">
        <w:t>r</w:t>
      </w:r>
      <w:r w:rsidRPr="00C4692B">
        <w:t xml:space="preserve"> protection;</w:t>
      </w:r>
    </w:p>
    <w:p w14:paraId="398E214D" w14:textId="77777777" w:rsidR="00F6068A" w:rsidRPr="00C4692B" w:rsidRDefault="00F6068A" w:rsidP="00950E29">
      <w:pPr>
        <w:jc w:val="both"/>
      </w:pPr>
    </w:p>
    <w:p w14:paraId="547F8F50" w14:textId="66BFEE18" w:rsidR="00F6068A" w:rsidRPr="00C4692B" w:rsidRDefault="00F6068A" w:rsidP="00950E29">
      <w:pPr>
        <w:jc w:val="both"/>
      </w:pPr>
      <w:r w:rsidRPr="00C4692B">
        <w:t>4</w:t>
      </w:r>
      <w:r w:rsidRPr="00C4692B">
        <w:tab/>
        <w:t>to invite the respective regions to create their end-user and consumer</w:t>
      </w:r>
      <w:ins w:id="65" w:author="Author">
        <w:r w:rsidR="00EA6234" w:rsidRPr="00C4692B">
          <w:t xml:space="preserve"> telecommunications/ICTs </w:t>
        </w:r>
      </w:ins>
      <w:del w:id="66" w:author="Author">
        <w:r w:rsidRPr="00C4692B" w:rsidDel="004731D8">
          <w:delText xml:space="preserve"> </w:delText>
        </w:r>
      </w:del>
      <w:r w:rsidRPr="00C4692B">
        <w:t>associations;</w:t>
      </w:r>
    </w:p>
    <w:p w14:paraId="341C8DDA" w14:textId="77777777" w:rsidR="00F6068A" w:rsidRPr="00C4692B" w:rsidRDefault="00F6068A" w:rsidP="00950E29">
      <w:pPr>
        <w:jc w:val="both"/>
      </w:pPr>
    </w:p>
    <w:p w14:paraId="6E1DD701" w14:textId="24F0A329" w:rsidR="00B135EF" w:rsidRPr="00C4692B" w:rsidRDefault="00F6068A" w:rsidP="00950E29">
      <w:pPr>
        <w:jc w:val="both"/>
        <w:rPr>
          <w:ins w:id="67" w:author="Author"/>
        </w:rPr>
      </w:pPr>
      <w:r w:rsidRPr="00C4692B">
        <w:t xml:space="preserve">5 </w:t>
      </w:r>
      <w:r w:rsidRPr="00C4692B">
        <w:tab/>
        <w:t xml:space="preserve">to organize training </w:t>
      </w:r>
      <w:proofErr w:type="spellStart"/>
      <w:r w:rsidRPr="00C4692B">
        <w:t>programmes</w:t>
      </w:r>
      <w:proofErr w:type="spellEnd"/>
      <w:r w:rsidRPr="00C4692B">
        <w:t xml:space="preserve">, such as workshops and seminars, in order to </w:t>
      </w:r>
      <w:del w:id="68" w:author="Author">
        <w:r w:rsidRPr="00C4692B" w:rsidDel="00CA5822">
          <w:delText>analyse</w:delText>
        </w:r>
      </w:del>
      <w:ins w:id="69" w:author="Author">
        <w:r w:rsidR="00CA5822" w:rsidRPr="00C4692B">
          <w:t>analyze</w:t>
        </w:r>
      </w:ins>
      <w:r w:rsidRPr="00C4692B">
        <w:t xml:space="preserve"> best practices, to encourage training in </w:t>
      </w:r>
      <w:ins w:id="70" w:author="Author">
        <w:r w:rsidR="00ED4F90" w:rsidRPr="00C4692B">
          <w:t xml:space="preserve">ICTs </w:t>
        </w:r>
      </w:ins>
      <w:r w:rsidRPr="00C4692B">
        <w:t xml:space="preserve">consumer education, education for sustainable consumption and data protection, and to formulate possible recommendations about tools and measures that </w:t>
      </w:r>
      <w:del w:id="71" w:author="Author">
        <w:r w:rsidRPr="00C4692B" w:rsidDel="00F26E30">
          <w:delText>foster the</w:delText>
        </w:r>
      </w:del>
      <w:ins w:id="72" w:author="Author">
        <w:r w:rsidR="00F26E30" w:rsidRPr="00C4692B">
          <w:t xml:space="preserve">provide </w:t>
        </w:r>
        <w:r w:rsidR="008456FC" w:rsidRPr="00C4692B">
          <w:t>the support and</w:t>
        </w:r>
      </w:ins>
      <w:r w:rsidRPr="00C4692B">
        <w:t xml:space="preserve"> protection of </w:t>
      </w:r>
      <w:ins w:id="73" w:author="Author">
        <w:r w:rsidR="008456FC" w:rsidRPr="00C4692B">
          <w:t>ICTs</w:t>
        </w:r>
      </w:ins>
      <w:r w:rsidR="008456FC" w:rsidRPr="00C4692B">
        <w:t xml:space="preserve"> </w:t>
      </w:r>
      <w:ins w:id="74" w:author="Author">
        <w:r w:rsidR="008456FC" w:rsidRPr="00C4692B">
          <w:t>services</w:t>
        </w:r>
        <w:r w:rsidR="00083BA7" w:rsidRPr="00C4692B">
          <w:t xml:space="preserve"> </w:t>
        </w:r>
      </w:ins>
      <w:r w:rsidRPr="00C4692B">
        <w:t>users and consumers</w:t>
      </w:r>
      <w:del w:id="75" w:author="Author">
        <w:r w:rsidRPr="00C4692B" w:rsidDel="00C970B8">
          <w:delText xml:space="preserve">, </w:delText>
        </w:r>
      </w:del>
      <w:ins w:id="76" w:author="Author">
        <w:r w:rsidR="00C970B8">
          <w:t>;</w:t>
        </w:r>
        <w:r w:rsidR="00C970B8" w:rsidRPr="00C4692B">
          <w:t xml:space="preserve"> </w:t>
        </w:r>
      </w:ins>
    </w:p>
    <w:p w14:paraId="6FC631A3" w14:textId="2087FB7B" w:rsidR="004731D8" w:rsidRPr="00C4692B" w:rsidRDefault="004731D8" w:rsidP="00950E29">
      <w:pPr>
        <w:jc w:val="both"/>
        <w:rPr>
          <w:ins w:id="77" w:author="Author"/>
        </w:rPr>
      </w:pPr>
    </w:p>
    <w:p w14:paraId="1BC76252" w14:textId="172C2FFC" w:rsidR="004731D8" w:rsidRPr="00C4692B" w:rsidRDefault="004731D8" w:rsidP="00950E29">
      <w:pPr>
        <w:jc w:val="both"/>
      </w:pPr>
      <w:ins w:id="78" w:author="Author">
        <w:r w:rsidRPr="00C4692B">
          <w:t>6</w:t>
        </w:r>
        <w:r w:rsidRPr="00C4692B">
          <w:tab/>
          <w:t xml:space="preserve">to acknowledge the need to </w:t>
        </w:r>
        <w:r w:rsidR="00BB7E5A">
          <w:t>increase</w:t>
        </w:r>
        <w:r w:rsidR="00DF3C78">
          <w:t xml:space="preserve"> </w:t>
        </w:r>
        <w:r w:rsidRPr="00C4692B">
          <w:t>awareness on cyber</w:t>
        </w:r>
        <w:r w:rsidR="00401A7B">
          <w:t>security</w:t>
        </w:r>
        <w:r w:rsidRPr="00C4692B">
          <w:t xml:space="preserve"> and safe use of the internet among users/</w:t>
        </w:r>
        <w:r w:rsidR="00657C84" w:rsidRPr="00C4692B">
          <w:t>consumers and</w:t>
        </w:r>
        <w:r w:rsidRPr="00C4692B">
          <w:t xml:space="preserve"> develop a cyber</w:t>
        </w:r>
        <w:r w:rsidR="00401A7B">
          <w:t>security</w:t>
        </w:r>
        <w:r w:rsidRPr="00C4692B">
          <w:t xml:space="preserve"> toolkit </w:t>
        </w:r>
        <w:r w:rsidR="00B124B5">
          <w:t>as indicated</w:t>
        </w:r>
        <w:r w:rsidRPr="00C4692B">
          <w:t xml:space="preserve"> from the five pil</w:t>
        </w:r>
        <w:r w:rsidRPr="00983636">
          <w:t>lar</w:t>
        </w:r>
        <w:r w:rsidR="00AD04E1" w:rsidRPr="00983636">
          <w:t>s</w:t>
        </w:r>
        <w:r w:rsidRPr="00C4692B">
          <w:t xml:space="preserve"> of the Global Cybersecurity Agenda</w:t>
        </w:r>
        <w:r w:rsidR="00C970B8">
          <w:t>,</w:t>
        </w:r>
      </w:ins>
    </w:p>
    <w:p w14:paraId="450D1395" w14:textId="77777777" w:rsidR="00B135EF" w:rsidRPr="00C4692B" w:rsidRDefault="00B135EF" w:rsidP="00950E29">
      <w:pPr>
        <w:jc w:val="both"/>
      </w:pPr>
    </w:p>
    <w:p w14:paraId="61ADE707" w14:textId="09CE2925" w:rsidR="00F6068A" w:rsidRPr="00C4692B" w:rsidRDefault="00F6068A" w:rsidP="00B135EF">
      <w:pPr>
        <w:ind w:firstLine="720"/>
        <w:rPr>
          <w:i/>
          <w:iCs/>
        </w:rPr>
      </w:pPr>
      <w:r w:rsidRPr="00C4692B">
        <w:rPr>
          <w:i/>
          <w:iCs/>
        </w:rPr>
        <w:t>encourages Member States</w:t>
      </w:r>
    </w:p>
    <w:p w14:paraId="3C091339" w14:textId="77777777" w:rsidR="00B135EF" w:rsidRPr="00C4692B" w:rsidRDefault="00B135EF" w:rsidP="00F6068A"/>
    <w:p w14:paraId="0F757F8A" w14:textId="309ACA46" w:rsidR="00F6068A" w:rsidRPr="00C4692B" w:rsidRDefault="00F6068A" w:rsidP="00950E29">
      <w:pPr>
        <w:jc w:val="both"/>
      </w:pPr>
      <w:r w:rsidRPr="00C4692B">
        <w:t>1</w:t>
      </w:r>
      <w:r w:rsidR="00B135EF" w:rsidRPr="00C4692B">
        <w:tab/>
      </w:r>
      <w:r w:rsidRPr="00C4692B">
        <w:t>to empower users/consumers through the formulation and promotion of</w:t>
      </w:r>
      <w:r w:rsidR="00B135EF" w:rsidRPr="00C4692B">
        <w:t xml:space="preserve"> </w:t>
      </w:r>
      <w:r w:rsidRPr="00C4692B">
        <w:t>policies that</w:t>
      </w:r>
      <w:r w:rsidR="00B135EF" w:rsidRPr="00C4692B">
        <w:t xml:space="preserve"> </w:t>
      </w:r>
      <w:r w:rsidRPr="00C4692B">
        <w:t>foster the provision of information and good practices in regard to</w:t>
      </w:r>
      <w:r w:rsidR="00B135EF" w:rsidRPr="00C4692B">
        <w:t xml:space="preserve"> </w:t>
      </w:r>
      <w:r w:rsidRPr="00C4692B">
        <w:t>consumer education, consumer rights, and the characteristics, quality, security</w:t>
      </w:r>
      <w:r w:rsidR="00B135EF" w:rsidRPr="00C4692B">
        <w:t xml:space="preserve"> </w:t>
      </w:r>
      <w:r w:rsidRPr="00C4692B">
        <w:t xml:space="preserve">and </w:t>
      </w:r>
      <w:del w:id="79" w:author="Author">
        <w:r w:rsidRPr="00C4692B" w:rsidDel="00083BA7">
          <w:delText xml:space="preserve">rates </w:delText>
        </w:r>
      </w:del>
      <w:ins w:id="80" w:author="Author">
        <w:r w:rsidR="00083BA7" w:rsidRPr="00C4692B">
          <w:t xml:space="preserve">tariff </w:t>
        </w:r>
      </w:ins>
      <w:r w:rsidRPr="00C4692B">
        <w:t>of the telecommunication services offered by different providers,</w:t>
      </w:r>
      <w:r w:rsidR="00B135EF" w:rsidRPr="00C4692B">
        <w:t xml:space="preserve"> </w:t>
      </w:r>
      <w:r w:rsidRPr="00C4692B">
        <w:t>considering especially those that facilitate the provision of free-of-charge,</w:t>
      </w:r>
      <w:r w:rsidR="00B135EF" w:rsidRPr="00C4692B">
        <w:t xml:space="preserve"> </w:t>
      </w:r>
      <w:r w:rsidRPr="00C4692B">
        <w:t>transparent, up-to-date and accurate information;</w:t>
      </w:r>
    </w:p>
    <w:p w14:paraId="712A4C77" w14:textId="77777777" w:rsidR="00B135EF" w:rsidRPr="00C4692B" w:rsidRDefault="00B135EF" w:rsidP="00950E29">
      <w:pPr>
        <w:jc w:val="both"/>
      </w:pPr>
    </w:p>
    <w:p w14:paraId="78DDECAC" w14:textId="7FFEBA32" w:rsidR="00791F95" w:rsidRPr="00C4692B" w:rsidRDefault="00F6068A" w:rsidP="00950E29">
      <w:pPr>
        <w:jc w:val="both"/>
      </w:pPr>
      <w:r w:rsidRPr="00C4692B">
        <w:t>2</w:t>
      </w:r>
      <w:r w:rsidR="00B135EF" w:rsidRPr="00C4692B">
        <w:tab/>
      </w:r>
      <w:r w:rsidRPr="00C4692B">
        <w:t>to foster measures to ensure that, in international roaming, visiting users</w:t>
      </w:r>
      <w:r w:rsidR="00B135EF" w:rsidRPr="00C4692B">
        <w:t xml:space="preserve"> </w:t>
      </w:r>
      <w:r w:rsidRPr="00C4692B">
        <w:t>are provided with telecommunication services of satisfactory quality, and</w:t>
      </w:r>
      <w:r w:rsidR="00B135EF" w:rsidRPr="00C4692B">
        <w:t xml:space="preserve"> </w:t>
      </w:r>
      <w:r w:rsidRPr="00C4692B">
        <w:t>consumers and end users are informed in a timely manner about international</w:t>
      </w:r>
      <w:r w:rsidR="00B135EF" w:rsidRPr="00C4692B">
        <w:t xml:space="preserve"> </w:t>
      </w:r>
      <w:r w:rsidRPr="00C4692B">
        <w:t>telecommunication services, including</w:t>
      </w:r>
      <w:r w:rsidR="00B135EF" w:rsidRPr="00C4692B">
        <w:t xml:space="preserve"> </w:t>
      </w:r>
      <w:r w:rsidRPr="00C4692B">
        <w:t>international roaming rates, and relevant</w:t>
      </w:r>
      <w:r w:rsidR="00B135EF" w:rsidRPr="00C4692B">
        <w:t xml:space="preserve"> </w:t>
      </w:r>
      <w:r w:rsidRPr="00C4692B">
        <w:t>applicable conditions;</w:t>
      </w:r>
    </w:p>
    <w:p w14:paraId="6A3A12B0" w14:textId="50EBD3F6" w:rsidR="007A29F6" w:rsidRPr="00C4692B" w:rsidRDefault="007A29F6" w:rsidP="00950E29">
      <w:pPr>
        <w:jc w:val="both"/>
      </w:pPr>
    </w:p>
    <w:p w14:paraId="39B51BAD" w14:textId="3F928BE7" w:rsidR="007A29F6" w:rsidRPr="00C4692B" w:rsidRDefault="007A29F6" w:rsidP="00950E29">
      <w:pPr>
        <w:jc w:val="both"/>
      </w:pPr>
      <w:r w:rsidRPr="00C4692B">
        <w:rPr>
          <w:rFonts w:ascii="Calibri" w:hAnsi="Calibri" w:cs="Calibri"/>
        </w:rPr>
        <w:t>﻿</w:t>
      </w:r>
      <w:r w:rsidRPr="00C4692B">
        <w:t>3</w:t>
      </w:r>
      <w:r w:rsidRPr="00C4692B">
        <w:tab/>
        <w:t xml:space="preserve">to encourage </w:t>
      </w:r>
      <w:ins w:id="81" w:author="Author">
        <w:r w:rsidR="00B91F03" w:rsidRPr="00C4692B">
          <w:t xml:space="preserve">telecommunication/ ICT service </w:t>
        </w:r>
      </w:ins>
      <w:r w:rsidRPr="00C4692B">
        <w:t>operators/providers to develop clear, simple offers, as well as better consumer-education practices;</w:t>
      </w:r>
    </w:p>
    <w:p w14:paraId="3FC19BBD" w14:textId="77777777" w:rsidR="007A29F6" w:rsidRPr="00C4692B" w:rsidRDefault="007A29F6" w:rsidP="00950E29">
      <w:pPr>
        <w:jc w:val="both"/>
      </w:pPr>
    </w:p>
    <w:p w14:paraId="2043B240" w14:textId="423BA101" w:rsidR="007A29F6" w:rsidRPr="00C4692B" w:rsidRDefault="007A29F6" w:rsidP="00950E29">
      <w:pPr>
        <w:jc w:val="both"/>
      </w:pPr>
      <w:r w:rsidRPr="00C4692B">
        <w:t>4</w:t>
      </w:r>
      <w:r w:rsidRPr="00C4692B">
        <w:tab/>
        <w:t>to encourage offering users and consumers better telecommunication/ ICT service</w:t>
      </w:r>
      <w:ins w:id="82" w:author="Author">
        <w:r w:rsidR="00E02AB5">
          <w:t xml:space="preserve"> </w:t>
        </w:r>
      </w:ins>
      <w:del w:id="83" w:author="Author">
        <w:r w:rsidRPr="00C4692B" w:rsidDel="0076663F">
          <w:delText xml:space="preserve"> </w:delText>
        </w:r>
      </w:del>
      <w:r w:rsidRPr="00C4692B">
        <w:t>options, at affordable prices, with quality service, with information transparency, in accessible language and format, and that are easy to understand;</w:t>
      </w:r>
    </w:p>
    <w:p w14:paraId="16427276" w14:textId="77777777" w:rsidR="007A29F6" w:rsidRPr="00C4692B" w:rsidRDefault="007A29F6" w:rsidP="00950E29">
      <w:pPr>
        <w:jc w:val="both"/>
      </w:pPr>
    </w:p>
    <w:p w14:paraId="628E6A0C" w14:textId="2ADCFEBF" w:rsidR="007A29F6" w:rsidRPr="00C4692B" w:rsidRDefault="007A29F6" w:rsidP="00950E29">
      <w:pPr>
        <w:jc w:val="both"/>
      </w:pPr>
      <w:r w:rsidRPr="00C4692B">
        <w:t>5</w:t>
      </w:r>
      <w:r w:rsidRPr="00C4692B">
        <w:tab/>
        <w:t>to build the trust of users and consumers in the utilization and leverage of telecommunications/ICTs;</w:t>
      </w:r>
    </w:p>
    <w:p w14:paraId="5797433C" w14:textId="77777777" w:rsidR="007A29F6" w:rsidRPr="00C4692B" w:rsidRDefault="007A29F6" w:rsidP="00950E29">
      <w:pPr>
        <w:jc w:val="both"/>
      </w:pPr>
    </w:p>
    <w:p w14:paraId="7DA25E71" w14:textId="7B25B5A2" w:rsidR="00A41187" w:rsidRPr="00C4692B" w:rsidRDefault="007A29F6" w:rsidP="00950E29">
      <w:pPr>
        <w:jc w:val="both"/>
      </w:pPr>
      <w:r w:rsidRPr="00C4692B">
        <w:lastRenderedPageBreak/>
        <w:t>6</w:t>
      </w:r>
      <w:r w:rsidRPr="00C4692B">
        <w:tab/>
        <w:t>to include</w:t>
      </w:r>
      <w:ins w:id="84" w:author="Author">
        <w:r w:rsidR="00CA1087" w:rsidRPr="00C4692B">
          <w:t xml:space="preserve"> women and girls, youth, children,</w:t>
        </w:r>
      </w:ins>
      <w:r w:rsidRPr="00C4692B">
        <w:t xml:space="preserve"> users with disabilities, persons with specific needs, and the elderly, </w:t>
      </w:r>
      <w:ins w:id="85" w:author="Author">
        <w:r w:rsidR="008B41B6" w:rsidRPr="00C4692B">
          <w:t xml:space="preserve">indigenous and people living in rural areas </w:t>
        </w:r>
      </w:ins>
      <w:r w:rsidRPr="00C4692B">
        <w:t xml:space="preserve">so they have access to telecommunication/ICT services under equal conditions, </w:t>
      </w:r>
    </w:p>
    <w:p w14:paraId="0AF66016" w14:textId="77777777" w:rsidR="00A41187" w:rsidRPr="00C4692B" w:rsidRDefault="00A41187" w:rsidP="007A29F6"/>
    <w:p w14:paraId="16E7C200" w14:textId="54508602" w:rsidR="007A29F6" w:rsidRPr="00C4692B" w:rsidRDefault="007A29F6" w:rsidP="004B0F87">
      <w:pPr>
        <w:ind w:left="720"/>
        <w:rPr>
          <w:i/>
          <w:iCs/>
        </w:rPr>
      </w:pPr>
      <w:r w:rsidRPr="00C4692B">
        <w:rPr>
          <w:i/>
          <w:iCs/>
        </w:rPr>
        <w:t xml:space="preserve">invites </w:t>
      </w:r>
      <w:ins w:id="86" w:author="Author">
        <w:r w:rsidR="00F07286" w:rsidRPr="00C4692B">
          <w:rPr>
            <w:i/>
            <w:iCs/>
          </w:rPr>
          <w:t xml:space="preserve">Members States and </w:t>
        </w:r>
      </w:ins>
      <w:r w:rsidRPr="00C4692B">
        <w:rPr>
          <w:i/>
          <w:iCs/>
        </w:rPr>
        <w:t>Sector Members of the ITU Telecommunication Development Sector</w:t>
      </w:r>
    </w:p>
    <w:p w14:paraId="721C591D" w14:textId="77777777" w:rsidR="00A41187" w:rsidRPr="00C4692B" w:rsidRDefault="00A41187" w:rsidP="007A29F6"/>
    <w:p w14:paraId="022F5F09" w14:textId="4102A541" w:rsidR="007A29F6" w:rsidRPr="00C4692B" w:rsidRDefault="007A29F6" w:rsidP="00950E29">
      <w:pPr>
        <w:jc w:val="both"/>
      </w:pPr>
      <w:r w:rsidRPr="00C4692B">
        <w:t>to contribute inputs that will allow the dissemination of best practices and</w:t>
      </w:r>
      <w:r w:rsidR="00436B90" w:rsidRPr="00C4692B">
        <w:t xml:space="preserve"> </w:t>
      </w:r>
      <w:r w:rsidRPr="00C4692B">
        <w:t>policies they have implemented in regard to consumer and user protection,</w:t>
      </w:r>
      <w:r w:rsidR="00436B90" w:rsidRPr="00C4692B">
        <w:t xml:space="preserve"> </w:t>
      </w:r>
      <w:r w:rsidRPr="00C4692B">
        <w:t>taking into consideration ITU</w:t>
      </w:r>
      <w:r w:rsidR="00436B90" w:rsidRPr="00C4692B">
        <w:t xml:space="preserve"> </w:t>
      </w:r>
      <w:r w:rsidRPr="00C4692B">
        <w:t>guidelines and recommendations.</w:t>
      </w:r>
    </w:p>
    <w:p w14:paraId="0746C247" w14:textId="1524561E" w:rsidR="0011198E" w:rsidRPr="00C4692B" w:rsidRDefault="0011198E" w:rsidP="00464CC0"/>
    <w:p w14:paraId="0ACDC6E2" w14:textId="1754EDA6" w:rsidR="008261FE" w:rsidRPr="00C4692B" w:rsidRDefault="000D3E61" w:rsidP="000D3E61">
      <w:pPr>
        <w:pStyle w:val="ListParagraph"/>
        <w:ind w:left="1080"/>
        <w:jc w:val="center"/>
      </w:pPr>
      <w:r>
        <w:t>_________________</w:t>
      </w:r>
    </w:p>
    <w:sectPr w:rsidR="008261FE" w:rsidRPr="00C4692B" w:rsidSect="002E2B2D">
      <w:headerReference w:type="default" r:id="rId9"/>
      <w:footerReference w:type="even" r:id="rId10"/>
      <w:footerReference w:type="default" r:id="rId11"/>
      <w:footerReference w:type="first" r:id="rId1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E3C8B" w14:textId="77777777" w:rsidR="00FD00AE" w:rsidRDefault="00FD00AE">
      <w:r>
        <w:separator/>
      </w:r>
    </w:p>
  </w:endnote>
  <w:endnote w:type="continuationSeparator" w:id="0">
    <w:p w14:paraId="505B304C" w14:textId="77777777" w:rsidR="00FD00AE" w:rsidRDefault="00FD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13067DE3" w:rsidR="0097693B" w:rsidRDefault="00DD1BF8" w:rsidP="00CE5A55">
    <w:pPr>
      <w:pStyle w:val="Footer"/>
      <w:tabs>
        <w:tab w:val="right" w:pos="9180"/>
      </w:tabs>
      <w:ind w:right="-7"/>
    </w:pPr>
    <w:r w:rsidRPr="00DD1BF8">
      <w:rPr>
        <w:rStyle w:val="PageNumber"/>
      </w:rPr>
      <w:t>APT WTDC21-3/</w:t>
    </w:r>
    <w:r w:rsidR="00B23535">
      <w:rPr>
        <w:rStyle w:val="PageNumber"/>
      </w:rPr>
      <w:t>OUT-05</w:t>
    </w:r>
    <w:r w:rsidR="00FF6598">
      <w:rPr>
        <w:rStyle w:val="PageNumber"/>
      </w:rPr>
      <w:t xml:space="preserve"> (Rev.1)</w:t>
    </w:r>
    <w:r w:rsidR="00341CD0">
      <w:rPr>
        <w:rStyle w:val="PageNumber"/>
      </w:rPr>
      <w:tab/>
    </w:r>
    <w:r w:rsidR="00CE5A55">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9F79FB">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9F79FB">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472"/>
      <w:gridCol w:w="2664"/>
    </w:tblGrid>
    <w:tr w:rsidR="00341CD0" w:rsidRPr="005E75F4" w14:paraId="23026B3F" w14:textId="77777777" w:rsidTr="007B0725">
      <w:trPr>
        <w:cantSplit/>
        <w:trHeight w:val="204"/>
        <w:jc w:val="center"/>
      </w:trPr>
      <w:tc>
        <w:tcPr>
          <w:tcW w:w="1152" w:type="dxa"/>
        </w:tcPr>
        <w:p w14:paraId="32CDC3AA" w14:textId="77777777" w:rsidR="00341CD0" w:rsidRPr="005E75F4" w:rsidRDefault="00341CD0" w:rsidP="00341CD0">
          <w:pPr>
            <w:rPr>
              <w:b/>
              <w:bCs/>
            </w:rPr>
          </w:pPr>
          <w:r w:rsidRPr="005E75F4">
            <w:rPr>
              <w:b/>
              <w:bCs/>
            </w:rPr>
            <w:t>Contact:</w:t>
          </w:r>
        </w:p>
      </w:tc>
      <w:tc>
        <w:tcPr>
          <w:tcW w:w="5472" w:type="dxa"/>
        </w:tcPr>
        <w:p w14:paraId="77EEFD55" w14:textId="77777777" w:rsidR="0089660D" w:rsidRDefault="0027179D" w:rsidP="00341CD0">
          <w:pPr>
            <w:rPr>
              <w:rFonts w:eastAsia="Batang"/>
              <w:sz w:val="18"/>
              <w:szCs w:val="18"/>
            </w:rPr>
          </w:pPr>
          <w:r w:rsidRPr="009141A6">
            <w:rPr>
              <w:rFonts w:eastAsia="Batang"/>
              <w:b/>
              <w:bCs/>
              <w:sz w:val="18"/>
              <w:szCs w:val="18"/>
            </w:rPr>
            <w:t>Norman Razali</w:t>
          </w:r>
          <w:r w:rsidRPr="009141A6">
            <w:rPr>
              <w:rFonts w:eastAsia="Batang"/>
              <w:sz w:val="18"/>
              <w:szCs w:val="18"/>
            </w:rPr>
            <w:t xml:space="preserve"> (Mr). </w:t>
          </w:r>
        </w:p>
        <w:p w14:paraId="6F631E38" w14:textId="3ACA24B5" w:rsidR="00341CD0" w:rsidRPr="009141A6" w:rsidRDefault="003A2D8C" w:rsidP="00341CD0">
          <w:pPr>
            <w:rPr>
              <w:rFonts w:eastAsia="Batang"/>
              <w:sz w:val="18"/>
              <w:szCs w:val="18"/>
            </w:rPr>
          </w:pPr>
          <w:r w:rsidRPr="009141A6">
            <w:rPr>
              <w:rFonts w:eastAsia="Batang"/>
              <w:sz w:val="18"/>
              <w:szCs w:val="18"/>
            </w:rPr>
            <w:t>Malaysian Communications and Multimedia Commission.</w:t>
          </w:r>
        </w:p>
      </w:tc>
      <w:tc>
        <w:tcPr>
          <w:tcW w:w="2664" w:type="dxa"/>
        </w:tcPr>
        <w:p w14:paraId="488B4C7E" w14:textId="409F7F83" w:rsidR="00341CD0" w:rsidRPr="005E75F4" w:rsidRDefault="00341CD0" w:rsidP="002E2B2D">
          <w:pPr>
            <w:rPr>
              <w:lang w:eastAsia="ja-JP"/>
            </w:rPr>
          </w:pPr>
          <w:r w:rsidRPr="005E75F4">
            <w:t xml:space="preserve">Email: </w:t>
          </w:r>
          <w:r w:rsidR="009141A6" w:rsidRPr="009141A6">
            <w:rPr>
              <w:sz w:val="18"/>
              <w:szCs w:val="18"/>
            </w:rPr>
            <w:t>norman.razali@mcmc.gov.my</w:t>
          </w:r>
        </w:p>
      </w:tc>
    </w:tr>
  </w:tbl>
  <w:p w14:paraId="6E9AF77B"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8C3B7" w14:textId="77777777" w:rsidR="00FD00AE" w:rsidRDefault="00FD00AE">
      <w:r>
        <w:separator/>
      </w:r>
    </w:p>
  </w:footnote>
  <w:footnote w:type="continuationSeparator" w:id="0">
    <w:p w14:paraId="7C020F49" w14:textId="77777777" w:rsidR="00FD00AE" w:rsidRDefault="00FD0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024449A"/>
    <w:multiLevelType w:val="hybridMultilevel"/>
    <w:tmpl w:val="2DA20DC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2B4C34FB"/>
    <w:multiLevelType w:val="hybridMultilevel"/>
    <w:tmpl w:val="D01667F6"/>
    <w:lvl w:ilvl="0" w:tplc="9BBCEF24">
      <w:start w:val="2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88F0F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472BD4"/>
    <w:multiLevelType w:val="hybridMultilevel"/>
    <w:tmpl w:val="7B6089CC"/>
    <w:lvl w:ilvl="0" w:tplc="B9A6B8A0">
      <w:start w:val="2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2A0A8D"/>
    <w:multiLevelType w:val="hybridMultilevel"/>
    <w:tmpl w:val="DCDED0B6"/>
    <w:lvl w:ilvl="0" w:tplc="08090011">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6620BA"/>
    <w:multiLevelType w:val="hybridMultilevel"/>
    <w:tmpl w:val="2A2889E8"/>
    <w:lvl w:ilvl="0" w:tplc="F2C06D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14"/>
  </w:num>
  <w:num w:numId="5">
    <w:abstractNumId w:val="7"/>
  </w:num>
  <w:num w:numId="6">
    <w:abstractNumId w:val="9"/>
  </w:num>
  <w:num w:numId="7">
    <w:abstractNumId w:val="1"/>
  </w:num>
  <w:num w:numId="8">
    <w:abstractNumId w:val="0"/>
  </w:num>
  <w:num w:numId="9">
    <w:abstractNumId w:val="15"/>
  </w:num>
  <w:num w:numId="10">
    <w:abstractNumId w:val="6"/>
  </w:num>
  <w:num w:numId="11">
    <w:abstractNumId w:val="12"/>
  </w:num>
  <w:num w:numId="12">
    <w:abstractNumId w:val="10"/>
  </w:num>
  <w:num w:numId="13">
    <w:abstractNumId w:val="2"/>
  </w:num>
  <w:num w:numId="14">
    <w:abstractNumId w:val="13"/>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ED8"/>
    <w:rsid w:val="00010385"/>
    <w:rsid w:val="0002137C"/>
    <w:rsid w:val="00022F2A"/>
    <w:rsid w:val="0003595B"/>
    <w:rsid w:val="0006669E"/>
    <w:rsid w:val="000713CF"/>
    <w:rsid w:val="00081DCA"/>
    <w:rsid w:val="00083BA7"/>
    <w:rsid w:val="000855AE"/>
    <w:rsid w:val="00090630"/>
    <w:rsid w:val="00090720"/>
    <w:rsid w:val="00094B87"/>
    <w:rsid w:val="000A2BE2"/>
    <w:rsid w:val="000A5418"/>
    <w:rsid w:val="000A5BDA"/>
    <w:rsid w:val="000B37A6"/>
    <w:rsid w:val="000C0DED"/>
    <w:rsid w:val="000D3E61"/>
    <w:rsid w:val="000D71F4"/>
    <w:rsid w:val="000E0633"/>
    <w:rsid w:val="000E7F03"/>
    <w:rsid w:val="000F517C"/>
    <w:rsid w:val="000F5540"/>
    <w:rsid w:val="00103C8B"/>
    <w:rsid w:val="00104ACB"/>
    <w:rsid w:val="0011198E"/>
    <w:rsid w:val="00152FE1"/>
    <w:rsid w:val="001539DD"/>
    <w:rsid w:val="00154DE6"/>
    <w:rsid w:val="001672EA"/>
    <w:rsid w:val="00167EA9"/>
    <w:rsid w:val="00182505"/>
    <w:rsid w:val="00182C10"/>
    <w:rsid w:val="00184519"/>
    <w:rsid w:val="0019389F"/>
    <w:rsid w:val="001940D2"/>
    <w:rsid w:val="00196568"/>
    <w:rsid w:val="001A0839"/>
    <w:rsid w:val="001A2F16"/>
    <w:rsid w:val="001A4B04"/>
    <w:rsid w:val="001A777D"/>
    <w:rsid w:val="001B18C2"/>
    <w:rsid w:val="001C2B9C"/>
    <w:rsid w:val="001C46C6"/>
    <w:rsid w:val="001C78A5"/>
    <w:rsid w:val="001D5D7E"/>
    <w:rsid w:val="001E08FB"/>
    <w:rsid w:val="001E5CCB"/>
    <w:rsid w:val="001F2466"/>
    <w:rsid w:val="00206A77"/>
    <w:rsid w:val="00213077"/>
    <w:rsid w:val="00214FF3"/>
    <w:rsid w:val="0021588B"/>
    <w:rsid w:val="002216AC"/>
    <w:rsid w:val="00224A37"/>
    <w:rsid w:val="00250CFE"/>
    <w:rsid w:val="00254A1B"/>
    <w:rsid w:val="00257951"/>
    <w:rsid w:val="002624D9"/>
    <w:rsid w:val="00270B09"/>
    <w:rsid w:val="0027179D"/>
    <w:rsid w:val="00277B2C"/>
    <w:rsid w:val="00282FB9"/>
    <w:rsid w:val="0028454D"/>
    <w:rsid w:val="00287F77"/>
    <w:rsid w:val="00291C9E"/>
    <w:rsid w:val="002926D4"/>
    <w:rsid w:val="002949AC"/>
    <w:rsid w:val="00294C06"/>
    <w:rsid w:val="002B4101"/>
    <w:rsid w:val="002C07DA"/>
    <w:rsid w:val="002C7EA9"/>
    <w:rsid w:val="002D1259"/>
    <w:rsid w:val="002E2B2D"/>
    <w:rsid w:val="002F5401"/>
    <w:rsid w:val="003024C5"/>
    <w:rsid w:val="00304FB3"/>
    <w:rsid w:val="0032360B"/>
    <w:rsid w:val="00326A99"/>
    <w:rsid w:val="00341CD0"/>
    <w:rsid w:val="00342F20"/>
    <w:rsid w:val="003478EF"/>
    <w:rsid w:val="003500E0"/>
    <w:rsid w:val="00354EAA"/>
    <w:rsid w:val="003669CB"/>
    <w:rsid w:val="003809C7"/>
    <w:rsid w:val="00382004"/>
    <w:rsid w:val="00393C34"/>
    <w:rsid w:val="003A2D8C"/>
    <w:rsid w:val="003A3B9E"/>
    <w:rsid w:val="003B4079"/>
    <w:rsid w:val="003B6263"/>
    <w:rsid w:val="003C167B"/>
    <w:rsid w:val="003C64A7"/>
    <w:rsid w:val="003D21B3"/>
    <w:rsid w:val="003D3FDA"/>
    <w:rsid w:val="00401A7B"/>
    <w:rsid w:val="00404C84"/>
    <w:rsid w:val="00406AC6"/>
    <w:rsid w:val="00411E3B"/>
    <w:rsid w:val="00417015"/>
    <w:rsid w:val="00420822"/>
    <w:rsid w:val="00436B90"/>
    <w:rsid w:val="0045458F"/>
    <w:rsid w:val="0045464C"/>
    <w:rsid w:val="00460753"/>
    <w:rsid w:val="004633B4"/>
    <w:rsid w:val="00464CC0"/>
    <w:rsid w:val="00465400"/>
    <w:rsid w:val="0046568D"/>
    <w:rsid w:val="004731D8"/>
    <w:rsid w:val="004745C7"/>
    <w:rsid w:val="00480B28"/>
    <w:rsid w:val="00485D2F"/>
    <w:rsid w:val="004862E2"/>
    <w:rsid w:val="00495E04"/>
    <w:rsid w:val="004A6B3E"/>
    <w:rsid w:val="004B0F87"/>
    <w:rsid w:val="004B3553"/>
    <w:rsid w:val="004B5382"/>
    <w:rsid w:val="004C057E"/>
    <w:rsid w:val="005154C0"/>
    <w:rsid w:val="00515A39"/>
    <w:rsid w:val="00530E8C"/>
    <w:rsid w:val="00532959"/>
    <w:rsid w:val="00545933"/>
    <w:rsid w:val="00557544"/>
    <w:rsid w:val="00560D68"/>
    <w:rsid w:val="00571257"/>
    <w:rsid w:val="005721E9"/>
    <w:rsid w:val="00587875"/>
    <w:rsid w:val="005939B5"/>
    <w:rsid w:val="005A3E67"/>
    <w:rsid w:val="005A561F"/>
    <w:rsid w:val="006057CC"/>
    <w:rsid w:val="00607E2B"/>
    <w:rsid w:val="006124C8"/>
    <w:rsid w:val="00612A1A"/>
    <w:rsid w:val="006139D6"/>
    <w:rsid w:val="006144D8"/>
    <w:rsid w:val="00615134"/>
    <w:rsid w:val="00623CE1"/>
    <w:rsid w:val="00626A1E"/>
    <w:rsid w:val="0063062B"/>
    <w:rsid w:val="006347E8"/>
    <w:rsid w:val="0064269D"/>
    <w:rsid w:val="00643B73"/>
    <w:rsid w:val="00657C84"/>
    <w:rsid w:val="00662815"/>
    <w:rsid w:val="00667229"/>
    <w:rsid w:val="00673E36"/>
    <w:rsid w:val="006763AB"/>
    <w:rsid w:val="00682BE5"/>
    <w:rsid w:val="00686D9D"/>
    <w:rsid w:val="00690FED"/>
    <w:rsid w:val="006939A5"/>
    <w:rsid w:val="00696442"/>
    <w:rsid w:val="006B190B"/>
    <w:rsid w:val="006B335F"/>
    <w:rsid w:val="006B6441"/>
    <w:rsid w:val="006C1EBE"/>
    <w:rsid w:val="006C5A78"/>
    <w:rsid w:val="006F02F1"/>
    <w:rsid w:val="006F09C5"/>
    <w:rsid w:val="006F14CA"/>
    <w:rsid w:val="006F5DA2"/>
    <w:rsid w:val="00712451"/>
    <w:rsid w:val="00713BF3"/>
    <w:rsid w:val="00731041"/>
    <w:rsid w:val="007319FC"/>
    <w:rsid w:val="00732F08"/>
    <w:rsid w:val="0074190C"/>
    <w:rsid w:val="00745FC5"/>
    <w:rsid w:val="00762576"/>
    <w:rsid w:val="007637EF"/>
    <w:rsid w:val="0076663F"/>
    <w:rsid w:val="00772F3C"/>
    <w:rsid w:val="007758B9"/>
    <w:rsid w:val="0077620E"/>
    <w:rsid w:val="00781579"/>
    <w:rsid w:val="00782DE1"/>
    <w:rsid w:val="00791060"/>
    <w:rsid w:val="00791F95"/>
    <w:rsid w:val="00796084"/>
    <w:rsid w:val="007A29F6"/>
    <w:rsid w:val="007B5626"/>
    <w:rsid w:val="007D5C91"/>
    <w:rsid w:val="007F3D5D"/>
    <w:rsid w:val="007F711D"/>
    <w:rsid w:val="0080570B"/>
    <w:rsid w:val="008148E1"/>
    <w:rsid w:val="008261FE"/>
    <w:rsid w:val="008319BF"/>
    <w:rsid w:val="008358FC"/>
    <w:rsid w:val="00836BAF"/>
    <w:rsid w:val="008456FC"/>
    <w:rsid w:val="00864629"/>
    <w:rsid w:val="008674D6"/>
    <w:rsid w:val="00877018"/>
    <w:rsid w:val="0089660D"/>
    <w:rsid w:val="008968BD"/>
    <w:rsid w:val="008A396A"/>
    <w:rsid w:val="008B41B6"/>
    <w:rsid w:val="008D0E09"/>
    <w:rsid w:val="008D1DB6"/>
    <w:rsid w:val="008D50BD"/>
    <w:rsid w:val="008E12E1"/>
    <w:rsid w:val="008E3045"/>
    <w:rsid w:val="008E59B4"/>
    <w:rsid w:val="008E6B7B"/>
    <w:rsid w:val="00902F0A"/>
    <w:rsid w:val="009103BC"/>
    <w:rsid w:val="009141A6"/>
    <w:rsid w:val="00940EF7"/>
    <w:rsid w:val="00942816"/>
    <w:rsid w:val="00950E29"/>
    <w:rsid w:val="00954E82"/>
    <w:rsid w:val="00957F77"/>
    <w:rsid w:val="0097693B"/>
    <w:rsid w:val="00976FE0"/>
    <w:rsid w:val="00981770"/>
    <w:rsid w:val="00983636"/>
    <w:rsid w:val="00992351"/>
    <w:rsid w:val="00993355"/>
    <w:rsid w:val="009A4A6D"/>
    <w:rsid w:val="009C05C2"/>
    <w:rsid w:val="009E5BCA"/>
    <w:rsid w:val="009E7ACB"/>
    <w:rsid w:val="009F79FB"/>
    <w:rsid w:val="00A00FAB"/>
    <w:rsid w:val="00A12049"/>
    <w:rsid w:val="00A13265"/>
    <w:rsid w:val="00A16691"/>
    <w:rsid w:val="00A41187"/>
    <w:rsid w:val="00A4164C"/>
    <w:rsid w:val="00A552AE"/>
    <w:rsid w:val="00A55820"/>
    <w:rsid w:val="00A62A20"/>
    <w:rsid w:val="00A63991"/>
    <w:rsid w:val="00A71136"/>
    <w:rsid w:val="00A849DD"/>
    <w:rsid w:val="00AA3CF9"/>
    <w:rsid w:val="00AA474C"/>
    <w:rsid w:val="00AA6C59"/>
    <w:rsid w:val="00AC5F7C"/>
    <w:rsid w:val="00AD04E1"/>
    <w:rsid w:val="00AD7E5F"/>
    <w:rsid w:val="00AE35F4"/>
    <w:rsid w:val="00B01AA1"/>
    <w:rsid w:val="00B124B5"/>
    <w:rsid w:val="00B135EF"/>
    <w:rsid w:val="00B23535"/>
    <w:rsid w:val="00B30C81"/>
    <w:rsid w:val="00B4583A"/>
    <w:rsid w:val="00B4793B"/>
    <w:rsid w:val="00B51A67"/>
    <w:rsid w:val="00B572A6"/>
    <w:rsid w:val="00B60228"/>
    <w:rsid w:val="00B623AD"/>
    <w:rsid w:val="00B62E08"/>
    <w:rsid w:val="00B677C2"/>
    <w:rsid w:val="00B7156B"/>
    <w:rsid w:val="00B7240D"/>
    <w:rsid w:val="00B90441"/>
    <w:rsid w:val="00B90D0A"/>
    <w:rsid w:val="00B91F03"/>
    <w:rsid w:val="00BA4B31"/>
    <w:rsid w:val="00BB7E5A"/>
    <w:rsid w:val="00BC6D6B"/>
    <w:rsid w:val="00BF67AC"/>
    <w:rsid w:val="00C07C36"/>
    <w:rsid w:val="00C10614"/>
    <w:rsid w:val="00C15633"/>
    <w:rsid w:val="00C15799"/>
    <w:rsid w:val="00C16725"/>
    <w:rsid w:val="00C2490A"/>
    <w:rsid w:val="00C357AD"/>
    <w:rsid w:val="00C3695D"/>
    <w:rsid w:val="00C4692B"/>
    <w:rsid w:val="00C47598"/>
    <w:rsid w:val="00C4785B"/>
    <w:rsid w:val="00C512DF"/>
    <w:rsid w:val="00C53197"/>
    <w:rsid w:val="00C5415D"/>
    <w:rsid w:val="00C6025A"/>
    <w:rsid w:val="00C6069C"/>
    <w:rsid w:val="00C85119"/>
    <w:rsid w:val="00C86ED2"/>
    <w:rsid w:val="00C900BC"/>
    <w:rsid w:val="00C970B8"/>
    <w:rsid w:val="00CA1087"/>
    <w:rsid w:val="00CA478D"/>
    <w:rsid w:val="00CA5822"/>
    <w:rsid w:val="00CB75C8"/>
    <w:rsid w:val="00CC4B55"/>
    <w:rsid w:val="00CD31EF"/>
    <w:rsid w:val="00CD5431"/>
    <w:rsid w:val="00CD7E4D"/>
    <w:rsid w:val="00CE5A55"/>
    <w:rsid w:val="00CF060D"/>
    <w:rsid w:val="00CF2491"/>
    <w:rsid w:val="00D06C0C"/>
    <w:rsid w:val="00D1252E"/>
    <w:rsid w:val="00D26C5D"/>
    <w:rsid w:val="00D348D1"/>
    <w:rsid w:val="00D36B89"/>
    <w:rsid w:val="00D41EDA"/>
    <w:rsid w:val="00D421BD"/>
    <w:rsid w:val="00D43AF6"/>
    <w:rsid w:val="00D57772"/>
    <w:rsid w:val="00D57F10"/>
    <w:rsid w:val="00D643DC"/>
    <w:rsid w:val="00D715CA"/>
    <w:rsid w:val="00D72AE3"/>
    <w:rsid w:val="00D75244"/>
    <w:rsid w:val="00D75A4D"/>
    <w:rsid w:val="00D77FB3"/>
    <w:rsid w:val="00D8355B"/>
    <w:rsid w:val="00D8478B"/>
    <w:rsid w:val="00D86151"/>
    <w:rsid w:val="00DA7595"/>
    <w:rsid w:val="00DB0A68"/>
    <w:rsid w:val="00DC43A3"/>
    <w:rsid w:val="00DC6B05"/>
    <w:rsid w:val="00DD0603"/>
    <w:rsid w:val="00DD0785"/>
    <w:rsid w:val="00DD1BF8"/>
    <w:rsid w:val="00DD7C09"/>
    <w:rsid w:val="00DE098F"/>
    <w:rsid w:val="00DF3C78"/>
    <w:rsid w:val="00E003FD"/>
    <w:rsid w:val="00E0124F"/>
    <w:rsid w:val="00E02AB5"/>
    <w:rsid w:val="00E14910"/>
    <w:rsid w:val="00E1516F"/>
    <w:rsid w:val="00E35CC8"/>
    <w:rsid w:val="00E534CE"/>
    <w:rsid w:val="00E674D3"/>
    <w:rsid w:val="00E7058D"/>
    <w:rsid w:val="00E70FD0"/>
    <w:rsid w:val="00E73B4F"/>
    <w:rsid w:val="00EA59E4"/>
    <w:rsid w:val="00EA6162"/>
    <w:rsid w:val="00EA6234"/>
    <w:rsid w:val="00EB49C2"/>
    <w:rsid w:val="00EC1AFF"/>
    <w:rsid w:val="00EC7F2B"/>
    <w:rsid w:val="00ED4F90"/>
    <w:rsid w:val="00EF042F"/>
    <w:rsid w:val="00EF189C"/>
    <w:rsid w:val="00F01161"/>
    <w:rsid w:val="00F04FCB"/>
    <w:rsid w:val="00F07286"/>
    <w:rsid w:val="00F11135"/>
    <w:rsid w:val="00F21C70"/>
    <w:rsid w:val="00F24FD0"/>
    <w:rsid w:val="00F26E30"/>
    <w:rsid w:val="00F324F7"/>
    <w:rsid w:val="00F32CC1"/>
    <w:rsid w:val="00F36FD6"/>
    <w:rsid w:val="00F528CB"/>
    <w:rsid w:val="00F54570"/>
    <w:rsid w:val="00F6068A"/>
    <w:rsid w:val="00F66584"/>
    <w:rsid w:val="00F804F3"/>
    <w:rsid w:val="00F84067"/>
    <w:rsid w:val="00F944CE"/>
    <w:rsid w:val="00FC01D4"/>
    <w:rsid w:val="00FC6AE7"/>
    <w:rsid w:val="00FC6EC3"/>
    <w:rsid w:val="00FC700B"/>
    <w:rsid w:val="00FD00AE"/>
    <w:rsid w:val="00FE3DE5"/>
    <w:rsid w:val="00FF659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224A37"/>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6F5DA2"/>
    <w:rPr>
      <w:rFonts w:eastAsia="BatangChe"/>
      <w:sz w:val="24"/>
      <w:szCs w:val="24"/>
    </w:rPr>
  </w:style>
  <w:style w:type="character" w:styleId="CommentReference">
    <w:name w:val="annotation reference"/>
    <w:basedOn w:val="DefaultParagraphFont"/>
    <w:semiHidden/>
    <w:unhideWhenUsed/>
    <w:rsid w:val="000C0DED"/>
    <w:rPr>
      <w:sz w:val="16"/>
      <w:szCs w:val="16"/>
    </w:rPr>
  </w:style>
  <w:style w:type="paragraph" w:styleId="CommentText">
    <w:name w:val="annotation text"/>
    <w:basedOn w:val="Normal"/>
    <w:link w:val="CommentTextChar"/>
    <w:unhideWhenUsed/>
    <w:rsid w:val="000C0DED"/>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rsid w:val="000C0DED"/>
    <w:rPr>
      <w:rFonts w:asciiTheme="minorHAnsi" w:eastAsiaTheme="minorHAnsi" w:hAnsiTheme="minorHAnsi" w:cstheme="minorBidi"/>
      <w:lang w:val="en-GB"/>
    </w:rPr>
  </w:style>
  <w:style w:type="paragraph" w:styleId="CommentSubject">
    <w:name w:val="annotation subject"/>
    <w:basedOn w:val="CommentText"/>
    <w:next w:val="CommentText"/>
    <w:link w:val="CommentSubjectChar"/>
    <w:semiHidden/>
    <w:unhideWhenUsed/>
    <w:rsid w:val="000E7F03"/>
    <w:rPr>
      <w:rFonts w:ascii="Times New Roman" w:eastAsia="BatangChe" w:hAnsi="Times New Roman" w:cs="Times New Roman"/>
      <w:b/>
      <w:bCs/>
      <w:lang w:val="en-US"/>
    </w:rPr>
  </w:style>
  <w:style w:type="character" w:customStyle="1" w:styleId="CommentSubjectChar">
    <w:name w:val="Comment Subject Char"/>
    <w:basedOn w:val="CommentTextChar"/>
    <w:link w:val="CommentSubject"/>
    <w:semiHidden/>
    <w:rsid w:val="000E7F03"/>
    <w:rPr>
      <w:rFonts w:asciiTheme="minorHAnsi" w:eastAsia="BatangChe" w:hAnsiTheme="minorHAnsi" w:cstheme="minorBidi"/>
      <w:b/>
      <w:bCs/>
      <w:lang w:val="en-GB"/>
    </w:rPr>
  </w:style>
  <w:style w:type="character" w:customStyle="1" w:styleId="Heading3Char">
    <w:name w:val="Heading 3 Char"/>
    <w:basedOn w:val="DefaultParagraphFont"/>
    <w:link w:val="Heading3"/>
    <w:semiHidden/>
    <w:rsid w:val="00224A3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173430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E1D48C8-66BE-4359-A813-5AB9BABE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1765</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2022-02-04T07:40:00Z</dcterms:created>
  <dcterms:modified xsi:type="dcterms:W3CDTF">2022-02-07T08:16:00Z</dcterms:modified>
</cp:coreProperties>
</file>