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25B15063" w14:textId="77777777" w:rsidTr="007E1FDD">
        <w:trPr>
          <w:cantSplit/>
          <w:trHeight w:val="288"/>
        </w:trPr>
        <w:tc>
          <w:tcPr>
            <w:tcW w:w="1399" w:type="dxa"/>
            <w:vMerge w:val="restart"/>
          </w:tcPr>
          <w:p w14:paraId="35CB4FF6"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217F24B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398213BF" w14:textId="77777777" w:rsidTr="007E7497">
        <w:trPr>
          <w:cantSplit/>
          <w:trHeight w:val="504"/>
        </w:trPr>
        <w:tc>
          <w:tcPr>
            <w:tcW w:w="1399" w:type="dxa"/>
            <w:vMerge/>
          </w:tcPr>
          <w:p w14:paraId="1E65A4C2" w14:textId="77777777" w:rsidR="003D25E1" w:rsidRPr="00891D0B" w:rsidRDefault="003D25E1" w:rsidP="000D7C75"/>
        </w:tc>
        <w:tc>
          <w:tcPr>
            <w:tcW w:w="5760" w:type="dxa"/>
            <w:vAlign w:val="center"/>
          </w:tcPr>
          <w:p w14:paraId="3C6E6232" w14:textId="77777777" w:rsidR="003D25E1" w:rsidRPr="00891D0B" w:rsidRDefault="00C73F61" w:rsidP="001E1432">
            <w:pPr>
              <w:spacing w:before="40"/>
            </w:pPr>
            <w:r>
              <w:rPr>
                <w:b/>
              </w:rPr>
              <w:t xml:space="preserve">The </w:t>
            </w:r>
            <w:r w:rsidR="008624ED">
              <w:rPr>
                <w:b/>
              </w:rPr>
              <w:t>2nd</w:t>
            </w:r>
            <w:r w:rsidR="001E143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71B9E915" w14:textId="2EE1023B" w:rsidR="007E1FDD" w:rsidRPr="006340AA" w:rsidRDefault="001E1432" w:rsidP="007E7497">
            <w:pPr>
              <w:spacing w:before="40"/>
              <w:rPr>
                <w:rFonts w:cs="Angsana New"/>
                <w:b/>
                <w:bCs/>
                <w:szCs w:val="30"/>
                <w:lang w:bidi="th-TH"/>
              </w:rPr>
            </w:pPr>
            <w:r>
              <w:rPr>
                <w:b/>
                <w:bCs/>
                <w:lang w:val="fr-FR"/>
              </w:rPr>
              <w:t>APG23-</w:t>
            </w:r>
            <w:r w:rsidR="008624ED">
              <w:rPr>
                <w:b/>
                <w:bCs/>
                <w:lang w:val="fr-FR"/>
              </w:rPr>
              <w:t>2</w:t>
            </w:r>
            <w:r w:rsidR="007E1FDD">
              <w:rPr>
                <w:b/>
                <w:bCs/>
                <w:lang w:val="fr-FR"/>
              </w:rPr>
              <w:t>/</w:t>
            </w:r>
            <w:r w:rsidR="00164353">
              <w:rPr>
                <w:b/>
                <w:bCs/>
                <w:lang w:val="fr-FR"/>
              </w:rPr>
              <w:t>IN</w:t>
            </w:r>
            <w:r w:rsidR="00EA0BBD">
              <w:rPr>
                <w:b/>
                <w:bCs/>
                <w:lang w:val="fr-FR"/>
              </w:rPr>
              <w:t>F</w:t>
            </w:r>
            <w:r w:rsidR="007E1FDD">
              <w:rPr>
                <w:b/>
                <w:bCs/>
                <w:lang w:val="fr-FR"/>
              </w:rPr>
              <w:t>-</w:t>
            </w:r>
            <w:r w:rsidR="006340AA">
              <w:rPr>
                <w:rFonts w:cs="Angsana New"/>
                <w:b/>
                <w:bCs/>
                <w:szCs w:val="30"/>
                <w:lang w:bidi="th-TH"/>
              </w:rPr>
              <w:t>02</w:t>
            </w:r>
          </w:p>
          <w:p w14:paraId="042FD16E" w14:textId="77777777" w:rsidR="003D25E1" w:rsidRPr="007E1FDD" w:rsidRDefault="003D25E1" w:rsidP="007E1FDD">
            <w:pPr>
              <w:rPr>
                <w:b/>
                <w:bCs/>
                <w:lang w:val="en-GB"/>
              </w:rPr>
            </w:pPr>
          </w:p>
        </w:tc>
      </w:tr>
      <w:tr w:rsidR="007E1FDD" w:rsidRPr="00891D0B" w14:paraId="321CFF55" w14:textId="77777777" w:rsidTr="007E1FDD">
        <w:trPr>
          <w:cantSplit/>
          <w:trHeight w:val="288"/>
        </w:trPr>
        <w:tc>
          <w:tcPr>
            <w:tcW w:w="1399" w:type="dxa"/>
            <w:vMerge/>
          </w:tcPr>
          <w:p w14:paraId="4E3C555C" w14:textId="77777777" w:rsidR="007E1FDD" w:rsidRPr="007E1FDD" w:rsidRDefault="007E1FDD" w:rsidP="000D7C75">
            <w:pPr>
              <w:rPr>
                <w:lang w:val="en-GB"/>
              </w:rPr>
            </w:pPr>
          </w:p>
        </w:tc>
        <w:tc>
          <w:tcPr>
            <w:tcW w:w="5760" w:type="dxa"/>
            <w:vAlign w:val="bottom"/>
          </w:tcPr>
          <w:p w14:paraId="7BA3957E" w14:textId="77777777" w:rsidR="007E1FDD" w:rsidRPr="00712451" w:rsidRDefault="008624ED" w:rsidP="00C73F61">
            <w:pPr>
              <w:spacing w:before="40"/>
              <w:rPr>
                <w:b/>
              </w:rPr>
            </w:pPr>
            <w:r>
              <w:t>19</w:t>
            </w:r>
            <w:r w:rsidR="00C73F61">
              <w:t xml:space="preserve"> – </w:t>
            </w:r>
            <w:r w:rsidR="001E1432">
              <w:t>2</w:t>
            </w:r>
            <w:r>
              <w:t>3</w:t>
            </w:r>
            <w:r w:rsidR="007E1FDD">
              <w:t xml:space="preserve"> </w:t>
            </w:r>
            <w:r>
              <w:t>April</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4DAAF244" w14:textId="16BA1625" w:rsidR="007E1FDD" w:rsidRPr="007E1FDD" w:rsidRDefault="006340AA" w:rsidP="00C73F61">
            <w:pPr>
              <w:spacing w:before="40"/>
              <w:rPr>
                <w:bCs/>
              </w:rPr>
            </w:pPr>
            <w:r>
              <w:rPr>
                <w:bCs/>
              </w:rPr>
              <w:t>14</w:t>
            </w:r>
            <w:r w:rsidR="008624ED">
              <w:rPr>
                <w:bCs/>
              </w:rPr>
              <w:t xml:space="preserve"> </w:t>
            </w:r>
            <w:r w:rsidR="00EA0BBD">
              <w:rPr>
                <w:bCs/>
              </w:rPr>
              <w:t xml:space="preserve">March </w:t>
            </w:r>
            <w:r w:rsidR="007E1FDD" w:rsidRPr="007E1FDD">
              <w:rPr>
                <w:bCs/>
              </w:rPr>
              <w:t>20</w:t>
            </w:r>
            <w:r w:rsidR="00EC249E">
              <w:rPr>
                <w:bCs/>
              </w:rPr>
              <w:t>2</w:t>
            </w:r>
            <w:r w:rsidR="008624ED">
              <w:rPr>
                <w:bCs/>
              </w:rPr>
              <w:t>1</w:t>
            </w:r>
          </w:p>
        </w:tc>
      </w:tr>
    </w:tbl>
    <w:p w14:paraId="1D7C378C" w14:textId="77777777" w:rsidR="007E7497" w:rsidRPr="00051E1E" w:rsidRDefault="007E7497" w:rsidP="00DA7595">
      <w:pPr>
        <w:rPr>
          <w:lang w:eastAsia="ko-KR"/>
        </w:rPr>
      </w:pPr>
    </w:p>
    <w:p w14:paraId="416BBD44" w14:textId="77777777" w:rsidR="00FF72BB" w:rsidRDefault="00FF72BB" w:rsidP="00DA7595">
      <w:pPr>
        <w:jc w:val="center"/>
        <w:rPr>
          <w:lang w:eastAsia="ko-KR"/>
        </w:rPr>
      </w:pPr>
    </w:p>
    <w:p w14:paraId="5D48B783" w14:textId="1D421D13" w:rsidR="00DA7595" w:rsidRPr="00051E1E" w:rsidRDefault="00EA0BBD" w:rsidP="00DA7595">
      <w:pPr>
        <w:jc w:val="center"/>
        <w:rPr>
          <w:lang w:eastAsia="ko-KR"/>
        </w:rPr>
      </w:pPr>
      <w:r>
        <w:rPr>
          <w:lang w:eastAsia="ko-KR"/>
        </w:rPr>
        <w:t>Chairman, DG on AI 1.</w:t>
      </w:r>
      <w:r w:rsidR="006F6206" w:rsidRPr="006F6206">
        <w:rPr>
          <w:rFonts w:hint="eastAsia"/>
          <w:lang w:eastAsia="ko-KR"/>
        </w:rPr>
        <w:t>13</w:t>
      </w:r>
    </w:p>
    <w:p w14:paraId="49B50650" w14:textId="77777777" w:rsidR="007E7497" w:rsidRPr="00B355DB" w:rsidRDefault="007E7497" w:rsidP="007E7497">
      <w:pPr>
        <w:jc w:val="center"/>
        <w:rPr>
          <w:caps/>
        </w:rPr>
      </w:pPr>
    </w:p>
    <w:p w14:paraId="40C01037" w14:textId="043AFE5C" w:rsidR="007E7497" w:rsidRPr="00F22892" w:rsidRDefault="00EA0BBD" w:rsidP="007E7497">
      <w:pPr>
        <w:jc w:val="center"/>
        <w:rPr>
          <w:b/>
          <w:bCs/>
          <w:caps/>
        </w:rPr>
      </w:pPr>
      <w:r>
        <w:rPr>
          <w:b/>
          <w:bCs/>
          <w:caps/>
        </w:rPr>
        <w:t xml:space="preserve">brief </w:t>
      </w:r>
      <w:r w:rsidR="00EC249E">
        <w:rPr>
          <w:b/>
          <w:bCs/>
          <w:caps/>
        </w:rPr>
        <w:t>o</w:t>
      </w:r>
      <w:r>
        <w:rPr>
          <w:b/>
          <w:bCs/>
          <w:caps/>
        </w:rPr>
        <w:t>n</w:t>
      </w:r>
      <w:r w:rsidR="00EC249E">
        <w:rPr>
          <w:b/>
          <w:bCs/>
          <w:caps/>
        </w:rPr>
        <w:t xml:space="preserve"> </w:t>
      </w:r>
      <w:r>
        <w:rPr>
          <w:b/>
          <w:bCs/>
          <w:caps/>
        </w:rPr>
        <w:t>wrc-23</w:t>
      </w:r>
      <w:r w:rsidR="00EC249E">
        <w:rPr>
          <w:b/>
          <w:bCs/>
          <w:caps/>
        </w:rPr>
        <w:t xml:space="preserve"> </w:t>
      </w:r>
      <w:r>
        <w:rPr>
          <w:b/>
          <w:bCs/>
          <w:caps/>
        </w:rPr>
        <w:t>agenda item 1.</w:t>
      </w:r>
      <w:r w:rsidR="006F6206" w:rsidRPr="006F6206">
        <w:rPr>
          <w:rFonts w:hint="eastAsia"/>
          <w:b/>
          <w:bCs/>
          <w:caps/>
        </w:rPr>
        <w:t>13</w:t>
      </w:r>
    </w:p>
    <w:p w14:paraId="233AF010" w14:textId="77777777" w:rsidR="007E7497" w:rsidRPr="005E3896" w:rsidRDefault="007E7497" w:rsidP="007E7497">
      <w:pPr>
        <w:jc w:val="both"/>
        <w:rPr>
          <w:bCs/>
          <w:sz w:val="6"/>
        </w:rPr>
      </w:pPr>
    </w:p>
    <w:p w14:paraId="271866BD" w14:textId="77777777" w:rsidR="00D84CEE" w:rsidRPr="00D84CEE" w:rsidRDefault="00D84CEE" w:rsidP="00D84CEE">
      <w:pPr>
        <w:jc w:val="both"/>
        <w:rPr>
          <w:sz w:val="10"/>
        </w:rPr>
      </w:pPr>
    </w:p>
    <w:p w14:paraId="6E2A1ABA" w14:textId="77777777" w:rsidR="00EC249E" w:rsidRDefault="00EC249E" w:rsidP="00E5341E">
      <w:pPr>
        <w:spacing w:after="120"/>
        <w:jc w:val="both"/>
        <w:rPr>
          <w:b/>
          <w:lang w:val="en-NZ"/>
        </w:rPr>
      </w:pPr>
    </w:p>
    <w:p w14:paraId="60504901" w14:textId="177A8D24" w:rsidR="00EC249E" w:rsidRPr="00C17F93" w:rsidRDefault="00EC249E" w:rsidP="00EC249E">
      <w:pPr>
        <w:jc w:val="both"/>
      </w:pPr>
      <w:r w:rsidRPr="00C17F93">
        <w:t>(</w:t>
      </w:r>
      <w:r w:rsidR="00615999">
        <w:t xml:space="preserve">Note: </w:t>
      </w:r>
      <w:r w:rsidR="00615999" w:rsidRPr="00615999">
        <w:rPr>
          <w:i/>
          <w:iCs/>
        </w:rPr>
        <w:t>This brief was developed for information purpose only. It does not necessarily express the view of APG-23</w:t>
      </w:r>
      <w:r w:rsidRPr="00C17F93">
        <w:t>)</w:t>
      </w:r>
    </w:p>
    <w:p w14:paraId="030D99E3" w14:textId="77777777" w:rsidR="00EC249E" w:rsidRDefault="00EC249E" w:rsidP="00E5341E">
      <w:pPr>
        <w:spacing w:after="120"/>
        <w:jc w:val="both"/>
        <w:rPr>
          <w:b/>
        </w:rPr>
      </w:pPr>
    </w:p>
    <w:p w14:paraId="4E1693DC" w14:textId="5D2D24EE" w:rsidR="00615999" w:rsidRPr="00441526" w:rsidRDefault="00615999" w:rsidP="00615999">
      <w:pPr>
        <w:spacing w:after="120"/>
        <w:jc w:val="both"/>
        <w:rPr>
          <w:lang w:val="en-NZ"/>
        </w:rPr>
      </w:pPr>
      <w:r w:rsidRPr="00441526">
        <w:rPr>
          <w:b/>
          <w:lang w:val="en-NZ"/>
        </w:rPr>
        <w:t>Agenda Item 1.</w:t>
      </w:r>
      <w:r w:rsidR="00FD7B18" w:rsidRPr="00FD7B18">
        <w:rPr>
          <w:rFonts w:hint="eastAsia"/>
          <w:b/>
          <w:lang w:val="en-NZ"/>
        </w:rPr>
        <w:t>13</w:t>
      </w:r>
      <w:r w:rsidRPr="00441526">
        <w:rPr>
          <w:b/>
          <w:lang w:val="en-NZ"/>
        </w:rPr>
        <w:t xml:space="preserve">: </w:t>
      </w:r>
    </w:p>
    <w:p w14:paraId="53333B28" w14:textId="34BB3C39" w:rsidR="00615999" w:rsidRPr="00441526" w:rsidRDefault="007C7F37" w:rsidP="00615999">
      <w:pPr>
        <w:spacing w:after="120"/>
        <w:jc w:val="both"/>
        <w:rPr>
          <w:i/>
          <w:lang w:val="en-NZ"/>
        </w:rPr>
      </w:pPr>
      <w:r>
        <w:rPr>
          <w:i/>
          <w:lang w:val="en-NZ"/>
        </w:rPr>
        <w:t xml:space="preserve">1.13 </w:t>
      </w:r>
      <w:r w:rsidRPr="007C7F37">
        <w:rPr>
          <w:i/>
          <w:lang w:val="en-NZ"/>
        </w:rPr>
        <w:t>to consider a possible upgrade of the allocation of the frequency band 14.8-15.35 GHz to the space research service, in accordance with Resolution</w:t>
      </w:r>
      <w:r>
        <w:rPr>
          <w:i/>
          <w:lang w:val="en-NZ"/>
        </w:rPr>
        <w:t xml:space="preserve"> </w:t>
      </w:r>
      <w:r w:rsidRPr="007C7F37">
        <w:rPr>
          <w:b/>
          <w:bCs/>
          <w:i/>
          <w:lang w:val="en-NZ"/>
        </w:rPr>
        <w:t>661 (WRC-19)</w:t>
      </w:r>
    </w:p>
    <w:p w14:paraId="3BD549DE" w14:textId="56FA60BB" w:rsidR="0037421D" w:rsidRPr="00615999" w:rsidRDefault="00615999" w:rsidP="00E5341E">
      <w:pPr>
        <w:spacing w:after="120"/>
        <w:jc w:val="both"/>
        <w:rPr>
          <w:b/>
          <w:lang w:val="en-NZ"/>
        </w:rPr>
      </w:pPr>
      <w:r>
        <w:rPr>
          <w:b/>
          <w:lang w:val="en-NZ"/>
        </w:rPr>
        <w:t>Relevant Resolutions and Responsible/Contributing ITU-R Groups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D06742" w:rsidRPr="00D06742" w14:paraId="4A1CA755" w14:textId="77777777" w:rsidTr="00681869">
        <w:trPr>
          <w:trHeight w:val="7987"/>
          <w:jc w:val="center"/>
        </w:trPr>
        <w:tc>
          <w:tcPr>
            <w:tcW w:w="2287" w:type="dxa"/>
          </w:tcPr>
          <w:p w14:paraId="623FC5CB" w14:textId="23DEEB1B" w:rsidR="00681869" w:rsidRPr="00681869" w:rsidRDefault="00681869" w:rsidP="006818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000000" w:themeColor="text1"/>
                <w:lang w:eastAsia="nl-NL"/>
              </w:rPr>
            </w:pPr>
            <w:r w:rsidRPr="00681869">
              <w:rPr>
                <w:rFonts w:eastAsia="Batang"/>
                <w:color w:val="000000" w:themeColor="text1"/>
                <w:lang w:eastAsia="nl-NL"/>
              </w:rPr>
              <w:t xml:space="preserve">Resolution </w:t>
            </w:r>
            <w:r w:rsidRPr="00681869">
              <w:rPr>
                <w:rFonts w:eastAsia="Batang"/>
                <w:b/>
                <w:bCs/>
                <w:color w:val="000000" w:themeColor="text1"/>
                <w:lang w:eastAsia="nl-NL"/>
              </w:rPr>
              <w:t>661 (WRC-19)</w:t>
            </w:r>
          </w:p>
          <w:p w14:paraId="17BFA2B7" w14:textId="4393ED10" w:rsidR="00681869" w:rsidRPr="00D06742" w:rsidRDefault="00681869" w:rsidP="006818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FF0000"/>
                <w:lang w:eastAsia="nl-NL"/>
              </w:rPr>
            </w:pPr>
            <w:r w:rsidRPr="00681869">
              <w:rPr>
                <w:rFonts w:eastAsia="Batang"/>
                <w:color w:val="000000" w:themeColor="text1"/>
                <w:lang w:eastAsia="nl-NL"/>
              </w:rPr>
              <w:t>Examination of a possible upgrade to primary status of the secondary allocation to the space research service in the frequency band 14.8 15.35 GHz</w:t>
            </w:r>
          </w:p>
        </w:tc>
        <w:tc>
          <w:tcPr>
            <w:tcW w:w="6922" w:type="dxa"/>
          </w:tcPr>
          <w:p w14:paraId="32277901" w14:textId="77777777" w:rsidR="00681869" w:rsidRPr="00681869" w:rsidRDefault="00681869" w:rsidP="00681869">
            <w:pPr>
              <w:pStyle w:val="Call"/>
              <w:spacing w:before="40" w:after="40"/>
              <w:rPr>
                <w:rFonts w:ascii="Times New Roman" w:hAnsi="Times New Roman" w:cs="Times New Roman"/>
                <w:iCs/>
                <w:szCs w:val="24"/>
              </w:rPr>
            </w:pPr>
            <w:r w:rsidRPr="00681869">
              <w:rPr>
                <w:rFonts w:ascii="Times New Roman" w:hAnsi="Times New Roman" w:cs="Times New Roman"/>
                <w:iCs/>
                <w:szCs w:val="24"/>
              </w:rPr>
              <w:t>resolves to invite ITU-R</w:t>
            </w:r>
          </w:p>
          <w:p w14:paraId="2F59F102" w14:textId="77777777" w:rsidR="00681869" w:rsidRPr="00681869" w:rsidRDefault="00681869" w:rsidP="00681869">
            <w:pPr>
              <w:pStyle w:val="Tabletext"/>
              <w:jc w:val="both"/>
              <w:rPr>
                <w:rFonts w:ascii="Times New Roman" w:hAnsi="Times New Roman" w:cs="Times New Roman"/>
                <w:sz w:val="24"/>
                <w:szCs w:val="24"/>
              </w:rPr>
            </w:pPr>
            <w:r w:rsidRPr="00681869">
              <w:rPr>
                <w:rFonts w:ascii="Times New Roman" w:hAnsi="Times New Roman" w:cs="Times New Roman"/>
                <w:sz w:val="24"/>
                <w:szCs w:val="24"/>
              </w:rPr>
              <w:t>1</w:t>
            </w:r>
            <w:r w:rsidRPr="00681869">
              <w:rPr>
                <w:rFonts w:ascii="Times New Roman" w:hAnsi="Times New Roman" w:cs="Times New Roman"/>
                <w:sz w:val="24"/>
                <w:szCs w:val="24"/>
              </w:rPr>
              <w:tab/>
              <w:t xml:space="preserve">to investigate and identify all relevant scenarios mentioned in </w:t>
            </w:r>
            <w:r w:rsidRPr="00681869">
              <w:rPr>
                <w:rFonts w:ascii="Times New Roman" w:hAnsi="Times New Roman" w:cs="Times New Roman"/>
                <w:i/>
                <w:sz w:val="24"/>
                <w:szCs w:val="24"/>
              </w:rPr>
              <w:t>recognizing</w:t>
            </w:r>
            <w:r w:rsidRPr="00681869">
              <w:rPr>
                <w:rFonts w:ascii="Times New Roman" w:hAnsi="Times New Roman" w:cs="Times New Roman"/>
                <w:sz w:val="24"/>
                <w:szCs w:val="24"/>
              </w:rPr>
              <w:t> </w:t>
            </w:r>
            <w:r w:rsidRPr="00681869">
              <w:rPr>
                <w:rFonts w:ascii="Times New Roman" w:hAnsi="Times New Roman" w:cs="Times New Roman"/>
                <w:i/>
                <w:sz w:val="24"/>
                <w:szCs w:val="24"/>
              </w:rPr>
              <w:t>a)</w:t>
            </w:r>
            <w:r w:rsidRPr="00681869">
              <w:rPr>
                <w:rFonts w:ascii="Times New Roman" w:hAnsi="Times New Roman" w:cs="Times New Roman"/>
                <w:sz w:val="24"/>
                <w:szCs w:val="24"/>
              </w:rPr>
              <w:t xml:space="preserve"> to </w:t>
            </w:r>
            <w:r w:rsidRPr="00681869">
              <w:rPr>
                <w:rFonts w:ascii="Times New Roman" w:hAnsi="Times New Roman" w:cs="Times New Roman"/>
                <w:i/>
                <w:sz w:val="24"/>
                <w:szCs w:val="24"/>
              </w:rPr>
              <w:t>c)</w:t>
            </w:r>
            <w:r w:rsidRPr="00681869">
              <w:rPr>
                <w:rFonts w:ascii="Times New Roman" w:hAnsi="Times New Roman" w:cs="Times New Roman"/>
                <w:sz w:val="24"/>
                <w:szCs w:val="24"/>
              </w:rPr>
              <w:t xml:space="preserve"> that need to be considered in compatibility and sharing studies, taking into account the latest relevant ITU</w:t>
            </w:r>
            <w:r w:rsidRPr="00681869">
              <w:rPr>
                <w:rFonts w:ascii="Times New Roman" w:hAnsi="Times New Roman" w:cs="Times New Roman"/>
                <w:sz w:val="24"/>
                <w:szCs w:val="24"/>
              </w:rPr>
              <w:noBreakHyphen/>
              <w:t xml:space="preserve">R </w:t>
            </w:r>
            <w:proofErr w:type="gramStart"/>
            <w:r w:rsidRPr="00681869">
              <w:rPr>
                <w:rFonts w:ascii="Times New Roman" w:hAnsi="Times New Roman" w:cs="Times New Roman"/>
                <w:sz w:val="24"/>
                <w:szCs w:val="24"/>
              </w:rPr>
              <w:t>Recommendations;</w:t>
            </w:r>
            <w:proofErr w:type="gramEnd"/>
          </w:p>
          <w:p w14:paraId="287FA4CE" w14:textId="77777777" w:rsidR="00681869" w:rsidRPr="00681869" w:rsidRDefault="00681869" w:rsidP="00681869">
            <w:pPr>
              <w:pStyle w:val="Tabletext"/>
              <w:jc w:val="both"/>
              <w:rPr>
                <w:rFonts w:ascii="Times New Roman" w:hAnsi="Times New Roman" w:cs="Times New Roman"/>
                <w:i/>
                <w:sz w:val="24"/>
                <w:szCs w:val="24"/>
              </w:rPr>
            </w:pPr>
            <w:r w:rsidRPr="00681869">
              <w:rPr>
                <w:rFonts w:ascii="Times New Roman" w:hAnsi="Times New Roman" w:cs="Times New Roman"/>
                <w:sz w:val="24"/>
                <w:szCs w:val="24"/>
              </w:rPr>
              <w:br w:type="page"/>
              <w:t>2</w:t>
            </w:r>
            <w:r w:rsidRPr="00681869">
              <w:rPr>
                <w:rFonts w:ascii="Times New Roman" w:hAnsi="Times New Roman" w:cs="Times New Roman"/>
                <w:sz w:val="24"/>
                <w:szCs w:val="24"/>
              </w:rPr>
              <w:tab/>
              <w:t>to conduct and complete in time for WRC</w:t>
            </w:r>
            <w:r w:rsidRPr="00681869">
              <w:rPr>
                <w:rFonts w:ascii="Times New Roman" w:hAnsi="Times New Roman" w:cs="Times New Roman"/>
                <w:sz w:val="24"/>
                <w:szCs w:val="24"/>
              </w:rPr>
              <w:noBreakHyphen/>
              <w:t>23 sharing and compatibility studies in order to determine the feasibility of upgrading the SRS allocation to primary status in the frequency band 14.8</w:t>
            </w:r>
            <w:r w:rsidRPr="00681869">
              <w:rPr>
                <w:rFonts w:ascii="Times New Roman" w:hAnsi="Times New Roman" w:cs="Times New Roman"/>
                <w:sz w:val="24"/>
                <w:szCs w:val="24"/>
              </w:rPr>
              <w:noBreakHyphen/>
              <w:t xml:space="preserve">15.35 GHz, with a view to ensuring protection of the primary service in </w:t>
            </w:r>
            <w:r w:rsidRPr="00681869">
              <w:rPr>
                <w:rFonts w:ascii="Times New Roman" w:hAnsi="Times New Roman" w:cs="Times New Roman"/>
                <w:i/>
                <w:sz w:val="24"/>
                <w:szCs w:val="24"/>
              </w:rPr>
              <w:t xml:space="preserve">considering a) </w:t>
            </w:r>
            <w:r w:rsidRPr="00681869">
              <w:rPr>
                <w:rFonts w:ascii="Times New Roman" w:hAnsi="Times New Roman" w:cs="Times New Roman"/>
                <w:sz w:val="24"/>
                <w:szCs w:val="24"/>
              </w:rPr>
              <w:t>and</w:t>
            </w:r>
            <w:r w:rsidRPr="00681869">
              <w:rPr>
                <w:rFonts w:ascii="Times New Roman" w:hAnsi="Times New Roman" w:cs="Times New Roman"/>
                <w:i/>
                <w:sz w:val="24"/>
                <w:szCs w:val="24"/>
              </w:rPr>
              <w:t xml:space="preserve"> d) </w:t>
            </w:r>
            <w:r w:rsidRPr="00681869">
              <w:rPr>
                <w:rFonts w:ascii="Times New Roman" w:hAnsi="Times New Roman" w:cs="Times New Roman"/>
                <w:sz w:val="24"/>
                <w:szCs w:val="24"/>
              </w:rPr>
              <w:t xml:space="preserve">and taking into account </w:t>
            </w:r>
            <w:r w:rsidRPr="00681869">
              <w:rPr>
                <w:rFonts w:ascii="Times New Roman" w:hAnsi="Times New Roman" w:cs="Times New Roman"/>
                <w:i/>
                <w:sz w:val="24"/>
                <w:szCs w:val="24"/>
              </w:rPr>
              <w:t>recognizing</w:t>
            </w:r>
            <w:r w:rsidRPr="00681869">
              <w:rPr>
                <w:rFonts w:ascii="Times New Roman" w:hAnsi="Times New Roman" w:cs="Times New Roman"/>
                <w:sz w:val="24"/>
                <w:szCs w:val="24"/>
              </w:rPr>
              <w:t> </w:t>
            </w:r>
            <w:r w:rsidRPr="00681869">
              <w:rPr>
                <w:rFonts w:ascii="Times New Roman" w:hAnsi="Times New Roman" w:cs="Times New Roman"/>
                <w:i/>
                <w:sz w:val="24"/>
                <w:szCs w:val="24"/>
              </w:rPr>
              <w:t>e</w:t>
            </w:r>
            <w:proofErr w:type="gramStart"/>
            <w:r w:rsidRPr="00681869">
              <w:rPr>
                <w:rFonts w:ascii="Times New Roman" w:hAnsi="Times New Roman" w:cs="Times New Roman"/>
                <w:i/>
                <w:sz w:val="24"/>
                <w:szCs w:val="24"/>
              </w:rPr>
              <w:t>)</w:t>
            </w:r>
            <w:r w:rsidRPr="00681869">
              <w:rPr>
                <w:rFonts w:ascii="Times New Roman" w:hAnsi="Times New Roman" w:cs="Times New Roman"/>
                <w:sz w:val="24"/>
                <w:szCs w:val="24"/>
              </w:rPr>
              <w:t>;</w:t>
            </w:r>
            <w:proofErr w:type="gramEnd"/>
          </w:p>
          <w:p w14:paraId="43E24CD3" w14:textId="77777777" w:rsidR="00681869" w:rsidRPr="00681869" w:rsidRDefault="00681869" w:rsidP="00681869">
            <w:pPr>
              <w:pStyle w:val="Tabletext"/>
              <w:jc w:val="both"/>
              <w:rPr>
                <w:rFonts w:ascii="Times New Roman" w:hAnsi="Times New Roman" w:cs="Times New Roman"/>
                <w:sz w:val="24"/>
                <w:szCs w:val="24"/>
              </w:rPr>
            </w:pPr>
            <w:r w:rsidRPr="00681869">
              <w:rPr>
                <w:rFonts w:ascii="Times New Roman" w:hAnsi="Times New Roman" w:cs="Times New Roman"/>
                <w:sz w:val="24"/>
                <w:szCs w:val="24"/>
              </w:rPr>
              <w:t>3</w:t>
            </w:r>
            <w:r w:rsidRPr="00681869">
              <w:rPr>
                <w:rFonts w:ascii="Times New Roman" w:hAnsi="Times New Roman" w:cs="Times New Roman"/>
                <w:sz w:val="24"/>
                <w:szCs w:val="24"/>
              </w:rPr>
              <w:tab/>
              <w:t xml:space="preserve">to determine the technical and regulatory conditions according to the results of studies mentioned in </w:t>
            </w:r>
            <w:r w:rsidRPr="00681869">
              <w:rPr>
                <w:rFonts w:ascii="Times New Roman" w:hAnsi="Times New Roman" w:cs="Times New Roman"/>
                <w:i/>
                <w:sz w:val="24"/>
                <w:szCs w:val="24"/>
              </w:rPr>
              <w:t>resolves to invite ITU</w:t>
            </w:r>
            <w:r w:rsidRPr="00681869">
              <w:rPr>
                <w:rFonts w:ascii="Times New Roman" w:hAnsi="Times New Roman" w:cs="Times New Roman"/>
                <w:i/>
                <w:sz w:val="24"/>
                <w:szCs w:val="24"/>
              </w:rPr>
              <w:noBreakHyphen/>
              <w:t>R </w:t>
            </w:r>
            <w:r w:rsidRPr="00681869">
              <w:rPr>
                <w:rFonts w:ascii="Times New Roman" w:hAnsi="Times New Roman" w:cs="Times New Roman"/>
                <w:sz w:val="24"/>
                <w:szCs w:val="24"/>
              </w:rPr>
              <w:t>2,</w:t>
            </w:r>
          </w:p>
          <w:p w14:paraId="4CC2E250" w14:textId="77777777" w:rsidR="00681869" w:rsidRPr="00681869" w:rsidRDefault="00681869" w:rsidP="00681869">
            <w:pPr>
              <w:pStyle w:val="Call"/>
              <w:spacing w:before="40" w:after="40"/>
              <w:jc w:val="both"/>
              <w:rPr>
                <w:rFonts w:ascii="Times New Roman" w:hAnsi="Times New Roman" w:cs="Times New Roman"/>
                <w:iCs/>
                <w:szCs w:val="24"/>
              </w:rPr>
            </w:pPr>
            <w:r w:rsidRPr="00681869">
              <w:rPr>
                <w:rFonts w:ascii="Times New Roman" w:hAnsi="Times New Roman" w:cs="Times New Roman"/>
                <w:iCs/>
                <w:szCs w:val="24"/>
              </w:rPr>
              <w:t>resolves to invite administrations</w:t>
            </w:r>
          </w:p>
          <w:p w14:paraId="6B70F013" w14:textId="77777777" w:rsidR="00681869" w:rsidRPr="00681869" w:rsidRDefault="00681869" w:rsidP="00681869">
            <w:pPr>
              <w:pStyle w:val="Tabletext"/>
              <w:jc w:val="both"/>
              <w:rPr>
                <w:rFonts w:ascii="Times New Roman" w:hAnsi="Times New Roman" w:cs="Times New Roman"/>
                <w:i/>
                <w:iCs/>
                <w:sz w:val="24"/>
                <w:szCs w:val="24"/>
              </w:rPr>
            </w:pPr>
            <w:r w:rsidRPr="00681869">
              <w:rPr>
                <w:rFonts w:ascii="Times New Roman" w:hAnsi="Times New Roman" w:cs="Times New Roman"/>
                <w:sz w:val="24"/>
                <w:szCs w:val="24"/>
              </w:rPr>
              <w:t>to participate actively in the studies and provide the technical and operational characteristics of the systems involved by submitting contributions to ITU</w:t>
            </w:r>
            <w:r w:rsidRPr="00681869">
              <w:rPr>
                <w:rFonts w:ascii="Times New Roman" w:hAnsi="Times New Roman" w:cs="Times New Roman"/>
                <w:sz w:val="24"/>
                <w:szCs w:val="24"/>
              </w:rPr>
              <w:noBreakHyphen/>
              <w:t>R,</w:t>
            </w:r>
          </w:p>
          <w:p w14:paraId="66B70103" w14:textId="77777777" w:rsidR="00681869" w:rsidRPr="00681869" w:rsidRDefault="00681869" w:rsidP="00681869">
            <w:pPr>
              <w:pStyle w:val="Call"/>
              <w:spacing w:before="40" w:after="40"/>
              <w:jc w:val="both"/>
              <w:rPr>
                <w:rFonts w:ascii="Times New Roman" w:hAnsi="Times New Roman" w:cs="Times New Roman"/>
                <w:iCs/>
                <w:szCs w:val="24"/>
              </w:rPr>
            </w:pPr>
            <w:r w:rsidRPr="00681869">
              <w:rPr>
                <w:rFonts w:ascii="Times New Roman" w:hAnsi="Times New Roman" w:cs="Times New Roman"/>
                <w:iCs/>
                <w:szCs w:val="24"/>
              </w:rPr>
              <w:t>invites the 2023 World Radiocommunication Conference</w:t>
            </w:r>
          </w:p>
          <w:p w14:paraId="23E60363" w14:textId="15AEB087" w:rsidR="00615999" w:rsidRPr="00681869" w:rsidRDefault="00681869" w:rsidP="006818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FF0000"/>
                <w:lang w:eastAsia="nl-NL"/>
              </w:rPr>
            </w:pPr>
            <w:r w:rsidRPr="00681869">
              <w:t xml:space="preserve">to </w:t>
            </w:r>
            <w:proofErr w:type="gramStart"/>
            <w:r w:rsidRPr="00681869">
              <w:t>examine,</w:t>
            </w:r>
            <w:proofErr w:type="gramEnd"/>
            <w:r w:rsidRPr="00681869">
              <w:t xml:space="preserve"> on the basis of the results of studies by the ITU Radiocommunication Sector, the possibility of upgrading the secondary status of the allocation to the SRS to primary status in the frequency band 14.8-15.35 GHz, taking into account studies in </w:t>
            </w:r>
            <w:r w:rsidRPr="00681869">
              <w:rPr>
                <w:i/>
              </w:rPr>
              <w:t>resolves to invite ITU</w:t>
            </w:r>
            <w:r w:rsidRPr="00681869">
              <w:rPr>
                <w:i/>
              </w:rPr>
              <w:noBreakHyphen/>
              <w:t>R</w:t>
            </w:r>
            <w:r w:rsidRPr="00681869">
              <w:t xml:space="preserve"> 2 and the considerations in </w:t>
            </w:r>
            <w:r w:rsidRPr="00681869">
              <w:rPr>
                <w:i/>
              </w:rPr>
              <w:t>resolves to invite ITU</w:t>
            </w:r>
            <w:r w:rsidRPr="00681869">
              <w:rPr>
                <w:i/>
              </w:rPr>
              <w:noBreakHyphen/>
              <w:t>R </w:t>
            </w:r>
            <w:r w:rsidRPr="00681869">
              <w:t>3.</w:t>
            </w:r>
          </w:p>
        </w:tc>
      </w:tr>
    </w:tbl>
    <w:p w14:paraId="663C188D" w14:textId="2A86BBD4" w:rsidR="00681869" w:rsidRDefault="00681869" w:rsidP="00E5341E">
      <w:pPr>
        <w:spacing w:after="120"/>
        <w:jc w:val="both"/>
        <w:rPr>
          <w:b/>
        </w:rPr>
      </w:pPr>
    </w:p>
    <w:tbl>
      <w:tblPr>
        <w:tblStyle w:val="TableGrid"/>
        <w:tblW w:w="0" w:type="auto"/>
        <w:tblInd w:w="-5" w:type="dxa"/>
        <w:tblLook w:val="04A0" w:firstRow="1" w:lastRow="0" w:firstColumn="1" w:lastColumn="0" w:noHBand="0" w:noVBand="1"/>
      </w:tblPr>
      <w:tblGrid>
        <w:gridCol w:w="5113"/>
        <w:gridCol w:w="3908"/>
      </w:tblGrid>
      <w:tr w:rsidR="00D06742" w:rsidRPr="00D06742" w14:paraId="201407FC" w14:textId="77777777" w:rsidTr="00395A72">
        <w:tc>
          <w:tcPr>
            <w:tcW w:w="5113" w:type="dxa"/>
          </w:tcPr>
          <w:p w14:paraId="49F372C5" w14:textId="77777777" w:rsidR="00615999" w:rsidRPr="00681869" w:rsidRDefault="00615999" w:rsidP="00395A72">
            <w:pPr>
              <w:rPr>
                <w:color w:val="000000" w:themeColor="text1"/>
              </w:rPr>
            </w:pPr>
            <w:r w:rsidRPr="00681869">
              <w:rPr>
                <w:rFonts w:eastAsia="Batang"/>
                <w:b/>
                <w:color w:val="000000" w:themeColor="text1"/>
              </w:rPr>
              <w:lastRenderedPageBreak/>
              <w:t>Responsible group</w:t>
            </w:r>
          </w:p>
        </w:tc>
        <w:tc>
          <w:tcPr>
            <w:tcW w:w="3908" w:type="dxa"/>
          </w:tcPr>
          <w:p w14:paraId="1B86DE8A" w14:textId="77777777" w:rsidR="00615999" w:rsidRPr="00681869" w:rsidRDefault="00615999" w:rsidP="00395A72">
            <w:pPr>
              <w:rPr>
                <w:color w:val="000000" w:themeColor="text1"/>
              </w:rPr>
            </w:pPr>
            <w:r w:rsidRPr="00681869">
              <w:rPr>
                <w:rFonts w:eastAsia="Batang"/>
                <w:b/>
                <w:color w:val="000000" w:themeColor="text1"/>
              </w:rPr>
              <w:t>Contributing group</w:t>
            </w:r>
          </w:p>
        </w:tc>
      </w:tr>
      <w:tr w:rsidR="00D06742" w:rsidRPr="00D06742" w14:paraId="62627DE7" w14:textId="77777777" w:rsidTr="00395A72">
        <w:tc>
          <w:tcPr>
            <w:tcW w:w="5113" w:type="dxa"/>
          </w:tcPr>
          <w:p w14:paraId="2FF0C3D0" w14:textId="62659DC6" w:rsidR="00615999" w:rsidRPr="00681869" w:rsidRDefault="00615999" w:rsidP="006818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color w:val="000000" w:themeColor="text1"/>
              </w:rPr>
            </w:pPr>
            <w:r w:rsidRPr="00681869">
              <w:rPr>
                <w:rFonts w:eastAsia="Batang"/>
                <w:b/>
                <w:color w:val="000000" w:themeColor="text1"/>
                <w:lang w:eastAsia="nl-NL"/>
              </w:rPr>
              <w:t>WP </w:t>
            </w:r>
            <w:r w:rsidR="00681869">
              <w:rPr>
                <w:rFonts w:eastAsia="Batang"/>
                <w:b/>
                <w:color w:val="000000" w:themeColor="text1"/>
                <w:lang w:eastAsia="nl-NL"/>
              </w:rPr>
              <w:t>7</w:t>
            </w:r>
            <w:r w:rsidRPr="00681869">
              <w:rPr>
                <w:rFonts w:eastAsia="Batang"/>
                <w:b/>
                <w:color w:val="000000" w:themeColor="text1"/>
                <w:lang w:eastAsia="nl-NL"/>
              </w:rPr>
              <w:t>B</w:t>
            </w:r>
          </w:p>
        </w:tc>
        <w:tc>
          <w:tcPr>
            <w:tcW w:w="3908" w:type="dxa"/>
          </w:tcPr>
          <w:p w14:paraId="4294D2A9" w14:textId="39E00F03" w:rsidR="00615999" w:rsidRPr="00681869" w:rsidRDefault="0068186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color w:val="000000" w:themeColor="text1"/>
              </w:rPr>
            </w:pPr>
            <w:r w:rsidRPr="00681869">
              <w:rPr>
                <w:rFonts w:eastAsia="Batang"/>
                <w:b/>
                <w:color w:val="000000" w:themeColor="text1"/>
                <w:lang w:eastAsia="nl-NL"/>
              </w:rPr>
              <w:t>WP 3M, WP 5A, WP 5B, WP 5C, WP 7C, WP 7D</w:t>
            </w:r>
          </w:p>
        </w:tc>
      </w:tr>
    </w:tbl>
    <w:p w14:paraId="5CBC4012" w14:textId="77777777" w:rsidR="00615999" w:rsidRDefault="00615999" w:rsidP="00E5341E">
      <w:pPr>
        <w:spacing w:after="120"/>
        <w:jc w:val="both"/>
        <w:rPr>
          <w:b/>
        </w:rPr>
      </w:pPr>
    </w:p>
    <w:p w14:paraId="6919399E" w14:textId="6565E5CF" w:rsidR="00C06192" w:rsidRPr="000944B0" w:rsidRDefault="00D06742" w:rsidP="000944B0">
      <w:pPr>
        <w:spacing w:after="120"/>
        <w:jc w:val="both"/>
        <w:rPr>
          <w:b/>
          <w:lang w:val="en-NZ" w:eastAsia="ko-KR"/>
        </w:rPr>
      </w:pPr>
      <w:r w:rsidRPr="00441526">
        <w:rPr>
          <w:b/>
          <w:lang w:val="en-NZ" w:eastAsia="ko-KR"/>
        </w:rPr>
        <w:t xml:space="preserve">1. </w:t>
      </w:r>
      <w:r w:rsidRPr="00441526">
        <w:rPr>
          <w:b/>
          <w:lang w:val="en-NZ" w:eastAsia="ko-KR"/>
        </w:rPr>
        <w:tab/>
        <w:t>Background</w:t>
      </w:r>
      <w:r>
        <w:rPr>
          <w:b/>
          <w:lang w:val="en-NZ" w:eastAsia="ko-KR"/>
        </w:rPr>
        <w:t xml:space="preserve"> Information</w:t>
      </w:r>
    </w:p>
    <w:p w14:paraId="28BBA039" w14:textId="056B551C" w:rsidR="0037421D" w:rsidRDefault="00983042" w:rsidP="00881049">
      <w:pPr>
        <w:widowControl w:val="0"/>
        <w:autoSpaceDE w:val="0"/>
        <w:autoSpaceDN w:val="0"/>
        <w:spacing w:after="120"/>
        <w:rPr>
          <w:rFonts w:eastAsia="SimSun"/>
          <w:lang w:eastAsia="zh-CN"/>
        </w:rPr>
      </w:pPr>
      <w:r>
        <w:rPr>
          <w:rFonts w:eastAsia="SimSun"/>
          <w:lang w:eastAsia="zh-CN"/>
        </w:rPr>
        <w:t xml:space="preserve">The frequency band 14.8-15.35 GHz is used by some countries as the secondary SRS allocation for data relay systems (DRS), supporting telemetry and downlink data transmission from </w:t>
      </w:r>
      <w:r w:rsidR="00BD2991">
        <w:rPr>
          <w:rFonts w:eastAsia="SimSun"/>
          <w:lang w:eastAsia="zh-CN"/>
        </w:rPr>
        <w:t>DRS to earth stations as well as the transmission from low orbit spacecraft to DRS.</w:t>
      </w:r>
      <w:r w:rsidR="00F103E2">
        <w:rPr>
          <w:rFonts w:eastAsia="SimSun"/>
          <w:lang w:eastAsia="zh-CN"/>
        </w:rPr>
        <w:t xml:space="preserve"> Considering that there </w:t>
      </w:r>
      <w:r w:rsidR="00881049">
        <w:rPr>
          <w:rFonts w:eastAsia="SimSun"/>
          <w:lang w:eastAsia="zh-CN"/>
        </w:rPr>
        <w:t>is an interest among space agencies and administrations to use this frequency band in scientific missions</w:t>
      </w:r>
      <w:r w:rsidR="00F103E2">
        <w:rPr>
          <w:rFonts w:eastAsia="SimSun"/>
          <w:lang w:eastAsia="zh-CN"/>
        </w:rPr>
        <w:t xml:space="preserve">, WRC-19 adopted Resolution </w:t>
      </w:r>
      <w:r w:rsidR="00F103E2" w:rsidRPr="00212FC6">
        <w:rPr>
          <w:rFonts w:eastAsia="SimSun"/>
          <w:b/>
          <w:bCs/>
          <w:lang w:eastAsia="zh-CN"/>
        </w:rPr>
        <w:t>661</w:t>
      </w:r>
      <w:r w:rsidR="00F103E2">
        <w:rPr>
          <w:rFonts w:eastAsia="SimSun"/>
          <w:lang w:eastAsia="zh-CN"/>
        </w:rPr>
        <w:t xml:space="preserve"> </w:t>
      </w:r>
      <w:r w:rsidR="00F103E2" w:rsidRPr="00F103E2">
        <w:rPr>
          <w:rFonts w:eastAsia="SimSun"/>
          <w:lang w:eastAsia="zh-CN"/>
        </w:rPr>
        <w:t xml:space="preserve">to </w:t>
      </w:r>
      <w:r w:rsidR="00F103E2">
        <w:rPr>
          <w:rFonts w:eastAsia="SimSun"/>
          <w:lang w:eastAsia="zh-CN"/>
        </w:rPr>
        <w:t xml:space="preserve">develop </w:t>
      </w:r>
      <w:r w:rsidR="00F103E2" w:rsidRPr="00F103E2">
        <w:rPr>
          <w:rFonts w:eastAsia="SimSun"/>
          <w:lang w:eastAsia="zh-CN"/>
        </w:rPr>
        <w:t xml:space="preserve">compatibility and sharing studies on </w:t>
      </w:r>
      <w:r w:rsidR="00F103E2">
        <w:rPr>
          <w:rFonts w:eastAsia="SimSun"/>
          <w:lang w:eastAsia="zh-CN"/>
        </w:rPr>
        <w:t>this frequency band during</w:t>
      </w:r>
      <w:r w:rsidR="00F103E2" w:rsidRPr="00F103E2">
        <w:rPr>
          <w:rFonts w:eastAsia="SimSun"/>
          <w:lang w:eastAsia="zh-CN"/>
        </w:rPr>
        <w:t xml:space="preserve"> WRC-23.</w:t>
      </w:r>
    </w:p>
    <w:p w14:paraId="01ACC621" w14:textId="43508B20" w:rsidR="0066424F" w:rsidRDefault="0066424F" w:rsidP="0066424F">
      <w:pPr>
        <w:widowControl w:val="0"/>
        <w:autoSpaceDE w:val="0"/>
        <w:autoSpaceDN w:val="0"/>
        <w:spacing w:after="120"/>
        <w:rPr>
          <w:rFonts w:eastAsia="SimSun"/>
          <w:lang w:eastAsia="zh-CN"/>
        </w:rPr>
      </w:pPr>
      <w:r>
        <w:rPr>
          <w:rFonts w:eastAsia="SimSun"/>
          <w:lang w:eastAsia="zh-CN"/>
        </w:rPr>
        <w:t xml:space="preserve">During the CPM23-1 meeting, WP 7B was designated as the </w:t>
      </w:r>
      <w:r w:rsidR="0042583E">
        <w:rPr>
          <w:rFonts w:eastAsia="SimSun"/>
          <w:lang w:eastAsia="zh-CN"/>
        </w:rPr>
        <w:t xml:space="preserve">responsible group for this agenda item and identified </w:t>
      </w:r>
      <w:r w:rsidR="0042583E" w:rsidRPr="0042583E">
        <w:rPr>
          <w:rFonts w:eastAsia="SimSun"/>
          <w:lang w:eastAsia="zh-CN"/>
        </w:rPr>
        <w:t>WP 3M, WP 5A, WP 5C, WP 7C</w:t>
      </w:r>
      <w:r w:rsidR="0042583E">
        <w:rPr>
          <w:rFonts w:eastAsia="SimSun"/>
          <w:lang w:eastAsia="zh-CN"/>
        </w:rPr>
        <w:t xml:space="preserve">, </w:t>
      </w:r>
      <w:r w:rsidR="0042583E" w:rsidRPr="0042583E">
        <w:rPr>
          <w:rFonts w:eastAsia="SimSun"/>
          <w:lang w:eastAsia="zh-CN"/>
        </w:rPr>
        <w:t>WP 7D</w:t>
      </w:r>
      <w:r w:rsidR="0042583E">
        <w:rPr>
          <w:rFonts w:eastAsia="SimSun"/>
          <w:lang w:eastAsia="zh-CN"/>
        </w:rPr>
        <w:t xml:space="preserve"> as the contributing group to the development of the CPM23 Report.</w:t>
      </w:r>
    </w:p>
    <w:p w14:paraId="03F62E82" w14:textId="77AF8E96" w:rsidR="0042583E" w:rsidRDefault="0042583E" w:rsidP="0042583E">
      <w:pPr>
        <w:widowControl w:val="0"/>
        <w:autoSpaceDE w:val="0"/>
        <w:autoSpaceDN w:val="0"/>
        <w:spacing w:after="120"/>
        <w:rPr>
          <w:rFonts w:eastAsia="SimSun"/>
          <w:lang w:eastAsia="zh-CN"/>
        </w:rPr>
      </w:pPr>
      <w:r>
        <w:rPr>
          <w:rFonts w:eastAsia="SimSun"/>
          <w:lang w:eastAsia="zh-CN"/>
        </w:rPr>
        <w:t>Relevant ITU-R documents:</w:t>
      </w:r>
    </w:p>
    <w:p w14:paraId="24FE0AC7" w14:textId="119BB6EF" w:rsidR="0042583E" w:rsidRDefault="00A64F88" w:rsidP="00DB2B3E">
      <w:pPr>
        <w:pStyle w:val="ListParagraph"/>
        <w:widowControl w:val="0"/>
        <w:numPr>
          <w:ilvl w:val="0"/>
          <w:numId w:val="24"/>
        </w:numPr>
        <w:autoSpaceDE w:val="0"/>
        <w:autoSpaceDN w:val="0"/>
        <w:spacing w:after="120"/>
        <w:rPr>
          <w:rFonts w:eastAsia="SimSun"/>
          <w:lang w:eastAsia="zh-CN"/>
        </w:rPr>
      </w:pPr>
      <w:hyperlink r:id="rId9" w:history="1">
        <w:r w:rsidR="00DB2B3E" w:rsidRPr="00DB2B3E">
          <w:rPr>
            <w:rStyle w:val="Hyperlink"/>
            <w:rFonts w:eastAsia="SimSun"/>
            <w:lang w:eastAsia="zh-CN"/>
          </w:rPr>
          <w:t xml:space="preserve">Resolution </w:t>
        </w:r>
        <w:r w:rsidR="00DB2B3E" w:rsidRPr="00DB2B3E">
          <w:rPr>
            <w:rStyle w:val="Hyperlink"/>
            <w:rFonts w:eastAsia="SimSun"/>
            <w:b/>
            <w:bCs/>
            <w:lang w:eastAsia="zh-CN"/>
          </w:rPr>
          <w:t>661</w:t>
        </w:r>
        <w:r w:rsidR="00DB2B3E" w:rsidRPr="00DB2B3E">
          <w:rPr>
            <w:rStyle w:val="Hyperlink"/>
            <w:rFonts w:eastAsia="SimSun"/>
            <w:lang w:eastAsia="zh-CN"/>
          </w:rPr>
          <w:t xml:space="preserve"> (WRC-19)</w:t>
        </w:r>
      </w:hyperlink>
      <w:r w:rsidR="00DB2B3E" w:rsidRPr="00DB2B3E">
        <w:rPr>
          <w:rFonts w:eastAsia="SimSun"/>
          <w:lang w:eastAsia="zh-CN"/>
        </w:rPr>
        <w:t xml:space="preserve"> “Examination of a possible upgrade to primary status of the secondary allocation to the space research service in the frequency band 14.8-15.35 GHz”</w:t>
      </w:r>
    </w:p>
    <w:p w14:paraId="1DC5A154" w14:textId="14EAAE92" w:rsidR="00DB2B3E" w:rsidRDefault="00A64F88" w:rsidP="00DB2B3E">
      <w:pPr>
        <w:pStyle w:val="ListParagraph"/>
        <w:widowControl w:val="0"/>
        <w:numPr>
          <w:ilvl w:val="0"/>
          <w:numId w:val="24"/>
        </w:numPr>
        <w:autoSpaceDE w:val="0"/>
        <w:autoSpaceDN w:val="0"/>
        <w:spacing w:after="120"/>
        <w:rPr>
          <w:rFonts w:eastAsia="SimSun"/>
          <w:lang w:eastAsia="zh-CN"/>
        </w:rPr>
      </w:pPr>
      <w:hyperlink r:id="rId10" w:history="1">
        <w:r w:rsidR="00DB2B3E" w:rsidRPr="00DB2B3E">
          <w:rPr>
            <w:rStyle w:val="Hyperlink"/>
            <w:rFonts w:eastAsia="SimSun"/>
            <w:lang w:eastAsia="zh-CN"/>
          </w:rPr>
          <w:t>ITU-R Rec. SA.510-3</w:t>
        </w:r>
      </w:hyperlink>
      <w:r w:rsidR="00DB2B3E" w:rsidRPr="00DB2B3E">
        <w:rPr>
          <w:rFonts w:eastAsia="SimSun"/>
          <w:lang w:eastAsia="zh-CN"/>
        </w:rPr>
        <w:t xml:space="preserve"> “Feasibility of frequency sharing between the space research service and other services in bands near 14 and 15 GHz - Potential interference from data relay satellite systems”</w:t>
      </w:r>
    </w:p>
    <w:p w14:paraId="0A37D96E" w14:textId="3541E645" w:rsidR="00DB2B3E" w:rsidRDefault="00A64F88" w:rsidP="00DB2B3E">
      <w:pPr>
        <w:pStyle w:val="ListParagraph"/>
        <w:widowControl w:val="0"/>
        <w:numPr>
          <w:ilvl w:val="0"/>
          <w:numId w:val="24"/>
        </w:numPr>
        <w:autoSpaceDE w:val="0"/>
        <w:autoSpaceDN w:val="0"/>
        <w:spacing w:after="120"/>
        <w:rPr>
          <w:rFonts w:eastAsia="SimSun"/>
          <w:lang w:eastAsia="zh-CN"/>
        </w:rPr>
      </w:pPr>
      <w:hyperlink r:id="rId11" w:history="1">
        <w:r w:rsidR="003D68FC" w:rsidRPr="003D68FC">
          <w:rPr>
            <w:rStyle w:val="Hyperlink"/>
            <w:rFonts w:eastAsia="SimSun"/>
            <w:lang w:eastAsia="zh-CN"/>
          </w:rPr>
          <w:t>ITU-R Rec. SA.1414-2</w:t>
        </w:r>
      </w:hyperlink>
      <w:r w:rsidR="003D68FC">
        <w:rPr>
          <w:rFonts w:eastAsia="SimSun"/>
          <w:lang w:eastAsia="zh-CN"/>
        </w:rPr>
        <w:t xml:space="preserve"> “</w:t>
      </w:r>
      <w:r w:rsidR="003D68FC" w:rsidRPr="003D68FC">
        <w:rPr>
          <w:rFonts w:eastAsia="SimSun"/>
          <w:lang w:eastAsia="zh-CN"/>
        </w:rPr>
        <w:t>Characteristics of data relay satellite systems</w:t>
      </w:r>
      <w:r w:rsidR="003D68FC">
        <w:rPr>
          <w:rFonts w:eastAsia="SimSun"/>
          <w:lang w:eastAsia="zh-CN"/>
        </w:rPr>
        <w:t>”</w:t>
      </w:r>
    </w:p>
    <w:p w14:paraId="3C2BC516" w14:textId="6899427A" w:rsidR="003D68FC" w:rsidRPr="00DB2B3E" w:rsidRDefault="00A64F88" w:rsidP="00DB2B3E">
      <w:pPr>
        <w:pStyle w:val="ListParagraph"/>
        <w:widowControl w:val="0"/>
        <w:numPr>
          <w:ilvl w:val="0"/>
          <w:numId w:val="24"/>
        </w:numPr>
        <w:autoSpaceDE w:val="0"/>
        <w:autoSpaceDN w:val="0"/>
        <w:spacing w:after="120"/>
        <w:rPr>
          <w:rFonts w:eastAsia="SimSun"/>
          <w:lang w:eastAsia="zh-CN"/>
        </w:rPr>
      </w:pPr>
      <w:hyperlink r:id="rId12" w:history="1">
        <w:r w:rsidR="00093D3C" w:rsidRPr="00093D3C">
          <w:rPr>
            <w:rStyle w:val="Hyperlink"/>
            <w:rFonts w:eastAsia="SimSun"/>
            <w:lang w:eastAsia="zh-CN"/>
          </w:rPr>
          <w:t>ITU-R Rec. SA.1626-1</w:t>
        </w:r>
      </w:hyperlink>
      <w:r w:rsidR="00093D3C" w:rsidRPr="00093D3C">
        <w:rPr>
          <w:rFonts w:eastAsia="SimSun"/>
          <w:lang w:eastAsia="zh-CN"/>
        </w:rPr>
        <w:t xml:space="preserve"> “Feasibility of sharing between the space research service (space-to-Earth) and the fixed and mobile services in the band 14.8-15.35 GHz”</w:t>
      </w:r>
    </w:p>
    <w:p w14:paraId="38194476" w14:textId="6B09EB44" w:rsidR="00E41BE2" w:rsidRPr="00441526" w:rsidRDefault="00E41BE2" w:rsidP="00E41BE2">
      <w:pPr>
        <w:spacing w:after="120"/>
        <w:jc w:val="both"/>
        <w:rPr>
          <w:b/>
          <w:lang w:val="en-NZ" w:eastAsia="ko-KR"/>
        </w:rPr>
      </w:pPr>
      <w:r>
        <w:rPr>
          <w:b/>
          <w:lang w:val="en-NZ" w:eastAsia="ko-KR"/>
        </w:rPr>
        <w:t>2</w:t>
      </w:r>
      <w:r w:rsidRPr="00441526">
        <w:rPr>
          <w:b/>
          <w:lang w:val="en-NZ" w:eastAsia="ko-KR"/>
        </w:rPr>
        <w:t xml:space="preserve">. </w:t>
      </w:r>
      <w:r w:rsidRPr="00441526">
        <w:rPr>
          <w:b/>
          <w:lang w:val="en-NZ" w:eastAsia="ko-KR"/>
        </w:rPr>
        <w:tab/>
      </w:r>
      <w:r>
        <w:rPr>
          <w:b/>
          <w:lang w:val="en-NZ" w:eastAsia="ko-KR"/>
        </w:rPr>
        <w:t>Information on on-going ITU-R Study</w:t>
      </w:r>
    </w:p>
    <w:p w14:paraId="0056ED36" w14:textId="3F3E425A" w:rsidR="00596270" w:rsidRDefault="001F2A13" w:rsidP="00093D3C">
      <w:pPr>
        <w:widowControl w:val="0"/>
        <w:autoSpaceDE w:val="0"/>
        <w:autoSpaceDN w:val="0"/>
        <w:spacing w:after="120"/>
        <w:rPr>
          <w:rFonts w:eastAsia="SimSun"/>
          <w:lang w:eastAsia="zh-CN"/>
        </w:rPr>
      </w:pPr>
      <w:r>
        <w:rPr>
          <w:rFonts w:eastAsia="SimSun"/>
          <w:lang w:eastAsia="zh-CN"/>
        </w:rPr>
        <w:t xml:space="preserve">On 21-24 April 2020, an E-Meeting was held for WP 7B. At this meeting, </w:t>
      </w:r>
      <w:r w:rsidR="004D436F">
        <w:rPr>
          <w:rFonts w:eastAsia="SimSun"/>
          <w:lang w:eastAsia="zh-CN"/>
        </w:rPr>
        <w:t xml:space="preserve">liaison statements were agreed to send to WP 5A, 5B, 5C, 7C and 7D for information and characteristics requiring in the </w:t>
      </w:r>
      <w:r w:rsidR="004D436F" w:rsidRPr="00093D3C">
        <w:rPr>
          <w:rFonts w:eastAsia="SimSun"/>
          <w:lang w:eastAsia="zh-CN"/>
        </w:rPr>
        <w:t xml:space="preserve">frequency </w:t>
      </w:r>
      <w:r w:rsidR="004D436F">
        <w:rPr>
          <w:rFonts w:eastAsia="SimSun"/>
          <w:lang w:eastAsia="zh-CN"/>
        </w:rPr>
        <w:t>band</w:t>
      </w:r>
      <w:r w:rsidR="004D436F" w:rsidRPr="00093D3C">
        <w:rPr>
          <w:rFonts w:eastAsia="SimSun"/>
          <w:lang w:eastAsia="zh-CN"/>
        </w:rPr>
        <w:t xml:space="preserve"> 14.8-15.35 GHz</w:t>
      </w:r>
      <w:r w:rsidR="004D436F">
        <w:rPr>
          <w:rFonts w:eastAsia="SimSun"/>
          <w:lang w:eastAsia="zh-CN"/>
        </w:rPr>
        <w:t xml:space="preserve"> and </w:t>
      </w:r>
      <w:r w:rsidR="004D436F" w:rsidRPr="00093D3C">
        <w:rPr>
          <w:rFonts w:eastAsia="SimSun"/>
          <w:lang w:eastAsia="zh-CN"/>
        </w:rPr>
        <w:t>the bands adjacent to this range.</w:t>
      </w:r>
      <w:r w:rsidR="00ED38C3">
        <w:rPr>
          <w:rFonts w:eastAsia="SimSun"/>
          <w:lang w:eastAsia="zh-CN"/>
        </w:rPr>
        <w:t xml:space="preserve"> The WP 7B also proposed </w:t>
      </w:r>
      <w:r w:rsidR="00ED38C3" w:rsidRPr="00093D3C">
        <w:rPr>
          <w:rFonts w:eastAsia="SimSun"/>
          <w:lang w:eastAsia="zh-CN"/>
        </w:rPr>
        <w:t>a draft work plan</w:t>
      </w:r>
      <w:r w:rsidR="00596270">
        <w:rPr>
          <w:rFonts w:eastAsia="SimSun"/>
          <w:lang w:eastAsia="zh-CN"/>
        </w:rPr>
        <w:t xml:space="preserve">, </w:t>
      </w:r>
      <w:r w:rsidR="00B72128">
        <w:rPr>
          <w:rFonts w:eastAsia="SimSun"/>
          <w:lang w:eastAsia="zh-CN"/>
        </w:rPr>
        <w:t>two working documents for</w:t>
      </w:r>
      <w:r w:rsidR="00596270">
        <w:rPr>
          <w:rFonts w:eastAsia="SimSun"/>
          <w:lang w:eastAsia="zh-CN"/>
        </w:rPr>
        <w:t xml:space="preserve"> </w:t>
      </w:r>
      <w:r w:rsidR="00596270" w:rsidRPr="00093D3C">
        <w:rPr>
          <w:rFonts w:eastAsia="SimSun"/>
          <w:lang w:eastAsia="zh-CN"/>
        </w:rPr>
        <w:t xml:space="preserve">new ITU-R </w:t>
      </w:r>
      <w:r w:rsidR="00B72128" w:rsidRPr="00093D3C">
        <w:rPr>
          <w:rFonts w:eastAsia="SimSun"/>
          <w:lang w:eastAsia="zh-CN"/>
        </w:rPr>
        <w:t>Recommendation</w:t>
      </w:r>
      <w:r w:rsidR="00B72128">
        <w:rPr>
          <w:rFonts w:eastAsia="SimSun"/>
          <w:lang w:eastAsia="zh-CN"/>
        </w:rPr>
        <w:t xml:space="preserve"> </w:t>
      </w:r>
      <w:r w:rsidR="00596270">
        <w:rPr>
          <w:rFonts w:eastAsia="SimSun"/>
          <w:lang w:eastAsia="zh-CN"/>
        </w:rPr>
        <w:t xml:space="preserve">and </w:t>
      </w:r>
      <w:r w:rsidR="00596270" w:rsidRPr="00093D3C">
        <w:rPr>
          <w:rFonts w:eastAsia="SimSun"/>
          <w:lang w:eastAsia="zh-CN"/>
        </w:rPr>
        <w:t xml:space="preserve">new ITU-R </w:t>
      </w:r>
      <w:r w:rsidR="00B72128" w:rsidRPr="00093D3C">
        <w:rPr>
          <w:rFonts w:eastAsia="SimSun"/>
          <w:lang w:eastAsia="zh-CN"/>
        </w:rPr>
        <w:t>Re</w:t>
      </w:r>
      <w:r w:rsidR="00B72128">
        <w:rPr>
          <w:rFonts w:eastAsia="SimSun"/>
          <w:lang w:eastAsia="zh-CN"/>
        </w:rPr>
        <w:t xml:space="preserve">port for this agenda item, respectively. </w:t>
      </w:r>
    </w:p>
    <w:p w14:paraId="1860C909" w14:textId="5BE5B96E" w:rsidR="00A37B1C" w:rsidRDefault="00B72128" w:rsidP="00093D3C">
      <w:pPr>
        <w:widowControl w:val="0"/>
        <w:autoSpaceDE w:val="0"/>
        <w:autoSpaceDN w:val="0"/>
        <w:spacing w:after="120"/>
        <w:rPr>
          <w:rFonts w:eastAsia="SimSun"/>
          <w:lang w:eastAsia="zh-CN"/>
        </w:rPr>
      </w:pPr>
      <w:r>
        <w:rPr>
          <w:rFonts w:eastAsia="SimSun" w:hint="eastAsia"/>
          <w:lang w:eastAsia="zh-CN"/>
        </w:rPr>
        <w:t>D</w:t>
      </w:r>
      <w:r>
        <w:rPr>
          <w:rFonts w:eastAsia="SimSun"/>
          <w:lang w:eastAsia="zh-CN"/>
        </w:rPr>
        <w:t xml:space="preserve">uring the second E-meeting of the new study cycle in September 2020, </w:t>
      </w:r>
      <w:r w:rsidR="00FA316F">
        <w:rPr>
          <w:rFonts w:eastAsia="SimSun"/>
          <w:lang w:eastAsia="zh-CN"/>
        </w:rPr>
        <w:t>the reply liaison statements were received from the c</w:t>
      </w:r>
      <w:r w:rsidR="00FA316F" w:rsidRPr="00FA316F">
        <w:rPr>
          <w:rFonts w:eastAsia="SimSun"/>
          <w:lang w:eastAsia="zh-CN"/>
        </w:rPr>
        <w:t>ontributing group</w:t>
      </w:r>
      <w:r w:rsidR="00FA316F">
        <w:rPr>
          <w:rFonts w:eastAsia="SimSun"/>
          <w:lang w:eastAsia="zh-CN"/>
        </w:rPr>
        <w:t>s</w:t>
      </w:r>
      <w:r w:rsidR="00E15537">
        <w:rPr>
          <w:rFonts w:eastAsia="SimSun" w:hint="eastAsia"/>
          <w:lang w:eastAsia="zh-CN"/>
        </w:rPr>
        <w:t>,</w:t>
      </w:r>
      <w:r w:rsidR="00FA316F">
        <w:rPr>
          <w:rFonts w:eastAsia="SimSun"/>
          <w:lang w:eastAsia="zh-CN"/>
        </w:rPr>
        <w:t xml:space="preserve"> </w:t>
      </w:r>
      <w:r w:rsidR="00E15537">
        <w:rPr>
          <w:rFonts w:eastAsia="SimSun"/>
          <w:lang w:eastAsia="zh-CN"/>
        </w:rPr>
        <w:t>t</w:t>
      </w:r>
      <w:r w:rsidR="00FA316F">
        <w:rPr>
          <w:rFonts w:eastAsia="SimSun"/>
          <w:lang w:eastAsia="zh-CN"/>
        </w:rPr>
        <w:t xml:space="preserve">he relevant information from these groups will be used </w:t>
      </w:r>
      <w:r w:rsidR="00881B9F">
        <w:rPr>
          <w:rFonts w:eastAsia="SimSun"/>
          <w:lang w:eastAsia="zh-CN"/>
        </w:rPr>
        <w:t xml:space="preserve">for the </w:t>
      </w:r>
      <w:r w:rsidR="00881B9F" w:rsidRPr="00093D3C">
        <w:rPr>
          <w:rFonts w:eastAsia="SimSun"/>
          <w:lang w:eastAsia="zh-CN"/>
        </w:rPr>
        <w:t>compatibility studies between</w:t>
      </w:r>
      <w:r w:rsidR="00881B9F">
        <w:rPr>
          <w:rFonts w:eastAsia="SimSun"/>
          <w:lang w:eastAsia="zh-CN"/>
        </w:rPr>
        <w:t xml:space="preserve"> the incumbent services and the SRS in the frequency band</w:t>
      </w:r>
      <w:r w:rsidR="00881B9F" w:rsidRPr="00093D3C">
        <w:rPr>
          <w:rFonts w:eastAsia="SimSun"/>
          <w:lang w:eastAsia="zh-CN"/>
        </w:rPr>
        <w:t>14.8-15.35 GHz</w:t>
      </w:r>
      <w:r w:rsidR="00881B9F">
        <w:rPr>
          <w:rFonts w:eastAsia="SimSun"/>
          <w:lang w:eastAsia="zh-CN"/>
        </w:rPr>
        <w:t xml:space="preserve">. </w:t>
      </w:r>
      <w:r w:rsidR="00180A14">
        <w:rPr>
          <w:rFonts w:eastAsia="SimSun"/>
          <w:lang w:eastAsia="zh-CN"/>
        </w:rPr>
        <w:t xml:space="preserve">The above working documents </w:t>
      </w:r>
      <w:r w:rsidR="00180A14" w:rsidRPr="00093D3C">
        <w:rPr>
          <w:rFonts w:eastAsia="SimSun"/>
          <w:lang w:eastAsia="zh-CN"/>
        </w:rPr>
        <w:t>will be considered in more detail</w:t>
      </w:r>
      <w:r w:rsidR="00180A14">
        <w:rPr>
          <w:rFonts w:eastAsia="SimSun"/>
          <w:lang w:eastAsia="zh-CN"/>
        </w:rPr>
        <w:t xml:space="preserve"> </w:t>
      </w:r>
      <w:r w:rsidR="00C20C6A">
        <w:rPr>
          <w:rFonts w:eastAsia="SimSun"/>
          <w:lang w:eastAsia="zh-CN"/>
        </w:rPr>
        <w:t>at the meeting in April 2021.</w:t>
      </w:r>
    </w:p>
    <w:p w14:paraId="71B0B61E" w14:textId="234784FA" w:rsidR="00A37B1C" w:rsidRDefault="00A37B1C" w:rsidP="00093D3C">
      <w:pPr>
        <w:widowControl w:val="0"/>
        <w:autoSpaceDE w:val="0"/>
        <w:autoSpaceDN w:val="0"/>
        <w:spacing w:after="120"/>
        <w:rPr>
          <w:rFonts w:eastAsia="SimSun"/>
          <w:lang w:eastAsia="zh-CN"/>
        </w:rPr>
      </w:pPr>
    </w:p>
    <w:p w14:paraId="09C529D7" w14:textId="7C9F79C8" w:rsidR="00A37B1C" w:rsidRDefault="00A37B1C" w:rsidP="00093D3C">
      <w:pPr>
        <w:widowControl w:val="0"/>
        <w:autoSpaceDE w:val="0"/>
        <w:autoSpaceDN w:val="0"/>
        <w:spacing w:after="120"/>
        <w:rPr>
          <w:rFonts w:eastAsia="SimSun"/>
          <w:lang w:eastAsia="zh-CN"/>
        </w:rPr>
      </w:pPr>
      <w:r>
        <w:rPr>
          <w:rFonts w:eastAsia="SimSun"/>
          <w:lang w:eastAsia="zh-CN"/>
        </w:rPr>
        <w:t>Relevant ITU-R WP 7B documents</w:t>
      </w:r>
      <w:r w:rsidR="00CB3578">
        <w:rPr>
          <w:rFonts w:eastAsia="SimSun"/>
          <w:lang w:eastAsia="zh-CN"/>
        </w:rPr>
        <w:t xml:space="preserve"> (</w:t>
      </w:r>
      <w:r w:rsidR="00CB3578" w:rsidRPr="00DE7C9D">
        <w:rPr>
          <w:rFonts w:eastAsia="SimSun"/>
          <w:lang w:eastAsia="zh-CN"/>
        </w:rPr>
        <w:t>TIES required</w:t>
      </w:r>
      <w:r w:rsidR="00CB3578">
        <w:rPr>
          <w:rFonts w:eastAsia="SimSun"/>
          <w:lang w:eastAsia="zh-CN"/>
        </w:rPr>
        <w:t>)</w:t>
      </w:r>
      <w:r>
        <w:rPr>
          <w:rFonts w:eastAsia="SimSun"/>
          <w:lang w:eastAsia="zh-CN"/>
        </w:rPr>
        <w:t>:</w:t>
      </w:r>
    </w:p>
    <w:p w14:paraId="50F6E57D" w14:textId="216C0C2B" w:rsidR="00A37B1C" w:rsidRDefault="00A64F88" w:rsidP="00CB3578">
      <w:pPr>
        <w:pStyle w:val="ListParagraph"/>
        <w:widowControl w:val="0"/>
        <w:numPr>
          <w:ilvl w:val="0"/>
          <w:numId w:val="25"/>
        </w:numPr>
        <w:autoSpaceDE w:val="0"/>
        <w:autoSpaceDN w:val="0"/>
        <w:spacing w:after="120"/>
        <w:rPr>
          <w:rFonts w:eastAsia="SimSun"/>
          <w:lang w:eastAsia="zh-CN"/>
        </w:rPr>
      </w:pPr>
      <w:hyperlink r:id="rId13" w:history="1">
        <w:r w:rsidR="00CB3578" w:rsidRPr="00CB3578">
          <w:rPr>
            <w:rStyle w:val="Hyperlink"/>
            <w:rFonts w:eastAsia="SimSun"/>
            <w:lang w:eastAsia="zh-CN"/>
          </w:rPr>
          <w:t>Working document 7B/66</w:t>
        </w:r>
      </w:hyperlink>
      <w:r w:rsidR="00CB3578">
        <w:rPr>
          <w:rFonts w:eastAsia="SimSun"/>
          <w:lang w:eastAsia="zh-CN"/>
        </w:rPr>
        <w:t xml:space="preserve"> “</w:t>
      </w:r>
      <w:r w:rsidR="00CB3578" w:rsidRPr="00CB3578">
        <w:rPr>
          <w:rFonts w:eastAsia="SimSun"/>
          <w:lang w:eastAsia="zh-CN"/>
        </w:rPr>
        <w:t>R</w:t>
      </w:r>
      <w:r w:rsidR="00CB3578">
        <w:rPr>
          <w:rFonts w:eastAsia="SimSun"/>
          <w:lang w:eastAsia="zh-CN"/>
        </w:rPr>
        <w:t>eport</w:t>
      </w:r>
      <w:r w:rsidR="00CB3578" w:rsidRPr="00CB3578">
        <w:rPr>
          <w:rFonts w:eastAsia="SimSun"/>
          <w:lang w:eastAsia="zh-CN"/>
        </w:rPr>
        <w:t xml:space="preserve"> </w:t>
      </w:r>
      <w:r w:rsidR="00CB3578">
        <w:rPr>
          <w:rFonts w:eastAsia="SimSun"/>
          <w:lang w:eastAsia="zh-CN"/>
        </w:rPr>
        <w:t>on the September 2020 meeting of working party 7B with a view to its next meeting (April 2021)</w:t>
      </w:r>
      <w:r w:rsidR="00CB3578" w:rsidRPr="00CB3578">
        <w:rPr>
          <w:rFonts w:eastAsia="SimSun"/>
          <w:lang w:eastAsia="zh-CN"/>
        </w:rPr>
        <w:t>”</w:t>
      </w:r>
    </w:p>
    <w:p w14:paraId="491B8059" w14:textId="4D3238BC" w:rsidR="00CB3578" w:rsidRDefault="00A64F88" w:rsidP="00CB3578">
      <w:pPr>
        <w:pStyle w:val="ListParagraph"/>
        <w:widowControl w:val="0"/>
        <w:numPr>
          <w:ilvl w:val="0"/>
          <w:numId w:val="25"/>
        </w:numPr>
        <w:autoSpaceDE w:val="0"/>
        <w:autoSpaceDN w:val="0"/>
        <w:spacing w:after="120"/>
        <w:rPr>
          <w:rFonts w:eastAsia="SimSun"/>
          <w:lang w:eastAsia="zh-CN"/>
        </w:rPr>
      </w:pPr>
      <w:hyperlink r:id="rId14" w:history="1">
        <w:r w:rsidR="0055588F" w:rsidRPr="00D726A1">
          <w:rPr>
            <w:rStyle w:val="Hyperlink"/>
            <w:rFonts w:eastAsia="SimSun"/>
            <w:lang w:eastAsia="zh-CN"/>
          </w:rPr>
          <w:t>Working document 7B/66 Annex 1</w:t>
        </w:r>
      </w:hyperlink>
      <w:r w:rsidR="0055588F">
        <w:rPr>
          <w:rFonts w:eastAsia="SimSun"/>
          <w:lang w:eastAsia="zh-CN"/>
        </w:rPr>
        <w:t xml:space="preserve"> “</w:t>
      </w:r>
      <w:r w:rsidR="00706E3C" w:rsidRPr="00706E3C">
        <w:rPr>
          <w:rFonts w:eastAsia="SimSun"/>
          <w:lang w:eastAsia="zh-CN"/>
        </w:rPr>
        <w:t>W</w:t>
      </w:r>
      <w:r w:rsidR="00D726A1">
        <w:rPr>
          <w:rFonts w:eastAsia="SimSun"/>
          <w:lang w:eastAsia="zh-CN"/>
        </w:rPr>
        <w:t>orking document</w:t>
      </w:r>
      <w:r w:rsidR="00706E3C" w:rsidRPr="00706E3C">
        <w:rPr>
          <w:rFonts w:eastAsia="SimSun"/>
          <w:lang w:eastAsia="zh-CN"/>
        </w:rPr>
        <w:t xml:space="preserve"> to</w:t>
      </w:r>
      <w:r w:rsidR="00D726A1">
        <w:rPr>
          <w:rFonts w:eastAsia="SimSun"/>
          <w:lang w:eastAsia="zh-CN"/>
        </w:rPr>
        <w:t>ward</w:t>
      </w:r>
      <w:r w:rsidR="00706E3C" w:rsidRPr="00706E3C">
        <w:rPr>
          <w:rFonts w:eastAsia="SimSun"/>
          <w:lang w:eastAsia="zh-CN"/>
        </w:rPr>
        <w:t xml:space="preserve"> a </w:t>
      </w:r>
      <w:r w:rsidR="00D726A1">
        <w:rPr>
          <w:rFonts w:eastAsia="SimSun"/>
          <w:lang w:eastAsia="zh-CN"/>
        </w:rPr>
        <w:t>preliminary draft new</w:t>
      </w:r>
      <w:r w:rsidR="00706E3C" w:rsidRPr="00706E3C">
        <w:rPr>
          <w:rFonts w:eastAsia="SimSun"/>
          <w:lang w:eastAsia="zh-CN"/>
        </w:rPr>
        <w:t xml:space="preserve"> Report ITU-R SA.[15 GHZ SRS SHARING]</w:t>
      </w:r>
      <w:r w:rsidR="0055588F">
        <w:rPr>
          <w:rFonts w:eastAsia="SimSun"/>
          <w:lang w:eastAsia="zh-CN"/>
        </w:rPr>
        <w:t>”</w:t>
      </w:r>
    </w:p>
    <w:p w14:paraId="5021EEAB" w14:textId="6A3FAD87" w:rsidR="0055588F" w:rsidRDefault="00A64F88" w:rsidP="00CB3578">
      <w:pPr>
        <w:pStyle w:val="ListParagraph"/>
        <w:widowControl w:val="0"/>
        <w:numPr>
          <w:ilvl w:val="0"/>
          <w:numId w:val="25"/>
        </w:numPr>
        <w:autoSpaceDE w:val="0"/>
        <w:autoSpaceDN w:val="0"/>
        <w:spacing w:after="120"/>
        <w:rPr>
          <w:rFonts w:eastAsia="SimSun"/>
          <w:lang w:eastAsia="zh-CN"/>
        </w:rPr>
      </w:pPr>
      <w:hyperlink r:id="rId15" w:history="1">
        <w:r w:rsidR="0055588F" w:rsidRPr="00D726A1">
          <w:rPr>
            <w:rStyle w:val="Hyperlink"/>
            <w:rFonts w:eastAsia="SimSun"/>
            <w:lang w:eastAsia="zh-CN"/>
          </w:rPr>
          <w:t>Working document 7B/66 Annex 2</w:t>
        </w:r>
      </w:hyperlink>
      <w:r w:rsidR="0055588F">
        <w:rPr>
          <w:rFonts w:eastAsia="SimSun"/>
          <w:lang w:eastAsia="zh-CN"/>
        </w:rPr>
        <w:t xml:space="preserve"> “</w:t>
      </w:r>
      <w:r w:rsidR="00D726A1" w:rsidRPr="00706E3C">
        <w:rPr>
          <w:rFonts w:eastAsia="SimSun"/>
          <w:lang w:eastAsia="zh-CN"/>
        </w:rPr>
        <w:t>W</w:t>
      </w:r>
      <w:r w:rsidR="00D726A1">
        <w:rPr>
          <w:rFonts w:eastAsia="SimSun"/>
          <w:lang w:eastAsia="zh-CN"/>
        </w:rPr>
        <w:t>orking document</w:t>
      </w:r>
      <w:r w:rsidR="00D726A1" w:rsidRPr="00706E3C">
        <w:rPr>
          <w:rFonts w:eastAsia="SimSun"/>
          <w:lang w:eastAsia="zh-CN"/>
        </w:rPr>
        <w:t xml:space="preserve"> to</w:t>
      </w:r>
      <w:r w:rsidR="00D726A1">
        <w:rPr>
          <w:rFonts w:eastAsia="SimSun"/>
          <w:lang w:eastAsia="zh-CN"/>
        </w:rPr>
        <w:t>ward</w:t>
      </w:r>
      <w:r w:rsidR="00D726A1" w:rsidRPr="00706E3C">
        <w:rPr>
          <w:rFonts w:eastAsia="SimSun"/>
          <w:lang w:eastAsia="zh-CN"/>
        </w:rPr>
        <w:t xml:space="preserve"> a </w:t>
      </w:r>
      <w:r w:rsidR="00D726A1">
        <w:rPr>
          <w:rFonts w:eastAsia="SimSun"/>
          <w:lang w:eastAsia="zh-CN"/>
        </w:rPr>
        <w:t>preliminary draft new</w:t>
      </w:r>
      <w:r w:rsidR="00D726A1" w:rsidRPr="00706E3C">
        <w:rPr>
          <w:rFonts w:eastAsia="SimSun"/>
          <w:lang w:eastAsia="zh-CN"/>
        </w:rPr>
        <w:t xml:space="preserve"> R</w:t>
      </w:r>
      <w:r w:rsidR="00D726A1">
        <w:rPr>
          <w:rFonts w:eastAsia="SimSun"/>
          <w:lang w:eastAsia="zh-CN"/>
        </w:rPr>
        <w:t>ecommendation</w:t>
      </w:r>
      <w:r w:rsidR="00D726A1" w:rsidRPr="00706E3C">
        <w:rPr>
          <w:rFonts w:eastAsia="SimSun"/>
          <w:lang w:eastAsia="zh-CN"/>
        </w:rPr>
        <w:t xml:space="preserve"> ITU-R SA.[</w:t>
      </w:r>
      <w:r w:rsidR="00D726A1">
        <w:t>15 GHZ SRS CHARACTERISTICS</w:t>
      </w:r>
      <w:r w:rsidR="00D726A1" w:rsidRPr="00706E3C">
        <w:rPr>
          <w:rFonts w:eastAsia="SimSun"/>
          <w:lang w:eastAsia="zh-CN"/>
        </w:rPr>
        <w:t>]</w:t>
      </w:r>
      <w:r w:rsidR="0055588F">
        <w:rPr>
          <w:rFonts w:eastAsia="SimSun"/>
          <w:lang w:eastAsia="zh-CN"/>
        </w:rPr>
        <w:t>”</w:t>
      </w:r>
    </w:p>
    <w:p w14:paraId="26772810" w14:textId="2BD22347" w:rsidR="0055588F" w:rsidRPr="00CB3578" w:rsidRDefault="00A64F88" w:rsidP="00CB3578">
      <w:pPr>
        <w:pStyle w:val="ListParagraph"/>
        <w:widowControl w:val="0"/>
        <w:numPr>
          <w:ilvl w:val="0"/>
          <w:numId w:val="25"/>
        </w:numPr>
        <w:autoSpaceDE w:val="0"/>
        <w:autoSpaceDN w:val="0"/>
        <w:spacing w:after="120"/>
        <w:rPr>
          <w:rFonts w:eastAsia="SimSun"/>
          <w:lang w:eastAsia="zh-CN"/>
        </w:rPr>
      </w:pPr>
      <w:hyperlink r:id="rId16" w:history="1">
        <w:r w:rsidR="0055588F" w:rsidRPr="00970DC3">
          <w:rPr>
            <w:rStyle w:val="Hyperlink"/>
            <w:rFonts w:eastAsia="SimSun"/>
            <w:lang w:eastAsia="zh-CN"/>
          </w:rPr>
          <w:t>Working document 7B/66 Annex 3</w:t>
        </w:r>
      </w:hyperlink>
      <w:r w:rsidR="0055588F">
        <w:rPr>
          <w:rFonts w:eastAsia="SimSun"/>
          <w:lang w:eastAsia="zh-CN"/>
        </w:rPr>
        <w:t xml:space="preserve"> “</w:t>
      </w:r>
      <w:r w:rsidR="00D726A1">
        <w:rPr>
          <w:rFonts w:eastAsia="SimSun"/>
          <w:lang w:eastAsia="zh-CN"/>
        </w:rPr>
        <w:t>Proposed Working Party 7B w</w:t>
      </w:r>
      <w:r w:rsidR="00D726A1" w:rsidRPr="00D726A1">
        <w:rPr>
          <w:rFonts w:eastAsia="SimSun"/>
          <w:lang w:eastAsia="zh-CN"/>
        </w:rPr>
        <w:t xml:space="preserve">orkplan for </w:t>
      </w:r>
      <w:r w:rsidR="00D726A1">
        <w:rPr>
          <w:rFonts w:eastAsia="SimSun"/>
          <w:lang w:eastAsia="zh-CN"/>
        </w:rPr>
        <w:t xml:space="preserve">Agenda </w:t>
      </w:r>
      <w:r w:rsidR="00D726A1">
        <w:rPr>
          <w:rFonts w:eastAsia="SimSun"/>
          <w:lang w:eastAsia="zh-CN"/>
        </w:rPr>
        <w:lastRenderedPageBreak/>
        <w:t>Item</w:t>
      </w:r>
      <w:r w:rsidR="00D726A1" w:rsidRPr="00D726A1">
        <w:rPr>
          <w:rFonts w:eastAsia="SimSun"/>
          <w:lang w:eastAsia="zh-CN"/>
        </w:rPr>
        <w:t xml:space="preserve"> 1.13</w:t>
      </w:r>
      <w:r w:rsidR="0055588F">
        <w:rPr>
          <w:rFonts w:eastAsia="SimSun"/>
          <w:lang w:eastAsia="zh-CN"/>
        </w:rPr>
        <w:t>”</w:t>
      </w:r>
    </w:p>
    <w:p w14:paraId="1639AFD1" w14:textId="77777777" w:rsidR="00BB2661" w:rsidRDefault="00BB2661" w:rsidP="00E5341E">
      <w:pPr>
        <w:spacing w:after="120"/>
        <w:jc w:val="both"/>
        <w:rPr>
          <w:b/>
        </w:rPr>
      </w:pPr>
    </w:p>
    <w:p w14:paraId="1A59F811" w14:textId="58CF0EC5" w:rsidR="00957294" w:rsidRDefault="00957294" w:rsidP="00957294">
      <w:pPr>
        <w:spacing w:after="120"/>
        <w:jc w:val="both"/>
        <w:rPr>
          <w:b/>
          <w:lang w:val="en-NZ" w:eastAsia="ko-KR"/>
        </w:rPr>
      </w:pPr>
      <w:r>
        <w:rPr>
          <w:b/>
          <w:lang w:val="en-NZ" w:eastAsia="ko-KR"/>
        </w:rPr>
        <w:t>3</w:t>
      </w:r>
      <w:r w:rsidRPr="00441526">
        <w:rPr>
          <w:b/>
          <w:lang w:val="en-NZ" w:eastAsia="ko-KR"/>
        </w:rPr>
        <w:t xml:space="preserve">. </w:t>
      </w:r>
      <w:r w:rsidRPr="00441526">
        <w:rPr>
          <w:b/>
          <w:lang w:val="en-NZ" w:eastAsia="ko-KR"/>
        </w:rPr>
        <w:tab/>
      </w:r>
      <w:r>
        <w:rPr>
          <w:b/>
          <w:lang w:val="en-NZ" w:eastAsia="ko-KR"/>
        </w:rPr>
        <w:t>Position of the Regional Group</w:t>
      </w:r>
    </w:p>
    <w:p w14:paraId="73509121" w14:textId="4DAE97B1" w:rsidR="005263C8" w:rsidRDefault="005263C8" w:rsidP="005263C8">
      <w:pPr>
        <w:pStyle w:val="ListParagraph"/>
        <w:numPr>
          <w:ilvl w:val="0"/>
          <w:numId w:val="21"/>
        </w:numPr>
        <w:spacing w:after="120"/>
        <w:jc w:val="both"/>
        <w:rPr>
          <w:bCs/>
          <w:lang w:val="en-NZ" w:eastAsia="ko-KR"/>
        </w:rPr>
      </w:pPr>
      <w:r w:rsidRPr="005263C8">
        <w:rPr>
          <w:bCs/>
          <w:lang w:val="en-NZ" w:eastAsia="ko-KR"/>
        </w:rPr>
        <w:t>ASMG</w:t>
      </w:r>
      <w:r w:rsidR="00746AE0">
        <w:rPr>
          <w:bCs/>
          <w:lang w:val="en-NZ" w:eastAsia="ko-KR"/>
        </w:rPr>
        <w:t xml:space="preserve"> (July 2020)</w:t>
      </w:r>
    </w:p>
    <w:p w14:paraId="2F999586" w14:textId="6A6412C4" w:rsidR="005263C8" w:rsidRDefault="00B50D01" w:rsidP="00B50D01">
      <w:pPr>
        <w:spacing w:after="120"/>
        <w:ind w:left="1080"/>
        <w:jc w:val="both"/>
        <w:rPr>
          <w:rFonts w:eastAsia="SimSun"/>
          <w:bCs/>
          <w:lang w:val="en-NZ" w:eastAsia="zh-CN"/>
        </w:rPr>
      </w:pPr>
      <w:r>
        <w:rPr>
          <w:rFonts w:eastAsia="SimSun"/>
          <w:bCs/>
          <w:lang w:val="en-NZ" w:eastAsia="zh-CN"/>
        </w:rPr>
        <w:t>Inviting ASMG administrations to study their existing services in the band 15.35-15.8 GHz</w:t>
      </w:r>
      <w:r w:rsidR="001C0340">
        <w:rPr>
          <w:rFonts w:eastAsia="SimSun"/>
          <w:bCs/>
          <w:lang w:val="en-NZ" w:eastAsia="zh-CN"/>
        </w:rPr>
        <w:t>.</w:t>
      </w:r>
    </w:p>
    <w:p w14:paraId="1C30E3DD" w14:textId="6A76B19C" w:rsidR="001C0340" w:rsidRPr="00746AE0" w:rsidRDefault="001C0340" w:rsidP="00B50D01">
      <w:pPr>
        <w:spacing w:after="120"/>
        <w:ind w:left="1080"/>
        <w:jc w:val="both"/>
        <w:rPr>
          <w:rFonts w:eastAsia="SimSun"/>
          <w:bCs/>
          <w:lang w:val="en-NZ" w:eastAsia="zh-CN"/>
        </w:rPr>
      </w:pPr>
      <w:r>
        <w:rPr>
          <w:rFonts w:eastAsia="SimSun" w:hint="eastAsia"/>
          <w:bCs/>
          <w:lang w:val="en-NZ" w:eastAsia="zh-CN"/>
        </w:rPr>
        <w:t>C</w:t>
      </w:r>
      <w:r>
        <w:rPr>
          <w:rFonts w:eastAsia="SimSun"/>
          <w:bCs/>
          <w:lang w:val="en-NZ" w:eastAsia="zh-CN"/>
        </w:rPr>
        <w:t>onsider the possibility of upgrading the allocation of the frequency band 14.8-15.35 GHz to the Space Research Service without imposing unnecessary restrictions on the adjacent bands for the feeder links broadcasting-satellite service in Appendix 30A.</w:t>
      </w:r>
    </w:p>
    <w:p w14:paraId="6F14C81D" w14:textId="6B060160" w:rsidR="005263C8" w:rsidRDefault="005263C8" w:rsidP="005263C8">
      <w:pPr>
        <w:pStyle w:val="ListParagraph"/>
        <w:numPr>
          <w:ilvl w:val="0"/>
          <w:numId w:val="21"/>
        </w:numPr>
        <w:spacing w:after="120"/>
        <w:jc w:val="both"/>
        <w:rPr>
          <w:bCs/>
          <w:lang w:val="en-NZ" w:eastAsia="ko-KR"/>
        </w:rPr>
      </w:pPr>
      <w:r w:rsidRPr="005263C8">
        <w:rPr>
          <w:bCs/>
          <w:lang w:val="en-NZ" w:eastAsia="ko-KR"/>
        </w:rPr>
        <w:t>CEPT</w:t>
      </w:r>
      <w:r w:rsidR="001C0340">
        <w:rPr>
          <w:bCs/>
          <w:lang w:val="en-NZ" w:eastAsia="ko-KR"/>
        </w:rPr>
        <w:t xml:space="preserve"> (December 2020)</w:t>
      </w:r>
    </w:p>
    <w:p w14:paraId="48D22D55" w14:textId="17E290E3" w:rsidR="001C0340" w:rsidRPr="005263C8" w:rsidRDefault="00756AF2" w:rsidP="001C0340">
      <w:pPr>
        <w:pStyle w:val="ListParagraph"/>
        <w:spacing w:after="120"/>
        <w:ind w:left="1080"/>
        <w:jc w:val="both"/>
        <w:rPr>
          <w:bCs/>
          <w:lang w:val="en-NZ" w:eastAsia="ko-KR"/>
        </w:rPr>
      </w:pPr>
      <w:r w:rsidRPr="00756AF2">
        <w:rPr>
          <w:bCs/>
          <w:lang w:val="en-NZ" w:eastAsia="ko-KR"/>
        </w:rPr>
        <w:t>CEPT is supporting upgrade of SRS allocation from secondary to primary while ensuring protection for in-band FS/MS and passive services in adjacent bands.</w:t>
      </w:r>
    </w:p>
    <w:p w14:paraId="3E39A585" w14:textId="0267BDBC" w:rsidR="005263C8" w:rsidRDefault="005263C8" w:rsidP="005263C8">
      <w:pPr>
        <w:pStyle w:val="ListParagraph"/>
        <w:numPr>
          <w:ilvl w:val="0"/>
          <w:numId w:val="21"/>
        </w:numPr>
        <w:spacing w:after="120"/>
        <w:jc w:val="both"/>
        <w:rPr>
          <w:bCs/>
          <w:lang w:val="en-NZ" w:eastAsia="ko-KR"/>
        </w:rPr>
      </w:pPr>
      <w:r w:rsidRPr="005263C8">
        <w:rPr>
          <w:bCs/>
          <w:lang w:val="en-NZ" w:eastAsia="ko-KR"/>
        </w:rPr>
        <w:t>CITEL</w:t>
      </w:r>
      <w:r w:rsidR="005F78BC">
        <w:rPr>
          <w:bCs/>
          <w:lang w:val="en-NZ" w:eastAsia="ko-KR"/>
        </w:rPr>
        <w:t xml:space="preserve"> (December 2020)</w:t>
      </w:r>
    </w:p>
    <w:p w14:paraId="7DADBFF4" w14:textId="136C5632" w:rsidR="005263C8" w:rsidRPr="005263C8" w:rsidRDefault="005F78BC" w:rsidP="005263C8">
      <w:pPr>
        <w:pStyle w:val="ListParagraph"/>
        <w:spacing w:after="120"/>
        <w:ind w:left="1080"/>
        <w:jc w:val="both"/>
        <w:rPr>
          <w:bCs/>
          <w:lang w:val="en-NZ" w:eastAsia="ko-KR"/>
        </w:rPr>
      </w:pPr>
      <w:r w:rsidRPr="005F78BC">
        <w:rPr>
          <w:bCs/>
          <w:lang w:val="en-NZ" w:eastAsia="ko-KR"/>
        </w:rPr>
        <w:t xml:space="preserve">An Administration supports studies in accordance with Resolution 661 (Rev. WRC-19) to consider a possible upgrade to the existing global allocation to the SRS in the frequency range 14.8-15.35 GHz, </w:t>
      </w:r>
      <w:proofErr w:type="gramStart"/>
      <w:r w:rsidRPr="005F78BC">
        <w:rPr>
          <w:bCs/>
          <w:lang w:val="en-NZ" w:eastAsia="ko-KR"/>
        </w:rPr>
        <w:t>taking into account</w:t>
      </w:r>
      <w:proofErr w:type="gramEnd"/>
      <w:r w:rsidRPr="005F78BC">
        <w:rPr>
          <w:bCs/>
          <w:lang w:val="en-NZ" w:eastAsia="ko-KR"/>
        </w:rPr>
        <w:t xml:space="preserve"> the need to provide protection to and to not impose constraints on incumbent services in this frequency band and adjacent frequency bands.</w:t>
      </w:r>
    </w:p>
    <w:p w14:paraId="4A980740" w14:textId="44CFD172" w:rsidR="005263C8" w:rsidRDefault="005263C8" w:rsidP="005F78BC">
      <w:pPr>
        <w:pStyle w:val="ListParagraph"/>
        <w:numPr>
          <w:ilvl w:val="0"/>
          <w:numId w:val="21"/>
        </w:numPr>
        <w:spacing w:after="120"/>
        <w:jc w:val="both"/>
        <w:rPr>
          <w:bCs/>
          <w:lang w:val="en-NZ" w:eastAsia="ko-KR"/>
        </w:rPr>
      </w:pPr>
      <w:r w:rsidRPr="005263C8">
        <w:rPr>
          <w:bCs/>
          <w:lang w:val="en-NZ" w:eastAsia="ko-KR"/>
        </w:rPr>
        <w:t>RCC</w:t>
      </w:r>
      <w:r w:rsidR="00F8401F">
        <w:rPr>
          <w:bCs/>
          <w:lang w:val="en-NZ" w:eastAsia="ko-KR"/>
        </w:rPr>
        <w:t xml:space="preserve"> (</w:t>
      </w:r>
      <w:r w:rsidR="00C041F5">
        <w:rPr>
          <w:bCs/>
          <w:lang w:val="en-NZ" w:eastAsia="ko-KR"/>
        </w:rPr>
        <w:t>September</w:t>
      </w:r>
      <w:r w:rsidR="00F8401F">
        <w:rPr>
          <w:bCs/>
          <w:lang w:val="en-NZ" w:eastAsia="ko-KR"/>
        </w:rPr>
        <w:t xml:space="preserve"> 2020)</w:t>
      </w:r>
    </w:p>
    <w:p w14:paraId="15CCB202" w14:textId="38195E53" w:rsidR="005F78BC" w:rsidRPr="005F78BC" w:rsidRDefault="00F8401F" w:rsidP="005F78BC">
      <w:pPr>
        <w:pStyle w:val="ListParagraph"/>
        <w:spacing w:after="120"/>
        <w:ind w:left="1080"/>
        <w:jc w:val="both"/>
        <w:rPr>
          <w:bCs/>
          <w:lang w:val="en-NZ" w:eastAsia="ko-KR"/>
        </w:rPr>
      </w:pPr>
      <w:r w:rsidRPr="00F8401F">
        <w:rPr>
          <w:bCs/>
          <w:lang w:val="en-NZ" w:eastAsia="ko-KR"/>
        </w:rPr>
        <w:t>The RCC Administrations are in favour of upgrading the allocation of the frequency band 14.8-15.35 GHz to the space research service while protecting FS and MS in this frequency band, as well as protecting of passive services in the adjacent frequency band 15</w:t>
      </w:r>
      <w:r w:rsidR="00C041F5">
        <w:rPr>
          <w:bCs/>
          <w:lang w:val="en-NZ" w:eastAsia="ko-KR"/>
        </w:rPr>
        <w:t>.</w:t>
      </w:r>
      <w:r w:rsidRPr="00F8401F">
        <w:rPr>
          <w:bCs/>
          <w:lang w:val="en-NZ" w:eastAsia="ko-KR"/>
        </w:rPr>
        <w:t>35-15</w:t>
      </w:r>
      <w:r w:rsidR="00C041F5">
        <w:rPr>
          <w:bCs/>
          <w:lang w:val="en-NZ" w:eastAsia="ko-KR"/>
        </w:rPr>
        <w:t>.</w:t>
      </w:r>
      <w:r w:rsidRPr="00F8401F">
        <w:rPr>
          <w:bCs/>
          <w:lang w:val="en-NZ" w:eastAsia="ko-KR"/>
        </w:rPr>
        <w:t xml:space="preserve">4 GHz, </w:t>
      </w:r>
      <w:proofErr w:type="gramStart"/>
      <w:r w:rsidRPr="00F8401F">
        <w:rPr>
          <w:bCs/>
          <w:lang w:val="en-NZ" w:eastAsia="ko-KR"/>
        </w:rPr>
        <w:t>taking into account</w:t>
      </w:r>
      <w:proofErr w:type="gramEnd"/>
      <w:r w:rsidRPr="00F8401F">
        <w:rPr>
          <w:bCs/>
          <w:lang w:val="en-NZ" w:eastAsia="ko-KR"/>
        </w:rPr>
        <w:t xml:space="preserve"> results of the compatibly and sharing studies. Upgrading of the allocation of the frequency band 14.8-15.35 GHz to the space research service should not impose constraints on the incumbent FS and MS systems in the frequency band 14.8-15.35 GHz.</w:t>
      </w:r>
    </w:p>
    <w:p w14:paraId="32715F49" w14:textId="48D47447" w:rsidR="00957294" w:rsidRPr="00441526" w:rsidRDefault="00957294" w:rsidP="00957294">
      <w:pPr>
        <w:spacing w:after="120"/>
        <w:jc w:val="both"/>
        <w:rPr>
          <w:b/>
          <w:lang w:val="en-NZ" w:eastAsia="ko-KR"/>
        </w:rPr>
      </w:pPr>
      <w:r>
        <w:rPr>
          <w:b/>
          <w:lang w:val="en-NZ" w:eastAsia="ko-KR"/>
        </w:rPr>
        <w:t>4</w:t>
      </w:r>
      <w:r w:rsidRPr="00441526">
        <w:rPr>
          <w:b/>
          <w:lang w:val="en-NZ" w:eastAsia="ko-KR"/>
        </w:rPr>
        <w:t xml:space="preserve">. </w:t>
      </w:r>
      <w:r w:rsidRPr="00441526">
        <w:rPr>
          <w:b/>
          <w:lang w:val="en-NZ" w:eastAsia="ko-KR"/>
        </w:rPr>
        <w:tab/>
      </w:r>
      <w:r w:rsidR="005263C8">
        <w:rPr>
          <w:b/>
          <w:lang w:val="en-NZ" w:eastAsia="ko-KR"/>
        </w:rPr>
        <w:t>Position of International Organizations</w:t>
      </w:r>
    </w:p>
    <w:p w14:paraId="18974646" w14:textId="43EF01AA" w:rsidR="005263C8" w:rsidRDefault="005263C8" w:rsidP="005263C8">
      <w:pPr>
        <w:pStyle w:val="ListParagraph"/>
        <w:numPr>
          <w:ilvl w:val="0"/>
          <w:numId w:val="21"/>
        </w:numPr>
        <w:spacing w:after="120"/>
        <w:jc w:val="both"/>
        <w:rPr>
          <w:bCs/>
          <w:lang w:val="en-NZ" w:eastAsia="ko-KR"/>
        </w:rPr>
      </w:pPr>
      <w:r>
        <w:rPr>
          <w:bCs/>
          <w:lang w:val="en-NZ" w:eastAsia="ko-KR"/>
        </w:rPr>
        <w:t>ICAO</w:t>
      </w:r>
      <w:r w:rsidR="004E0851">
        <w:rPr>
          <w:bCs/>
          <w:lang w:val="en-NZ" w:eastAsia="ko-KR"/>
        </w:rPr>
        <w:t xml:space="preserve"> (August 2020)</w:t>
      </w:r>
    </w:p>
    <w:p w14:paraId="1CBD27B8" w14:textId="0D9271FF" w:rsidR="00A2364F" w:rsidRPr="00A2364F" w:rsidRDefault="00A2364F" w:rsidP="00A2364F">
      <w:pPr>
        <w:pStyle w:val="ListParagraph"/>
        <w:spacing w:after="120"/>
        <w:ind w:left="1080"/>
        <w:jc w:val="both"/>
        <w:rPr>
          <w:bCs/>
          <w:lang w:eastAsia="ko-KR"/>
        </w:rPr>
      </w:pPr>
      <w:r>
        <w:rPr>
          <w:bCs/>
          <w:lang w:eastAsia="ko-KR"/>
        </w:rPr>
        <w:t>T</w:t>
      </w:r>
      <w:r w:rsidRPr="00A2364F">
        <w:rPr>
          <w:bCs/>
          <w:lang w:eastAsia="ko-KR"/>
        </w:rPr>
        <w:t>o support studies called for by Resolution 661 (WRC-19) ensuring that they take account of systems operating in the aeronautical mobile service.</w:t>
      </w:r>
    </w:p>
    <w:p w14:paraId="638325BC" w14:textId="1F52299B" w:rsidR="005263C8" w:rsidRPr="00A2364F" w:rsidRDefault="00A2364F" w:rsidP="00A2364F">
      <w:pPr>
        <w:pStyle w:val="ListParagraph"/>
        <w:spacing w:after="120"/>
        <w:ind w:left="1080"/>
        <w:jc w:val="both"/>
        <w:rPr>
          <w:bCs/>
          <w:lang w:eastAsia="ko-KR"/>
        </w:rPr>
      </w:pPr>
      <w:r w:rsidRPr="00A2364F">
        <w:rPr>
          <w:bCs/>
          <w:lang w:eastAsia="ko-KR"/>
        </w:rPr>
        <w:t xml:space="preserve">To ensure that any radio regulatory action taken </w:t>
      </w:r>
      <w:proofErr w:type="gramStart"/>
      <w:r w:rsidRPr="00A2364F">
        <w:rPr>
          <w:bCs/>
          <w:lang w:eastAsia="ko-KR"/>
        </w:rPr>
        <w:t>as a result of</w:t>
      </w:r>
      <w:proofErr w:type="gramEnd"/>
      <w:r w:rsidRPr="00A2364F">
        <w:rPr>
          <w:bCs/>
          <w:lang w:eastAsia="ko-KR"/>
        </w:rPr>
        <w:t xml:space="preserve"> agreed studies does not adversely affect the provision of aeronautical services</w:t>
      </w:r>
      <w:r>
        <w:rPr>
          <w:bCs/>
          <w:lang w:eastAsia="ko-KR"/>
        </w:rPr>
        <w:t>.</w:t>
      </w:r>
    </w:p>
    <w:p w14:paraId="140C012D" w14:textId="14281713" w:rsidR="005263C8" w:rsidRDefault="005263C8" w:rsidP="005263C8">
      <w:pPr>
        <w:pStyle w:val="ListParagraph"/>
        <w:numPr>
          <w:ilvl w:val="0"/>
          <w:numId w:val="21"/>
        </w:numPr>
        <w:spacing w:after="120"/>
        <w:jc w:val="both"/>
        <w:rPr>
          <w:bCs/>
          <w:lang w:val="en-NZ" w:eastAsia="ko-KR"/>
        </w:rPr>
      </w:pPr>
      <w:r>
        <w:rPr>
          <w:bCs/>
          <w:lang w:val="en-NZ" w:eastAsia="ko-KR"/>
        </w:rPr>
        <w:t>WMO</w:t>
      </w:r>
      <w:r w:rsidR="00106723">
        <w:rPr>
          <w:bCs/>
          <w:lang w:val="en-NZ" w:eastAsia="ko-KR"/>
        </w:rPr>
        <w:t xml:space="preserve"> and EUMENTNET (February 2020)</w:t>
      </w:r>
    </w:p>
    <w:p w14:paraId="6109F40A" w14:textId="01BF64F5" w:rsidR="00106723" w:rsidRPr="00106723" w:rsidRDefault="00106723" w:rsidP="00106723">
      <w:pPr>
        <w:pStyle w:val="ListParagraph"/>
        <w:spacing w:after="120"/>
        <w:ind w:left="1080"/>
        <w:jc w:val="both"/>
        <w:rPr>
          <w:bCs/>
          <w:lang w:val="en-NZ" w:eastAsia="ko-KR"/>
        </w:rPr>
      </w:pPr>
      <w:r w:rsidRPr="00106723">
        <w:rPr>
          <w:bCs/>
          <w:lang w:val="en-NZ" w:eastAsia="ko-KR"/>
        </w:rPr>
        <w:t>WMO is not opposed to the upgrading the existing space research service (SRS) secondary allocation in 14.8-15.35 GHz to primary status. Compatibility studies may be required with EESS (passive) when its usage will have been assessed in the 15.35-15.4 GHz frequency band.</w:t>
      </w:r>
    </w:p>
    <w:p w14:paraId="4E11B821" w14:textId="756DDA4A" w:rsidR="005263C8" w:rsidRDefault="001D6E18" w:rsidP="005263C8">
      <w:pPr>
        <w:pStyle w:val="ListParagraph"/>
        <w:numPr>
          <w:ilvl w:val="0"/>
          <w:numId w:val="21"/>
        </w:numPr>
        <w:spacing w:after="120"/>
        <w:jc w:val="both"/>
        <w:rPr>
          <w:bCs/>
          <w:lang w:val="en-NZ" w:eastAsia="ko-KR"/>
        </w:rPr>
      </w:pPr>
      <w:r>
        <w:rPr>
          <w:bCs/>
          <w:lang w:val="en-NZ" w:eastAsia="ko-KR"/>
        </w:rPr>
        <w:t>SFCG (August 2020)</w:t>
      </w:r>
    </w:p>
    <w:p w14:paraId="437EEA51" w14:textId="77777777" w:rsidR="001D6E18" w:rsidRPr="001D6E18" w:rsidRDefault="001D6E18" w:rsidP="001D6E18">
      <w:pPr>
        <w:pStyle w:val="ListParagraph"/>
        <w:spacing w:after="120"/>
        <w:ind w:left="1080"/>
        <w:jc w:val="both"/>
        <w:rPr>
          <w:bCs/>
          <w:lang w:val="en-NZ" w:eastAsia="ko-KR"/>
        </w:rPr>
      </w:pPr>
      <w:r w:rsidRPr="001D6E18">
        <w:rPr>
          <w:bCs/>
          <w:lang w:val="en-NZ" w:eastAsia="ko-KR"/>
        </w:rPr>
        <w:t xml:space="preserve">SFCG supports the development of studies in ITU-R </w:t>
      </w:r>
      <w:proofErr w:type="gramStart"/>
      <w:r w:rsidRPr="001D6E18">
        <w:rPr>
          <w:bCs/>
          <w:lang w:val="en-NZ" w:eastAsia="ko-KR"/>
        </w:rPr>
        <w:t>in order to</w:t>
      </w:r>
      <w:proofErr w:type="gramEnd"/>
      <w:r w:rsidRPr="001D6E18">
        <w:rPr>
          <w:bCs/>
          <w:lang w:val="en-NZ" w:eastAsia="ko-KR"/>
        </w:rPr>
        <w:t xml:space="preserve"> assess the compatibility between SRS and incumbent services in the band 14.8-15.35 GHz with a view of upgrading the allocation to SRS in the band to a primary allocation.</w:t>
      </w:r>
    </w:p>
    <w:p w14:paraId="76EFFE23" w14:textId="77777777" w:rsidR="001D6E18" w:rsidRPr="001D6E18" w:rsidRDefault="001D6E18" w:rsidP="001D6E18">
      <w:pPr>
        <w:pStyle w:val="ListParagraph"/>
        <w:spacing w:after="120"/>
        <w:ind w:left="1080"/>
        <w:jc w:val="both"/>
        <w:rPr>
          <w:bCs/>
          <w:lang w:val="en-NZ" w:eastAsia="ko-KR"/>
        </w:rPr>
      </w:pPr>
      <w:r w:rsidRPr="001D6E18">
        <w:rPr>
          <w:bCs/>
          <w:lang w:val="en-NZ" w:eastAsia="ko-KR"/>
        </w:rPr>
        <w:lastRenderedPageBreak/>
        <w:t>SFCG supports that those studies should address the protection of the EESS (passive) in the band 15.35-15.4 GHz.</w:t>
      </w:r>
    </w:p>
    <w:p w14:paraId="125C3C5A" w14:textId="6FF58750" w:rsidR="001D6E18" w:rsidRDefault="001D6E18" w:rsidP="001D6E18">
      <w:pPr>
        <w:pStyle w:val="ListParagraph"/>
        <w:spacing w:after="120"/>
        <w:ind w:left="1080"/>
        <w:jc w:val="both"/>
        <w:rPr>
          <w:bCs/>
          <w:lang w:val="en-NZ" w:eastAsia="ko-KR"/>
        </w:rPr>
      </w:pPr>
      <w:r w:rsidRPr="001D6E18">
        <w:rPr>
          <w:bCs/>
          <w:lang w:val="en-NZ" w:eastAsia="ko-KR"/>
        </w:rPr>
        <w:t>Consideration should also be given to the secondary allocation to the EESS (passive) and SRS (passive) in the band 15.2-15.35 GHz.</w:t>
      </w:r>
    </w:p>
    <w:sectPr w:rsidR="001D6E18" w:rsidSect="00FF72BB">
      <w:headerReference w:type="default" r:id="rId17"/>
      <w:footerReference w:type="even" r:id="rId18"/>
      <w:footerReference w:type="default" r:id="rId19"/>
      <w:footerReference w:type="first" r:id="rId2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2F5AD" w14:textId="77777777" w:rsidR="00A64F88" w:rsidRDefault="00A64F88">
      <w:r>
        <w:separator/>
      </w:r>
    </w:p>
  </w:endnote>
  <w:endnote w:type="continuationSeparator" w:id="0">
    <w:p w14:paraId="4F95755E" w14:textId="77777777" w:rsidR="00A64F88" w:rsidRDefault="00A6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2CB8"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2807" w14:textId="2743E03A" w:rsidR="00051E1E" w:rsidRDefault="00051E1E">
    <w:pPr>
      <w:pStyle w:val="Footer"/>
    </w:pPr>
    <w:r>
      <w:t>A</w:t>
    </w:r>
    <w:r w:rsidR="001E1432">
      <w:t>PG23-</w:t>
    </w:r>
    <w:r w:rsidR="008624ED">
      <w:t>2</w:t>
    </w:r>
    <w:r>
      <w:t>/I</w:t>
    </w:r>
    <w:r w:rsidR="006340AA">
      <w:t>NF</w:t>
    </w:r>
    <w:r>
      <w:t>-</w:t>
    </w:r>
    <w:r w:rsidR="006340AA">
      <w:t>02</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7EF20505" w14:textId="77777777" w:rsidTr="007E7497">
      <w:trPr>
        <w:cantSplit/>
        <w:trHeight w:val="204"/>
        <w:jc w:val="center"/>
      </w:trPr>
      <w:tc>
        <w:tcPr>
          <w:tcW w:w="1152" w:type="dxa"/>
        </w:tcPr>
        <w:p w14:paraId="7C14EC98" w14:textId="77777777" w:rsidR="00B54758" w:rsidRDefault="00B54758" w:rsidP="007E7497">
          <w:pPr>
            <w:rPr>
              <w:b/>
              <w:bCs/>
            </w:rPr>
          </w:pPr>
          <w:r>
            <w:rPr>
              <w:b/>
              <w:bCs/>
            </w:rPr>
            <w:t>Contact:</w:t>
          </w:r>
        </w:p>
      </w:tc>
      <w:tc>
        <w:tcPr>
          <w:tcW w:w="5040" w:type="dxa"/>
        </w:tcPr>
        <w:p w14:paraId="49C5867E" w14:textId="77777777" w:rsidR="00B54758" w:rsidRDefault="00EC249E" w:rsidP="007E7497">
          <w:pPr>
            <w:pStyle w:val="Equation"/>
            <w:tabs>
              <w:tab w:val="clear" w:pos="794"/>
              <w:tab w:val="clear" w:pos="4820"/>
              <w:tab w:val="clear" w:pos="9639"/>
            </w:tabs>
            <w:spacing w:beforeLines="0"/>
            <w:rPr>
              <w:rFonts w:eastAsia="Batang"/>
            </w:rPr>
          </w:pPr>
          <w:r>
            <w:rPr>
              <w:rFonts w:eastAsia="Batang"/>
            </w:rPr>
            <w:t>Name</w:t>
          </w:r>
        </w:p>
        <w:p w14:paraId="39C5729B" w14:textId="77777777" w:rsidR="00EC249E" w:rsidRDefault="00EC249E"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66CA6E30" w14:textId="77777777" w:rsidR="00B54758" w:rsidRDefault="00B54758" w:rsidP="00E23D98">
          <w:pPr>
            <w:rPr>
              <w:lang w:eastAsia="ja-JP"/>
            </w:rPr>
          </w:pPr>
          <w:r>
            <w:t>Email</w:t>
          </w:r>
          <w:r>
            <w:rPr>
              <w:rFonts w:hint="eastAsia"/>
            </w:rPr>
            <w:t>:</w:t>
          </w:r>
          <w:r>
            <w:t xml:space="preserve"> </w:t>
          </w:r>
        </w:p>
      </w:tc>
    </w:tr>
  </w:tbl>
  <w:p w14:paraId="25B78C00"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A1C40" w14:textId="77777777" w:rsidR="00A64F88" w:rsidRDefault="00A64F88">
      <w:r>
        <w:separator/>
      </w:r>
    </w:p>
  </w:footnote>
  <w:footnote w:type="continuationSeparator" w:id="0">
    <w:p w14:paraId="10C5026D" w14:textId="77777777" w:rsidR="00A64F88" w:rsidRDefault="00A64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D0735"/>
    <w:multiLevelType w:val="hybridMultilevel"/>
    <w:tmpl w:val="48429F9E"/>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F875355"/>
    <w:multiLevelType w:val="hybridMultilevel"/>
    <w:tmpl w:val="3D8C7E20"/>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9801948"/>
    <w:multiLevelType w:val="hybridMultilevel"/>
    <w:tmpl w:val="AB7681C2"/>
    <w:lvl w:ilvl="0" w:tplc="B0426F7E">
      <w:start w:val="1"/>
      <w:numFmt w:val="bullet"/>
      <w:lvlText w:val="-"/>
      <w:lvlJc w:val="left"/>
      <w:pPr>
        <w:ind w:left="1120" w:hanging="360"/>
      </w:pPr>
      <w:rPr>
        <w:rFonts w:ascii="Calibri" w:eastAsiaTheme="minorEastAsia" w:hAnsi="Calibri"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6"/>
  </w:num>
  <w:num w:numId="2">
    <w:abstractNumId w:val="10"/>
  </w:num>
  <w:num w:numId="3">
    <w:abstractNumId w:val="8"/>
  </w:num>
  <w:num w:numId="4">
    <w:abstractNumId w:val="22"/>
  </w:num>
  <w:num w:numId="5">
    <w:abstractNumId w:val="13"/>
  </w:num>
  <w:num w:numId="6">
    <w:abstractNumId w:val="17"/>
  </w:num>
  <w:num w:numId="7">
    <w:abstractNumId w:val="7"/>
  </w:num>
  <w:num w:numId="8">
    <w:abstractNumId w:val="2"/>
  </w:num>
  <w:num w:numId="9">
    <w:abstractNumId w:val="24"/>
  </w:num>
  <w:num w:numId="10">
    <w:abstractNumId w:val="0"/>
  </w:num>
  <w:num w:numId="11">
    <w:abstractNumId w:val="23"/>
  </w:num>
  <w:num w:numId="12">
    <w:abstractNumId w:val="14"/>
  </w:num>
  <w:num w:numId="13">
    <w:abstractNumId w:val="19"/>
  </w:num>
  <w:num w:numId="14">
    <w:abstractNumId w:val="11"/>
  </w:num>
  <w:num w:numId="15">
    <w:abstractNumId w:val="5"/>
  </w:num>
  <w:num w:numId="16">
    <w:abstractNumId w:val="4"/>
  </w:num>
  <w:num w:numId="17">
    <w:abstractNumId w:val="6"/>
  </w:num>
  <w:num w:numId="18">
    <w:abstractNumId w:val="15"/>
  </w:num>
  <w:num w:numId="19">
    <w:abstractNumId w:val="20"/>
  </w:num>
  <w:num w:numId="20">
    <w:abstractNumId w:val="18"/>
  </w:num>
  <w:num w:numId="21">
    <w:abstractNumId w:val="9"/>
  </w:num>
  <w:num w:numId="22">
    <w:abstractNumId w:val="12"/>
  </w:num>
  <w:num w:numId="23">
    <w:abstractNumId w:val="21"/>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3595B"/>
    <w:rsid w:val="00036385"/>
    <w:rsid w:val="00051E1E"/>
    <w:rsid w:val="00054C56"/>
    <w:rsid w:val="00063DF8"/>
    <w:rsid w:val="000713CF"/>
    <w:rsid w:val="00075C14"/>
    <w:rsid w:val="00093D3C"/>
    <w:rsid w:val="000944B0"/>
    <w:rsid w:val="00094B87"/>
    <w:rsid w:val="000964D0"/>
    <w:rsid w:val="000A1F8C"/>
    <w:rsid w:val="000A5418"/>
    <w:rsid w:val="000A754D"/>
    <w:rsid w:val="000B1E8C"/>
    <w:rsid w:val="000B595C"/>
    <w:rsid w:val="000D7C75"/>
    <w:rsid w:val="000F517C"/>
    <w:rsid w:val="000F5540"/>
    <w:rsid w:val="00106723"/>
    <w:rsid w:val="00106B56"/>
    <w:rsid w:val="00122653"/>
    <w:rsid w:val="00125217"/>
    <w:rsid w:val="00130A94"/>
    <w:rsid w:val="00131FCA"/>
    <w:rsid w:val="00133947"/>
    <w:rsid w:val="00134CC7"/>
    <w:rsid w:val="00135C32"/>
    <w:rsid w:val="001433F1"/>
    <w:rsid w:val="001539DD"/>
    <w:rsid w:val="00164353"/>
    <w:rsid w:val="00175BD2"/>
    <w:rsid w:val="00180A14"/>
    <w:rsid w:val="0018114D"/>
    <w:rsid w:val="001832C2"/>
    <w:rsid w:val="001923E8"/>
    <w:rsid w:val="00196568"/>
    <w:rsid w:val="00197B92"/>
    <w:rsid w:val="001A2F16"/>
    <w:rsid w:val="001A34FF"/>
    <w:rsid w:val="001B18C2"/>
    <w:rsid w:val="001C0340"/>
    <w:rsid w:val="001D5D7E"/>
    <w:rsid w:val="001D6E18"/>
    <w:rsid w:val="001E1432"/>
    <w:rsid w:val="001F2A13"/>
    <w:rsid w:val="001F5947"/>
    <w:rsid w:val="00212FC6"/>
    <w:rsid w:val="0021588B"/>
    <w:rsid w:val="002216AC"/>
    <w:rsid w:val="002219FD"/>
    <w:rsid w:val="0023010A"/>
    <w:rsid w:val="00230738"/>
    <w:rsid w:val="00234735"/>
    <w:rsid w:val="00241BCF"/>
    <w:rsid w:val="00254A1B"/>
    <w:rsid w:val="00265E72"/>
    <w:rsid w:val="0026736F"/>
    <w:rsid w:val="00275ED2"/>
    <w:rsid w:val="0028454D"/>
    <w:rsid w:val="00286912"/>
    <w:rsid w:val="00287A2A"/>
    <w:rsid w:val="00291C9E"/>
    <w:rsid w:val="002926D4"/>
    <w:rsid w:val="002A6FE0"/>
    <w:rsid w:val="002C07DA"/>
    <w:rsid w:val="002C7EA9"/>
    <w:rsid w:val="002F2F9A"/>
    <w:rsid w:val="003131A3"/>
    <w:rsid w:val="00336A0D"/>
    <w:rsid w:val="00342F20"/>
    <w:rsid w:val="00343067"/>
    <w:rsid w:val="00350EC2"/>
    <w:rsid w:val="003540E0"/>
    <w:rsid w:val="003548C2"/>
    <w:rsid w:val="0037421D"/>
    <w:rsid w:val="003809C7"/>
    <w:rsid w:val="003829E0"/>
    <w:rsid w:val="003A3AE3"/>
    <w:rsid w:val="003B03B2"/>
    <w:rsid w:val="003B6263"/>
    <w:rsid w:val="003B6428"/>
    <w:rsid w:val="003C64A7"/>
    <w:rsid w:val="003D25E1"/>
    <w:rsid w:val="003D3FDA"/>
    <w:rsid w:val="003D68FC"/>
    <w:rsid w:val="003F6D48"/>
    <w:rsid w:val="00403CE4"/>
    <w:rsid w:val="00420822"/>
    <w:rsid w:val="0042126E"/>
    <w:rsid w:val="0042583E"/>
    <w:rsid w:val="004323BB"/>
    <w:rsid w:val="00433925"/>
    <w:rsid w:val="004404C0"/>
    <w:rsid w:val="00440BEE"/>
    <w:rsid w:val="00444170"/>
    <w:rsid w:val="0045232C"/>
    <w:rsid w:val="0045458F"/>
    <w:rsid w:val="00455FD4"/>
    <w:rsid w:val="004633B4"/>
    <w:rsid w:val="004817E0"/>
    <w:rsid w:val="00483317"/>
    <w:rsid w:val="004854EE"/>
    <w:rsid w:val="00487F72"/>
    <w:rsid w:val="004A378A"/>
    <w:rsid w:val="004A4DE4"/>
    <w:rsid w:val="004B3553"/>
    <w:rsid w:val="004D436F"/>
    <w:rsid w:val="004E0851"/>
    <w:rsid w:val="004F733C"/>
    <w:rsid w:val="00515050"/>
    <w:rsid w:val="0051686D"/>
    <w:rsid w:val="005201CA"/>
    <w:rsid w:val="00521BF0"/>
    <w:rsid w:val="005263C8"/>
    <w:rsid w:val="00530E8C"/>
    <w:rsid w:val="005442A4"/>
    <w:rsid w:val="00545933"/>
    <w:rsid w:val="0054610B"/>
    <w:rsid w:val="00550E36"/>
    <w:rsid w:val="005549C9"/>
    <w:rsid w:val="0055588F"/>
    <w:rsid w:val="00557544"/>
    <w:rsid w:val="005606F6"/>
    <w:rsid w:val="005614DC"/>
    <w:rsid w:val="00575CDC"/>
    <w:rsid w:val="00577C0A"/>
    <w:rsid w:val="00587875"/>
    <w:rsid w:val="00596270"/>
    <w:rsid w:val="005B1E77"/>
    <w:rsid w:val="005B244E"/>
    <w:rsid w:val="005C5EB6"/>
    <w:rsid w:val="005D3914"/>
    <w:rsid w:val="005D6B2F"/>
    <w:rsid w:val="005E3896"/>
    <w:rsid w:val="005E6C90"/>
    <w:rsid w:val="005F78BC"/>
    <w:rsid w:val="00601987"/>
    <w:rsid w:val="00607E2B"/>
    <w:rsid w:val="006139D6"/>
    <w:rsid w:val="00615999"/>
    <w:rsid w:val="00623CE1"/>
    <w:rsid w:val="0063062B"/>
    <w:rsid w:val="006340AA"/>
    <w:rsid w:val="00636BAD"/>
    <w:rsid w:val="0066388B"/>
    <w:rsid w:val="0066424F"/>
    <w:rsid w:val="00667229"/>
    <w:rsid w:val="00675C31"/>
    <w:rsid w:val="006769C2"/>
    <w:rsid w:val="00681869"/>
    <w:rsid w:val="00682BE5"/>
    <w:rsid w:val="006843DA"/>
    <w:rsid w:val="00690FED"/>
    <w:rsid w:val="006939A5"/>
    <w:rsid w:val="006A15A4"/>
    <w:rsid w:val="006A346E"/>
    <w:rsid w:val="006A6245"/>
    <w:rsid w:val="006B6778"/>
    <w:rsid w:val="006C2D39"/>
    <w:rsid w:val="006D54A5"/>
    <w:rsid w:val="006E12FC"/>
    <w:rsid w:val="006F375E"/>
    <w:rsid w:val="006F6206"/>
    <w:rsid w:val="00705C2D"/>
    <w:rsid w:val="00705E61"/>
    <w:rsid w:val="00706E3C"/>
    <w:rsid w:val="00712451"/>
    <w:rsid w:val="00731041"/>
    <w:rsid w:val="00732F08"/>
    <w:rsid w:val="007350E2"/>
    <w:rsid w:val="0074190C"/>
    <w:rsid w:val="00746AE0"/>
    <w:rsid w:val="00756AF2"/>
    <w:rsid w:val="00762576"/>
    <w:rsid w:val="00791060"/>
    <w:rsid w:val="00797C0D"/>
    <w:rsid w:val="007A1BDE"/>
    <w:rsid w:val="007A3E29"/>
    <w:rsid w:val="007B3299"/>
    <w:rsid w:val="007B3D18"/>
    <w:rsid w:val="007B5626"/>
    <w:rsid w:val="007B5E37"/>
    <w:rsid w:val="007C7F37"/>
    <w:rsid w:val="007D29E5"/>
    <w:rsid w:val="007E1FDD"/>
    <w:rsid w:val="007E7497"/>
    <w:rsid w:val="007F08FF"/>
    <w:rsid w:val="007F1651"/>
    <w:rsid w:val="00803C99"/>
    <w:rsid w:val="0080570B"/>
    <w:rsid w:val="008148E1"/>
    <w:rsid w:val="00816F4E"/>
    <w:rsid w:val="00831716"/>
    <w:rsid w:val="008319BF"/>
    <w:rsid w:val="008337EA"/>
    <w:rsid w:val="00850E1C"/>
    <w:rsid w:val="00854456"/>
    <w:rsid w:val="00855359"/>
    <w:rsid w:val="008624ED"/>
    <w:rsid w:val="00870944"/>
    <w:rsid w:val="00881049"/>
    <w:rsid w:val="00881B9F"/>
    <w:rsid w:val="008950FB"/>
    <w:rsid w:val="00897849"/>
    <w:rsid w:val="008A423E"/>
    <w:rsid w:val="008A73CD"/>
    <w:rsid w:val="008D084B"/>
    <w:rsid w:val="008D0E09"/>
    <w:rsid w:val="008E3821"/>
    <w:rsid w:val="008F2153"/>
    <w:rsid w:val="008F301D"/>
    <w:rsid w:val="009306C7"/>
    <w:rsid w:val="00953737"/>
    <w:rsid w:val="00957294"/>
    <w:rsid w:val="00970DC3"/>
    <w:rsid w:val="00972289"/>
    <w:rsid w:val="0097693B"/>
    <w:rsid w:val="00981555"/>
    <w:rsid w:val="00983042"/>
    <w:rsid w:val="00993355"/>
    <w:rsid w:val="009A46BF"/>
    <w:rsid w:val="009A4A6D"/>
    <w:rsid w:val="009B74AC"/>
    <w:rsid w:val="009C0B35"/>
    <w:rsid w:val="009C361C"/>
    <w:rsid w:val="00A0503B"/>
    <w:rsid w:val="00A13265"/>
    <w:rsid w:val="00A20980"/>
    <w:rsid w:val="00A2364F"/>
    <w:rsid w:val="00A24FA1"/>
    <w:rsid w:val="00A31185"/>
    <w:rsid w:val="00A37B1C"/>
    <w:rsid w:val="00A61885"/>
    <w:rsid w:val="00A64F88"/>
    <w:rsid w:val="00A71136"/>
    <w:rsid w:val="00AA2D8E"/>
    <w:rsid w:val="00AA474C"/>
    <w:rsid w:val="00AB0EAD"/>
    <w:rsid w:val="00AB2572"/>
    <w:rsid w:val="00AB34BE"/>
    <w:rsid w:val="00AC19BB"/>
    <w:rsid w:val="00AD7E5F"/>
    <w:rsid w:val="00AF6E67"/>
    <w:rsid w:val="00B01AA1"/>
    <w:rsid w:val="00B24089"/>
    <w:rsid w:val="00B30C81"/>
    <w:rsid w:val="00B34275"/>
    <w:rsid w:val="00B3474C"/>
    <w:rsid w:val="00B42D91"/>
    <w:rsid w:val="00B4793B"/>
    <w:rsid w:val="00B50D01"/>
    <w:rsid w:val="00B54758"/>
    <w:rsid w:val="00B66740"/>
    <w:rsid w:val="00B676EF"/>
    <w:rsid w:val="00B72128"/>
    <w:rsid w:val="00B97AC9"/>
    <w:rsid w:val="00BB2661"/>
    <w:rsid w:val="00BB7E96"/>
    <w:rsid w:val="00BC7506"/>
    <w:rsid w:val="00BD2991"/>
    <w:rsid w:val="00C041F5"/>
    <w:rsid w:val="00C06192"/>
    <w:rsid w:val="00C15633"/>
    <w:rsid w:val="00C15799"/>
    <w:rsid w:val="00C20C6A"/>
    <w:rsid w:val="00C20F4D"/>
    <w:rsid w:val="00C256E8"/>
    <w:rsid w:val="00C26745"/>
    <w:rsid w:val="00C357AD"/>
    <w:rsid w:val="00C3644A"/>
    <w:rsid w:val="00C6069C"/>
    <w:rsid w:val="00C73F61"/>
    <w:rsid w:val="00C75805"/>
    <w:rsid w:val="00C830F5"/>
    <w:rsid w:val="00C85119"/>
    <w:rsid w:val="00CB3578"/>
    <w:rsid w:val="00CC56C6"/>
    <w:rsid w:val="00CD5431"/>
    <w:rsid w:val="00CE08EB"/>
    <w:rsid w:val="00CE6DD9"/>
    <w:rsid w:val="00CF11F4"/>
    <w:rsid w:val="00CF2491"/>
    <w:rsid w:val="00CF2CBA"/>
    <w:rsid w:val="00CF3030"/>
    <w:rsid w:val="00CF5DDC"/>
    <w:rsid w:val="00D06742"/>
    <w:rsid w:val="00D1252E"/>
    <w:rsid w:val="00D12CE1"/>
    <w:rsid w:val="00D2444D"/>
    <w:rsid w:val="00D31452"/>
    <w:rsid w:val="00D500B1"/>
    <w:rsid w:val="00D5307B"/>
    <w:rsid w:val="00D57772"/>
    <w:rsid w:val="00D651AB"/>
    <w:rsid w:val="00D726A1"/>
    <w:rsid w:val="00D72AE3"/>
    <w:rsid w:val="00D75A4D"/>
    <w:rsid w:val="00D8478B"/>
    <w:rsid w:val="00D84CEE"/>
    <w:rsid w:val="00D86151"/>
    <w:rsid w:val="00D91215"/>
    <w:rsid w:val="00DA3CC4"/>
    <w:rsid w:val="00DA7595"/>
    <w:rsid w:val="00DB0A68"/>
    <w:rsid w:val="00DB13B0"/>
    <w:rsid w:val="00DB28C8"/>
    <w:rsid w:val="00DB2B3E"/>
    <w:rsid w:val="00DB4A1C"/>
    <w:rsid w:val="00DC43A3"/>
    <w:rsid w:val="00DD7C09"/>
    <w:rsid w:val="00DE54CF"/>
    <w:rsid w:val="00DE7C9D"/>
    <w:rsid w:val="00DF791C"/>
    <w:rsid w:val="00E0124F"/>
    <w:rsid w:val="00E02E0D"/>
    <w:rsid w:val="00E06286"/>
    <w:rsid w:val="00E15537"/>
    <w:rsid w:val="00E17376"/>
    <w:rsid w:val="00E23D98"/>
    <w:rsid w:val="00E403B9"/>
    <w:rsid w:val="00E41BE2"/>
    <w:rsid w:val="00E5341E"/>
    <w:rsid w:val="00E545D9"/>
    <w:rsid w:val="00E65FC2"/>
    <w:rsid w:val="00E674D3"/>
    <w:rsid w:val="00E70FD0"/>
    <w:rsid w:val="00E80263"/>
    <w:rsid w:val="00EA0BBD"/>
    <w:rsid w:val="00EA7027"/>
    <w:rsid w:val="00EB2081"/>
    <w:rsid w:val="00EC249E"/>
    <w:rsid w:val="00ED38C3"/>
    <w:rsid w:val="00EE3496"/>
    <w:rsid w:val="00EF2406"/>
    <w:rsid w:val="00F00257"/>
    <w:rsid w:val="00F103E2"/>
    <w:rsid w:val="00F27A79"/>
    <w:rsid w:val="00F5332C"/>
    <w:rsid w:val="00F55E0A"/>
    <w:rsid w:val="00F626B7"/>
    <w:rsid w:val="00F650EB"/>
    <w:rsid w:val="00F8401F"/>
    <w:rsid w:val="00F84067"/>
    <w:rsid w:val="00F871F5"/>
    <w:rsid w:val="00F97FE5"/>
    <w:rsid w:val="00FA316F"/>
    <w:rsid w:val="00FC156A"/>
    <w:rsid w:val="00FC7A38"/>
    <w:rsid w:val="00FD7B1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styleId="UnresolvedMention">
    <w:name w:val="Unresolved Mention"/>
    <w:basedOn w:val="DefaultParagraphFont"/>
    <w:uiPriority w:val="99"/>
    <w:semiHidden/>
    <w:unhideWhenUsed/>
    <w:rsid w:val="009306C7"/>
    <w:rPr>
      <w:color w:val="605E5C"/>
      <w:shd w:val="clear" w:color="auto" w:fill="E1DFDD"/>
    </w:rPr>
  </w:style>
  <w:style w:type="paragraph" w:customStyle="1" w:styleId="Call">
    <w:name w:val="Call"/>
    <w:basedOn w:val="Normal"/>
    <w:next w:val="Normal"/>
    <w:link w:val="CallChar"/>
    <w:rsid w:val="00681869"/>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ascii="Calibri" w:eastAsiaTheme="minorEastAsia" w:hAnsi="Calibri" w:cs="Calibri"/>
      <w:i/>
      <w:szCs w:val="22"/>
    </w:rPr>
  </w:style>
  <w:style w:type="character" w:customStyle="1" w:styleId="CallChar">
    <w:name w:val="Call Char"/>
    <w:basedOn w:val="DefaultParagraphFont"/>
    <w:link w:val="Call"/>
    <w:locked/>
    <w:rsid w:val="00681869"/>
    <w:rPr>
      <w:rFonts w:ascii="Calibri" w:eastAsiaTheme="minorEastAsia" w:hAnsi="Calibri" w:cs="Calibri"/>
      <w:i/>
      <w:sz w:val="24"/>
      <w:szCs w:val="22"/>
    </w:rPr>
  </w:style>
  <w:style w:type="paragraph" w:customStyle="1" w:styleId="Tabletext">
    <w:name w:val="Table_text"/>
    <w:basedOn w:val="Normal"/>
    <w:link w:val="TabletextChar"/>
    <w:rsid w:val="006818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Calibri" w:eastAsiaTheme="minorEastAsia" w:hAnsi="Calibri" w:cs="Calibri"/>
      <w:sz w:val="20"/>
      <w:szCs w:val="22"/>
      <w:lang w:eastAsia="nl-NL"/>
    </w:rPr>
  </w:style>
  <w:style w:type="character" w:customStyle="1" w:styleId="TabletextChar">
    <w:name w:val="Table_text Char"/>
    <w:basedOn w:val="DefaultParagraphFont"/>
    <w:link w:val="Tabletext"/>
    <w:locked/>
    <w:rsid w:val="00681869"/>
    <w:rPr>
      <w:rFonts w:ascii="Calibri" w:eastAsiaTheme="minorEastAsia" w:hAnsi="Calibri" w:cs="Calibri"/>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dms_ties/itu-r/md/19/wp7b/c/R19-WP7B-C-0066!!MSW-E.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rec/R-REC-SA.1626-1-201312-I/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dms_ties/itu-r/md/19/wp7b/c/R19-WP7B-C-0066!N03!MSW-E.doc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rec/R-REC-SA.1414-2-201707-I/en" TargetMode="External"/><Relationship Id="rId5" Type="http://schemas.openxmlformats.org/officeDocument/2006/relationships/webSettings" Target="webSettings.xml"/><Relationship Id="rId15" Type="http://schemas.openxmlformats.org/officeDocument/2006/relationships/hyperlink" Target="https://www.itu.int/dms_ties/itu-r/md/19/wp7b/c/R19-WP7B-C-0066!N02!MSW-E.docx" TargetMode="External"/><Relationship Id="rId10" Type="http://schemas.openxmlformats.org/officeDocument/2006/relationships/hyperlink" Target="https://www.itu.int/rec/R-REC-SA.510-3-201707-I/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dms_pub/itu-r/oth/0c/0a/R0C0A00000D0013PDFE.pdf" TargetMode="External"/><Relationship Id="rId14" Type="http://schemas.openxmlformats.org/officeDocument/2006/relationships/hyperlink" Target="https://www.itu.int/dms_ties/itu-r/md/19/wp7b/c/R19-WP7B-C-0066!N01!MSW-E.doc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81F3E-E75B-4637-BCAD-08C75B29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208</TotalTime>
  <Pages>1</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64</cp:revision>
  <cp:lastPrinted>2004-07-28T02:14:00Z</cp:lastPrinted>
  <dcterms:created xsi:type="dcterms:W3CDTF">2021-02-25T12:32:00Z</dcterms:created>
  <dcterms:modified xsi:type="dcterms:W3CDTF">2021-03-14T05:43:00Z</dcterms:modified>
</cp:coreProperties>
</file>