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644C53FB" w:rsidR="007E1FDD" w:rsidRPr="00C72DA6"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C72DA6">
              <w:rPr>
                <w:rFonts w:cs="Angsana New"/>
                <w:b/>
                <w:bCs/>
                <w:szCs w:val="30"/>
                <w:lang w:bidi="th-TH"/>
              </w:rPr>
              <w:t>03</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5EF4389B" w:rsidR="007E1FDD" w:rsidRPr="007E1FDD" w:rsidRDefault="00C72DA6" w:rsidP="00C73F61">
            <w:pPr>
              <w:spacing w:before="40"/>
              <w:rPr>
                <w:bCs/>
              </w:rPr>
            </w:pPr>
            <w:r>
              <w:rPr>
                <w:bCs/>
              </w:rPr>
              <w:t>14</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416BBD44" w14:textId="77777777" w:rsidR="00FF72BB" w:rsidRPr="007B704B" w:rsidRDefault="00FF72BB" w:rsidP="006C0681">
      <w:pPr>
        <w:rPr>
          <w:sz w:val="2"/>
          <w:szCs w:val="2"/>
          <w:lang w:eastAsia="ko-KR"/>
        </w:rPr>
      </w:pPr>
    </w:p>
    <w:p w14:paraId="0422D2B9" w14:textId="77777777" w:rsidR="00074E3B" w:rsidRPr="00074E3B" w:rsidRDefault="00074E3B" w:rsidP="00DA7595">
      <w:pPr>
        <w:jc w:val="center"/>
        <w:rPr>
          <w:sz w:val="10"/>
          <w:szCs w:val="10"/>
          <w:lang w:eastAsia="ko-KR"/>
        </w:rPr>
      </w:pPr>
    </w:p>
    <w:p w14:paraId="5D48B783" w14:textId="606B016E" w:rsidR="00DA7595" w:rsidRPr="00051E1E" w:rsidRDefault="00EA0BBD" w:rsidP="00DA7595">
      <w:pPr>
        <w:jc w:val="center"/>
        <w:rPr>
          <w:lang w:eastAsia="ko-KR"/>
        </w:rPr>
      </w:pPr>
      <w:r>
        <w:rPr>
          <w:lang w:eastAsia="ko-KR"/>
        </w:rPr>
        <w:t>Chairman, DG on AI 1.</w:t>
      </w:r>
      <w:r w:rsidR="00A61724">
        <w:rPr>
          <w:lang w:eastAsia="ko-KR"/>
        </w:rPr>
        <w:t>14</w:t>
      </w:r>
    </w:p>
    <w:p w14:paraId="49B50650" w14:textId="77777777" w:rsidR="007E7497" w:rsidRPr="007B704B" w:rsidRDefault="007E7497" w:rsidP="007E7497">
      <w:pPr>
        <w:jc w:val="center"/>
        <w:rPr>
          <w:caps/>
          <w:sz w:val="8"/>
          <w:szCs w:val="8"/>
        </w:rPr>
      </w:pPr>
    </w:p>
    <w:p w14:paraId="6E2A1ABA" w14:textId="0F5C52E2" w:rsidR="00EC249E" w:rsidRDefault="00EA0BBD" w:rsidP="006C0681">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F8797D">
        <w:rPr>
          <w:b/>
          <w:bCs/>
          <w:caps/>
        </w:rPr>
        <w:t>14</w:t>
      </w:r>
    </w:p>
    <w:p w14:paraId="63E45402" w14:textId="77777777" w:rsidR="006C0681" w:rsidRPr="006C0681" w:rsidRDefault="006C0681" w:rsidP="006C0681">
      <w:pPr>
        <w:jc w:val="center"/>
        <w:rPr>
          <w:b/>
          <w:bCs/>
          <w:caps/>
          <w:sz w:val="10"/>
          <w:szCs w:val="10"/>
        </w:rPr>
      </w:pPr>
    </w:p>
    <w:p w14:paraId="1160F120" w14:textId="6ABEBD8B" w:rsidR="006C0681" w:rsidRDefault="00EC249E" w:rsidP="007B704B">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327A5B28" w14:textId="77777777" w:rsidR="00074E3B" w:rsidRPr="00074E3B" w:rsidRDefault="00074E3B" w:rsidP="007B704B">
      <w:pPr>
        <w:jc w:val="both"/>
        <w:rPr>
          <w:sz w:val="8"/>
          <w:szCs w:val="8"/>
        </w:rPr>
      </w:pPr>
    </w:p>
    <w:p w14:paraId="4E1693DC" w14:textId="4977BB80" w:rsidR="00615999" w:rsidRPr="00441526" w:rsidRDefault="00615999" w:rsidP="00615999">
      <w:pPr>
        <w:spacing w:after="120"/>
        <w:jc w:val="both"/>
        <w:rPr>
          <w:lang w:val="en-NZ"/>
        </w:rPr>
      </w:pPr>
      <w:r w:rsidRPr="00441526">
        <w:rPr>
          <w:b/>
          <w:lang w:val="en-NZ"/>
        </w:rPr>
        <w:t>Agenda Item 1.</w:t>
      </w:r>
      <w:r w:rsidR="00F8797D">
        <w:rPr>
          <w:b/>
          <w:lang w:val="en-NZ"/>
        </w:rPr>
        <w:t>14</w:t>
      </w:r>
      <w:r w:rsidRPr="00441526">
        <w:rPr>
          <w:b/>
          <w:lang w:val="en-NZ"/>
        </w:rPr>
        <w:t xml:space="preserve">: </w:t>
      </w:r>
    </w:p>
    <w:p w14:paraId="610E8381" w14:textId="6EA31E88" w:rsidR="00A901C2" w:rsidRPr="007B704B" w:rsidRDefault="006A6DB8" w:rsidP="00E5341E">
      <w:pPr>
        <w:spacing w:after="120"/>
        <w:jc w:val="both"/>
        <w:rPr>
          <w:i/>
          <w:iCs/>
          <w:sz w:val="22"/>
          <w:szCs w:val="22"/>
        </w:rPr>
      </w:pPr>
      <w:r w:rsidRPr="006A6DB8">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6A6DB8">
        <w:rPr>
          <w:b/>
          <w:bCs/>
          <w:i/>
          <w:iCs/>
          <w:sz w:val="22"/>
          <w:szCs w:val="22"/>
        </w:rPr>
        <w:t>662 (WRC-19)</w:t>
      </w:r>
      <w:r w:rsidRPr="006A6DB8">
        <w:rPr>
          <w:i/>
          <w:iCs/>
          <w:sz w:val="22"/>
          <w:szCs w:val="22"/>
        </w:rPr>
        <w:t xml:space="preserve">; </w:t>
      </w:r>
    </w:p>
    <w:p w14:paraId="3DA40495" w14:textId="7968504E" w:rsidR="0037421D"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87"/>
      </w:tblGrid>
      <w:tr w:rsidR="00D06742" w:rsidRPr="00D06742" w14:paraId="4A1CA755" w14:textId="77777777" w:rsidTr="00074E3B">
        <w:trPr>
          <w:jc w:val="center"/>
        </w:trPr>
        <w:tc>
          <w:tcPr>
            <w:tcW w:w="2122" w:type="dxa"/>
          </w:tcPr>
          <w:p w14:paraId="367407FF" w14:textId="77777777" w:rsidR="00FA146B" w:rsidRPr="00887007" w:rsidRDefault="00FA146B" w:rsidP="00FA146B">
            <w:pPr>
              <w:keepNext/>
              <w:keepLines/>
              <w:tabs>
                <w:tab w:val="left" w:pos="1134"/>
                <w:tab w:val="left" w:pos="1871"/>
                <w:tab w:val="left" w:pos="2268"/>
              </w:tabs>
              <w:overflowPunct w:val="0"/>
              <w:autoSpaceDE w:val="0"/>
              <w:autoSpaceDN w:val="0"/>
              <w:adjustRightInd w:val="0"/>
              <w:jc w:val="center"/>
              <w:textAlignment w:val="baseline"/>
              <w:outlineLvl w:val="0"/>
              <w:rPr>
                <w:rFonts w:eastAsia="Times New Roman"/>
                <w:caps/>
                <w:lang w:val="en-GB"/>
              </w:rPr>
            </w:pPr>
            <w:r w:rsidRPr="00887007">
              <w:rPr>
                <w:rFonts w:eastAsia="Times New Roman"/>
                <w:caps/>
                <w:lang w:val="en-GB"/>
              </w:rPr>
              <w:t>RESOLUTION 662 (WRC</w:t>
            </w:r>
            <w:r w:rsidRPr="00887007">
              <w:rPr>
                <w:rFonts w:eastAsia="Times New Roman"/>
                <w:caps/>
                <w:lang w:val="en-GB"/>
              </w:rPr>
              <w:noBreakHyphen/>
              <w:t>19)</w:t>
            </w:r>
          </w:p>
          <w:p w14:paraId="1C63853A" w14:textId="77777777" w:rsidR="00FA146B" w:rsidRPr="00887007" w:rsidRDefault="00FA146B" w:rsidP="00FA146B">
            <w:pPr>
              <w:keepNext/>
              <w:keepLines/>
              <w:tabs>
                <w:tab w:val="left" w:pos="1134"/>
                <w:tab w:val="left" w:pos="1871"/>
                <w:tab w:val="left" w:pos="2268"/>
              </w:tabs>
              <w:overflowPunct w:val="0"/>
              <w:autoSpaceDE w:val="0"/>
              <w:autoSpaceDN w:val="0"/>
              <w:adjustRightInd w:val="0"/>
              <w:spacing w:before="240"/>
              <w:jc w:val="center"/>
              <w:textAlignment w:val="baseline"/>
              <w:outlineLvl w:val="0"/>
              <w:rPr>
                <w:rFonts w:eastAsia="Times New Roman"/>
                <w:lang w:val="en-GB"/>
              </w:rPr>
            </w:pPr>
            <w:r w:rsidRPr="00887007">
              <w:rPr>
                <w:rFonts w:eastAsia="Times New Roman"/>
                <w:lang w:val="en-GB"/>
              </w:rPr>
              <w:t>Review of frequency allocations for the Earth exploration-satellite service (passive) in the frequency range 231.5-252 GHz and consideration of possible adjustment according to observation requirements of passive microwave sensors</w:t>
            </w:r>
          </w:p>
          <w:p w14:paraId="17BFA2B7" w14:textId="02F2C4C9" w:rsidR="00615999" w:rsidRPr="00D06742" w:rsidRDefault="00615999" w:rsidP="00510C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p>
        </w:tc>
        <w:tc>
          <w:tcPr>
            <w:tcW w:w="7087" w:type="dxa"/>
          </w:tcPr>
          <w:p w14:paraId="4409C766" w14:textId="0E0CA1D0" w:rsidR="00C66053" w:rsidRPr="00887007" w:rsidRDefault="00C66053" w:rsidP="006C0681">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Times New Roman"/>
                <w:i/>
                <w:szCs w:val="20"/>
                <w:lang w:val="en-GB"/>
              </w:rPr>
            </w:pPr>
            <w:r w:rsidRPr="00887007">
              <w:rPr>
                <w:rFonts w:eastAsia="Times New Roman"/>
                <w:i/>
                <w:szCs w:val="20"/>
                <w:lang w:val="en-GB"/>
              </w:rPr>
              <w:t>resolves to invite the ITU</w:t>
            </w:r>
            <w:r>
              <w:rPr>
                <w:rFonts w:eastAsia="Times New Roman"/>
                <w:i/>
                <w:szCs w:val="20"/>
                <w:lang w:val="en-GB"/>
              </w:rPr>
              <w:t>-</w:t>
            </w:r>
            <w:r w:rsidRPr="00887007">
              <w:rPr>
                <w:rFonts w:eastAsia="Times New Roman"/>
                <w:i/>
                <w:szCs w:val="20"/>
                <w:lang w:val="en-GB"/>
              </w:rPr>
              <w:t>R</w:t>
            </w:r>
          </w:p>
          <w:p w14:paraId="46337085" w14:textId="77777777" w:rsidR="00C66053" w:rsidRPr="00887007" w:rsidRDefault="00C66053" w:rsidP="00C66053">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1</w:t>
            </w:r>
            <w:r w:rsidRPr="00887007">
              <w:rPr>
                <w:rFonts w:eastAsia="Times New Roman"/>
                <w:szCs w:val="20"/>
                <w:lang w:val="en-GB"/>
              </w:rPr>
              <w:tab/>
              <w:t>to review the existing primary allocations to the EESS (passive) in the frequency range 231.5-252 GHz in order to analyse if these allocations are aligned with the observation requirements of passive microwave sensors;</w:t>
            </w:r>
          </w:p>
          <w:p w14:paraId="3E706E57" w14:textId="77777777" w:rsidR="00C66053" w:rsidRPr="00887007" w:rsidRDefault="00C66053" w:rsidP="00C66053">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2</w:t>
            </w:r>
            <w:r w:rsidRPr="00887007">
              <w:rPr>
                <w:rFonts w:eastAsia="Times New Roman"/>
                <w:szCs w:val="20"/>
                <w:lang w:val="en-GB"/>
              </w:rPr>
              <w:tab/>
              <w:t>to study the impact that any change to the EESS (passive) allocations in the frequency range 231.5-252 GHz might have on the other primary services in these frequency bands;</w:t>
            </w:r>
          </w:p>
          <w:p w14:paraId="64A83C9A" w14:textId="0747C86F" w:rsidR="00C66053" w:rsidRPr="00887007" w:rsidRDefault="00C66053" w:rsidP="00C66053">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3</w:t>
            </w:r>
            <w:r w:rsidRPr="00887007">
              <w:rPr>
                <w:rFonts w:eastAsia="Times New Roman"/>
                <w:szCs w:val="20"/>
                <w:lang w:val="en-GB"/>
              </w:rPr>
              <w:tab/>
              <w:t xml:space="preserve">to study, as appropriate, possible adjustments to the EESS (passive) allocations in the frequency range 231.5-252 GHz, taking into account the results under </w:t>
            </w:r>
            <w:r w:rsidRPr="00887007">
              <w:rPr>
                <w:rFonts w:eastAsia="Times New Roman"/>
                <w:i/>
                <w:szCs w:val="20"/>
                <w:lang w:val="en-GB"/>
              </w:rPr>
              <w:t>resolves to invite the ITU Radiocommunication Sector</w:t>
            </w:r>
            <w:r w:rsidRPr="00887007">
              <w:rPr>
                <w:rFonts w:eastAsia="Times New Roman"/>
                <w:szCs w:val="20"/>
                <w:lang w:val="en-GB"/>
              </w:rPr>
              <w:t> 1 above,</w:t>
            </w:r>
          </w:p>
          <w:p w14:paraId="2529C9F9" w14:textId="77777777" w:rsidR="00C66053" w:rsidRPr="00887007" w:rsidRDefault="00C66053" w:rsidP="006C0681">
            <w:pPr>
              <w:keepNext/>
              <w:keepLines/>
              <w:tabs>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887007">
              <w:rPr>
                <w:rFonts w:eastAsia="Times New Roman"/>
                <w:i/>
                <w:szCs w:val="20"/>
                <w:lang w:val="en-GB"/>
              </w:rPr>
              <w:t xml:space="preserve">invites </w:t>
            </w:r>
            <w:r w:rsidRPr="00887007">
              <w:rPr>
                <w:rFonts w:eastAsia="Times New Roman"/>
                <w:i/>
                <w:lang w:val="en-GB"/>
              </w:rPr>
              <w:t>the 2023 World Radiocommunication Conference</w:t>
            </w:r>
          </w:p>
          <w:p w14:paraId="4F3609C2" w14:textId="77777777" w:rsidR="00C66053" w:rsidRPr="00887007" w:rsidRDefault="00C66053" w:rsidP="00C66053">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to review the results of these studies with a view to adjusting existing allocations or adding possible new allocations, as appropriate, to the EESS (passive) in the frequency range 231.5-252 GHz without unduly constraining the other primary services currently allocated in this frequency range,</w:t>
            </w:r>
          </w:p>
          <w:p w14:paraId="67212912" w14:textId="77777777" w:rsidR="00C66053" w:rsidRPr="00887007" w:rsidRDefault="00C66053" w:rsidP="00C66053">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Times New Roman"/>
                <w:i/>
                <w:szCs w:val="20"/>
                <w:lang w:val="en-GB"/>
              </w:rPr>
            </w:pPr>
            <w:r w:rsidRPr="00887007">
              <w:rPr>
                <w:rFonts w:eastAsia="Times New Roman"/>
                <w:i/>
                <w:szCs w:val="20"/>
                <w:lang w:val="en-GB"/>
              </w:rPr>
              <w:t xml:space="preserve">invites </w:t>
            </w:r>
            <w:r w:rsidRPr="00887007">
              <w:rPr>
                <w:rFonts w:eastAsia="Times New Roman"/>
                <w:i/>
                <w:lang w:val="en-GB"/>
              </w:rPr>
              <w:t>administrations</w:t>
            </w:r>
          </w:p>
          <w:p w14:paraId="7E319052" w14:textId="77777777" w:rsidR="00C66053" w:rsidRPr="00887007" w:rsidRDefault="00C66053" w:rsidP="00C66053">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to participate actively in the studies by submitting contributions to the ITU Radiocommunication Sector,</w:t>
            </w:r>
          </w:p>
          <w:p w14:paraId="4E7A927F" w14:textId="77777777" w:rsidR="00C66053" w:rsidRPr="00887007" w:rsidRDefault="00C66053" w:rsidP="00C66053">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Times New Roman"/>
                <w:i/>
                <w:szCs w:val="20"/>
                <w:lang w:val="en-GB"/>
              </w:rPr>
            </w:pPr>
            <w:r w:rsidRPr="00887007">
              <w:rPr>
                <w:rFonts w:eastAsia="Times New Roman"/>
                <w:i/>
                <w:szCs w:val="20"/>
                <w:lang w:val="en-GB"/>
              </w:rPr>
              <w:t>instructs the Secretary-General</w:t>
            </w:r>
          </w:p>
          <w:p w14:paraId="23E60363" w14:textId="0DA6A643" w:rsidR="00615999" w:rsidRPr="006C0681" w:rsidRDefault="00C66053" w:rsidP="006C0681">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887007">
              <w:rPr>
                <w:rFonts w:eastAsia="Times New Roman"/>
                <w:szCs w:val="20"/>
                <w:lang w:val="en-GB"/>
              </w:rPr>
              <w:t>to bring this Resolution to the attention of the international and regional organizations concerned.</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510C75">
        <w:tc>
          <w:tcPr>
            <w:tcW w:w="5113" w:type="dxa"/>
          </w:tcPr>
          <w:p w14:paraId="49F372C5" w14:textId="77777777" w:rsidR="00615999" w:rsidRPr="007B704B" w:rsidRDefault="00615999" w:rsidP="00510C75">
            <w:r w:rsidRPr="007B704B">
              <w:rPr>
                <w:rFonts w:eastAsia="Batang"/>
                <w:b/>
              </w:rPr>
              <w:t>Responsible group</w:t>
            </w:r>
          </w:p>
        </w:tc>
        <w:tc>
          <w:tcPr>
            <w:tcW w:w="3908" w:type="dxa"/>
          </w:tcPr>
          <w:p w14:paraId="1B86DE8A" w14:textId="77777777" w:rsidR="00615999" w:rsidRPr="007B704B" w:rsidRDefault="00615999" w:rsidP="00510C75">
            <w:r w:rsidRPr="007B704B">
              <w:rPr>
                <w:rFonts w:eastAsia="Batang"/>
                <w:b/>
              </w:rPr>
              <w:t>Contributing group</w:t>
            </w:r>
          </w:p>
        </w:tc>
      </w:tr>
      <w:tr w:rsidR="00D06742" w:rsidRPr="00D06742" w14:paraId="62627DE7" w14:textId="77777777" w:rsidTr="00510C75">
        <w:tc>
          <w:tcPr>
            <w:tcW w:w="5113" w:type="dxa"/>
          </w:tcPr>
          <w:p w14:paraId="2FF0C3D0" w14:textId="370E3328" w:rsidR="00615999" w:rsidRPr="00D06742" w:rsidRDefault="00BD7D93" w:rsidP="00510C75">
            <w:pPr>
              <w:rPr>
                <w:color w:val="FF0000"/>
              </w:rPr>
            </w:pPr>
            <w:r w:rsidRPr="00BD7D93">
              <w:rPr>
                <w:rFonts w:ascii="Calibri" w:eastAsia="Times New Roman" w:hAnsi="Calibri" w:cs="Calibri"/>
                <w:b/>
                <w:bCs/>
                <w:szCs w:val="22"/>
              </w:rPr>
              <w:t>WP 7C</w:t>
            </w:r>
          </w:p>
        </w:tc>
        <w:tc>
          <w:tcPr>
            <w:tcW w:w="3908" w:type="dxa"/>
          </w:tcPr>
          <w:p w14:paraId="4294D2A9" w14:textId="537440ED" w:rsidR="00615999" w:rsidRPr="00D06742" w:rsidRDefault="001C4CD1" w:rsidP="00510C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sidRPr="001C4CD1">
              <w:rPr>
                <w:rFonts w:ascii="Calibri" w:eastAsia="Times New Roman" w:hAnsi="Calibri" w:cs="Calibri"/>
                <w:b/>
                <w:bCs/>
                <w:szCs w:val="22"/>
              </w:rPr>
              <w:t>WP 3J, WP 3M, WP 4A, WP 4C, WP 5A, WP 5B, WP 5C, WP 7D</w:t>
            </w:r>
          </w:p>
        </w:tc>
      </w:tr>
    </w:tbl>
    <w:p w14:paraId="5CBC4012" w14:textId="77777777" w:rsidR="00615999" w:rsidRDefault="00615999" w:rsidP="00E5341E">
      <w:pPr>
        <w:spacing w:after="120"/>
        <w:jc w:val="both"/>
        <w:rPr>
          <w:b/>
        </w:rPr>
      </w:pPr>
    </w:p>
    <w:p w14:paraId="4BBB5FAA" w14:textId="5B25533C" w:rsidR="005E4056" w:rsidRPr="00BE672B" w:rsidRDefault="00D06742" w:rsidP="00B448B8">
      <w:pPr>
        <w:pStyle w:val="ListParagraph"/>
        <w:numPr>
          <w:ilvl w:val="0"/>
          <w:numId w:val="24"/>
        </w:numPr>
        <w:spacing w:after="120"/>
        <w:jc w:val="both"/>
        <w:rPr>
          <w:b/>
          <w:lang w:val="en-NZ" w:eastAsia="ko-KR"/>
        </w:rPr>
      </w:pPr>
      <w:r w:rsidRPr="00BE672B">
        <w:rPr>
          <w:b/>
          <w:lang w:val="en-NZ" w:eastAsia="ko-KR"/>
        </w:rPr>
        <w:t>Background Information</w:t>
      </w:r>
    </w:p>
    <w:p w14:paraId="531724AF" w14:textId="266E8A8E" w:rsidR="00A50360" w:rsidRPr="00A50360" w:rsidRDefault="00BF3B34" w:rsidP="00A50360">
      <w:pPr>
        <w:spacing w:after="120" w:line="360" w:lineRule="auto"/>
        <w:jc w:val="both"/>
        <w:rPr>
          <w:bCs/>
          <w:lang w:val="en-NZ" w:eastAsia="ko-KR"/>
        </w:rPr>
      </w:pPr>
      <w:r>
        <w:rPr>
          <w:rFonts w:eastAsia="Times New Roman"/>
          <w:szCs w:val="20"/>
          <w:lang w:val="en-GB"/>
        </w:rPr>
        <w:t>The</w:t>
      </w:r>
      <w:r w:rsidRPr="00887007">
        <w:rPr>
          <w:rFonts w:eastAsia="Times New Roman"/>
          <w:szCs w:val="20"/>
          <w:lang w:val="en-GB"/>
        </w:rPr>
        <w:t xml:space="preserve"> scientific and technology developments for passive microwave sensor measurements have evolved over the last 20 years</w:t>
      </w:r>
      <w:r>
        <w:rPr>
          <w:rFonts w:eastAsia="Times New Roman"/>
          <w:szCs w:val="20"/>
          <w:lang w:val="en-GB"/>
        </w:rPr>
        <w:t xml:space="preserve">. </w:t>
      </w:r>
      <w:r w:rsidR="005E4056" w:rsidRPr="005E4056">
        <w:rPr>
          <w:bCs/>
          <w:lang w:val="en-NZ" w:eastAsia="ko-KR"/>
        </w:rPr>
        <w:t>WRC-2000 were agreed</w:t>
      </w:r>
      <w:r w:rsidR="005E4056">
        <w:rPr>
          <w:bCs/>
          <w:lang w:val="en-NZ" w:eastAsia="ko-KR"/>
        </w:rPr>
        <w:t xml:space="preserve"> under the AI 1.16 to assign the frequency bands of </w:t>
      </w:r>
      <w:r w:rsidR="005E4056" w:rsidRPr="00887007">
        <w:rPr>
          <w:rFonts w:eastAsia="Times New Roman"/>
          <w:szCs w:val="20"/>
          <w:lang w:val="en-GB"/>
        </w:rPr>
        <w:t>235-238 GHz and 250-252 GHz</w:t>
      </w:r>
      <w:r w:rsidR="005E4056">
        <w:rPr>
          <w:rFonts w:eastAsia="Times New Roman"/>
          <w:szCs w:val="20"/>
          <w:lang w:val="en-GB"/>
        </w:rPr>
        <w:t xml:space="preserve"> within the frequency range of </w:t>
      </w:r>
      <w:r w:rsidR="005E4056" w:rsidRPr="00887007">
        <w:rPr>
          <w:rFonts w:eastAsia="Times New Roman"/>
          <w:szCs w:val="20"/>
          <w:lang w:val="en-GB"/>
        </w:rPr>
        <w:t>231.5-252 GHz</w:t>
      </w:r>
      <w:r w:rsidR="005E4056">
        <w:rPr>
          <w:rFonts w:eastAsia="Times New Roman"/>
          <w:szCs w:val="20"/>
          <w:lang w:val="en-GB"/>
        </w:rPr>
        <w:t xml:space="preserve"> for the earth exploration satellite service (EESS) </w:t>
      </w:r>
      <w:r>
        <w:rPr>
          <w:rFonts w:eastAsia="Times New Roman"/>
          <w:szCs w:val="20"/>
          <w:lang w:val="en-GB"/>
        </w:rPr>
        <w:t xml:space="preserve">(passive) for the use of passive microwave remote sensing systems. </w:t>
      </w:r>
      <w:r w:rsidR="001614CF">
        <w:rPr>
          <w:rFonts w:eastAsia="Times New Roman"/>
          <w:szCs w:val="20"/>
          <w:lang w:val="en-GB"/>
        </w:rPr>
        <w:t>I</w:t>
      </w:r>
      <w:r w:rsidR="001614CF" w:rsidRPr="00887007">
        <w:rPr>
          <w:rFonts w:eastAsia="Times New Roman"/>
          <w:szCs w:val="20"/>
          <w:lang w:val="en-GB"/>
        </w:rPr>
        <w:t>t is appropriate to ensure that the frequency allocations to the EESS (passive) agreed in 2000 correspond to up-to-date observation requirements for passive microwave sensing</w:t>
      </w:r>
      <w:r w:rsidR="00A50360">
        <w:rPr>
          <w:rFonts w:eastAsia="Times New Roman"/>
          <w:szCs w:val="20"/>
          <w:lang w:val="en-GB"/>
        </w:rPr>
        <w:t xml:space="preserve">. </w:t>
      </w:r>
      <w:r w:rsidR="00A50360">
        <w:rPr>
          <w:bCs/>
          <w:lang w:val="en-NZ" w:eastAsia="ko-KR"/>
        </w:rPr>
        <w:t>S</w:t>
      </w:r>
      <w:r w:rsidR="00A50360" w:rsidRPr="00887007">
        <w:rPr>
          <w:rFonts w:eastAsia="Times New Roman"/>
          <w:szCs w:val="20"/>
          <w:lang w:val="en-GB"/>
        </w:rPr>
        <w:t>ome passive sensor systems under development plan to operate on some channels in the frequency range 239-248 GHz, given the specific characteristics of this frequency band for ice</w:t>
      </w:r>
      <w:r w:rsidR="00A50360" w:rsidRPr="00887007">
        <w:rPr>
          <w:rFonts w:eastAsia="Times New Roman"/>
          <w:szCs w:val="20"/>
          <w:lang w:val="en-GB"/>
        </w:rPr>
        <w:noBreakHyphen/>
        <w:t>cloud analysis</w:t>
      </w:r>
      <w:r w:rsidR="00A50360">
        <w:rPr>
          <w:rFonts w:eastAsia="Times New Roman"/>
          <w:szCs w:val="20"/>
          <w:lang w:val="en-GB"/>
        </w:rPr>
        <w:t xml:space="preserve">. </w:t>
      </w:r>
      <w:r w:rsidR="00A50360">
        <w:rPr>
          <w:bCs/>
          <w:lang w:val="en-NZ" w:eastAsia="ko-KR"/>
        </w:rPr>
        <w:t>A</w:t>
      </w:r>
      <w:r w:rsidR="00A50360" w:rsidRPr="00887007">
        <w:rPr>
          <w:rFonts w:eastAsia="Times New Roman"/>
          <w:szCs w:val="20"/>
          <w:lang w:val="en-GB"/>
        </w:rPr>
        <w:t>s a result, it may be necessary to consider some adjustment/extension of the EESS (passive) allocations within the frequency range 231.5-252 GHz</w:t>
      </w:r>
      <w:r w:rsidR="00A50360">
        <w:rPr>
          <w:rFonts w:eastAsia="Times New Roman"/>
          <w:szCs w:val="20"/>
          <w:lang w:val="en-GB"/>
        </w:rPr>
        <w:t xml:space="preserve"> and</w:t>
      </w:r>
      <w:r w:rsidR="00A50360" w:rsidRPr="00887007">
        <w:rPr>
          <w:rFonts w:eastAsia="Times New Roman"/>
          <w:szCs w:val="20"/>
          <w:lang w:val="en-GB"/>
        </w:rPr>
        <w:t xml:space="preserve"> the effect on the other primary services in the frequency range 231.5-252 GHz would have to be studied and the EESS (passive) allocations possibly adjusted</w:t>
      </w:r>
      <w:r w:rsidR="00A50360">
        <w:rPr>
          <w:rFonts w:eastAsia="Times New Roman"/>
          <w:szCs w:val="20"/>
          <w:lang w:val="en-GB"/>
        </w:rPr>
        <w:t>.</w:t>
      </w:r>
    </w:p>
    <w:p w14:paraId="5A6A2B5F" w14:textId="77777777" w:rsidR="00BE672B" w:rsidRPr="00BE672B" w:rsidRDefault="00BE672B" w:rsidP="00BE672B">
      <w:pPr>
        <w:widowControl w:val="0"/>
        <w:wordWrap w:val="0"/>
        <w:autoSpaceDE w:val="0"/>
        <w:autoSpaceDN w:val="0"/>
        <w:jc w:val="both"/>
        <w:rPr>
          <w:b/>
          <w:bCs/>
        </w:rPr>
      </w:pPr>
      <w:r w:rsidRPr="00BE672B">
        <w:rPr>
          <w:b/>
          <w:bCs/>
        </w:rPr>
        <w:t>Relevant ITU-R documents:</w:t>
      </w:r>
    </w:p>
    <w:p w14:paraId="00E32F03" w14:textId="5BFA2673" w:rsidR="005E4056" w:rsidRPr="00A901C2" w:rsidRDefault="004A66D1" w:rsidP="00A901C2">
      <w:pPr>
        <w:tabs>
          <w:tab w:val="left" w:pos="1134"/>
          <w:tab w:val="left" w:pos="1871"/>
          <w:tab w:val="left" w:pos="2268"/>
        </w:tabs>
        <w:overflowPunct w:val="0"/>
        <w:autoSpaceDE w:val="0"/>
        <w:autoSpaceDN w:val="0"/>
        <w:adjustRightInd w:val="0"/>
        <w:spacing w:before="120"/>
        <w:jc w:val="both"/>
        <w:textAlignment w:val="baseline"/>
        <w:rPr>
          <w:b/>
          <w:lang w:val="en-NZ" w:eastAsia="ko-KR"/>
        </w:rPr>
      </w:pPr>
      <w:r w:rsidRPr="00A901C2">
        <w:rPr>
          <w:rFonts w:eastAsia="Times New Roman"/>
          <w:szCs w:val="20"/>
          <w:lang w:val="en-GB"/>
        </w:rPr>
        <w:t xml:space="preserve">Recommendation ITU-R RS.1861 (Typical technical and operational characteristics of Earth exploration-satellite service (passive) systems using allocations between 1.4 and 275 GHz) </w:t>
      </w:r>
      <w:r w:rsidR="00350B3D" w:rsidRPr="00A901C2">
        <w:rPr>
          <w:rFonts w:eastAsia="Times New Roman"/>
          <w:szCs w:val="20"/>
          <w:lang w:val="en-GB"/>
        </w:rPr>
        <w:t>.</w:t>
      </w:r>
    </w:p>
    <w:p w14:paraId="28BBA039" w14:textId="6FADFF58" w:rsidR="0037421D" w:rsidRDefault="0037421D" w:rsidP="00E5341E">
      <w:pPr>
        <w:spacing w:after="120"/>
        <w:jc w:val="both"/>
        <w:rPr>
          <w:b/>
        </w:rPr>
      </w:pPr>
    </w:p>
    <w:p w14:paraId="12DE4F40" w14:textId="36A3CC17" w:rsidR="00C64DF1" w:rsidRPr="00C64DF1" w:rsidRDefault="00E41BE2" w:rsidP="00C64DF1">
      <w:pPr>
        <w:pStyle w:val="ListParagraph"/>
        <w:numPr>
          <w:ilvl w:val="0"/>
          <w:numId w:val="24"/>
        </w:numPr>
        <w:spacing w:after="120"/>
        <w:jc w:val="both"/>
        <w:rPr>
          <w:b/>
          <w:lang w:val="en-NZ" w:eastAsia="ko-KR"/>
        </w:rPr>
      </w:pPr>
      <w:r w:rsidRPr="00A901C2">
        <w:rPr>
          <w:b/>
          <w:lang w:val="en-NZ" w:eastAsia="ko-KR"/>
        </w:rPr>
        <w:t>Information on on-going ITU-R Study</w:t>
      </w:r>
    </w:p>
    <w:p w14:paraId="0129B534" w14:textId="78AAC850" w:rsidR="00E41BE2" w:rsidRDefault="00350B3D" w:rsidP="00F3401E">
      <w:pPr>
        <w:tabs>
          <w:tab w:val="left" w:pos="1134"/>
          <w:tab w:val="left" w:pos="1871"/>
          <w:tab w:val="left" w:pos="2268"/>
        </w:tabs>
        <w:overflowPunct w:val="0"/>
        <w:autoSpaceDE w:val="0"/>
        <w:autoSpaceDN w:val="0"/>
        <w:adjustRightInd w:val="0"/>
        <w:spacing w:before="120" w:line="360" w:lineRule="auto"/>
        <w:jc w:val="both"/>
        <w:textAlignment w:val="baseline"/>
        <w:rPr>
          <w:rFonts w:eastAsia="Times New Roman"/>
          <w:szCs w:val="20"/>
          <w:lang w:val="en-GB"/>
        </w:rPr>
      </w:pPr>
      <w:r>
        <w:rPr>
          <w:iCs/>
        </w:rPr>
        <w:t xml:space="preserve">ITU-R Working Party (WP) 7C </w:t>
      </w:r>
      <w:r w:rsidR="00C64DF1">
        <w:rPr>
          <w:iCs/>
        </w:rPr>
        <w:t>is responsible to study this</w:t>
      </w:r>
      <w:r>
        <w:rPr>
          <w:iCs/>
        </w:rPr>
        <w:t xml:space="preserve"> issue under agenda item 1.14</w:t>
      </w:r>
      <w:r w:rsidR="00C64DF1">
        <w:rPr>
          <w:iCs/>
        </w:rPr>
        <w:t xml:space="preserve"> </w:t>
      </w:r>
      <w:r>
        <w:t xml:space="preserve">WP 7C received several reply </w:t>
      </w:r>
      <w:r w:rsidR="00C64DF1">
        <w:t>liaisons</w:t>
      </w:r>
      <w:r>
        <w:t xml:space="preserve"> statements from contributing groups containing relevant </w:t>
      </w:r>
      <w:r w:rsidR="00C64DF1">
        <w:t>technical and</w:t>
      </w:r>
      <w:r>
        <w:t xml:space="preserve"> operating characteristics and protection criteria for other services. </w:t>
      </w:r>
      <w:r w:rsidR="00C64DF1">
        <w:t>C</w:t>
      </w:r>
      <w:r>
        <w:t xml:space="preserve">ontribution was received from the United States </w:t>
      </w:r>
      <w:r w:rsidR="00A901C2">
        <w:t xml:space="preserve">which will </w:t>
      </w:r>
      <w:r w:rsidR="00A901C2" w:rsidRPr="00A901C2">
        <w:rPr>
          <w:rFonts w:eastAsia="Calibri"/>
          <w:lang w:val="en-GB"/>
        </w:rPr>
        <w:t>contribut</w:t>
      </w:r>
      <w:r w:rsidR="00A901C2">
        <w:rPr>
          <w:rFonts w:eastAsia="Calibri"/>
          <w:lang w:val="en-GB"/>
        </w:rPr>
        <w:t>e</w:t>
      </w:r>
      <w:r w:rsidR="00A901C2" w:rsidRPr="00A901C2">
        <w:rPr>
          <w:rFonts w:eastAsia="Calibri"/>
          <w:lang w:val="en-GB"/>
        </w:rPr>
        <w:t xml:space="preserve"> to review the existing</w:t>
      </w:r>
      <w:r w:rsidR="00A901C2">
        <w:rPr>
          <w:rFonts w:eastAsia="Calibri"/>
          <w:lang w:val="en-GB"/>
        </w:rPr>
        <w:t xml:space="preserve"> primary</w:t>
      </w:r>
      <w:r w:rsidR="00A901C2" w:rsidRPr="00A901C2">
        <w:rPr>
          <w:rFonts w:eastAsia="Calibri"/>
          <w:lang w:val="en-GB"/>
        </w:rPr>
        <w:t xml:space="preserve"> allocations to the</w:t>
      </w:r>
      <w:r w:rsidR="00C64DF1">
        <w:rPr>
          <w:rFonts w:eastAsia="Calibri"/>
          <w:lang w:val="en-GB"/>
        </w:rPr>
        <w:t xml:space="preserve"> </w:t>
      </w:r>
      <w:r w:rsidR="00A901C2" w:rsidRPr="00A901C2">
        <w:rPr>
          <w:rFonts w:eastAsia="Calibri"/>
          <w:lang w:val="en-GB"/>
        </w:rPr>
        <w:t>EESS(passive) in the frequency range 231.5-252 GHz to show the</w:t>
      </w:r>
      <w:r w:rsidR="00A901C2">
        <w:rPr>
          <w:rFonts w:eastAsia="Calibri"/>
          <w:lang w:val="en-GB"/>
        </w:rPr>
        <w:t xml:space="preserve"> </w:t>
      </w:r>
      <w:r w:rsidR="00A901C2" w:rsidRPr="00A901C2">
        <w:rPr>
          <w:rFonts w:eastAsia="Calibri"/>
          <w:lang w:val="en-GB"/>
        </w:rPr>
        <w:t xml:space="preserve">allocations relative to observation requirements of passive microwave sensors. This </w:t>
      </w:r>
      <w:r w:rsidR="00C64DF1" w:rsidRPr="00A901C2">
        <w:rPr>
          <w:rFonts w:eastAsia="Calibri"/>
          <w:lang w:val="en-GB"/>
        </w:rPr>
        <w:t xml:space="preserve">document </w:t>
      </w:r>
      <w:r w:rsidR="00C64DF1">
        <w:rPr>
          <w:rFonts w:eastAsia="Calibri"/>
          <w:lang w:val="en-GB"/>
        </w:rPr>
        <w:t>could</w:t>
      </w:r>
      <w:r w:rsidR="00A901C2" w:rsidRPr="00A901C2">
        <w:rPr>
          <w:rFonts w:eastAsia="Calibri"/>
          <w:lang w:val="en-GB"/>
        </w:rPr>
        <w:t xml:space="preserve"> lead to a future ITU-R report. </w:t>
      </w:r>
      <w:r w:rsidR="00F43AAB">
        <w:rPr>
          <w:rFonts w:eastAsia="Times New Roman"/>
          <w:szCs w:val="20"/>
          <w:lang w:val="en-GB"/>
        </w:rPr>
        <w:t xml:space="preserve">Another contribution received from </w:t>
      </w:r>
      <w:r w:rsidR="00F43AAB" w:rsidRPr="00F43AAB">
        <w:rPr>
          <w:rFonts w:eastAsia="Times New Roman"/>
          <w:szCs w:val="20"/>
          <w:lang w:val="en-GB"/>
        </w:rPr>
        <w:t xml:space="preserve">European Space Agency, </w:t>
      </w:r>
      <w:r w:rsidR="00F43AAB" w:rsidRPr="00F43AAB">
        <w:rPr>
          <w:rFonts w:eastAsia="Times New Roman"/>
          <w:szCs w:val="28"/>
          <w:lang w:val="en-GB"/>
        </w:rPr>
        <w:t>European Organisation for the</w:t>
      </w:r>
      <w:r w:rsidR="00F43AAB">
        <w:rPr>
          <w:rFonts w:eastAsia="Times New Roman"/>
          <w:szCs w:val="28"/>
          <w:lang w:val="en-GB"/>
        </w:rPr>
        <w:t xml:space="preserve"> </w:t>
      </w:r>
      <w:r w:rsidR="00F43AAB" w:rsidRPr="00F43AAB">
        <w:rPr>
          <w:rFonts w:eastAsia="Times New Roman"/>
          <w:szCs w:val="28"/>
          <w:lang w:val="en-GB"/>
        </w:rPr>
        <w:t>Exploitation of Meteorological Satellites</w:t>
      </w:r>
      <w:r w:rsidR="00F43AAB" w:rsidRPr="00F43AAB">
        <w:rPr>
          <w:rFonts w:ascii="Verdana" w:eastAsia="Times New Roman" w:hAnsi="Verdana"/>
          <w:sz w:val="20"/>
          <w:szCs w:val="20"/>
          <w:lang w:val="en-GB"/>
        </w:rPr>
        <w:t xml:space="preserve"> </w:t>
      </w:r>
      <w:r w:rsidR="00F43AAB">
        <w:rPr>
          <w:rFonts w:ascii="Verdana" w:eastAsia="Times New Roman" w:hAnsi="Verdana"/>
          <w:sz w:val="20"/>
          <w:szCs w:val="20"/>
          <w:lang w:val="en-GB"/>
        </w:rPr>
        <w:t>(</w:t>
      </w:r>
      <w:r w:rsidR="00F43AAB" w:rsidRPr="00F43AAB">
        <w:rPr>
          <w:rFonts w:ascii="Verdana" w:eastAsia="Times New Roman" w:hAnsi="Verdana"/>
          <w:sz w:val="20"/>
          <w:szCs w:val="20"/>
          <w:lang w:val="en-GB"/>
        </w:rPr>
        <w:t xml:space="preserve">Document </w:t>
      </w:r>
      <w:hyperlink r:id="rId9" w:history="1">
        <w:r w:rsidR="00F43AAB" w:rsidRPr="00F43AAB">
          <w:rPr>
            <w:rFonts w:ascii="Verdana" w:eastAsia="Times New Roman" w:hAnsi="Verdana"/>
            <w:color w:val="0000FF"/>
            <w:sz w:val="20"/>
            <w:szCs w:val="20"/>
            <w:lang w:val="en-GB"/>
          </w:rPr>
          <w:t>7C/59</w:t>
        </w:r>
      </w:hyperlink>
      <w:r w:rsidR="00F43AAB" w:rsidRPr="00F43AAB">
        <w:rPr>
          <w:rFonts w:ascii="Verdana" w:eastAsia="Times New Roman" w:hAnsi="Verdana"/>
          <w:color w:val="0000FF"/>
          <w:sz w:val="20"/>
          <w:szCs w:val="20"/>
          <w:lang w:val="en-GB"/>
        </w:rPr>
        <w:t xml:space="preserve">). </w:t>
      </w:r>
      <w:r w:rsidR="00F43AAB" w:rsidRPr="00F43AAB">
        <w:rPr>
          <w:rFonts w:eastAsia="Times New Roman"/>
          <w:szCs w:val="20"/>
          <w:lang w:val="en-GB"/>
        </w:rPr>
        <w:t xml:space="preserve">This contribution provides information on the Ice Cloud Imager (ICI) instrument of the second generation of the EUMETSAT Polar System (EPS-SG)) and its relevance under WRC-23 Agenda Item 1.14 considerations. </w:t>
      </w:r>
      <w:bookmarkStart w:id="0" w:name="dbreak"/>
      <w:bookmarkEnd w:id="0"/>
    </w:p>
    <w:p w14:paraId="4AD3A740" w14:textId="77777777" w:rsidR="00F3401E" w:rsidRPr="00F3401E" w:rsidRDefault="00F3401E" w:rsidP="00F3401E">
      <w:pPr>
        <w:tabs>
          <w:tab w:val="left" w:pos="1134"/>
          <w:tab w:val="left" w:pos="1871"/>
          <w:tab w:val="left" w:pos="2268"/>
        </w:tabs>
        <w:overflowPunct w:val="0"/>
        <w:autoSpaceDE w:val="0"/>
        <w:autoSpaceDN w:val="0"/>
        <w:adjustRightInd w:val="0"/>
        <w:spacing w:before="120" w:line="360" w:lineRule="auto"/>
        <w:jc w:val="both"/>
        <w:textAlignment w:val="baseline"/>
        <w:rPr>
          <w:rFonts w:eastAsia="Times New Roman"/>
          <w:szCs w:val="20"/>
          <w:lang w:val="en-GB"/>
        </w:rPr>
      </w:pPr>
    </w:p>
    <w:p w14:paraId="5B2E86A7" w14:textId="0BC03859" w:rsidR="005263C8" w:rsidRPr="00C12146" w:rsidRDefault="00C12146" w:rsidP="00C12146">
      <w:pPr>
        <w:pStyle w:val="ListParagraph"/>
        <w:numPr>
          <w:ilvl w:val="0"/>
          <w:numId w:val="24"/>
        </w:numPr>
        <w:spacing w:after="120"/>
        <w:jc w:val="both"/>
        <w:rPr>
          <w:b/>
          <w:lang w:val="en-NZ" w:eastAsia="ko-KR"/>
        </w:rPr>
      </w:pPr>
      <w:r w:rsidRPr="00C12146">
        <w:rPr>
          <w:b/>
          <w:lang w:val="en-NZ" w:eastAsia="ko-KR"/>
        </w:rPr>
        <w:t>Position of the Regional Group</w:t>
      </w:r>
    </w:p>
    <w:p w14:paraId="6F14C81D" w14:textId="28A07699" w:rsidR="005263C8" w:rsidRPr="00280652" w:rsidRDefault="005263C8" w:rsidP="005263C8">
      <w:pPr>
        <w:pStyle w:val="ListParagraph"/>
        <w:numPr>
          <w:ilvl w:val="0"/>
          <w:numId w:val="21"/>
        </w:numPr>
        <w:spacing w:after="120"/>
        <w:jc w:val="both"/>
        <w:rPr>
          <w:bCs/>
          <w:lang w:val="en-NZ" w:eastAsia="ko-KR"/>
        </w:rPr>
      </w:pPr>
      <w:r w:rsidRPr="005263C8">
        <w:rPr>
          <w:bCs/>
          <w:lang w:val="en-NZ" w:eastAsia="ko-KR"/>
        </w:rPr>
        <w:t>CEPT</w:t>
      </w:r>
      <w:r w:rsidR="004B036C">
        <w:rPr>
          <w:bCs/>
          <w:lang w:val="en-NZ" w:eastAsia="ko-KR"/>
        </w:rPr>
        <w:t>:</w:t>
      </w:r>
      <w:r w:rsidR="004B036C" w:rsidRPr="004B036C">
        <w:t xml:space="preserve"> </w:t>
      </w:r>
      <w:r w:rsidR="004B036C">
        <w:t>CEPT supports in principle to cover relevant requirements of passive microwave sensor measurements within the frequency range 231.5‐252 GHz with frequency allocations to EESS (passive) without unduly constraining the other primary services currently allocated in this frequency range.</w:t>
      </w:r>
    </w:p>
    <w:p w14:paraId="1A9F6335" w14:textId="552FE82B" w:rsidR="00280652" w:rsidRPr="006271AC" w:rsidRDefault="005263C8" w:rsidP="006271AC">
      <w:pPr>
        <w:pStyle w:val="ListParagraph"/>
        <w:numPr>
          <w:ilvl w:val="0"/>
          <w:numId w:val="26"/>
        </w:numPr>
        <w:spacing w:before="120" w:after="120"/>
        <w:jc w:val="both"/>
        <w:rPr>
          <w:rFonts w:eastAsia="Calibri"/>
          <w:snapToGrid w:val="0"/>
        </w:rPr>
      </w:pPr>
      <w:r w:rsidRPr="006271AC">
        <w:rPr>
          <w:bCs/>
          <w:lang w:val="en-NZ" w:eastAsia="ko-KR"/>
        </w:rPr>
        <w:lastRenderedPageBreak/>
        <w:t>RCC</w:t>
      </w:r>
      <w:r w:rsidR="00280652" w:rsidRPr="006271AC">
        <w:rPr>
          <w:bCs/>
          <w:lang w:val="en-NZ" w:eastAsia="ko-KR"/>
        </w:rPr>
        <w:t>:</w:t>
      </w:r>
      <w:r w:rsidR="00280652" w:rsidRPr="006271AC">
        <w:rPr>
          <w:rFonts w:eastAsia="Calibri"/>
          <w:snapToGrid w:val="0"/>
        </w:rPr>
        <w:t xml:space="preserve"> The RCC Administrations support the development of sharing conditions for EESS (passive) systems with existing as well as future systems of active services in the frequency band </w:t>
      </w:r>
      <w:r w:rsidR="00280652" w:rsidRPr="006271AC">
        <w:rPr>
          <w:rFonts w:eastAsia="TimesNewRoman,Bold"/>
          <w:iCs/>
        </w:rPr>
        <w:t>231.5-252 GHz and in the adjacent frequency bands on the basis of compatibility studies.</w:t>
      </w:r>
    </w:p>
    <w:p w14:paraId="4A980740" w14:textId="6FADB341" w:rsidR="005263C8" w:rsidRPr="006271AC" w:rsidRDefault="005263C8" w:rsidP="00280652">
      <w:pPr>
        <w:pStyle w:val="ListParagraph"/>
        <w:spacing w:after="120"/>
        <w:ind w:left="1080"/>
        <w:jc w:val="both"/>
        <w:rPr>
          <w:bCs/>
          <w:lang w:val="en-GB" w:eastAsia="ko-KR"/>
        </w:rPr>
      </w:pPr>
    </w:p>
    <w:p w14:paraId="2E92025C" w14:textId="77777777" w:rsidR="00957294" w:rsidRPr="00441526" w:rsidRDefault="00957294" w:rsidP="00957294">
      <w:pPr>
        <w:spacing w:after="120"/>
        <w:jc w:val="both"/>
        <w:rPr>
          <w:b/>
          <w:lang w:val="en-NZ" w:eastAsia="ko-KR"/>
        </w:rPr>
      </w:pPr>
    </w:p>
    <w:p w14:paraId="40FE6F6B" w14:textId="77777777" w:rsidR="0037421D" w:rsidRPr="00957294" w:rsidRDefault="0037421D" w:rsidP="00E5341E">
      <w:pPr>
        <w:spacing w:after="120"/>
        <w:jc w:val="both"/>
        <w:rPr>
          <w:b/>
          <w:lang w:val="en-NZ"/>
        </w:rPr>
      </w:pPr>
    </w:p>
    <w:p w14:paraId="7C0524FF" w14:textId="77777777" w:rsidR="0037421D" w:rsidRDefault="0037421D" w:rsidP="00E5341E">
      <w:pPr>
        <w:spacing w:after="120"/>
        <w:jc w:val="both"/>
        <w:rPr>
          <w:b/>
        </w:rPr>
      </w:pPr>
    </w:p>
    <w:p w14:paraId="6C6955A0" w14:textId="77777777" w:rsidR="0037421D" w:rsidRDefault="0037421D" w:rsidP="00E5341E">
      <w:pPr>
        <w:spacing w:after="120"/>
        <w:jc w:val="both"/>
        <w:rPr>
          <w:b/>
        </w:rPr>
      </w:pPr>
    </w:p>
    <w:p w14:paraId="2006D93B" w14:textId="77777777" w:rsidR="0037421D" w:rsidRDefault="0037421D" w:rsidP="00E5341E">
      <w:pPr>
        <w:spacing w:after="120"/>
        <w:jc w:val="both"/>
        <w:rPr>
          <w:b/>
        </w:rPr>
      </w:pPr>
    </w:p>
    <w:p w14:paraId="41C87AE2" w14:textId="77777777" w:rsidR="0037421D" w:rsidRDefault="0037421D" w:rsidP="00E5341E">
      <w:pPr>
        <w:spacing w:after="120"/>
        <w:jc w:val="both"/>
        <w:rPr>
          <w:b/>
        </w:rPr>
      </w:pPr>
    </w:p>
    <w:p w14:paraId="431F10C2" w14:textId="77777777" w:rsidR="0037421D" w:rsidRDefault="0037421D" w:rsidP="00E5341E">
      <w:pPr>
        <w:spacing w:after="120"/>
        <w:jc w:val="both"/>
        <w:rPr>
          <w:b/>
        </w:rPr>
      </w:pPr>
    </w:p>
    <w:p w14:paraId="19D2C875" w14:textId="77777777" w:rsidR="0037421D" w:rsidRDefault="0037421D" w:rsidP="00E5341E">
      <w:pPr>
        <w:spacing w:after="120"/>
        <w:jc w:val="both"/>
        <w:rPr>
          <w:b/>
        </w:rPr>
      </w:pPr>
    </w:p>
    <w:p w14:paraId="4660EC26" w14:textId="77777777" w:rsidR="0037421D" w:rsidRDefault="0037421D" w:rsidP="00E5341E">
      <w:pPr>
        <w:spacing w:after="120"/>
        <w:jc w:val="both"/>
        <w:rPr>
          <w:b/>
        </w:rPr>
      </w:pPr>
    </w:p>
    <w:p w14:paraId="0F5037C3" w14:textId="77777777" w:rsidR="0037421D" w:rsidRDefault="0037421D" w:rsidP="00E5341E">
      <w:pPr>
        <w:spacing w:after="120"/>
        <w:jc w:val="both"/>
        <w:rPr>
          <w:b/>
        </w:rPr>
      </w:pPr>
    </w:p>
    <w:p w14:paraId="1377F209" w14:textId="77777777" w:rsidR="0037421D" w:rsidRDefault="0037421D" w:rsidP="00E5341E">
      <w:pPr>
        <w:spacing w:after="120"/>
        <w:jc w:val="both"/>
        <w:rPr>
          <w:b/>
        </w:rPr>
      </w:pPr>
    </w:p>
    <w:p w14:paraId="7B8CED9A" w14:textId="77777777" w:rsidR="0037421D" w:rsidRDefault="0037421D" w:rsidP="00E5341E">
      <w:pPr>
        <w:spacing w:after="120"/>
        <w:jc w:val="both"/>
        <w:rPr>
          <w:b/>
        </w:rPr>
      </w:pPr>
    </w:p>
    <w:p w14:paraId="68841ED6" w14:textId="77777777" w:rsidR="0037421D" w:rsidRDefault="0037421D" w:rsidP="00E5341E">
      <w:pPr>
        <w:spacing w:after="120"/>
        <w:jc w:val="both"/>
        <w:rPr>
          <w:b/>
        </w:rPr>
      </w:pPr>
    </w:p>
    <w:p w14:paraId="2F9FD52E" w14:textId="77777777" w:rsidR="0037421D" w:rsidRDefault="0037421D" w:rsidP="00E5341E">
      <w:pPr>
        <w:spacing w:after="120"/>
        <w:jc w:val="both"/>
        <w:rPr>
          <w:b/>
        </w:rPr>
      </w:pPr>
    </w:p>
    <w:p w14:paraId="21C20C98" w14:textId="77777777" w:rsidR="0037421D" w:rsidRDefault="0037421D" w:rsidP="00E5341E">
      <w:pPr>
        <w:spacing w:after="120"/>
        <w:jc w:val="both"/>
        <w:rPr>
          <w:b/>
        </w:rPr>
      </w:pPr>
    </w:p>
    <w:p w14:paraId="2C69F69E" w14:textId="77777777" w:rsidR="0037421D" w:rsidRDefault="0037421D" w:rsidP="00E5341E">
      <w:pPr>
        <w:spacing w:after="120"/>
        <w:jc w:val="both"/>
        <w:rPr>
          <w:b/>
        </w:rPr>
      </w:pPr>
    </w:p>
    <w:p w14:paraId="7826C53D" w14:textId="77777777" w:rsidR="001E1432" w:rsidRDefault="001E1432" w:rsidP="00E5341E">
      <w:pPr>
        <w:spacing w:after="120"/>
        <w:jc w:val="both"/>
        <w:rPr>
          <w:b/>
        </w:rPr>
      </w:pPr>
    </w:p>
    <w:p w14:paraId="0269BE0F" w14:textId="77777777" w:rsidR="001E1432" w:rsidRDefault="001E1432" w:rsidP="00E5341E">
      <w:pPr>
        <w:spacing w:after="120"/>
        <w:jc w:val="both"/>
        <w:rPr>
          <w:b/>
        </w:rPr>
      </w:pPr>
    </w:p>
    <w:p w14:paraId="2DACF388" w14:textId="77777777" w:rsidR="001E1432" w:rsidRDefault="001E1432" w:rsidP="00E5341E">
      <w:pPr>
        <w:spacing w:after="120"/>
        <w:jc w:val="both"/>
        <w:rPr>
          <w:b/>
        </w:rPr>
      </w:pPr>
    </w:p>
    <w:p w14:paraId="67F7A5E8" w14:textId="77777777" w:rsidR="00887007" w:rsidRPr="00887007" w:rsidRDefault="00887007" w:rsidP="00887007">
      <w:pPr>
        <w:tabs>
          <w:tab w:val="left" w:pos="1134"/>
          <w:tab w:val="left" w:pos="1588"/>
          <w:tab w:val="left" w:pos="1985"/>
        </w:tabs>
        <w:overflowPunct w:val="0"/>
        <w:autoSpaceDE w:val="0"/>
        <w:autoSpaceDN w:val="0"/>
        <w:adjustRightInd w:val="0"/>
        <w:spacing w:before="120"/>
        <w:jc w:val="both"/>
        <w:textAlignment w:val="baseline"/>
        <w:rPr>
          <w:rFonts w:eastAsia="Times New Roman"/>
          <w:szCs w:val="20"/>
          <w:lang w:val="en-GB"/>
        </w:rPr>
      </w:pPr>
    </w:p>
    <w:p w14:paraId="22A4A680" w14:textId="77777777" w:rsidR="00887007" w:rsidRPr="00887007" w:rsidRDefault="00887007" w:rsidP="00887007">
      <w:pPr>
        <w:tabs>
          <w:tab w:val="left" w:pos="1134"/>
          <w:tab w:val="left" w:pos="1588"/>
          <w:tab w:val="left" w:pos="1985"/>
        </w:tabs>
        <w:overflowPunct w:val="0"/>
        <w:autoSpaceDE w:val="0"/>
        <w:autoSpaceDN w:val="0"/>
        <w:adjustRightInd w:val="0"/>
        <w:spacing w:before="120"/>
        <w:jc w:val="both"/>
        <w:textAlignment w:val="baseline"/>
        <w:rPr>
          <w:rFonts w:eastAsia="Times New Roman"/>
          <w:szCs w:val="20"/>
          <w:lang w:val="en-GB"/>
        </w:rPr>
      </w:pPr>
    </w:p>
    <w:p w14:paraId="21944D0D" w14:textId="77777777" w:rsidR="00887007" w:rsidRPr="00887007" w:rsidRDefault="00887007" w:rsidP="00887007">
      <w:pPr>
        <w:widowControl w:val="0"/>
        <w:wordWrap w:val="0"/>
        <w:autoSpaceDE w:val="0"/>
        <w:autoSpaceDN w:val="0"/>
        <w:spacing w:after="160" w:line="259" w:lineRule="auto"/>
        <w:jc w:val="both"/>
        <w:rPr>
          <w:rFonts w:ascii="Malgun Gothic" w:eastAsia="Malgun Gothic" w:hAnsi="Malgun Gothic" w:cs="Cordia New"/>
          <w:kern w:val="2"/>
          <w:sz w:val="20"/>
          <w:szCs w:val="22"/>
          <w:highlight w:val="yellow"/>
          <w:lang w:eastAsia="ko-KR"/>
        </w:rPr>
      </w:pPr>
    </w:p>
    <w:p w14:paraId="5F077715" w14:textId="77777777" w:rsidR="001E1432" w:rsidRDefault="001E1432" w:rsidP="00E5341E">
      <w:pPr>
        <w:spacing w:after="120"/>
        <w:jc w:val="both"/>
        <w:rPr>
          <w:b/>
        </w:rPr>
      </w:pPr>
    </w:p>
    <w:p w14:paraId="3C7046D5" w14:textId="77777777" w:rsidR="001E1432" w:rsidRDefault="001E1432" w:rsidP="00E5341E">
      <w:pPr>
        <w:spacing w:after="120"/>
        <w:jc w:val="both"/>
        <w:rPr>
          <w:b/>
        </w:rPr>
      </w:pPr>
    </w:p>
    <w:p w14:paraId="3A5A29ED" w14:textId="77777777" w:rsidR="001E1432" w:rsidRDefault="001E1432" w:rsidP="00E5341E">
      <w:pPr>
        <w:spacing w:after="120"/>
        <w:jc w:val="both"/>
        <w:rPr>
          <w:b/>
        </w:rPr>
      </w:pPr>
    </w:p>
    <w:p w14:paraId="30074D0E" w14:textId="77777777" w:rsidR="0037421D" w:rsidRDefault="0037421D" w:rsidP="00E5341E">
      <w:pPr>
        <w:spacing w:after="120"/>
        <w:jc w:val="both"/>
        <w:rPr>
          <w:b/>
        </w:rPr>
      </w:pPr>
    </w:p>
    <w:p w14:paraId="2323D167" w14:textId="77777777" w:rsidR="0037421D" w:rsidRDefault="0037421D" w:rsidP="00E5341E">
      <w:pPr>
        <w:spacing w:after="120"/>
        <w:jc w:val="both"/>
        <w:rPr>
          <w:b/>
        </w:rPr>
      </w:pPr>
    </w:p>
    <w:p w14:paraId="3025228D" w14:textId="77777777" w:rsidR="0037421D" w:rsidRDefault="0037421D" w:rsidP="00E5341E">
      <w:pPr>
        <w:spacing w:after="120"/>
        <w:jc w:val="both"/>
        <w:rPr>
          <w:b/>
        </w:rPr>
      </w:pPr>
    </w:p>
    <w:p w14:paraId="1BAB55AA" w14:textId="77777777" w:rsidR="0037421D" w:rsidRDefault="0037421D" w:rsidP="00E5341E">
      <w:pPr>
        <w:spacing w:after="120"/>
        <w:jc w:val="both"/>
        <w:rPr>
          <w:b/>
        </w:rPr>
      </w:pPr>
    </w:p>
    <w:p w14:paraId="17021774" w14:textId="77777777" w:rsidR="0037421D" w:rsidRPr="00EC249E" w:rsidRDefault="0037421D" w:rsidP="00E5341E">
      <w:pPr>
        <w:spacing w:after="120"/>
        <w:jc w:val="both"/>
        <w:rPr>
          <w:b/>
        </w:rPr>
      </w:pPr>
    </w:p>
    <w:sectPr w:rsidR="0037421D" w:rsidRPr="00EC249E" w:rsidSect="00C64DF1">
      <w:headerReference w:type="even" r:id="rId10"/>
      <w:headerReference w:type="default" r:id="rId11"/>
      <w:footerReference w:type="even" r:id="rId12"/>
      <w:footerReference w:type="default" r:id="rId13"/>
      <w:headerReference w:type="first" r:id="rId14"/>
      <w:footerReference w:type="first" r:id="rId15"/>
      <w:pgSz w:w="11909" w:h="16834" w:code="9"/>
      <w:pgMar w:top="1152" w:right="1277"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3FAB" w14:textId="77777777" w:rsidR="00282A43" w:rsidRDefault="00282A43">
      <w:r>
        <w:separator/>
      </w:r>
    </w:p>
  </w:endnote>
  <w:endnote w:type="continuationSeparator" w:id="0">
    <w:p w14:paraId="16C19041" w14:textId="77777777" w:rsidR="00282A43" w:rsidRDefault="0028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12C2F159" w:rsidR="00051E1E" w:rsidRDefault="00051E1E">
    <w:pPr>
      <w:pStyle w:val="Footer"/>
    </w:pPr>
    <w:r>
      <w:t>A</w:t>
    </w:r>
    <w:r w:rsidR="001E1432">
      <w:t>PG23-</w:t>
    </w:r>
    <w:r w:rsidR="008624ED">
      <w:t>2</w:t>
    </w:r>
    <w:r>
      <w:t>/IN</w:t>
    </w:r>
    <w:r w:rsidR="00C72DA6">
      <w:t>F-03</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5F10C4B9" w:rsidR="00B54758" w:rsidRDefault="00EC249E" w:rsidP="007E7497">
          <w:pPr>
            <w:pStyle w:val="Equation"/>
            <w:tabs>
              <w:tab w:val="clear" w:pos="794"/>
              <w:tab w:val="clear" w:pos="4820"/>
              <w:tab w:val="clear" w:pos="9639"/>
            </w:tabs>
            <w:spacing w:beforeLines="0"/>
            <w:rPr>
              <w:rFonts w:eastAsia="Batang"/>
            </w:rPr>
          </w:pPr>
          <w:r>
            <w:rPr>
              <w:rFonts w:eastAsia="Batang"/>
            </w:rPr>
            <w:t>Name</w:t>
          </w:r>
          <w:r w:rsidR="00E54987">
            <w:rPr>
              <w:rFonts w:eastAsia="Batang"/>
            </w:rPr>
            <w:t>: Dr. Md. Sohel Rana</w:t>
          </w:r>
        </w:p>
        <w:p w14:paraId="39C5729B" w14:textId="3BB06A60" w:rsidR="00EC249E" w:rsidRDefault="00EC249E" w:rsidP="007E7497">
          <w:pPr>
            <w:pStyle w:val="Equation"/>
            <w:tabs>
              <w:tab w:val="clear" w:pos="794"/>
              <w:tab w:val="clear" w:pos="4820"/>
              <w:tab w:val="clear" w:pos="9639"/>
            </w:tabs>
            <w:spacing w:beforeLines="0"/>
            <w:rPr>
              <w:rFonts w:eastAsia="Batang"/>
            </w:rPr>
          </w:pPr>
          <w:r>
            <w:rPr>
              <w:rFonts w:eastAsia="Batang"/>
            </w:rPr>
            <w:t>Organization</w:t>
          </w:r>
          <w:r w:rsidR="00E54987">
            <w:rPr>
              <w:rFonts w:eastAsia="Batang"/>
            </w:rPr>
            <w:t>: Bangladesh Telecommunication Regulatory Commission (BTRC)</w:t>
          </w:r>
          <w:r>
            <w:rPr>
              <w:rFonts w:eastAsia="Batang"/>
            </w:rPr>
            <w:t xml:space="preserve">, </w:t>
          </w:r>
          <w:r w:rsidR="00E54987">
            <w:rPr>
              <w:rFonts w:eastAsia="Batang"/>
            </w:rPr>
            <w:t>Bangladesh</w:t>
          </w:r>
        </w:p>
      </w:tc>
      <w:tc>
        <w:tcPr>
          <w:tcW w:w="3024" w:type="dxa"/>
        </w:tcPr>
        <w:p w14:paraId="66CA6E30" w14:textId="70B4E9A7" w:rsidR="00B54758" w:rsidRDefault="00B54758" w:rsidP="00E23D98">
          <w:pPr>
            <w:rPr>
              <w:lang w:eastAsia="ja-JP"/>
            </w:rPr>
          </w:pPr>
          <w:r>
            <w:t>Email</w:t>
          </w:r>
          <w:r>
            <w:rPr>
              <w:rFonts w:hint="eastAsia"/>
            </w:rPr>
            <w:t>:</w:t>
          </w:r>
          <w:r>
            <w:t xml:space="preserve"> </w:t>
          </w:r>
          <w:hyperlink r:id="rId1" w:history="1">
            <w:r w:rsidR="00E54987" w:rsidRPr="00714A8C">
              <w:rPr>
                <w:rStyle w:val="Hyperlink"/>
              </w:rPr>
              <w:t>sohel@btrc.gov.bd</w:t>
            </w:r>
          </w:hyperlink>
          <w:r w:rsidR="00E54987">
            <w:t>; ranasohelbtrc@gmail.com</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573A" w14:textId="77777777" w:rsidR="00282A43" w:rsidRDefault="00282A43">
      <w:r>
        <w:separator/>
      </w:r>
    </w:p>
  </w:footnote>
  <w:footnote w:type="continuationSeparator" w:id="0">
    <w:p w14:paraId="42E3B755" w14:textId="77777777" w:rsidR="00282A43" w:rsidRDefault="0028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2306" w14:textId="77777777" w:rsidR="00C72DA6" w:rsidRDefault="00C7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F507" w14:textId="77777777" w:rsidR="00C72DA6" w:rsidRDefault="00C72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8227852"/>
    <w:multiLevelType w:val="hybridMultilevel"/>
    <w:tmpl w:val="49E6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2F7BB0"/>
    <w:multiLevelType w:val="hybridMultilevel"/>
    <w:tmpl w:val="AB5EB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D3951"/>
    <w:multiLevelType w:val="hybridMultilevel"/>
    <w:tmpl w:val="648A569C"/>
    <w:lvl w:ilvl="0" w:tplc="38A80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9"/>
  </w:num>
  <w:num w:numId="3">
    <w:abstractNumId w:val="7"/>
  </w:num>
  <w:num w:numId="4">
    <w:abstractNumId w:val="23"/>
  </w:num>
  <w:num w:numId="5">
    <w:abstractNumId w:val="12"/>
  </w:num>
  <w:num w:numId="6">
    <w:abstractNumId w:val="16"/>
  </w:num>
  <w:num w:numId="7">
    <w:abstractNumId w:val="6"/>
  </w:num>
  <w:num w:numId="8">
    <w:abstractNumId w:val="1"/>
  </w:num>
  <w:num w:numId="9">
    <w:abstractNumId w:val="25"/>
  </w:num>
  <w:num w:numId="10">
    <w:abstractNumId w:val="0"/>
  </w:num>
  <w:num w:numId="11">
    <w:abstractNumId w:val="24"/>
  </w:num>
  <w:num w:numId="12">
    <w:abstractNumId w:val="13"/>
  </w:num>
  <w:num w:numId="13">
    <w:abstractNumId w:val="19"/>
  </w:num>
  <w:num w:numId="14">
    <w:abstractNumId w:val="10"/>
  </w:num>
  <w:num w:numId="15">
    <w:abstractNumId w:val="4"/>
  </w:num>
  <w:num w:numId="16">
    <w:abstractNumId w:val="2"/>
  </w:num>
  <w:num w:numId="17">
    <w:abstractNumId w:val="5"/>
  </w:num>
  <w:num w:numId="18">
    <w:abstractNumId w:val="14"/>
  </w:num>
  <w:num w:numId="19">
    <w:abstractNumId w:val="20"/>
  </w:num>
  <w:num w:numId="20">
    <w:abstractNumId w:val="18"/>
  </w:num>
  <w:num w:numId="21">
    <w:abstractNumId w:val="8"/>
  </w:num>
  <w:num w:numId="22">
    <w:abstractNumId w:val="11"/>
  </w:num>
  <w:num w:numId="23">
    <w:abstractNumId w:val="21"/>
  </w:num>
  <w:num w:numId="24">
    <w:abstractNumId w:val="22"/>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3DF8"/>
    <w:rsid w:val="00066D43"/>
    <w:rsid w:val="000713CF"/>
    <w:rsid w:val="00074E3B"/>
    <w:rsid w:val="00075C14"/>
    <w:rsid w:val="00094B87"/>
    <w:rsid w:val="000964D0"/>
    <w:rsid w:val="000A1F8C"/>
    <w:rsid w:val="000A5418"/>
    <w:rsid w:val="000A754D"/>
    <w:rsid w:val="000B1E8C"/>
    <w:rsid w:val="000B595C"/>
    <w:rsid w:val="000D7C75"/>
    <w:rsid w:val="000E0713"/>
    <w:rsid w:val="000F517C"/>
    <w:rsid w:val="000F5540"/>
    <w:rsid w:val="00106B56"/>
    <w:rsid w:val="00122653"/>
    <w:rsid w:val="00125217"/>
    <w:rsid w:val="00130A94"/>
    <w:rsid w:val="00131FCA"/>
    <w:rsid w:val="00133947"/>
    <w:rsid w:val="00134CC7"/>
    <w:rsid w:val="00135C32"/>
    <w:rsid w:val="001433F1"/>
    <w:rsid w:val="001539DD"/>
    <w:rsid w:val="001614CF"/>
    <w:rsid w:val="00164353"/>
    <w:rsid w:val="00175BD2"/>
    <w:rsid w:val="0018114D"/>
    <w:rsid w:val="001832C2"/>
    <w:rsid w:val="001923E8"/>
    <w:rsid w:val="00196568"/>
    <w:rsid w:val="00197B92"/>
    <w:rsid w:val="001A2F16"/>
    <w:rsid w:val="001A34FF"/>
    <w:rsid w:val="001B18C2"/>
    <w:rsid w:val="001C4CD1"/>
    <w:rsid w:val="001D5D7E"/>
    <w:rsid w:val="001E1432"/>
    <w:rsid w:val="001F5947"/>
    <w:rsid w:val="0021588B"/>
    <w:rsid w:val="002216AC"/>
    <w:rsid w:val="002219FD"/>
    <w:rsid w:val="0023010A"/>
    <w:rsid w:val="00230738"/>
    <w:rsid w:val="00234735"/>
    <w:rsid w:val="00241BCF"/>
    <w:rsid w:val="00254A1B"/>
    <w:rsid w:val="0026736F"/>
    <w:rsid w:val="00275ED2"/>
    <w:rsid w:val="00280652"/>
    <w:rsid w:val="00282A43"/>
    <w:rsid w:val="0028454D"/>
    <w:rsid w:val="00286912"/>
    <w:rsid w:val="00287A2A"/>
    <w:rsid w:val="00291C9E"/>
    <w:rsid w:val="002926D4"/>
    <w:rsid w:val="002C07DA"/>
    <w:rsid w:val="002C7EA9"/>
    <w:rsid w:val="002F2F9A"/>
    <w:rsid w:val="003131A3"/>
    <w:rsid w:val="00336A0D"/>
    <w:rsid w:val="00342F20"/>
    <w:rsid w:val="00343067"/>
    <w:rsid w:val="00350B3D"/>
    <w:rsid w:val="00350EC2"/>
    <w:rsid w:val="003540E0"/>
    <w:rsid w:val="003548C2"/>
    <w:rsid w:val="0037421D"/>
    <w:rsid w:val="003809C7"/>
    <w:rsid w:val="003829E0"/>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A66D1"/>
    <w:rsid w:val="004B036C"/>
    <w:rsid w:val="004B3553"/>
    <w:rsid w:val="004F733C"/>
    <w:rsid w:val="00510C75"/>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4056"/>
    <w:rsid w:val="005E6C90"/>
    <w:rsid w:val="00607E2B"/>
    <w:rsid w:val="006139D6"/>
    <w:rsid w:val="00615999"/>
    <w:rsid w:val="00623CE1"/>
    <w:rsid w:val="006271AC"/>
    <w:rsid w:val="0063062B"/>
    <w:rsid w:val="00636BAD"/>
    <w:rsid w:val="0066388B"/>
    <w:rsid w:val="00667229"/>
    <w:rsid w:val="00675C31"/>
    <w:rsid w:val="006769C2"/>
    <w:rsid w:val="00682BE5"/>
    <w:rsid w:val="006843DA"/>
    <w:rsid w:val="00690FED"/>
    <w:rsid w:val="006939A5"/>
    <w:rsid w:val="006A15A4"/>
    <w:rsid w:val="006A6DB8"/>
    <w:rsid w:val="006B6778"/>
    <w:rsid w:val="006C0681"/>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B704B"/>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87007"/>
    <w:rsid w:val="008950FB"/>
    <w:rsid w:val="00897849"/>
    <w:rsid w:val="008A423E"/>
    <w:rsid w:val="008A73CD"/>
    <w:rsid w:val="008D084B"/>
    <w:rsid w:val="008D0E09"/>
    <w:rsid w:val="008E2D2B"/>
    <w:rsid w:val="008E3821"/>
    <w:rsid w:val="008F2153"/>
    <w:rsid w:val="008F301D"/>
    <w:rsid w:val="009306C7"/>
    <w:rsid w:val="00931CF9"/>
    <w:rsid w:val="00953737"/>
    <w:rsid w:val="00957294"/>
    <w:rsid w:val="00972289"/>
    <w:rsid w:val="0097693B"/>
    <w:rsid w:val="00993355"/>
    <w:rsid w:val="009A46BF"/>
    <w:rsid w:val="009A4A6D"/>
    <w:rsid w:val="009B74AC"/>
    <w:rsid w:val="009C0B35"/>
    <w:rsid w:val="009C361C"/>
    <w:rsid w:val="00A0503B"/>
    <w:rsid w:val="00A13265"/>
    <w:rsid w:val="00A16E8E"/>
    <w:rsid w:val="00A20980"/>
    <w:rsid w:val="00A31005"/>
    <w:rsid w:val="00A31185"/>
    <w:rsid w:val="00A50360"/>
    <w:rsid w:val="00A61724"/>
    <w:rsid w:val="00A61885"/>
    <w:rsid w:val="00A6710F"/>
    <w:rsid w:val="00A71136"/>
    <w:rsid w:val="00A901C2"/>
    <w:rsid w:val="00A93D24"/>
    <w:rsid w:val="00AA2D8E"/>
    <w:rsid w:val="00AA474C"/>
    <w:rsid w:val="00AB0EAD"/>
    <w:rsid w:val="00AB2572"/>
    <w:rsid w:val="00AC19BB"/>
    <w:rsid w:val="00AC1CA1"/>
    <w:rsid w:val="00AD7E5F"/>
    <w:rsid w:val="00AF6E67"/>
    <w:rsid w:val="00B01AA1"/>
    <w:rsid w:val="00B07848"/>
    <w:rsid w:val="00B24089"/>
    <w:rsid w:val="00B30C81"/>
    <w:rsid w:val="00B34275"/>
    <w:rsid w:val="00B3474C"/>
    <w:rsid w:val="00B448B8"/>
    <w:rsid w:val="00B4793B"/>
    <w:rsid w:val="00B54758"/>
    <w:rsid w:val="00B66740"/>
    <w:rsid w:val="00B676EF"/>
    <w:rsid w:val="00B97AC9"/>
    <w:rsid w:val="00BB7E96"/>
    <w:rsid w:val="00BC7506"/>
    <w:rsid w:val="00BD7D93"/>
    <w:rsid w:val="00BE672B"/>
    <w:rsid w:val="00BF3B34"/>
    <w:rsid w:val="00C12146"/>
    <w:rsid w:val="00C15633"/>
    <w:rsid w:val="00C15799"/>
    <w:rsid w:val="00C20F4D"/>
    <w:rsid w:val="00C256E8"/>
    <w:rsid w:val="00C26745"/>
    <w:rsid w:val="00C357AD"/>
    <w:rsid w:val="00C3644A"/>
    <w:rsid w:val="00C6069C"/>
    <w:rsid w:val="00C64DF1"/>
    <w:rsid w:val="00C66053"/>
    <w:rsid w:val="00C72DA6"/>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3521"/>
    <w:rsid w:val="00D57772"/>
    <w:rsid w:val="00D62779"/>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54987"/>
    <w:rsid w:val="00E65FC2"/>
    <w:rsid w:val="00E674D3"/>
    <w:rsid w:val="00E70D92"/>
    <w:rsid w:val="00E70FD0"/>
    <w:rsid w:val="00E80263"/>
    <w:rsid w:val="00EA0BBD"/>
    <w:rsid w:val="00EA7027"/>
    <w:rsid w:val="00EB2081"/>
    <w:rsid w:val="00EC249E"/>
    <w:rsid w:val="00EE3496"/>
    <w:rsid w:val="00EF2406"/>
    <w:rsid w:val="00F00257"/>
    <w:rsid w:val="00F27A79"/>
    <w:rsid w:val="00F3401E"/>
    <w:rsid w:val="00F43AAB"/>
    <w:rsid w:val="00F5332C"/>
    <w:rsid w:val="00F55E0A"/>
    <w:rsid w:val="00F626B7"/>
    <w:rsid w:val="00F650EB"/>
    <w:rsid w:val="00F84067"/>
    <w:rsid w:val="00F871F5"/>
    <w:rsid w:val="00F8797D"/>
    <w:rsid w:val="00FA146B"/>
    <w:rsid w:val="00FC156A"/>
    <w:rsid w:val="00FC7A38"/>
    <w:rsid w:val="00FE06C9"/>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004CA71D-5E00-4D38-BE01-81FDF281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A16E8E"/>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heme="minorEastAsia" w:hAnsi="Calibri" w:cs="Calibri"/>
      <w:i/>
      <w:szCs w:val="22"/>
    </w:rPr>
  </w:style>
  <w:style w:type="character" w:customStyle="1" w:styleId="CallChar">
    <w:name w:val="Call Char"/>
    <w:basedOn w:val="DefaultParagraphFont"/>
    <w:link w:val="Call"/>
    <w:locked/>
    <w:rsid w:val="00A16E8E"/>
    <w:rPr>
      <w:rFonts w:ascii="Calibri" w:eastAsiaTheme="minorEastAsia" w:hAnsi="Calibri" w:cs="Calibri"/>
      <w:i/>
      <w:sz w:val="24"/>
      <w:szCs w:val="22"/>
    </w:rPr>
  </w:style>
  <w:style w:type="paragraph" w:customStyle="1" w:styleId="Tabletext">
    <w:name w:val="Table_text"/>
    <w:basedOn w:val="Normal"/>
    <w:link w:val="TabletextChar"/>
    <w:rsid w:val="00A16E8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heme="minorEastAsia" w:hAnsi="Calibri" w:cs="Calibri"/>
      <w:sz w:val="20"/>
      <w:szCs w:val="22"/>
      <w:lang w:eastAsia="nl-NL"/>
    </w:rPr>
  </w:style>
  <w:style w:type="character" w:customStyle="1" w:styleId="TabletextChar">
    <w:name w:val="Table_text Char"/>
    <w:basedOn w:val="DefaultParagraphFont"/>
    <w:link w:val="Tabletext"/>
    <w:locked/>
    <w:rsid w:val="00A16E8E"/>
    <w:rPr>
      <w:rFonts w:ascii="Calibri" w:eastAsiaTheme="minorEastAsia" w:hAnsi="Calibri" w:cs="Calibri"/>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meetingdoc.asp?lang=en&amp;parent=R19-WP7C-C-0059"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sohel@btrc.gov.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588</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17</cp:revision>
  <cp:lastPrinted>2004-07-28T02:14:00Z</cp:lastPrinted>
  <dcterms:created xsi:type="dcterms:W3CDTF">2021-02-21T04:56:00Z</dcterms:created>
  <dcterms:modified xsi:type="dcterms:W3CDTF">2021-03-14T05:46:00Z</dcterms:modified>
</cp:coreProperties>
</file>