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0D1B7463" w:rsidR="007E1FDD" w:rsidRPr="00EB099E" w:rsidRDefault="001E1432" w:rsidP="007E7497">
            <w:pPr>
              <w:spacing w:before="40"/>
              <w:rPr>
                <w:rFonts w:cs="Angsana New"/>
                <w:b/>
                <w:bCs/>
                <w:szCs w:val="30"/>
                <w:lang w:bidi="th-TH"/>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EB099E">
              <w:rPr>
                <w:rFonts w:cs="Angsana New"/>
                <w:b/>
                <w:bCs/>
                <w:szCs w:val="30"/>
                <w:lang w:bidi="th-TH"/>
              </w:rPr>
              <w:t>04</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67AF0150" w:rsidR="007E1FDD" w:rsidRPr="007E1FDD" w:rsidRDefault="00EB099E" w:rsidP="00C73F61">
            <w:pPr>
              <w:spacing w:before="40"/>
              <w:rPr>
                <w:bCs/>
              </w:rPr>
            </w:pPr>
            <w:r>
              <w:rPr>
                <w:bCs/>
              </w:rPr>
              <w:t>14</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72174A4B" w:rsidR="00DA7595" w:rsidRPr="00051E1E" w:rsidRDefault="00EA0BBD" w:rsidP="00DA7595">
      <w:pPr>
        <w:jc w:val="center"/>
        <w:rPr>
          <w:lang w:eastAsia="ko-KR"/>
        </w:rPr>
      </w:pPr>
      <w:r>
        <w:rPr>
          <w:lang w:eastAsia="ko-KR"/>
        </w:rPr>
        <w:t xml:space="preserve">Chairman, DG on AI </w:t>
      </w:r>
      <w:r w:rsidR="0072556E">
        <w:rPr>
          <w:rFonts w:eastAsia="MS Mincho" w:hint="eastAsia"/>
          <w:lang w:eastAsia="ja-JP"/>
        </w:rPr>
        <w:t>9</w:t>
      </w:r>
      <w:r>
        <w:rPr>
          <w:lang w:eastAsia="ko-KR"/>
        </w:rPr>
        <w:t>.</w:t>
      </w:r>
      <w:r w:rsidR="0072556E">
        <w:rPr>
          <w:lang w:eastAsia="ko-KR"/>
        </w:rPr>
        <w:t xml:space="preserve">1 </w:t>
      </w:r>
      <w:r w:rsidR="00C93949">
        <w:rPr>
          <w:lang w:eastAsia="ko-KR"/>
        </w:rPr>
        <w:t>t</w:t>
      </w:r>
      <w:r w:rsidR="0072556E">
        <w:rPr>
          <w:lang w:eastAsia="ko-KR"/>
        </w:rPr>
        <w:t>opic a</w:t>
      </w:r>
    </w:p>
    <w:p w14:paraId="49B50650" w14:textId="77777777" w:rsidR="007E7497" w:rsidRPr="00B355DB" w:rsidRDefault="007E7497" w:rsidP="007E7497">
      <w:pPr>
        <w:jc w:val="center"/>
        <w:rPr>
          <w:caps/>
        </w:rPr>
      </w:pPr>
    </w:p>
    <w:p w14:paraId="40C01037" w14:textId="334DBD8C" w:rsidR="007E7497" w:rsidRPr="00F22892" w:rsidRDefault="00EA0BBD" w:rsidP="007E7497">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 xml:space="preserve">agenda item </w:t>
      </w:r>
      <w:r w:rsidR="0072556E">
        <w:rPr>
          <w:b/>
          <w:bCs/>
          <w:caps/>
        </w:rPr>
        <w:t>9</w:t>
      </w:r>
      <w:r>
        <w:rPr>
          <w:b/>
          <w:bCs/>
          <w:caps/>
        </w:rPr>
        <w:t>.</w:t>
      </w:r>
      <w:r w:rsidR="0072556E">
        <w:rPr>
          <w:b/>
          <w:bCs/>
          <w:caps/>
        </w:rPr>
        <w:t>1 topic a</w:t>
      </w:r>
    </w:p>
    <w:p w14:paraId="233AF010" w14:textId="77777777" w:rsidR="007E7497" w:rsidRPr="005E3896" w:rsidRDefault="007E7497" w:rsidP="007E7497">
      <w:pPr>
        <w:jc w:val="both"/>
        <w:rPr>
          <w:bCs/>
          <w:sz w:val="6"/>
        </w:rPr>
      </w:pPr>
    </w:p>
    <w:p w14:paraId="271866BD" w14:textId="77777777" w:rsidR="00D84CEE" w:rsidRPr="00D84CEE" w:rsidRDefault="00D84CEE" w:rsidP="00D84CEE">
      <w:pPr>
        <w:jc w:val="both"/>
        <w:rPr>
          <w:sz w:val="10"/>
        </w:rPr>
      </w:pPr>
    </w:p>
    <w:p w14:paraId="030D99E3" w14:textId="77777777" w:rsidR="00EC249E" w:rsidRDefault="00EC249E" w:rsidP="00E5341E">
      <w:pPr>
        <w:spacing w:after="120"/>
        <w:jc w:val="both"/>
        <w:rPr>
          <w:b/>
        </w:rPr>
      </w:pPr>
    </w:p>
    <w:p w14:paraId="4E1693DC" w14:textId="063BE3AB" w:rsidR="00615999" w:rsidRPr="00441526" w:rsidRDefault="00615999" w:rsidP="00615999">
      <w:pPr>
        <w:spacing w:after="120"/>
        <w:jc w:val="both"/>
        <w:rPr>
          <w:lang w:val="en-NZ"/>
        </w:rPr>
      </w:pPr>
      <w:r w:rsidRPr="00441526">
        <w:rPr>
          <w:b/>
          <w:lang w:val="en-NZ"/>
        </w:rPr>
        <w:t xml:space="preserve">Agenda Item </w:t>
      </w:r>
      <w:r w:rsidR="0072556E">
        <w:rPr>
          <w:b/>
          <w:lang w:val="en-NZ"/>
        </w:rPr>
        <w:t>9</w:t>
      </w:r>
      <w:r w:rsidRPr="00441526">
        <w:rPr>
          <w:b/>
          <w:lang w:val="en-NZ"/>
        </w:rPr>
        <w:t>.</w:t>
      </w:r>
      <w:r w:rsidR="0072556E">
        <w:rPr>
          <w:b/>
          <w:lang w:val="en-NZ"/>
        </w:rPr>
        <w:t xml:space="preserve">1 </w:t>
      </w:r>
      <w:r w:rsidR="00C93949">
        <w:rPr>
          <w:b/>
          <w:lang w:val="en-NZ"/>
        </w:rPr>
        <w:t>t</w:t>
      </w:r>
      <w:r w:rsidR="0072556E">
        <w:rPr>
          <w:b/>
          <w:lang w:val="en-NZ"/>
        </w:rPr>
        <w:t>opic a</w:t>
      </w:r>
      <w:r w:rsidRPr="00441526">
        <w:rPr>
          <w:b/>
          <w:lang w:val="en-NZ"/>
        </w:rPr>
        <w:t xml:space="preserve">: </w:t>
      </w:r>
    </w:p>
    <w:p w14:paraId="72E1C268" w14:textId="77777777" w:rsidR="002B6EFF" w:rsidRPr="002B6EFF" w:rsidRDefault="002B6EFF" w:rsidP="002B6EFF">
      <w:pPr>
        <w:spacing w:after="120"/>
        <w:jc w:val="both"/>
        <w:rPr>
          <w:i/>
          <w:lang w:val="en-NZ"/>
        </w:rPr>
      </w:pPr>
      <w:r w:rsidRPr="002B6EFF">
        <w:rPr>
          <w:i/>
          <w:lang w:val="en-NZ"/>
        </w:rPr>
        <w:t>9.1</w:t>
      </w:r>
      <w:r w:rsidRPr="002B6EFF">
        <w:rPr>
          <w:i/>
          <w:lang w:val="en-NZ"/>
        </w:rPr>
        <w:tab/>
        <w:t>on the activities of the ITU Radiocommunication Sector since WRC 19:</w:t>
      </w:r>
    </w:p>
    <w:p w14:paraId="3E348BDD" w14:textId="373956D9" w:rsidR="002B6EFF" w:rsidRDefault="002B6EFF" w:rsidP="002B6EFF">
      <w:pPr>
        <w:spacing w:after="120"/>
        <w:ind w:left="720" w:hangingChars="300" w:hanging="720"/>
        <w:jc w:val="both"/>
        <w:rPr>
          <w:i/>
          <w:lang w:val="en-NZ"/>
        </w:rPr>
      </w:pPr>
      <w:r w:rsidRPr="002B6EFF">
        <w:rPr>
          <w:rFonts w:hint="eastAsia"/>
          <w:i/>
          <w:lang w:val="en-NZ"/>
        </w:rPr>
        <w:t>–</w:t>
      </w:r>
      <w:r w:rsidRPr="002B6EFF">
        <w:rPr>
          <w:i/>
          <w:lang w:val="en-NZ"/>
        </w:rPr>
        <w:tab/>
        <w:t>In accordance with Resolution</w:t>
      </w:r>
      <w:r w:rsidRPr="002B6EFF">
        <w:rPr>
          <w:b/>
          <w:bCs/>
          <w:i/>
          <w:lang w:val="en-NZ"/>
        </w:rPr>
        <w:t xml:space="preserve"> 657 (Rev. WRC 19)</w:t>
      </w:r>
      <w:r w:rsidRPr="002B6EFF">
        <w:rPr>
          <w:i/>
          <w:lang w:val="en-NZ"/>
        </w:rPr>
        <w:t xml:space="preserve">, review the results of studies relating to the technical and operational characteristics, spectrum requirements and appropriate radio service designations for space weather sensors with a view to describing appropriate recognition and protection in the Radio Regulations without placing additional constraints on incumbent </w:t>
      </w:r>
      <w:proofErr w:type="gramStart"/>
      <w:r w:rsidRPr="002B6EFF">
        <w:rPr>
          <w:i/>
          <w:lang w:val="en-NZ"/>
        </w:rPr>
        <w:t>services;</w:t>
      </w:r>
      <w:proofErr w:type="gramEnd"/>
    </w:p>
    <w:p w14:paraId="2DC5A092" w14:textId="77777777" w:rsidR="006767FB" w:rsidRDefault="006767FB" w:rsidP="002B6EFF">
      <w:pPr>
        <w:spacing w:after="120"/>
        <w:ind w:left="720" w:hangingChars="300" w:hanging="720"/>
        <w:jc w:val="both"/>
        <w:rPr>
          <w:i/>
          <w:lang w:val="en-NZ"/>
        </w:rPr>
      </w:pPr>
    </w:p>
    <w:p w14:paraId="3BD549DE" w14:textId="56FA60BB" w:rsidR="0037421D" w:rsidRPr="00615999"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6767FB" w:rsidRPr="006767FB" w14:paraId="4A1CA755" w14:textId="77777777" w:rsidTr="00395A72">
        <w:trPr>
          <w:jc w:val="center"/>
        </w:trPr>
        <w:tc>
          <w:tcPr>
            <w:tcW w:w="2287" w:type="dxa"/>
          </w:tcPr>
          <w:p w14:paraId="7DDB189D" w14:textId="77777777" w:rsidR="007D443F" w:rsidRPr="006767FB" w:rsidRDefault="007D443F" w:rsidP="007D44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767FB">
              <w:rPr>
                <w:rFonts w:eastAsia="Batang"/>
                <w:lang w:eastAsia="nl-NL"/>
              </w:rPr>
              <w:t xml:space="preserve">Resolution </w:t>
            </w:r>
            <w:r w:rsidRPr="006767FB">
              <w:rPr>
                <w:rFonts w:eastAsia="Batang"/>
                <w:b/>
                <w:bCs/>
                <w:lang w:eastAsia="nl-NL"/>
              </w:rPr>
              <w:t>657</w:t>
            </w:r>
            <w:r w:rsidRPr="006767FB">
              <w:rPr>
                <w:rFonts w:eastAsia="Batang"/>
                <w:lang w:eastAsia="nl-NL"/>
              </w:rPr>
              <w:t xml:space="preserve"> </w:t>
            </w:r>
            <w:r w:rsidRPr="006767FB">
              <w:rPr>
                <w:rFonts w:eastAsia="Batang"/>
                <w:b/>
                <w:bCs/>
                <w:lang w:eastAsia="nl-NL"/>
              </w:rPr>
              <w:t>(Rev.WRC-19)</w:t>
            </w:r>
          </w:p>
          <w:p w14:paraId="17BFA2B7" w14:textId="594C2F5A" w:rsidR="00615999" w:rsidRPr="006767FB" w:rsidRDefault="007D443F" w:rsidP="007D443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lang w:eastAsia="nl-NL"/>
              </w:rPr>
            </w:pPr>
            <w:r w:rsidRPr="006767FB">
              <w:rPr>
                <w:rFonts w:eastAsia="Batang"/>
                <w:lang w:eastAsia="nl-NL"/>
              </w:rPr>
              <w:t>Protection of radio spectrum-reliant space weather sensors used for global prediction and warnings</w:t>
            </w:r>
          </w:p>
        </w:tc>
        <w:tc>
          <w:tcPr>
            <w:tcW w:w="6922" w:type="dxa"/>
          </w:tcPr>
          <w:p w14:paraId="2DD2166E" w14:textId="5D15A8BD" w:rsidR="00615999" w:rsidRPr="006767FB" w:rsidRDefault="00D86CAA" w:rsidP="00395A72">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6767FB">
              <w:rPr>
                <w:rFonts w:eastAsia="MS Mincho"/>
                <w:i/>
                <w:iCs/>
              </w:rPr>
              <w:t>resolves to invite ITU-</w:t>
            </w:r>
            <w:proofErr w:type="gramStart"/>
            <w:r w:rsidRPr="006767FB">
              <w:rPr>
                <w:rFonts w:eastAsia="MS Mincho"/>
                <w:i/>
                <w:iCs/>
              </w:rPr>
              <w:t>R</w:t>
            </w:r>
            <w:proofErr w:type="gramEnd"/>
          </w:p>
          <w:p w14:paraId="047BBEB6" w14:textId="3916A315"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1</w:t>
            </w:r>
            <w:r w:rsidRPr="006767FB">
              <w:rPr>
                <w:rFonts w:eastAsia="???"/>
                <w:lang w:eastAsia="nl-NL"/>
              </w:rPr>
              <w:tab/>
              <w:t>to identify, in time for WRC</w:t>
            </w:r>
            <w:r w:rsidR="004F4588" w:rsidRPr="006767FB">
              <w:rPr>
                <w:rFonts w:eastAsia="???"/>
                <w:lang w:eastAsia="nl-NL"/>
              </w:rPr>
              <w:t>-</w:t>
            </w:r>
            <w:r w:rsidRPr="006767FB">
              <w:rPr>
                <w:rFonts w:eastAsia="???"/>
                <w:lang w:eastAsia="nl-NL"/>
              </w:rPr>
              <w:t>23, and based on existing and possible further ITU R studies on the technical and operational characteristics, specific space weather sensors which need to be protected by appropriate regulation, including:</w:t>
            </w:r>
          </w:p>
          <w:p w14:paraId="1A500836" w14:textId="77777777"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hint="eastAsia"/>
                <w:lang w:eastAsia="nl-NL"/>
              </w:rPr>
              <w:t>–</w:t>
            </w:r>
            <w:r w:rsidRPr="006767FB">
              <w:rPr>
                <w:rFonts w:eastAsia="???"/>
                <w:lang w:eastAsia="nl-NL"/>
              </w:rPr>
              <w:tab/>
              <w:t xml:space="preserve">to determine if receive-only space weather sensors shall be designated as applications of the </w:t>
            </w:r>
            <w:proofErr w:type="spellStart"/>
            <w:r w:rsidRPr="006767FB">
              <w:rPr>
                <w:rFonts w:eastAsia="???"/>
                <w:lang w:eastAsia="nl-NL"/>
              </w:rPr>
              <w:t>Metaids</w:t>
            </w:r>
            <w:proofErr w:type="spellEnd"/>
            <w:r w:rsidRPr="006767FB">
              <w:rPr>
                <w:rFonts w:eastAsia="???"/>
                <w:lang w:eastAsia="nl-NL"/>
              </w:rPr>
              <w:t xml:space="preserve"> service;</w:t>
            </w:r>
          </w:p>
          <w:p w14:paraId="246D3AB5" w14:textId="0B23955A"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hint="eastAsia"/>
                <w:lang w:eastAsia="nl-NL"/>
              </w:rPr>
              <w:t>–</w:t>
            </w:r>
            <w:r w:rsidRPr="006767FB">
              <w:rPr>
                <w:rFonts w:eastAsia="???"/>
                <w:lang w:eastAsia="nl-NL"/>
              </w:rPr>
              <w:tab/>
              <w:t xml:space="preserve">to determine the appropriate radiocommunication service, if any, for cases where it is determined that receive-only space weather sensors do not fall under the </w:t>
            </w:r>
            <w:proofErr w:type="spellStart"/>
            <w:r w:rsidRPr="006767FB">
              <w:rPr>
                <w:rFonts w:eastAsia="???"/>
                <w:lang w:eastAsia="nl-NL"/>
              </w:rPr>
              <w:t>Metaids</w:t>
            </w:r>
            <w:proofErr w:type="spellEnd"/>
            <w:r w:rsidRPr="006767FB">
              <w:rPr>
                <w:rFonts w:eastAsia="???"/>
                <w:lang w:eastAsia="nl-NL"/>
              </w:rPr>
              <w:t xml:space="preserve"> service;</w:t>
            </w:r>
          </w:p>
          <w:p w14:paraId="6A6AAE28" w14:textId="74EB5684"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2</w:t>
            </w:r>
            <w:r w:rsidRPr="006767FB">
              <w:rPr>
                <w:rFonts w:eastAsia="???"/>
                <w:lang w:eastAsia="nl-NL"/>
              </w:rPr>
              <w:tab/>
              <w:t>to conduct, in time for WRC</w:t>
            </w:r>
            <w:r w:rsidR="004F4588" w:rsidRPr="006767FB">
              <w:rPr>
                <w:rFonts w:eastAsia="???"/>
                <w:lang w:eastAsia="nl-NL"/>
              </w:rPr>
              <w:t>-</w:t>
            </w:r>
            <w:r w:rsidRPr="006767FB">
              <w:rPr>
                <w:rFonts w:eastAsia="???"/>
                <w:lang w:eastAsia="nl-NL"/>
              </w:rPr>
              <w:t xml:space="preserve">23, any necessary sharing studies with incumbent systems operating in frequency bands used by space weather sensors with the objective of determining potential regulatory provisions that can be provided to receive-only operational space weather sensors for their appropriate recognition in the Radio Regulations, while not placing additional constraints on incumbent </w:t>
            </w:r>
            <w:proofErr w:type="gramStart"/>
            <w:r w:rsidRPr="006767FB">
              <w:rPr>
                <w:rFonts w:eastAsia="???"/>
                <w:lang w:eastAsia="nl-NL"/>
              </w:rPr>
              <w:t>services;</w:t>
            </w:r>
            <w:proofErr w:type="gramEnd"/>
          </w:p>
          <w:p w14:paraId="19A81A96" w14:textId="77777777"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3</w:t>
            </w:r>
            <w:r w:rsidRPr="006767FB">
              <w:rPr>
                <w:rFonts w:eastAsia="???"/>
                <w:lang w:eastAsia="nl-NL"/>
              </w:rPr>
              <w:tab/>
              <w:t xml:space="preserve">to develop potential solutions to describe in the Radio Regulations in Articles </w:t>
            </w:r>
            <w:r w:rsidRPr="006767FB">
              <w:rPr>
                <w:rFonts w:eastAsia="???"/>
                <w:b/>
                <w:bCs/>
                <w:lang w:eastAsia="nl-NL"/>
              </w:rPr>
              <w:t>1</w:t>
            </w:r>
            <w:r w:rsidRPr="006767FB">
              <w:rPr>
                <w:rFonts w:eastAsia="???"/>
                <w:lang w:eastAsia="nl-NL"/>
              </w:rPr>
              <w:t xml:space="preserve"> and </w:t>
            </w:r>
            <w:r w:rsidRPr="006767FB">
              <w:rPr>
                <w:rFonts w:eastAsia="???"/>
                <w:b/>
                <w:bCs/>
                <w:lang w:eastAsia="nl-NL"/>
              </w:rPr>
              <w:t>4</w:t>
            </w:r>
            <w:r w:rsidRPr="006767FB">
              <w:rPr>
                <w:rFonts w:eastAsia="???"/>
                <w:lang w:eastAsia="nl-NL"/>
              </w:rPr>
              <w:t xml:space="preserve">, and/or as a WRC resolution, if deemed appropriate, for consideration by WRC-23, space weather sensor systems and their corresponding usage, as well as protection requirements for receive-only space weather </w:t>
            </w:r>
            <w:proofErr w:type="gramStart"/>
            <w:r w:rsidRPr="006767FB">
              <w:rPr>
                <w:rFonts w:eastAsia="???"/>
                <w:lang w:eastAsia="nl-NL"/>
              </w:rPr>
              <w:t>sensors;</w:t>
            </w:r>
            <w:proofErr w:type="gramEnd"/>
          </w:p>
          <w:p w14:paraId="6110AF1A" w14:textId="77777777"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4</w:t>
            </w:r>
            <w:r w:rsidRPr="006767FB">
              <w:rPr>
                <w:rFonts w:eastAsia="???"/>
                <w:lang w:eastAsia="nl-NL"/>
              </w:rPr>
              <w:tab/>
              <w:t xml:space="preserve">to conduct studies, in time for WRC 23, on the technical and operational characteristics of active space weather sensors and conduct necessary sharing studies with incumbent systems operating in frequency bands used by active space weather sensors, with the </w:t>
            </w:r>
            <w:r w:rsidRPr="006767FB">
              <w:rPr>
                <w:rFonts w:eastAsia="???"/>
                <w:lang w:eastAsia="nl-NL"/>
              </w:rPr>
              <w:lastRenderedPageBreak/>
              <w:t>objective of determining the appropriate radiocommunication service for those sensors,</w:t>
            </w:r>
          </w:p>
          <w:p w14:paraId="61B073DE" w14:textId="46AB76E4" w:rsidR="00D86CAA" w:rsidRPr="006767FB" w:rsidRDefault="007274F5" w:rsidP="00D86CAA">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6767FB">
              <w:rPr>
                <w:rFonts w:eastAsia="???"/>
                <w:i/>
                <w:iCs/>
                <w:lang w:eastAsia="nl-NL"/>
              </w:rPr>
              <w:t>instructs the Director of the Radiocommunication Bureau</w:t>
            </w:r>
          </w:p>
          <w:p w14:paraId="6F2557D6" w14:textId="462E0337" w:rsidR="00D86CAA" w:rsidRPr="006767FB" w:rsidRDefault="00D86CAA" w:rsidP="00D86CAA">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to report on the results of the ITU-R studies to WRC-23,</w:t>
            </w:r>
          </w:p>
          <w:p w14:paraId="0C59B160" w14:textId="43882B8A" w:rsidR="00EA24DD" w:rsidRPr="006767FB" w:rsidRDefault="00EA24DD" w:rsidP="00EA24DD">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6767FB">
              <w:rPr>
                <w:rFonts w:eastAsia="???"/>
                <w:i/>
                <w:iCs/>
                <w:lang w:eastAsia="nl-NL"/>
              </w:rPr>
              <w:t xml:space="preserve">invites </w:t>
            </w:r>
            <w:proofErr w:type="gramStart"/>
            <w:r w:rsidRPr="006767FB">
              <w:rPr>
                <w:rFonts w:eastAsia="???"/>
                <w:i/>
                <w:iCs/>
                <w:lang w:eastAsia="nl-NL"/>
              </w:rPr>
              <w:t>administrations</w:t>
            </w:r>
            <w:proofErr w:type="gramEnd"/>
          </w:p>
          <w:p w14:paraId="566D7100" w14:textId="59FB2339" w:rsidR="00EA24DD" w:rsidRPr="006767FB" w:rsidRDefault="00EA24DD" w:rsidP="00EA24DD">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to participate actively in the studies and provide the technical and operational characteristics of the systems involved by submitting contributions to ITU R,</w:t>
            </w:r>
          </w:p>
          <w:p w14:paraId="0B433E89" w14:textId="5FC16239" w:rsidR="00EA24DD" w:rsidRPr="006767FB" w:rsidRDefault="00EA24DD" w:rsidP="00EA24DD">
            <w:pPr>
              <w:keepNext/>
              <w:keepLines/>
              <w:tabs>
                <w:tab w:val="left" w:pos="794"/>
                <w:tab w:val="left" w:pos="1191"/>
                <w:tab w:val="left" w:pos="1588"/>
                <w:tab w:val="left" w:pos="1985"/>
              </w:tabs>
              <w:overflowPunct w:val="0"/>
              <w:adjustRightInd w:val="0"/>
              <w:spacing w:before="40" w:after="40" w:line="280" w:lineRule="exact"/>
              <w:ind w:left="794"/>
              <w:textAlignment w:val="baseline"/>
              <w:rPr>
                <w:rFonts w:eastAsia="Batang"/>
                <w:i/>
                <w:iCs/>
              </w:rPr>
            </w:pPr>
            <w:r w:rsidRPr="006767FB">
              <w:rPr>
                <w:rFonts w:eastAsia="???"/>
                <w:i/>
                <w:iCs/>
                <w:lang w:eastAsia="nl-NL"/>
              </w:rPr>
              <w:t xml:space="preserve">instructs the </w:t>
            </w:r>
            <w:proofErr w:type="gramStart"/>
            <w:r w:rsidRPr="006767FB">
              <w:rPr>
                <w:rFonts w:eastAsia="???"/>
                <w:i/>
                <w:iCs/>
                <w:lang w:eastAsia="nl-NL"/>
              </w:rPr>
              <w:t>Secretary-General</w:t>
            </w:r>
            <w:proofErr w:type="gramEnd"/>
          </w:p>
          <w:p w14:paraId="23E60363" w14:textId="350E0312" w:rsidR="00615999" w:rsidRPr="006767FB" w:rsidRDefault="00EA24DD"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
                <w:lang w:eastAsia="nl-NL"/>
              </w:rPr>
            </w:pPr>
            <w:r w:rsidRPr="006767FB">
              <w:rPr>
                <w:rFonts w:eastAsia="???"/>
                <w:lang w:eastAsia="nl-NL"/>
              </w:rPr>
              <w:t>to bring this Resolution to the attention of the World Meteorological Organization (WMO) and other international and regional organizations concerned.</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F35F17" w:rsidRPr="00F35F17" w14:paraId="201407FC" w14:textId="77777777" w:rsidTr="00395A72">
        <w:tc>
          <w:tcPr>
            <w:tcW w:w="5113" w:type="dxa"/>
          </w:tcPr>
          <w:p w14:paraId="49F372C5" w14:textId="77777777" w:rsidR="00615999" w:rsidRPr="00F35F17" w:rsidRDefault="00615999" w:rsidP="00395A72">
            <w:r w:rsidRPr="00F35F17">
              <w:rPr>
                <w:rFonts w:eastAsia="Batang"/>
                <w:b/>
              </w:rPr>
              <w:t>Responsible group</w:t>
            </w:r>
          </w:p>
        </w:tc>
        <w:tc>
          <w:tcPr>
            <w:tcW w:w="3908" w:type="dxa"/>
          </w:tcPr>
          <w:p w14:paraId="1B86DE8A" w14:textId="77777777" w:rsidR="00615999" w:rsidRPr="00F35F17" w:rsidRDefault="00615999" w:rsidP="00395A72">
            <w:r w:rsidRPr="00F35F17">
              <w:rPr>
                <w:rFonts w:eastAsia="Batang"/>
                <w:b/>
              </w:rPr>
              <w:t>Contributing group</w:t>
            </w:r>
          </w:p>
        </w:tc>
      </w:tr>
      <w:tr w:rsidR="00F35F17" w:rsidRPr="00F35F17" w14:paraId="62627DE7" w14:textId="77777777" w:rsidTr="00395A72">
        <w:tc>
          <w:tcPr>
            <w:tcW w:w="5113" w:type="dxa"/>
          </w:tcPr>
          <w:p w14:paraId="2FF0C3D0" w14:textId="1D850BA8" w:rsidR="00615999" w:rsidRPr="00F35F17" w:rsidRDefault="00662FBF" w:rsidP="00662FBF">
            <w:pPr>
              <w:jc w:val="center"/>
            </w:pPr>
            <w:r w:rsidRPr="00F35F17">
              <w:rPr>
                <w:rFonts w:eastAsia="Batang"/>
                <w:b/>
                <w:lang w:eastAsia="nl-NL"/>
              </w:rPr>
              <w:t>WP 7C</w:t>
            </w:r>
          </w:p>
        </w:tc>
        <w:tc>
          <w:tcPr>
            <w:tcW w:w="3908" w:type="dxa"/>
          </w:tcPr>
          <w:p w14:paraId="4294D2A9" w14:textId="1D8A02BD" w:rsidR="00615999" w:rsidRPr="00F35F17" w:rsidRDefault="00662FBF" w:rsidP="00395A72">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pPr>
            <w:r w:rsidRPr="00F35F17">
              <w:rPr>
                <w:rFonts w:eastAsia="Batang"/>
                <w:b/>
                <w:lang w:eastAsia="nl-NL"/>
              </w:rPr>
              <w:t>WP 1B, WP 3J, WP 3K, WP 3L, WP 3M, WP4A, WP4C, WP 5A, WP 5B, WP 5C, WP5D, WP 6A, WP 7D</w:t>
            </w:r>
          </w:p>
        </w:tc>
      </w:tr>
    </w:tbl>
    <w:p w14:paraId="5CBC4012" w14:textId="77777777" w:rsidR="00615999" w:rsidRDefault="00615999" w:rsidP="00E5341E">
      <w:pPr>
        <w:spacing w:after="120"/>
        <w:jc w:val="both"/>
        <w:rPr>
          <w:b/>
        </w:rPr>
      </w:pPr>
    </w:p>
    <w:p w14:paraId="556060EE" w14:textId="5AC2718D" w:rsidR="00D06742" w:rsidRPr="00441526" w:rsidRDefault="00D06742" w:rsidP="00D06742">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1F1C61C0" w14:textId="1675C031" w:rsidR="009E254D" w:rsidRDefault="009E254D" w:rsidP="0045638D">
      <w:pPr>
        <w:widowControl w:val="0"/>
        <w:autoSpaceDE w:val="0"/>
        <w:autoSpaceDN w:val="0"/>
        <w:spacing w:beforeLines="50" w:before="120"/>
        <w:ind w:leftChars="300" w:left="720"/>
        <w:jc w:val="both"/>
      </w:pPr>
      <w:r w:rsidRPr="009E254D">
        <w:t xml:space="preserve">Space weather refers to the physical processes occurring in the space environment that ultimately affects human activities on Earth and in space. Space weather is influenced by the </w:t>
      </w:r>
      <w:r w:rsidR="00D807A0">
        <w:t>X-ray, U</w:t>
      </w:r>
      <w:r w:rsidR="00D807A0" w:rsidRPr="008E32E7">
        <w:rPr>
          <w:rFonts w:eastAsia="MS Mincho" w:hint="eastAsia"/>
          <w:lang w:eastAsia="ja-JP"/>
        </w:rPr>
        <w:t>l</w:t>
      </w:r>
      <w:r w:rsidR="00D807A0" w:rsidRPr="008E32E7">
        <w:rPr>
          <w:rFonts w:eastAsia="MS Mincho"/>
          <w:lang w:eastAsia="ja-JP"/>
        </w:rPr>
        <w:t>traviolet (U</w:t>
      </w:r>
      <w:r w:rsidR="00D807A0">
        <w:t xml:space="preserve">V), high energic particles and </w:t>
      </w:r>
      <w:r w:rsidR="00D807A0" w:rsidRPr="008E32E7">
        <w:rPr>
          <w:rFonts w:eastAsia="MS Mincho" w:hint="eastAsia"/>
          <w:lang w:eastAsia="ja-JP"/>
        </w:rPr>
        <w:t>s</w:t>
      </w:r>
      <w:r w:rsidR="00D807A0" w:rsidRPr="008E32E7">
        <w:rPr>
          <w:rFonts w:eastAsia="MS Mincho"/>
          <w:lang w:eastAsia="ja-JP"/>
        </w:rPr>
        <w:t xml:space="preserve">trong </w:t>
      </w:r>
      <w:r w:rsidRPr="009E254D">
        <w:t xml:space="preserve">solar wind </w:t>
      </w:r>
      <w:r w:rsidR="00D807A0">
        <w:t>generated by Coronal Mass Ejection (CME)</w:t>
      </w:r>
      <w:r w:rsidRPr="009E254D">
        <w:t xml:space="preserve">. Space weather observations are important for detecting </w:t>
      </w:r>
      <w:r w:rsidR="00D807A0" w:rsidRPr="00D807A0">
        <w:t xml:space="preserve">and forecasting </w:t>
      </w:r>
      <w:r w:rsidRPr="009E254D">
        <w:t>solar activity events that impact services critical to the economy, safety and security of administrations and their population. These observations are made from ground-based and space-based systems. Some of the sensors operate by receiving signals of opportunity, including, but not limited to, low-level natural emissions of the Sun, Earth’s atmosphere and other celestial bodies, and therefore may suffer harmful interference at levels which could be tolerated by other radio systems. However, no frequency bands have been documented in any manner in the Radio Regulations for space weather sensor applications.</w:t>
      </w:r>
    </w:p>
    <w:p w14:paraId="7E314E96" w14:textId="4299CD39" w:rsidR="009E254D" w:rsidRDefault="00010C82" w:rsidP="0045638D">
      <w:pPr>
        <w:widowControl w:val="0"/>
        <w:autoSpaceDE w:val="0"/>
        <w:autoSpaceDN w:val="0"/>
        <w:spacing w:beforeLines="50" w:before="120"/>
        <w:ind w:leftChars="300" w:left="720"/>
        <w:jc w:val="both"/>
      </w:pPr>
      <w:r w:rsidRPr="00010C82">
        <w:t>Agenda item 9.1 topic a was therefore established with a view to describing appropriate recognition and protection of space weather sensors in the Radio Regulations without placing additional constraints on incumbent services.</w:t>
      </w:r>
    </w:p>
    <w:p w14:paraId="28ACCD63" w14:textId="0C4B0247" w:rsidR="00010C82" w:rsidRDefault="00010C82" w:rsidP="0045638D">
      <w:pPr>
        <w:widowControl w:val="0"/>
        <w:autoSpaceDE w:val="0"/>
        <w:autoSpaceDN w:val="0"/>
        <w:spacing w:beforeLines="50" w:before="120"/>
        <w:ind w:leftChars="300" w:left="720"/>
        <w:jc w:val="both"/>
      </w:pPr>
      <w:r w:rsidRPr="00010C82">
        <w:t xml:space="preserve">WRC-15 decided to include the issue of space weather sensor as one of the preliminary agenda items for WRC-23 (AI 2.3), which was based on a proposal from </w:t>
      </w:r>
      <w:hyperlink r:id="rId9" w:history="1">
        <w:r w:rsidRPr="003F0FD4">
          <w:rPr>
            <w:rStyle w:val="Hyperlink"/>
          </w:rPr>
          <w:t>CITEL</w:t>
        </w:r>
      </w:hyperlink>
      <w:r w:rsidRPr="00010C82">
        <w:t xml:space="preserve">. At WRC-19, </w:t>
      </w:r>
      <w:hyperlink r:id="rId10" w:history="1">
        <w:r w:rsidRPr="003F0FD4">
          <w:rPr>
            <w:rStyle w:val="Hyperlink"/>
          </w:rPr>
          <w:t>CEPT</w:t>
        </w:r>
      </w:hyperlink>
      <w:r w:rsidRPr="00010C82">
        <w:t xml:space="preserve"> proposed to maintain it in the agenda for WRC-23, with some modification, while </w:t>
      </w:r>
      <w:hyperlink r:id="rId11" w:history="1">
        <w:r w:rsidRPr="003F0FD4">
          <w:rPr>
            <w:rStyle w:val="Hyperlink"/>
          </w:rPr>
          <w:t>CITEL</w:t>
        </w:r>
      </w:hyperlink>
      <w:r w:rsidRPr="00010C82">
        <w:t xml:space="preserve"> proposed to postpone it to WRC-27. As a compromise, it was decided that space weather issue would appear both on the agenda for WRC-23 and on the preliminary agenda for WRC-27. WRC-23 would address mainly receive-only space weather sensors as in </w:t>
      </w:r>
      <w:r w:rsidRPr="008E32E7">
        <w:rPr>
          <w:i/>
          <w:iCs/>
        </w:rPr>
        <w:t>resolves to invite ITU-R</w:t>
      </w:r>
      <w:r w:rsidRPr="00010C82">
        <w:t xml:space="preserve"> 1 to 3 but also covers active space weather sensors as in </w:t>
      </w:r>
      <w:r w:rsidRPr="008E32E7">
        <w:rPr>
          <w:i/>
          <w:iCs/>
        </w:rPr>
        <w:t>resolves to invite ITU-R</w:t>
      </w:r>
      <w:r w:rsidRPr="00010C82">
        <w:t xml:space="preserve"> 4.</w:t>
      </w:r>
    </w:p>
    <w:p w14:paraId="28BBA039" w14:textId="6FADFF58" w:rsidR="0037421D" w:rsidRDefault="0037421D" w:rsidP="00E5341E">
      <w:pPr>
        <w:spacing w:after="120"/>
        <w:jc w:val="both"/>
        <w:rPr>
          <w:b/>
        </w:rPr>
      </w:pPr>
    </w:p>
    <w:p w14:paraId="38194476" w14:textId="6B09EB44" w:rsidR="00E41BE2" w:rsidRPr="00441526" w:rsidRDefault="00E41BE2" w:rsidP="00E41BE2">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48249923" w14:textId="5A017796" w:rsidR="00577565" w:rsidRDefault="00577565" w:rsidP="0045638D">
      <w:pPr>
        <w:autoSpaceDE w:val="0"/>
        <w:autoSpaceDN w:val="0"/>
        <w:spacing w:beforeLines="50" w:before="120"/>
        <w:ind w:leftChars="300" w:left="720"/>
        <w:jc w:val="both"/>
      </w:pPr>
      <w:r w:rsidRPr="00577565">
        <w:t>The responsible group in ITU-R is WP 7C.</w:t>
      </w:r>
    </w:p>
    <w:p w14:paraId="05559C86" w14:textId="3F84DD7F" w:rsidR="00577565" w:rsidRDefault="00577565" w:rsidP="0045638D">
      <w:pPr>
        <w:autoSpaceDE w:val="0"/>
        <w:autoSpaceDN w:val="0"/>
        <w:spacing w:beforeLines="50" w:before="120"/>
        <w:ind w:leftChars="300" w:left="720"/>
        <w:jc w:val="both"/>
      </w:pPr>
      <w:r w:rsidRPr="00577565">
        <w:lastRenderedPageBreak/>
        <w:t xml:space="preserve">In the previous study cycle, Report ITU-R </w:t>
      </w:r>
      <w:hyperlink r:id="rId12" w:history="1">
        <w:r w:rsidRPr="00870B91">
          <w:rPr>
            <w:rStyle w:val="Hyperlink"/>
          </w:rPr>
          <w:t>RS.2456-0</w:t>
        </w:r>
      </w:hyperlink>
      <w:r w:rsidRPr="00577565">
        <w:t xml:space="preserve"> was developed, which summarizes the </w:t>
      </w:r>
      <w:proofErr w:type="gramStart"/>
      <w:r w:rsidRPr="00577565">
        <w:t>current status</w:t>
      </w:r>
      <w:proofErr w:type="gramEnd"/>
      <w:r w:rsidRPr="00577565">
        <w:t xml:space="preserve"> of operational space weather sensor systems. At the WP 7C meeting in September/October 2020, revisions to Report ITU-R RS.2456 was proposed and converted to </w:t>
      </w:r>
      <w:hyperlink r:id="rId13" w:history="1">
        <w:r w:rsidRPr="00CB16F3">
          <w:rPr>
            <w:rStyle w:val="Hyperlink"/>
          </w:rPr>
          <w:t>Annex 7</w:t>
        </w:r>
      </w:hyperlink>
      <w:r w:rsidRPr="00577565">
        <w:t xml:space="preserve"> to the Chairman’s Report</w:t>
      </w:r>
      <w:r w:rsidR="00A82E85">
        <w:t xml:space="preserve"> (Doc. </w:t>
      </w:r>
      <w:hyperlink r:id="rId14" w:history="1">
        <w:r w:rsidR="00A82E85" w:rsidRPr="00140A87">
          <w:rPr>
            <w:rStyle w:val="Hyperlink"/>
          </w:rPr>
          <w:t>7C/105</w:t>
        </w:r>
      </w:hyperlink>
      <w:r w:rsidR="00A82E85">
        <w:t>)</w:t>
      </w:r>
      <w:r w:rsidRPr="00577565">
        <w:t>.</w:t>
      </w:r>
    </w:p>
    <w:p w14:paraId="4DD8DAA3" w14:textId="22AA4D1C" w:rsidR="00E54ACE" w:rsidRDefault="00CB16F3" w:rsidP="0045638D">
      <w:pPr>
        <w:autoSpaceDE w:val="0"/>
        <w:autoSpaceDN w:val="0"/>
        <w:spacing w:beforeLines="50" w:before="120"/>
        <w:ind w:leftChars="300" w:left="720"/>
        <w:jc w:val="both"/>
      </w:pPr>
      <w:r w:rsidRPr="00CB16F3">
        <w:t xml:space="preserve">Working documents towards ITU-R Reports on space weather sensor spectrum requirements and on space weather sensor interference criteria, respectively, are being developed. </w:t>
      </w:r>
      <w:r w:rsidR="0059460D" w:rsidRPr="0059460D">
        <w:t>The goal</w:t>
      </w:r>
      <w:r w:rsidR="0059460D">
        <w:t xml:space="preserve"> of the </w:t>
      </w:r>
      <w:r w:rsidR="00871D17">
        <w:t xml:space="preserve">studies on </w:t>
      </w:r>
      <w:r w:rsidR="0059460D">
        <w:t>spectrum requirements</w:t>
      </w:r>
      <w:r w:rsidR="0059460D" w:rsidRPr="0059460D">
        <w:t xml:space="preserve"> is to reduce the wide ranging, inconsistent use of spectrum and concentrate operations into most important frequency bands and where compatibility with incumbent services is most likely.</w:t>
      </w:r>
      <w:r w:rsidR="0059460D">
        <w:t xml:space="preserve"> </w:t>
      </w:r>
      <w:r w:rsidR="007C757F" w:rsidRPr="007C757F">
        <w:t>The purpose of interference criteria is to allow for studies to determine frequency bands where space weather sensors may operate compatibly with incumbent services, not impose restrictions on incumbent services.</w:t>
      </w:r>
      <w:r w:rsidR="007C757F">
        <w:t xml:space="preserve"> </w:t>
      </w:r>
      <w:r w:rsidRPr="00CB16F3">
        <w:t xml:space="preserve">Their latest versions are attached to the Chairman’s Report as </w:t>
      </w:r>
      <w:hyperlink r:id="rId15" w:history="1">
        <w:r w:rsidRPr="00CB16F3">
          <w:rPr>
            <w:rStyle w:val="Hyperlink"/>
          </w:rPr>
          <w:t>Annexes 8</w:t>
        </w:r>
      </w:hyperlink>
      <w:r w:rsidRPr="00CB16F3">
        <w:t xml:space="preserve"> and </w:t>
      </w:r>
      <w:hyperlink r:id="rId16" w:history="1">
        <w:r w:rsidRPr="00CB16F3">
          <w:rPr>
            <w:rStyle w:val="Hyperlink"/>
          </w:rPr>
          <w:t>9</w:t>
        </w:r>
      </w:hyperlink>
      <w:r w:rsidRPr="00CB16F3">
        <w:t>, respectively.</w:t>
      </w:r>
    </w:p>
    <w:p w14:paraId="336A8A87" w14:textId="4B4907B2" w:rsidR="00E41BE2" w:rsidRPr="00E41BE2" w:rsidRDefault="00C202B0" w:rsidP="0045638D">
      <w:pPr>
        <w:autoSpaceDE w:val="0"/>
        <w:autoSpaceDN w:val="0"/>
        <w:spacing w:beforeLines="50" w:before="120"/>
        <w:ind w:leftChars="300" w:left="720"/>
        <w:jc w:val="both"/>
      </w:pPr>
      <w:r w:rsidRPr="00C202B0">
        <w:t xml:space="preserve">A work plan for completing the work necessary for WRC-23 was developed as an attachment to the Chairman’s Report as </w:t>
      </w:r>
      <w:hyperlink r:id="rId17" w:history="1">
        <w:r w:rsidRPr="00C202B0">
          <w:rPr>
            <w:rStyle w:val="Hyperlink"/>
          </w:rPr>
          <w:t>Annex 6</w:t>
        </w:r>
      </w:hyperlink>
      <w:r w:rsidRPr="00C202B0">
        <w:t>.</w:t>
      </w:r>
    </w:p>
    <w:p w14:paraId="0129B534" w14:textId="77777777" w:rsidR="00E41BE2" w:rsidRDefault="00E41BE2" w:rsidP="00E5341E">
      <w:pPr>
        <w:spacing w:after="120"/>
        <w:jc w:val="both"/>
        <w:rPr>
          <w:b/>
        </w:rPr>
      </w:pPr>
    </w:p>
    <w:p w14:paraId="1A59F811" w14:textId="6B301D92" w:rsidR="00957294" w:rsidRDefault="00957294" w:rsidP="00957294">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w:t>
      </w:r>
    </w:p>
    <w:p w14:paraId="2EC15C34" w14:textId="0E59AA7D" w:rsidR="00086069" w:rsidRPr="00086069" w:rsidRDefault="005263C8" w:rsidP="00086069">
      <w:pPr>
        <w:pStyle w:val="ListParagraph"/>
        <w:numPr>
          <w:ilvl w:val="0"/>
          <w:numId w:val="21"/>
        </w:numPr>
        <w:spacing w:after="120"/>
        <w:jc w:val="both"/>
        <w:rPr>
          <w:bCs/>
          <w:lang w:val="en-NZ" w:eastAsia="ko-KR"/>
        </w:rPr>
      </w:pPr>
      <w:r w:rsidRPr="005263C8">
        <w:rPr>
          <w:bCs/>
          <w:lang w:val="en-NZ" w:eastAsia="ko-KR"/>
        </w:rPr>
        <w:t>ASMG</w:t>
      </w:r>
    </w:p>
    <w:p w14:paraId="3B650D70" w14:textId="5E6D9466" w:rsidR="00086069" w:rsidRPr="00086069" w:rsidRDefault="00086069" w:rsidP="00086069">
      <w:pPr>
        <w:pStyle w:val="ListParagraph"/>
        <w:spacing w:after="120"/>
        <w:ind w:left="1077"/>
        <w:jc w:val="both"/>
        <w:rPr>
          <w:bCs/>
          <w:lang w:val="en-NZ" w:eastAsia="ko-KR"/>
        </w:rPr>
      </w:pPr>
      <w:r w:rsidRPr="00086069">
        <w:rPr>
          <w:bCs/>
          <w:lang w:val="en-NZ" w:eastAsia="ko-KR"/>
        </w:rPr>
        <w:t>Inviting ASMG administrations to follow up and support studies and make observations and proposals on the technical and operational characteristics of space weather sensors and their spectrum requirements.</w:t>
      </w:r>
      <w:r w:rsidR="00C74232">
        <w:rPr>
          <w:bCs/>
          <w:lang w:val="en-NZ" w:eastAsia="ko-KR"/>
        </w:rPr>
        <w:t xml:space="preserve"> (as of July 2020)</w:t>
      </w:r>
    </w:p>
    <w:p w14:paraId="59ED3143" w14:textId="0DA9EA8E" w:rsidR="005263C8" w:rsidRDefault="005263C8" w:rsidP="005263C8">
      <w:pPr>
        <w:pStyle w:val="ListParagraph"/>
        <w:numPr>
          <w:ilvl w:val="0"/>
          <w:numId w:val="21"/>
        </w:numPr>
        <w:spacing w:after="120"/>
        <w:jc w:val="both"/>
        <w:rPr>
          <w:bCs/>
          <w:lang w:val="en-NZ" w:eastAsia="ko-KR"/>
        </w:rPr>
      </w:pPr>
      <w:r w:rsidRPr="005263C8">
        <w:rPr>
          <w:bCs/>
          <w:lang w:val="en-NZ" w:eastAsia="ko-KR"/>
        </w:rPr>
        <w:t>RCC</w:t>
      </w:r>
    </w:p>
    <w:p w14:paraId="4A980740" w14:textId="2194F2DE" w:rsidR="005263C8" w:rsidRDefault="004C08B3" w:rsidP="005263C8">
      <w:pPr>
        <w:pStyle w:val="ListParagraph"/>
        <w:spacing w:after="120"/>
        <w:ind w:left="1080"/>
        <w:jc w:val="both"/>
        <w:rPr>
          <w:bCs/>
          <w:lang w:val="en-NZ" w:eastAsia="ko-KR"/>
        </w:rPr>
      </w:pPr>
      <w:r w:rsidRPr="004C08B3">
        <w:rPr>
          <w:bCs/>
          <w:lang w:val="en-NZ" w:eastAsia="ko-KR"/>
        </w:rPr>
        <w:t>The RCC Administrations support studies to protect space weather sensors without placing additional constraints on incumbent services.</w:t>
      </w:r>
      <w:r>
        <w:rPr>
          <w:bCs/>
          <w:lang w:val="en-NZ" w:eastAsia="ko-KR"/>
        </w:rPr>
        <w:t xml:space="preserve"> (as of </w:t>
      </w:r>
      <w:r w:rsidRPr="004C08B3">
        <w:rPr>
          <w:bCs/>
          <w:lang w:val="en-NZ" w:eastAsia="ko-KR"/>
        </w:rPr>
        <w:t>September 2020</w:t>
      </w:r>
      <w:r>
        <w:rPr>
          <w:bCs/>
          <w:lang w:val="en-NZ" w:eastAsia="ko-KR"/>
        </w:rPr>
        <w:t>)</w:t>
      </w:r>
    </w:p>
    <w:p w14:paraId="6A35FB73" w14:textId="77777777" w:rsidR="004C08B3" w:rsidRPr="005263C8" w:rsidRDefault="004C08B3" w:rsidP="005263C8">
      <w:pPr>
        <w:pStyle w:val="ListParagraph"/>
        <w:spacing w:after="120"/>
        <w:ind w:left="1080"/>
        <w:jc w:val="both"/>
        <w:rPr>
          <w:bCs/>
          <w:lang w:val="en-NZ" w:eastAsia="ko-KR"/>
        </w:rPr>
      </w:pPr>
    </w:p>
    <w:p w14:paraId="32715F49" w14:textId="3B458124" w:rsidR="00957294" w:rsidRPr="00441526" w:rsidRDefault="00957294" w:rsidP="00957294">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Position of International Organizations</w:t>
      </w:r>
    </w:p>
    <w:p w14:paraId="7D807065" w14:textId="2C17E2C0" w:rsidR="005263C8" w:rsidRDefault="005263C8" w:rsidP="005263C8">
      <w:pPr>
        <w:pStyle w:val="ListParagraph"/>
        <w:numPr>
          <w:ilvl w:val="0"/>
          <w:numId w:val="21"/>
        </w:numPr>
        <w:spacing w:after="120"/>
        <w:jc w:val="both"/>
        <w:rPr>
          <w:bCs/>
          <w:lang w:val="en-NZ" w:eastAsia="ko-KR"/>
        </w:rPr>
      </w:pPr>
      <w:r>
        <w:rPr>
          <w:bCs/>
          <w:lang w:val="en-NZ" w:eastAsia="ko-KR"/>
        </w:rPr>
        <w:t>WMO</w:t>
      </w:r>
    </w:p>
    <w:p w14:paraId="2B62A55C" w14:textId="0D175177" w:rsidR="000518A8" w:rsidRDefault="005D494E" w:rsidP="000518A8">
      <w:pPr>
        <w:pStyle w:val="ListParagraph"/>
        <w:spacing w:after="120"/>
        <w:ind w:left="1080"/>
        <w:jc w:val="both"/>
        <w:rPr>
          <w:bCs/>
          <w:lang w:val="en-NZ" w:eastAsia="ko-KR"/>
        </w:rPr>
      </w:pPr>
      <w:r w:rsidRPr="005D494E">
        <w:rPr>
          <w:bCs/>
          <w:lang w:val="en-NZ" w:eastAsia="ko-KR"/>
        </w:rPr>
        <w:t>WMO supports ensuring the protection of space weather sensors that use radio spectrum and will contribute to the corresponding studies.</w:t>
      </w:r>
      <w:r>
        <w:rPr>
          <w:bCs/>
          <w:lang w:val="en-NZ" w:eastAsia="ko-KR"/>
        </w:rPr>
        <w:t xml:space="preserve"> (as of </w:t>
      </w:r>
      <w:r w:rsidRPr="005D494E">
        <w:rPr>
          <w:bCs/>
          <w:lang w:val="en-NZ" w:eastAsia="ko-KR"/>
        </w:rPr>
        <w:t>April 2020</w:t>
      </w:r>
      <w:r>
        <w:rPr>
          <w:bCs/>
          <w:lang w:val="en-NZ" w:eastAsia="ko-KR"/>
        </w:rPr>
        <w:t>)</w:t>
      </w:r>
    </w:p>
    <w:p w14:paraId="40FE6F6B" w14:textId="77777777" w:rsidR="0037421D" w:rsidRPr="00957294" w:rsidRDefault="0037421D" w:rsidP="00E5341E">
      <w:pPr>
        <w:spacing w:after="120"/>
        <w:jc w:val="both"/>
        <w:rPr>
          <w:b/>
          <w:lang w:val="en-NZ"/>
        </w:rPr>
      </w:pPr>
    </w:p>
    <w:p w14:paraId="7C0524FF" w14:textId="77777777" w:rsidR="0037421D" w:rsidRDefault="0037421D" w:rsidP="00E5341E">
      <w:pPr>
        <w:spacing w:after="120"/>
        <w:jc w:val="both"/>
        <w:rPr>
          <w:b/>
        </w:rPr>
      </w:pPr>
    </w:p>
    <w:p w14:paraId="65901CAE" w14:textId="77777777" w:rsidR="00ED4C5E" w:rsidRPr="009A4A6D" w:rsidRDefault="00ED4C5E" w:rsidP="00ED4C5E">
      <w:pPr>
        <w:jc w:val="center"/>
        <w:rPr>
          <w:snapToGrid w:val="0"/>
        </w:rPr>
      </w:pPr>
      <w:r>
        <w:t>____________</w:t>
      </w:r>
    </w:p>
    <w:p w14:paraId="17021774" w14:textId="77777777" w:rsidR="0037421D" w:rsidRPr="00EC249E" w:rsidRDefault="0037421D" w:rsidP="00E5341E">
      <w:pPr>
        <w:spacing w:after="120"/>
        <w:jc w:val="both"/>
        <w:rPr>
          <w:b/>
        </w:rPr>
      </w:pPr>
    </w:p>
    <w:sectPr w:rsidR="0037421D" w:rsidRPr="00EC249E" w:rsidSect="00FF72BB">
      <w:headerReference w:type="default" r:id="rId18"/>
      <w:footerReference w:type="even" r:id="rId19"/>
      <w:footerReference w:type="default" r:id="rId20"/>
      <w:footerReference w:type="first" r:id="rId2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9AAC0" w14:textId="77777777" w:rsidR="00BF1F93" w:rsidRDefault="00BF1F93">
      <w:r>
        <w:separator/>
      </w:r>
    </w:p>
  </w:endnote>
  <w:endnote w:type="continuationSeparator" w:id="0">
    <w:p w14:paraId="049FEEB3" w14:textId="77777777" w:rsidR="00BF1F93" w:rsidRDefault="00BF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14C195E3" w:rsidR="00051E1E" w:rsidRDefault="00051E1E">
    <w:pPr>
      <w:pStyle w:val="Footer"/>
    </w:pPr>
    <w:r>
      <w:t>A</w:t>
    </w:r>
    <w:r w:rsidR="001E1432">
      <w:t>PG23-</w:t>
    </w:r>
    <w:r w:rsidR="008624ED">
      <w:t>2</w:t>
    </w:r>
    <w:r>
      <w:t>/IN</w:t>
    </w:r>
    <w:r w:rsidR="001B3782">
      <w:rPr>
        <w:rFonts w:eastAsia="MS Mincho"/>
        <w:lang w:eastAsia="ja-JP"/>
      </w:rPr>
      <w:t>F</w:t>
    </w:r>
    <w:r>
      <w:t>-</w:t>
    </w:r>
    <w:r w:rsidR="00EB099E">
      <w:t>04</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7EF20505" w14:textId="77777777" w:rsidTr="007E7497">
      <w:trPr>
        <w:cantSplit/>
        <w:trHeight w:val="204"/>
        <w:jc w:val="center"/>
      </w:trPr>
      <w:tc>
        <w:tcPr>
          <w:tcW w:w="1152" w:type="dxa"/>
        </w:tcPr>
        <w:p w14:paraId="7C14EC98" w14:textId="77777777" w:rsidR="00B54758" w:rsidRDefault="00B54758" w:rsidP="007E7497">
          <w:pPr>
            <w:rPr>
              <w:b/>
              <w:bCs/>
            </w:rPr>
          </w:pPr>
          <w:r>
            <w:rPr>
              <w:b/>
              <w:bCs/>
            </w:rPr>
            <w:t>Contact:</w:t>
          </w:r>
        </w:p>
      </w:tc>
      <w:tc>
        <w:tcPr>
          <w:tcW w:w="5040" w:type="dxa"/>
        </w:tcPr>
        <w:p w14:paraId="49C5867E" w14:textId="6418DB82" w:rsidR="00B54758" w:rsidRDefault="007D443F" w:rsidP="007E7497">
          <w:pPr>
            <w:pStyle w:val="Equation"/>
            <w:tabs>
              <w:tab w:val="clear" w:pos="794"/>
              <w:tab w:val="clear" w:pos="4820"/>
              <w:tab w:val="clear" w:pos="9639"/>
            </w:tabs>
            <w:spacing w:beforeLines="0"/>
            <w:rPr>
              <w:rFonts w:eastAsia="Batang"/>
            </w:rPr>
          </w:pPr>
          <w:r>
            <w:rPr>
              <w:rFonts w:eastAsia="Batang"/>
            </w:rPr>
            <w:t>Takahiro Yokoyama</w:t>
          </w:r>
        </w:p>
        <w:p w14:paraId="39C5729B" w14:textId="508B174A" w:rsidR="00EC249E" w:rsidRDefault="007D443F" w:rsidP="007E7497">
          <w:pPr>
            <w:pStyle w:val="Equation"/>
            <w:tabs>
              <w:tab w:val="clear" w:pos="794"/>
              <w:tab w:val="clear" w:pos="4820"/>
              <w:tab w:val="clear" w:pos="9639"/>
            </w:tabs>
            <w:spacing w:beforeLines="0"/>
            <w:rPr>
              <w:rFonts w:eastAsia="Batang"/>
            </w:rPr>
          </w:pPr>
          <w:r>
            <w:rPr>
              <w:rFonts w:eastAsia="Batang"/>
            </w:rPr>
            <w:t>ARIB</w:t>
          </w:r>
          <w:r w:rsidR="00EC249E">
            <w:rPr>
              <w:rFonts w:eastAsia="Batang"/>
            </w:rPr>
            <w:t xml:space="preserve">, </w:t>
          </w:r>
          <w:r>
            <w:rPr>
              <w:rFonts w:eastAsia="Batang"/>
            </w:rPr>
            <w:t>Japan</w:t>
          </w:r>
        </w:p>
      </w:tc>
      <w:tc>
        <w:tcPr>
          <w:tcW w:w="3024" w:type="dxa"/>
        </w:tcPr>
        <w:p w14:paraId="66CA6E30" w14:textId="6A9A651D" w:rsidR="00B54758" w:rsidRDefault="00B54758" w:rsidP="00E23D98">
          <w:pPr>
            <w:rPr>
              <w:lang w:eastAsia="ja-JP"/>
            </w:rPr>
          </w:pPr>
          <w:r>
            <w:t>Email</w:t>
          </w:r>
          <w:r>
            <w:rPr>
              <w:rFonts w:hint="eastAsia"/>
            </w:rPr>
            <w:t>:</w:t>
          </w:r>
          <w:r>
            <w:t xml:space="preserve"> </w:t>
          </w:r>
          <w:r w:rsidR="006E33E7">
            <w:br/>
          </w:r>
          <w:r w:rsidR="007D443F">
            <w:t>t.yokoyama@joy.ocn.ne.jp</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1CD8" w14:textId="77777777" w:rsidR="00BF1F93" w:rsidRDefault="00BF1F93">
      <w:r>
        <w:separator/>
      </w:r>
    </w:p>
  </w:footnote>
  <w:footnote w:type="continuationSeparator" w:id="0">
    <w:p w14:paraId="6E003749" w14:textId="77777777" w:rsidR="00BF1F93" w:rsidRDefault="00BF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70862"/>
    <w:multiLevelType w:val="hybridMultilevel"/>
    <w:tmpl w:val="A6E6643C"/>
    <w:lvl w:ilvl="0" w:tplc="81F65682">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4"/>
  </w:num>
  <w:num w:numId="2">
    <w:abstractNumId w:val="8"/>
  </w:num>
  <w:num w:numId="3">
    <w:abstractNumId w:val="6"/>
  </w:num>
  <w:num w:numId="4">
    <w:abstractNumId w:val="20"/>
  </w:num>
  <w:num w:numId="5">
    <w:abstractNumId w:val="11"/>
  </w:num>
  <w:num w:numId="6">
    <w:abstractNumId w:val="15"/>
  </w:num>
  <w:num w:numId="7">
    <w:abstractNumId w:val="5"/>
  </w:num>
  <w:num w:numId="8">
    <w:abstractNumId w:val="1"/>
  </w:num>
  <w:num w:numId="9">
    <w:abstractNumId w:val="22"/>
  </w:num>
  <w:num w:numId="10">
    <w:abstractNumId w:val="0"/>
  </w:num>
  <w:num w:numId="11">
    <w:abstractNumId w:val="21"/>
  </w:num>
  <w:num w:numId="12">
    <w:abstractNumId w:val="12"/>
  </w:num>
  <w:num w:numId="13">
    <w:abstractNumId w:val="17"/>
  </w:num>
  <w:num w:numId="14">
    <w:abstractNumId w:val="9"/>
  </w:num>
  <w:num w:numId="15">
    <w:abstractNumId w:val="3"/>
  </w:num>
  <w:num w:numId="16">
    <w:abstractNumId w:val="2"/>
  </w:num>
  <w:num w:numId="17">
    <w:abstractNumId w:val="4"/>
  </w:num>
  <w:num w:numId="18">
    <w:abstractNumId w:val="13"/>
  </w:num>
  <w:num w:numId="19">
    <w:abstractNumId w:val="18"/>
  </w:num>
  <w:num w:numId="20">
    <w:abstractNumId w:val="16"/>
  </w:num>
  <w:num w:numId="21">
    <w:abstractNumId w:val="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2D"/>
    <w:rsid w:val="00000B9E"/>
    <w:rsid w:val="00010C82"/>
    <w:rsid w:val="0003595B"/>
    <w:rsid w:val="00036385"/>
    <w:rsid w:val="000518A8"/>
    <w:rsid w:val="00051E1E"/>
    <w:rsid w:val="00054C56"/>
    <w:rsid w:val="00063DF8"/>
    <w:rsid w:val="000713CF"/>
    <w:rsid w:val="00075C14"/>
    <w:rsid w:val="00086069"/>
    <w:rsid w:val="00094B87"/>
    <w:rsid w:val="000964D0"/>
    <w:rsid w:val="000A1F8C"/>
    <w:rsid w:val="000A5418"/>
    <w:rsid w:val="000A754D"/>
    <w:rsid w:val="000B1E8C"/>
    <w:rsid w:val="000B595C"/>
    <w:rsid w:val="000D7C75"/>
    <w:rsid w:val="000F148F"/>
    <w:rsid w:val="000F517C"/>
    <w:rsid w:val="000F5540"/>
    <w:rsid w:val="00106B56"/>
    <w:rsid w:val="00122653"/>
    <w:rsid w:val="00125217"/>
    <w:rsid w:val="00130A94"/>
    <w:rsid w:val="00131FCA"/>
    <w:rsid w:val="00133947"/>
    <w:rsid w:val="00134CC7"/>
    <w:rsid w:val="00135C32"/>
    <w:rsid w:val="00140A87"/>
    <w:rsid w:val="001433F1"/>
    <w:rsid w:val="001539DD"/>
    <w:rsid w:val="00164353"/>
    <w:rsid w:val="00175987"/>
    <w:rsid w:val="00175BD2"/>
    <w:rsid w:val="0018114D"/>
    <w:rsid w:val="001832C2"/>
    <w:rsid w:val="001923E8"/>
    <w:rsid w:val="00196568"/>
    <w:rsid w:val="00197B92"/>
    <w:rsid w:val="001A2F16"/>
    <w:rsid w:val="001A34FF"/>
    <w:rsid w:val="001B18C2"/>
    <w:rsid w:val="001B3782"/>
    <w:rsid w:val="001D5D7E"/>
    <w:rsid w:val="001E1432"/>
    <w:rsid w:val="001F5947"/>
    <w:rsid w:val="0021588B"/>
    <w:rsid w:val="00220BF5"/>
    <w:rsid w:val="002216AC"/>
    <w:rsid w:val="002219FD"/>
    <w:rsid w:val="0023010A"/>
    <w:rsid w:val="00230738"/>
    <w:rsid w:val="00234735"/>
    <w:rsid w:val="00241BCF"/>
    <w:rsid w:val="00254A1B"/>
    <w:rsid w:val="0026736F"/>
    <w:rsid w:val="00275ED2"/>
    <w:rsid w:val="0028454D"/>
    <w:rsid w:val="00286912"/>
    <w:rsid w:val="00287A2A"/>
    <w:rsid w:val="00291C9E"/>
    <w:rsid w:val="002926D4"/>
    <w:rsid w:val="002B6EFF"/>
    <w:rsid w:val="002C07DA"/>
    <w:rsid w:val="002C7EA9"/>
    <w:rsid w:val="002F2F9A"/>
    <w:rsid w:val="003131A3"/>
    <w:rsid w:val="00322EC9"/>
    <w:rsid w:val="00336A0D"/>
    <w:rsid w:val="00342F20"/>
    <w:rsid w:val="00343067"/>
    <w:rsid w:val="00350EC2"/>
    <w:rsid w:val="003540E0"/>
    <w:rsid w:val="003548C2"/>
    <w:rsid w:val="0037421D"/>
    <w:rsid w:val="003809C7"/>
    <w:rsid w:val="003829E0"/>
    <w:rsid w:val="003A3AE3"/>
    <w:rsid w:val="003B03B2"/>
    <w:rsid w:val="003B6263"/>
    <w:rsid w:val="003B6428"/>
    <w:rsid w:val="003C64A7"/>
    <w:rsid w:val="003C7A2B"/>
    <w:rsid w:val="003D25E1"/>
    <w:rsid w:val="003D3FDA"/>
    <w:rsid w:val="003F0FD4"/>
    <w:rsid w:val="003F6D48"/>
    <w:rsid w:val="00403CE4"/>
    <w:rsid w:val="00420822"/>
    <w:rsid w:val="0042126E"/>
    <w:rsid w:val="004323BB"/>
    <w:rsid w:val="00433925"/>
    <w:rsid w:val="004404C0"/>
    <w:rsid w:val="00440BEE"/>
    <w:rsid w:val="00444170"/>
    <w:rsid w:val="0045458F"/>
    <w:rsid w:val="00455FD4"/>
    <w:rsid w:val="0045638D"/>
    <w:rsid w:val="004633B4"/>
    <w:rsid w:val="00481F33"/>
    <w:rsid w:val="00483317"/>
    <w:rsid w:val="004854EE"/>
    <w:rsid w:val="004A4DE4"/>
    <w:rsid w:val="004B3553"/>
    <w:rsid w:val="004C08B3"/>
    <w:rsid w:val="004F4588"/>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565"/>
    <w:rsid w:val="00577C0A"/>
    <w:rsid w:val="00587875"/>
    <w:rsid w:val="0059460D"/>
    <w:rsid w:val="005B1E77"/>
    <w:rsid w:val="005B244E"/>
    <w:rsid w:val="005C5EB6"/>
    <w:rsid w:val="005D3914"/>
    <w:rsid w:val="005D494E"/>
    <w:rsid w:val="005D6B2F"/>
    <w:rsid w:val="005E3896"/>
    <w:rsid w:val="005E6C90"/>
    <w:rsid w:val="00607E2B"/>
    <w:rsid w:val="006139D6"/>
    <w:rsid w:val="00615999"/>
    <w:rsid w:val="00623CE1"/>
    <w:rsid w:val="0063062B"/>
    <w:rsid w:val="00636BAD"/>
    <w:rsid w:val="00662FBF"/>
    <w:rsid w:val="0066388B"/>
    <w:rsid w:val="00667229"/>
    <w:rsid w:val="00675C31"/>
    <w:rsid w:val="006767FB"/>
    <w:rsid w:val="006769C2"/>
    <w:rsid w:val="00682BE5"/>
    <w:rsid w:val="006843DA"/>
    <w:rsid w:val="00690FED"/>
    <w:rsid w:val="006939A5"/>
    <w:rsid w:val="006A15A4"/>
    <w:rsid w:val="006B6778"/>
    <w:rsid w:val="006C1D7F"/>
    <w:rsid w:val="006C2D39"/>
    <w:rsid w:val="006E12FC"/>
    <w:rsid w:val="006E33E7"/>
    <w:rsid w:val="006F375E"/>
    <w:rsid w:val="00705C2D"/>
    <w:rsid w:val="00705E61"/>
    <w:rsid w:val="00712451"/>
    <w:rsid w:val="0072556E"/>
    <w:rsid w:val="007274F5"/>
    <w:rsid w:val="00731041"/>
    <w:rsid w:val="00732F08"/>
    <w:rsid w:val="007350E2"/>
    <w:rsid w:val="0074190C"/>
    <w:rsid w:val="00762576"/>
    <w:rsid w:val="00766485"/>
    <w:rsid w:val="00791060"/>
    <w:rsid w:val="007A166D"/>
    <w:rsid w:val="007A1BDE"/>
    <w:rsid w:val="007A3E29"/>
    <w:rsid w:val="007B3299"/>
    <w:rsid w:val="007B3D18"/>
    <w:rsid w:val="007B5626"/>
    <w:rsid w:val="007B5E37"/>
    <w:rsid w:val="007C757F"/>
    <w:rsid w:val="007D29E5"/>
    <w:rsid w:val="007D443F"/>
    <w:rsid w:val="007E1FDD"/>
    <w:rsid w:val="007E7497"/>
    <w:rsid w:val="007F08FF"/>
    <w:rsid w:val="007F1651"/>
    <w:rsid w:val="00803C99"/>
    <w:rsid w:val="0080570B"/>
    <w:rsid w:val="008148E1"/>
    <w:rsid w:val="00816F4E"/>
    <w:rsid w:val="00831716"/>
    <w:rsid w:val="008319BF"/>
    <w:rsid w:val="008337EA"/>
    <w:rsid w:val="00850E1C"/>
    <w:rsid w:val="008624ED"/>
    <w:rsid w:val="00870944"/>
    <w:rsid w:val="00870B91"/>
    <w:rsid w:val="00871D17"/>
    <w:rsid w:val="008950FB"/>
    <w:rsid w:val="00897849"/>
    <w:rsid w:val="008A423E"/>
    <w:rsid w:val="008A73CD"/>
    <w:rsid w:val="008D084B"/>
    <w:rsid w:val="008D0E09"/>
    <w:rsid w:val="008E32E7"/>
    <w:rsid w:val="008E3821"/>
    <w:rsid w:val="008F2153"/>
    <w:rsid w:val="008F301D"/>
    <w:rsid w:val="009306C7"/>
    <w:rsid w:val="00953737"/>
    <w:rsid w:val="00957294"/>
    <w:rsid w:val="00972289"/>
    <w:rsid w:val="0097693B"/>
    <w:rsid w:val="00993355"/>
    <w:rsid w:val="009A46BF"/>
    <w:rsid w:val="009A4A6D"/>
    <w:rsid w:val="009B74AC"/>
    <w:rsid w:val="009C0B35"/>
    <w:rsid w:val="009C361C"/>
    <w:rsid w:val="009D5F1C"/>
    <w:rsid w:val="009E254D"/>
    <w:rsid w:val="00A0503B"/>
    <w:rsid w:val="00A13265"/>
    <w:rsid w:val="00A20980"/>
    <w:rsid w:val="00A31185"/>
    <w:rsid w:val="00A61885"/>
    <w:rsid w:val="00A63AC3"/>
    <w:rsid w:val="00A71136"/>
    <w:rsid w:val="00A82E85"/>
    <w:rsid w:val="00AA2D8E"/>
    <w:rsid w:val="00AA474C"/>
    <w:rsid w:val="00AB0EAD"/>
    <w:rsid w:val="00AB2572"/>
    <w:rsid w:val="00AC19BB"/>
    <w:rsid w:val="00AD7E5F"/>
    <w:rsid w:val="00AE77B1"/>
    <w:rsid w:val="00AF6E67"/>
    <w:rsid w:val="00B01AA1"/>
    <w:rsid w:val="00B24089"/>
    <w:rsid w:val="00B30C81"/>
    <w:rsid w:val="00B34275"/>
    <w:rsid w:val="00B3474C"/>
    <w:rsid w:val="00B4793B"/>
    <w:rsid w:val="00B54758"/>
    <w:rsid w:val="00B66740"/>
    <w:rsid w:val="00B676EF"/>
    <w:rsid w:val="00B97AC9"/>
    <w:rsid w:val="00BB7E96"/>
    <w:rsid w:val="00BC7506"/>
    <w:rsid w:val="00BF1F93"/>
    <w:rsid w:val="00C15633"/>
    <w:rsid w:val="00C15799"/>
    <w:rsid w:val="00C202B0"/>
    <w:rsid w:val="00C20F4D"/>
    <w:rsid w:val="00C256E8"/>
    <w:rsid w:val="00C26745"/>
    <w:rsid w:val="00C357AD"/>
    <w:rsid w:val="00C3644A"/>
    <w:rsid w:val="00C6069C"/>
    <w:rsid w:val="00C73F61"/>
    <w:rsid w:val="00C74232"/>
    <w:rsid w:val="00C75805"/>
    <w:rsid w:val="00C85119"/>
    <w:rsid w:val="00C93949"/>
    <w:rsid w:val="00CB16F3"/>
    <w:rsid w:val="00CC56C6"/>
    <w:rsid w:val="00CD5431"/>
    <w:rsid w:val="00CE6DD9"/>
    <w:rsid w:val="00CF2491"/>
    <w:rsid w:val="00CF2CBA"/>
    <w:rsid w:val="00CF3030"/>
    <w:rsid w:val="00CF5DDC"/>
    <w:rsid w:val="00D06742"/>
    <w:rsid w:val="00D1252E"/>
    <w:rsid w:val="00D12CE1"/>
    <w:rsid w:val="00D2444D"/>
    <w:rsid w:val="00D31452"/>
    <w:rsid w:val="00D37FD6"/>
    <w:rsid w:val="00D500B1"/>
    <w:rsid w:val="00D5307B"/>
    <w:rsid w:val="00D57772"/>
    <w:rsid w:val="00D651AB"/>
    <w:rsid w:val="00D72AE3"/>
    <w:rsid w:val="00D75A4D"/>
    <w:rsid w:val="00D807A0"/>
    <w:rsid w:val="00D8478B"/>
    <w:rsid w:val="00D84CEE"/>
    <w:rsid w:val="00D86151"/>
    <w:rsid w:val="00D86CAA"/>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54ACE"/>
    <w:rsid w:val="00E65FC2"/>
    <w:rsid w:val="00E674D3"/>
    <w:rsid w:val="00E70FD0"/>
    <w:rsid w:val="00E80263"/>
    <w:rsid w:val="00EA0BBD"/>
    <w:rsid w:val="00EA24DD"/>
    <w:rsid w:val="00EA7027"/>
    <w:rsid w:val="00EB099E"/>
    <w:rsid w:val="00EB2081"/>
    <w:rsid w:val="00EC249E"/>
    <w:rsid w:val="00EC3995"/>
    <w:rsid w:val="00ED4C5E"/>
    <w:rsid w:val="00EE3496"/>
    <w:rsid w:val="00EF2406"/>
    <w:rsid w:val="00F00257"/>
    <w:rsid w:val="00F27A79"/>
    <w:rsid w:val="00F35F17"/>
    <w:rsid w:val="00F5332C"/>
    <w:rsid w:val="00F55E0A"/>
    <w:rsid w:val="00F570C2"/>
    <w:rsid w:val="00F626B7"/>
    <w:rsid w:val="00F650EB"/>
    <w:rsid w:val="00F84067"/>
    <w:rsid w:val="00F871F5"/>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dms_ties/itu-r/md/19/wp7c/c/R19-WP7C-C-0105!N07!MSW-E.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tu.int/pub/R-REP-RS.2456-2019" TargetMode="External"/><Relationship Id="rId17" Type="http://schemas.openxmlformats.org/officeDocument/2006/relationships/hyperlink" Target="https://www.itu.int/dms_ties/itu-r/md/19/wp7c/c/R19-WP7C-C-0105!N06!MSW-E.docx" TargetMode="External"/><Relationship Id="rId2" Type="http://schemas.openxmlformats.org/officeDocument/2006/relationships/numbering" Target="numbering.xml"/><Relationship Id="rId16" Type="http://schemas.openxmlformats.org/officeDocument/2006/relationships/hyperlink" Target="https://www.itu.int/dms_ties/itu-r/md/19/wp7c/c/R19-WP7C-C-0105!N09!MSW-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pub/itu-r/md/16/wrc19/c/R16-WRC19-C-0011!A24-A3!MSW-E.docx" TargetMode="External"/><Relationship Id="rId5" Type="http://schemas.openxmlformats.org/officeDocument/2006/relationships/webSettings" Target="webSettings.xml"/><Relationship Id="rId15" Type="http://schemas.openxmlformats.org/officeDocument/2006/relationships/hyperlink" Target="https://www.itu.int/dms_ties/itu-r/md/19/wp7c/c/R19-WP7C-C-0105!N08!MSW-E.docx" TargetMode="External"/><Relationship Id="rId23" Type="http://schemas.openxmlformats.org/officeDocument/2006/relationships/theme" Target="theme/theme1.xml"/><Relationship Id="rId10" Type="http://schemas.openxmlformats.org/officeDocument/2006/relationships/hyperlink" Target="https://www.itu.int/dms_pub/itu-r/md/16/wrc19/c/R16-WRC19-C-0016!A24!MSW-E.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u.int/dms_pub/itu-r/md/15/wrc15/c/R15-WRC15-C-0007!A24-A10!MSW-E.docx" TargetMode="External"/><Relationship Id="rId14" Type="http://schemas.openxmlformats.org/officeDocument/2006/relationships/hyperlink" Target="https://www.itu.int/md/R19-WP7C-C-0105/en"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176</TotalTime>
  <Pages>3</Pages>
  <Words>1149</Words>
  <Characters>6550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60</cp:revision>
  <cp:lastPrinted>2004-07-28T02:14:00Z</cp:lastPrinted>
  <dcterms:created xsi:type="dcterms:W3CDTF">2021-02-10T02:11:00Z</dcterms:created>
  <dcterms:modified xsi:type="dcterms:W3CDTF">2021-03-14T05:48:00Z</dcterms:modified>
</cp:coreProperties>
</file>