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68131908" w14:textId="77777777" w:rsidTr="007E1FDD">
        <w:trPr>
          <w:cantSplit/>
          <w:trHeight w:val="288"/>
        </w:trPr>
        <w:tc>
          <w:tcPr>
            <w:tcW w:w="1399" w:type="dxa"/>
            <w:vMerge w:val="restart"/>
          </w:tcPr>
          <w:p w14:paraId="3CB39655"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0278A0FB" wp14:editId="68C46365">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509B1A69"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69511EAF"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6EBABE65" w14:textId="77777777" w:rsidTr="007E7497">
        <w:trPr>
          <w:cantSplit/>
          <w:trHeight w:val="504"/>
        </w:trPr>
        <w:tc>
          <w:tcPr>
            <w:tcW w:w="1399" w:type="dxa"/>
            <w:vMerge/>
          </w:tcPr>
          <w:p w14:paraId="3FB4329B" w14:textId="77777777" w:rsidR="003D25E1" w:rsidRPr="00891D0B" w:rsidRDefault="003D25E1" w:rsidP="000D7C75"/>
        </w:tc>
        <w:tc>
          <w:tcPr>
            <w:tcW w:w="5760" w:type="dxa"/>
            <w:vAlign w:val="center"/>
          </w:tcPr>
          <w:p w14:paraId="7F0630F5" w14:textId="77777777" w:rsidR="003D25E1" w:rsidRPr="00891D0B" w:rsidRDefault="00C73F61" w:rsidP="001E1432">
            <w:pPr>
              <w:spacing w:before="40"/>
            </w:pPr>
            <w:r>
              <w:rPr>
                <w:b/>
              </w:rPr>
              <w:t xml:space="preserve">The </w:t>
            </w:r>
            <w:r w:rsidR="008624ED">
              <w:rPr>
                <w:b/>
              </w:rPr>
              <w:t>2nd</w:t>
            </w:r>
            <w:r w:rsidR="001E1432">
              <w:rPr>
                <w:b/>
              </w:rPr>
              <w:t xml:space="preserve"> </w:t>
            </w:r>
            <w:r w:rsidR="003D25E1">
              <w:rPr>
                <w:b/>
              </w:rPr>
              <w:t xml:space="preserve">Meeting of the APT </w:t>
            </w:r>
            <w:r w:rsidR="001E1432">
              <w:rPr>
                <w:b/>
              </w:rPr>
              <w:t xml:space="preserve">Conference Preparatory Group for WRC-23 </w:t>
            </w:r>
            <w:r w:rsidR="00EC249E">
              <w:rPr>
                <w:b/>
              </w:rPr>
              <w:t>(A</w:t>
            </w:r>
            <w:r w:rsidR="001E1432">
              <w:rPr>
                <w:b/>
              </w:rPr>
              <w:t>PG</w:t>
            </w:r>
            <w:r w:rsidR="00EC249E">
              <w:rPr>
                <w:b/>
              </w:rPr>
              <w:t>2</w:t>
            </w:r>
            <w:r w:rsidR="001E1432">
              <w:rPr>
                <w:b/>
              </w:rPr>
              <w:t>3-</w:t>
            </w:r>
            <w:r w:rsidR="008624ED">
              <w:rPr>
                <w:b/>
              </w:rPr>
              <w:t>2</w:t>
            </w:r>
            <w:r w:rsidR="003D25E1">
              <w:rPr>
                <w:b/>
              </w:rPr>
              <w:t>)</w:t>
            </w:r>
          </w:p>
        </w:tc>
        <w:tc>
          <w:tcPr>
            <w:tcW w:w="2160" w:type="dxa"/>
          </w:tcPr>
          <w:p w14:paraId="2B91203D" w14:textId="71AADA92" w:rsidR="007E1FDD" w:rsidRDefault="001E1432" w:rsidP="007E7497">
            <w:pPr>
              <w:spacing w:before="40"/>
              <w:rPr>
                <w:b/>
                <w:bCs/>
                <w:lang w:val="fr-FR"/>
              </w:rPr>
            </w:pPr>
            <w:r>
              <w:rPr>
                <w:b/>
                <w:bCs/>
                <w:lang w:val="fr-FR"/>
              </w:rPr>
              <w:t>APG23-</w:t>
            </w:r>
            <w:r w:rsidR="008624ED">
              <w:rPr>
                <w:b/>
                <w:bCs/>
                <w:lang w:val="fr-FR"/>
              </w:rPr>
              <w:t>2</w:t>
            </w:r>
            <w:r w:rsidR="007E1FDD">
              <w:rPr>
                <w:b/>
                <w:bCs/>
                <w:lang w:val="fr-FR"/>
              </w:rPr>
              <w:t>/</w:t>
            </w:r>
            <w:r w:rsidR="00164353">
              <w:rPr>
                <w:b/>
                <w:bCs/>
                <w:lang w:val="fr-FR"/>
              </w:rPr>
              <w:t>IN</w:t>
            </w:r>
            <w:r w:rsidR="002033B5">
              <w:rPr>
                <w:rFonts w:cs="Angsana New"/>
                <w:b/>
                <w:bCs/>
                <w:szCs w:val="30"/>
                <w:lang w:bidi="th-TH"/>
              </w:rPr>
              <w:t>F</w:t>
            </w:r>
            <w:r w:rsidR="007E1FDD">
              <w:rPr>
                <w:b/>
                <w:bCs/>
                <w:lang w:val="fr-FR"/>
              </w:rPr>
              <w:t>-</w:t>
            </w:r>
            <w:r w:rsidR="002033B5">
              <w:rPr>
                <w:b/>
                <w:bCs/>
                <w:lang w:val="fr-FR"/>
              </w:rPr>
              <w:t>05</w:t>
            </w:r>
          </w:p>
          <w:p w14:paraId="798E9A1A" w14:textId="77777777" w:rsidR="003D25E1" w:rsidRPr="007E1FDD" w:rsidRDefault="003D25E1" w:rsidP="007E1FDD">
            <w:pPr>
              <w:rPr>
                <w:b/>
                <w:bCs/>
                <w:lang w:val="en-GB"/>
              </w:rPr>
            </w:pPr>
          </w:p>
        </w:tc>
      </w:tr>
      <w:tr w:rsidR="007E1FDD" w:rsidRPr="00891D0B" w14:paraId="4685AE2A" w14:textId="77777777" w:rsidTr="007E1FDD">
        <w:trPr>
          <w:cantSplit/>
          <w:trHeight w:val="288"/>
        </w:trPr>
        <w:tc>
          <w:tcPr>
            <w:tcW w:w="1399" w:type="dxa"/>
            <w:vMerge/>
          </w:tcPr>
          <w:p w14:paraId="0D2718B6" w14:textId="77777777" w:rsidR="007E1FDD" w:rsidRPr="007E1FDD" w:rsidRDefault="007E1FDD" w:rsidP="000D7C75">
            <w:pPr>
              <w:rPr>
                <w:lang w:val="en-GB"/>
              </w:rPr>
            </w:pPr>
          </w:p>
        </w:tc>
        <w:tc>
          <w:tcPr>
            <w:tcW w:w="5760" w:type="dxa"/>
            <w:vAlign w:val="bottom"/>
          </w:tcPr>
          <w:p w14:paraId="2FEBC6E0" w14:textId="77777777" w:rsidR="007E1FDD" w:rsidRPr="00712451" w:rsidRDefault="008624ED" w:rsidP="00C73F61">
            <w:pPr>
              <w:spacing w:before="40"/>
              <w:rPr>
                <w:b/>
              </w:rPr>
            </w:pPr>
            <w:r>
              <w:t>19</w:t>
            </w:r>
            <w:r w:rsidR="00C73F61">
              <w:t xml:space="preserve"> – </w:t>
            </w:r>
            <w:r w:rsidR="001E1432">
              <w:t>2</w:t>
            </w:r>
            <w:r>
              <w:t>3</w:t>
            </w:r>
            <w:r w:rsidR="007E1FDD">
              <w:t xml:space="preserve"> </w:t>
            </w:r>
            <w:r>
              <w:t>April</w:t>
            </w:r>
            <w:r w:rsidR="00EC249E">
              <w:t xml:space="preserve"> </w:t>
            </w:r>
            <w:r w:rsidR="007E1FDD">
              <w:t>20</w:t>
            </w:r>
            <w:r w:rsidR="00EC249E">
              <w:t>2</w:t>
            </w:r>
            <w:r>
              <w:t>1</w:t>
            </w:r>
            <w:r w:rsidR="007E1FDD" w:rsidRPr="00891D0B">
              <w:t xml:space="preserve">, </w:t>
            </w:r>
            <w:r w:rsidR="00EC249E" w:rsidRPr="00EC249E">
              <w:rPr>
                <w:bCs/>
              </w:rPr>
              <w:t>Virtual</w:t>
            </w:r>
            <w:r>
              <w:rPr>
                <w:bCs/>
              </w:rPr>
              <w:t>/Online</w:t>
            </w:r>
            <w:r w:rsidR="00EC249E" w:rsidRPr="00EC249E">
              <w:rPr>
                <w:bCs/>
              </w:rPr>
              <w:t xml:space="preserve"> Meeting</w:t>
            </w:r>
          </w:p>
        </w:tc>
        <w:tc>
          <w:tcPr>
            <w:tcW w:w="2160" w:type="dxa"/>
            <w:vAlign w:val="bottom"/>
          </w:tcPr>
          <w:p w14:paraId="0339412B" w14:textId="1D188C3A" w:rsidR="007E1FDD" w:rsidRPr="007E1FDD" w:rsidRDefault="002033B5" w:rsidP="00C73F61">
            <w:pPr>
              <w:spacing w:before="40"/>
              <w:rPr>
                <w:bCs/>
              </w:rPr>
            </w:pPr>
            <w:r>
              <w:rPr>
                <w:bCs/>
              </w:rPr>
              <w:t>14</w:t>
            </w:r>
            <w:r w:rsidR="008624ED">
              <w:rPr>
                <w:bCs/>
              </w:rPr>
              <w:t xml:space="preserve"> </w:t>
            </w:r>
            <w:r w:rsidR="00DC13F2">
              <w:rPr>
                <w:bCs/>
              </w:rPr>
              <w:t>March</w:t>
            </w:r>
            <w:r w:rsidR="007E1FDD" w:rsidRPr="007E1FDD">
              <w:rPr>
                <w:bCs/>
              </w:rPr>
              <w:t xml:space="preserve"> 20</w:t>
            </w:r>
            <w:r w:rsidR="00EC249E">
              <w:rPr>
                <w:bCs/>
              </w:rPr>
              <w:t>2</w:t>
            </w:r>
            <w:r w:rsidR="008624ED">
              <w:rPr>
                <w:bCs/>
              </w:rPr>
              <w:t>1</w:t>
            </w:r>
          </w:p>
        </w:tc>
      </w:tr>
    </w:tbl>
    <w:p w14:paraId="11776D29" w14:textId="77777777" w:rsidR="007E7497" w:rsidRPr="00051E1E" w:rsidRDefault="007E7497" w:rsidP="00DA7595">
      <w:pPr>
        <w:rPr>
          <w:lang w:eastAsia="ko-KR"/>
        </w:rPr>
      </w:pPr>
    </w:p>
    <w:p w14:paraId="2DA37797" w14:textId="77777777" w:rsidR="00FF72BB" w:rsidRDefault="00FF72BB" w:rsidP="00DA7595">
      <w:pPr>
        <w:jc w:val="center"/>
        <w:rPr>
          <w:lang w:eastAsia="ko-KR"/>
        </w:rPr>
      </w:pPr>
    </w:p>
    <w:p w14:paraId="6D1D7B43" w14:textId="4B017B78" w:rsidR="00DC13F2" w:rsidRPr="00051E1E" w:rsidRDefault="00DC13F2" w:rsidP="00DC13F2">
      <w:pPr>
        <w:jc w:val="center"/>
        <w:rPr>
          <w:lang w:eastAsia="ko-KR"/>
        </w:rPr>
      </w:pPr>
      <w:r>
        <w:rPr>
          <w:lang w:eastAsia="ko-KR"/>
        </w:rPr>
        <w:t xml:space="preserve">Chairman, DG on AI </w:t>
      </w:r>
      <w:r>
        <w:rPr>
          <w:rFonts w:eastAsia="MS Mincho" w:hint="eastAsia"/>
          <w:lang w:eastAsia="ja-JP"/>
        </w:rPr>
        <w:t>9</w:t>
      </w:r>
      <w:r>
        <w:rPr>
          <w:lang w:eastAsia="ko-KR"/>
        </w:rPr>
        <w:t xml:space="preserve">.1 topic </w:t>
      </w:r>
      <w:r>
        <w:rPr>
          <w:lang w:eastAsia="ko-KR"/>
        </w:rPr>
        <w:t>d</w:t>
      </w:r>
    </w:p>
    <w:p w14:paraId="1F0E9847" w14:textId="77777777" w:rsidR="00DC13F2" w:rsidRPr="00B355DB" w:rsidRDefault="00DC13F2" w:rsidP="00DC13F2">
      <w:pPr>
        <w:jc w:val="center"/>
        <w:rPr>
          <w:caps/>
        </w:rPr>
      </w:pPr>
    </w:p>
    <w:p w14:paraId="0DF494AB" w14:textId="4918714F" w:rsidR="00DC13F2" w:rsidRPr="00F22892" w:rsidRDefault="00DC13F2" w:rsidP="00DC13F2">
      <w:pPr>
        <w:jc w:val="center"/>
        <w:rPr>
          <w:b/>
          <w:bCs/>
          <w:caps/>
        </w:rPr>
      </w:pPr>
      <w:r>
        <w:rPr>
          <w:b/>
          <w:bCs/>
          <w:caps/>
        </w:rPr>
        <w:t xml:space="preserve">brief on wrc-23 agenda item 9.1 topic </w:t>
      </w:r>
      <w:r>
        <w:rPr>
          <w:b/>
          <w:bCs/>
          <w:caps/>
        </w:rPr>
        <w:t>D</w:t>
      </w:r>
    </w:p>
    <w:p w14:paraId="0EE6E9E3" w14:textId="77777777" w:rsidR="00EC249E" w:rsidRPr="00DC13F2" w:rsidRDefault="00EC249E" w:rsidP="00E5341E">
      <w:pPr>
        <w:spacing w:after="120"/>
        <w:jc w:val="both"/>
        <w:rPr>
          <w:b/>
        </w:rPr>
      </w:pPr>
    </w:p>
    <w:p w14:paraId="4BA75F30" w14:textId="77777777" w:rsidR="00943378" w:rsidRPr="00943378" w:rsidRDefault="00943378" w:rsidP="00943378">
      <w:pPr>
        <w:rPr>
          <w:b/>
          <w:bCs/>
          <w:color w:val="FF0000"/>
        </w:rPr>
      </w:pPr>
      <w:r w:rsidRPr="00943378">
        <w:rPr>
          <w:b/>
          <w:bCs/>
          <w:color w:val="FF0000"/>
        </w:rPr>
        <w:t>ANNEX x</w:t>
      </w:r>
    </w:p>
    <w:p w14:paraId="6EFB9757" w14:textId="77777777" w:rsidR="00943378" w:rsidRDefault="00943378" w:rsidP="00943378">
      <w:pPr>
        <w:rPr>
          <w:rFonts w:ascii="Calibri" w:hAnsi="Calibri" w:cs="Calibri"/>
          <w:b/>
          <w:bCs/>
        </w:rPr>
      </w:pPr>
    </w:p>
    <w:p w14:paraId="44E9DBD1" w14:textId="77777777" w:rsidR="00943378" w:rsidRDefault="00943378" w:rsidP="00943378">
      <w:pPr>
        <w:rPr>
          <w:color w:val="000000" w:themeColor="text1"/>
        </w:rPr>
      </w:pPr>
      <w:r w:rsidRPr="00492682">
        <w:rPr>
          <w:b/>
          <w:bCs/>
        </w:rPr>
        <w:t xml:space="preserve">Brief on </w:t>
      </w:r>
      <w:r>
        <w:rPr>
          <w:b/>
          <w:bCs/>
        </w:rPr>
        <w:t xml:space="preserve">WRC-23 </w:t>
      </w:r>
      <w:r w:rsidRPr="00492682">
        <w:rPr>
          <w:b/>
          <w:bCs/>
        </w:rPr>
        <w:t xml:space="preserve">Agenda </w:t>
      </w:r>
      <w:r>
        <w:rPr>
          <w:b/>
          <w:bCs/>
        </w:rPr>
        <w:t>i</w:t>
      </w:r>
      <w:r w:rsidRPr="00492682">
        <w:rPr>
          <w:b/>
          <w:bCs/>
        </w:rPr>
        <w:t>tem 9.</w:t>
      </w:r>
      <w:r w:rsidRPr="00216263">
        <w:rPr>
          <w:b/>
          <w:bCs/>
          <w:color w:val="000000" w:themeColor="text1"/>
        </w:rPr>
        <w:t xml:space="preserve">1 </w:t>
      </w:r>
      <w:r>
        <w:rPr>
          <w:b/>
          <w:bCs/>
          <w:color w:val="000000" w:themeColor="text1"/>
        </w:rPr>
        <w:t xml:space="preserve">topic </w:t>
      </w:r>
      <w:r w:rsidRPr="00216263">
        <w:rPr>
          <w:b/>
          <w:bCs/>
          <w:color w:val="000000" w:themeColor="text1"/>
        </w:rPr>
        <w:t xml:space="preserve">d) </w:t>
      </w:r>
      <w:r w:rsidRPr="00C72474">
        <w:rPr>
          <w:color w:val="000000" w:themeColor="text1"/>
        </w:rPr>
        <w:t>(as of February 28, 2021)</w:t>
      </w:r>
    </w:p>
    <w:p w14:paraId="5AA2BA77" w14:textId="77777777" w:rsidR="00943378" w:rsidRDefault="00943378" w:rsidP="00943378">
      <w:pPr>
        <w:rPr>
          <w:b/>
          <w:bCs/>
          <w:color w:val="FF0000"/>
        </w:rPr>
      </w:pPr>
    </w:p>
    <w:p w14:paraId="2FD84365" w14:textId="77777777" w:rsidR="00943378" w:rsidRPr="00492682" w:rsidRDefault="00943378" w:rsidP="00943378">
      <w:r>
        <w:t xml:space="preserve">WRC-23 Agenda item </w:t>
      </w:r>
      <w:r w:rsidRPr="00492682">
        <w:t xml:space="preserve">9.1 </w:t>
      </w:r>
      <w:r>
        <w:t xml:space="preserve">topic </w:t>
      </w:r>
      <w:r w:rsidRPr="00492682">
        <w:t>d)</w:t>
      </w:r>
      <w:r>
        <w:t xml:space="preserve">: </w:t>
      </w:r>
      <w:r w:rsidRPr="00492682">
        <w:t>Protection of EESS (passive) in the frequency band 36-37 GHz from non-GSO FSS space stations</w:t>
      </w:r>
    </w:p>
    <w:p w14:paraId="169E3D34" w14:textId="77777777" w:rsidR="00943378" w:rsidRDefault="00943378" w:rsidP="00943378">
      <w:r w:rsidRPr="00492682">
        <w:t>Editor’s Note: The following texts are cut and paste</w:t>
      </w:r>
      <w:r>
        <w:t>d</w:t>
      </w:r>
      <w:r w:rsidRPr="00492682">
        <w:t xml:space="preserve"> </w:t>
      </w:r>
      <w:r>
        <w:rPr>
          <w:rFonts w:hint="eastAsia"/>
        </w:rPr>
        <w:t>f</w:t>
      </w:r>
      <w:r>
        <w:t>rom t</w:t>
      </w:r>
      <w:r w:rsidRPr="00492682">
        <w:t xml:space="preserve">he texts of </w:t>
      </w:r>
      <w:hyperlink r:id="rId8" w:history="1">
        <w:r w:rsidRPr="00610029">
          <w:rPr>
            <w:rStyle w:val="Hyperlink"/>
          </w:rPr>
          <w:t>CA251</w:t>
        </w:r>
      </w:hyperlink>
      <w:r w:rsidRPr="00492682">
        <w:t xml:space="preserve">, </w:t>
      </w:r>
      <w:hyperlink r:id="rId9" w:history="1">
        <w:r w:rsidRPr="00610029">
          <w:rPr>
            <w:rStyle w:val="Hyperlink"/>
          </w:rPr>
          <w:t>CA251A1</w:t>
        </w:r>
      </w:hyperlink>
      <w:r w:rsidRPr="00492682">
        <w:t xml:space="preserve"> and </w:t>
      </w:r>
      <w:hyperlink r:id="rId10" w:history="1">
        <w:r w:rsidRPr="00610029">
          <w:rPr>
            <w:rStyle w:val="Hyperlink"/>
          </w:rPr>
          <w:t>CA 251C1</w:t>
        </w:r>
      </w:hyperlink>
      <w:r w:rsidRPr="00492682">
        <w:t>.</w:t>
      </w:r>
    </w:p>
    <w:p w14:paraId="4F9EC09E" w14:textId="77777777" w:rsidR="00943378" w:rsidRPr="00492682" w:rsidRDefault="00943378" w:rsidP="00943378"/>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7"/>
        <w:gridCol w:w="6922"/>
      </w:tblGrid>
      <w:tr w:rsidR="00943378" w:rsidRPr="00C51F79" w14:paraId="3C74B47A" w14:textId="77777777" w:rsidTr="00B94803">
        <w:trPr>
          <w:jc w:val="center"/>
        </w:trPr>
        <w:tc>
          <w:tcPr>
            <w:tcW w:w="2287" w:type="dxa"/>
          </w:tcPr>
          <w:p w14:paraId="1850473D" w14:textId="77777777" w:rsidR="00943378" w:rsidRPr="00216263" w:rsidRDefault="00D5068D" w:rsidP="00B9480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lang w:eastAsia="nl-NL"/>
              </w:rPr>
            </w:pPr>
            <w:hyperlink r:id="rId11" w:history="1">
              <w:r w:rsidR="00943378" w:rsidRPr="00216263">
                <w:rPr>
                  <w:rStyle w:val="Hyperlink"/>
                </w:rPr>
                <w:t>WRC-19 Document 535</w:t>
              </w:r>
            </w:hyperlink>
            <w:r w:rsidR="00943378" w:rsidRPr="00216263">
              <w:t>, 2</w:t>
            </w:r>
            <w:r w:rsidR="00943378" w:rsidRPr="00216263">
              <w:rPr>
                <w:vertAlign w:val="superscript"/>
              </w:rPr>
              <w:t xml:space="preserve">nd </w:t>
            </w:r>
            <w:r w:rsidR="00943378" w:rsidRPr="00216263">
              <w:t>section of the Annex</w:t>
            </w:r>
          </w:p>
        </w:tc>
        <w:tc>
          <w:tcPr>
            <w:tcW w:w="6922" w:type="dxa"/>
          </w:tcPr>
          <w:p w14:paraId="5AC9C0D5" w14:textId="77777777" w:rsidR="00943378" w:rsidRPr="00216263" w:rsidRDefault="00943378" w:rsidP="00B94803">
            <w:pPr>
              <w:pStyle w:val="Tabletext"/>
              <w:rPr>
                <w:b/>
                <w:bCs/>
                <w:sz w:val="24"/>
                <w:szCs w:val="24"/>
              </w:rPr>
            </w:pPr>
            <w:r w:rsidRPr="00216263">
              <w:rPr>
                <w:b/>
                <w:bCs/>
                <w:sz w:val="24"/>
                <w:szCs w:val="24"/>
              </w:rPr>
              <w:t>Protection of EESS (passive) in the frequency band 36-37 GHz</w:t>
            </w:r>
          </w:p>
          <w:p w14:paraId="08F784C6" w14:textId="77777777" w:rsidR="00943378" w:rsidRPr="00216263" w:rsidRDefault="00943378" w:rsidP="00B94803">
            <w:pPr>
              <w:pStyle w:val="Tabletext"/>
              <w:jc w:val="both"/>
              <w:rPr>
                <w:sz w:val="24"/>
                <w:szCs w:val="24"/>
              </w:rPr>
            </w:pPr>
            <w:r w:rsidRPr="00216263">
              <w:rPr>
                <w:sz w:val="24"/>
                <w:szCs w:val="24"/>
              </w:rPr>
              <w:t>Under studies considered for WRC-19 agenda item 1.6, a preliminary study on the protection of EESS (passive) sensors operating in the 36-37 GHz was submitted to the ITU</w:t>
            </w:r>
            <w:r w:rsidRPr="00216263">
              <w:rPr>
                <w:sz w:val="24"/>
                <w:szCs w:val="24"/>
              </w:rPr>
              <w:noBreakHyphen/>
              <w:t>R. This preliminary study indicated that it may be necessary to not exceed an out-of-band e.i.r.p. of −34 dBW/100 MHz, for all angles greater than 71.4 degrees from nadir, for FSS non-GSO space stations operating in the frequency band 37.5-38 GHz. In addition, interference into the cold calibration channel of the EESS (passive) sensor operating in the frequency band 36</w:t>
            </w:r>
            <w:r w:rsidRPr="00216263">
              <w:rPr>
                <w:sz w:val="24"/>
                <w:szCs w:val="24"/>
              </w:rPr>
              <w:noBreakHyphen/>
              <w:t xml:space="preserve">37 GHz has not been studied. </w:t>
            </w:r>
          </w:p>
          <w:p w14:paraId="1AAD47CB" w14:textId="77777777" w:rsidR="00943378" w:rsidRPr="00216263" w:rsidRDefault="00943378" w:rsidP="00B94803">
            <w:pPr>
              <w:pStyle w:val="Tabletext"/>
              <w:jc w:val="both"/>
              <w:rPr>
                <w:sz w:val="24"/>
                <w:szCs w:val="24"/>
              </w:rPr>
            </w:pPr>
            <w:r w:rsidRPr="00216263">
              <w:rPr>
                <w:sz w:val="24"/>
                <w:szCs w:val="24"/>
              </w:rPr>
              <w:t>WRC-19 invites ITU-R to conduct further study of this topic and develop Recommendations and/or Reports, as appropriate, and report back to WRC-23 to take action, if necessary.</w:t>
            </w:r>
          </w:p>
          <w:p w14:paraId="04A80281" w14:textId="77777777" w:rsidR="00943378" w:rsidRPr="00216263" w:rsidRDefault="00943378" w:rsidP="00B9480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lang w:eastAsia="nl-NL"/>
              </w:rPr>
            </w:pPr>
            <w:r w:rsidRPr="00216263">
              <w:t xml:space="preserve">Furthermore, WRC-19 agreed that modifications to Resolution </w:t>
            </w:r>
            <w:r w:rsidRPr="00216263">
              <w:rPr>
                <w:b/>
              </w:rPr>
              <w:t>750 (Rev. WRC-19)</w:t>
            </w:r>
            <w:r w:rsidRPr="00216263">
              <w:t xml:space="preserve"> should not be considered under these studies since the frequency band 36-37 GHz is not referenced in No. </w:t>
            </w:r>
            <w:r w:rsidRPr="00216263">
              <w:rPr>
                <w:b/>
                <w:bCs/>
              </w:rPr>
              <w:t>5.340</w:t>
            </w:r>
            <w:r w:rsidRPr="00216263">
              <w:t>.</w:t>
            </w:r>
          </w:p>
        </w:tc>
      </w:tr>
    </w:tbl>
    <w:p w14:paraId="643C8D33" w14:textId="77777777" w:rsidR="00943378" w:rsidRDefault="00943378" w:rsidP="00943378">
      <w:pPr>
        <w:rPr>
          <w:rFonts w:ascii="Calibri" w:hAnsi="Calibri" w:cs="Calibri"/>
        </w:rPr>
      </w:pPr>
    </w:p>
    <w:tbl>
      <w:tblPr>
        <w:tblStyle w:val="TableGrid"/>
        <w:tblW w:w="9214" w:type="dxa"/>
        <w:tblInd w:w="-5" w:type="dxa"/>
        <w:tblLook w:val="04A0" w:firstRow="1" w:lastRow="0" w:firstColumn="1" w:lastColumn="0" w:noHBand="0" w:noVBand="1"/>
      </w:tblPr>
      <w:tblGrid>
        <w:gridCol w:w="4820"/>
        <w:gridCol w:w="4394"/>
      </w:tblGrid>
      <w:tr w:rsidR="00943378" w:rsidRPr="00216263" w14:paraId="49FC5577" w14:textId="77777777" w:rsidTr="00B94803">
        <w:tc>
          <w:tcPr>
            <w:tcW w:w="4820" w:type="dxa"/>
          </w:tcPr>
          <w:p w14:paraId="0201D86A" w14:textId="77777777" w:rsidR="00943378" w:rsidRPr="00216263" w:rsidRDefault="00943378" w:rsidP="00B94803">
            <w:pPr>
              <w:jc w:val="center"/>
              <w:rPr>
                <w:bCs/>
              </w:rPr>
            </w:pPr>
            <w:r w:rsidRPr="00216263">
              <w:rPr>
                <w:rFonts w:eastAsia="Batang"/>
                <w:bCs/>
              </w:rPr>
              <w:t>Responsible group</w:t>
            </w:r>
          </w:p>
        </w:tc>
        <w:tc>
          <w:tcPr>
            <w:tcW w:w="4394" w:type="dxa"/>
          </w:tcPr>
          <w:p w14:paraId="1BD809CA" w14:textId="77777777" w:rsidR="00943378" w:rsidRPr="00216263" w:rsidRDefault="00943378" w:rsidP="00B94803">
            <w:pPr>
              <w:jc w:val="center"/>
              <w:rPr>
                <w:bCs/>
              </w:rPr>
            </w:pPr>
            <w:r w:rsidRPr="00216263">
              <w:rPr>
                <w:rFonts w:eastAsia="Batang"/>
                <w:bCs/>
              </w:rPr>
              <w:t>Contributing group</w:t>
            </w:r>
          </w:p>
        </w:tc>
      </w:tr>
      <w:tr w:rsidR="00943378" w:rsidRPr="00216263" w14:paraId="6A1662A9" w14:textId="77777777" w:rsidTr="00B94803">
        <w:tc>
          <w:tcPr>
            <w:tcW w:w="4820" w:type="dxa"/>
          </w:tcPr>
          <w:p w14:paraId="706780DB" w14:textId="77777777" w:rsidR="00943378" w:rsidRPr="00216263" w:rsidRDefault="00943378" w:rsidP="00B9480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Batang"/>
                <w:bCs/>
                <w:lang w:eastAsia="nl-NL"/>
              </w:rPr>
            </w:pPr>
            <w:r w:rsidRPr="00216263">
              <w:rPr>
                <w:rFonts w:eastAsia="Batang"/>
                <w:bCs/>
                <w:lang w:eastAsia="nl-NL"/>
              </w:rPr>
              <w:t>WP 7C</w:t>
            </w:r>
          </w:p>
        </w:tc>
        <w:tc>
          <w:tcPr>
            <w:tcW w:w="4394" w:type="dxa"/>
          </w:tcPr>
          <w:p w14:paraId="4DC74E77" w14:textId="77777777" w:rsidR="00943378" w:rsidRPr="00216263" w:rsidRDefault="00943378" w:rsidP="00B94803">
            <w:pPr>
              <w:pStyle w:val="Tabletext"/>
              <w:jc w:val="center"/>
              <w:rPr>
                <w:bCs/>
                <w:sz w:val="24"/>
                <w:szCs w:val="24"/>
              </w:rPr>
            </w:pPr>
            <w:r w:rsidRPr="00216263">
              <w:rPr>
                <w:bCs/>
                <w:sz w:val="24"/>
                <w:szCs w:val="24"/>
              </w:rPr>
              <w:t>WP 4A, WP 5A, WP 5C,</w:t>
            </w:r>
          </w:p>
          <w:p w14:paraId="7219FD46" w14:textId="77777777" w:rsidR="00943378" w:rsidRPr="00216263" w:rsidRDefault="00943378" w:rsidP="00B9480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bCs/>
              </w:rPr>
            </w:pPr>
            <w:r w:rsidRPr="00216263">
              <w:rPr>
                <w:bCs/>
              </w:rPr>
              <w:t>WP 5D</w:t>
            </w:r>
          </w:p>
        </w:tc>
      </w:tr>
    </w:tbl>
    <w:p w14:paraId="77D3CD86" w14:textId="77777777" w:rsidR="00943378" w:rsidRPr="00216263" w:rsidRDefault="00943378" w:rsidP="00943378">
      <w:pPr>
        <w:rPr>
          <w:bCs/>
        </w:rPr>
      </w:pPr>
    </w:p>
    <w:p w14:paraId="13808F9C" w14:textId="5B178119" w:rsidR="00943378" w:rsidRDefault="00943378" w:rsidP="00943378">
      <w:pPr>
        <w:pStyle w:val="ListParagraph"/>
        <w:widowControl w:val="0"/>
        <w:numPr>
          <w:ilvl w:val="0"/>
          <w:numId w:val="20"/>
        </w:numPr>
        <w:autoSpaceDE w:val="0"/>
        <w:autoSpaceDN w:val="0"/>
        <w:jc w:val="both"/>
        <w:textAlignment w:val="baseline"/>
        <w:rPr>
          <w:rFonts w:eastAsia="Times New Roman Bold"/>
          <w:b/>
          <w:bCs/>
        </w:rPr>
      </w:pPr>
      <w:r w:rsidRPr="008B2E5D">
        <w:rPr>
          <w:rFonts w:eastAsia="Times New Roman Bold"/>
          <w:b/>
          <w:bCs/>
        </w:rPr>
        <w:t xml:space="preserve">Background information </w:t>
      </w:r>
    </w:p>
    <w:p w14:paraId="2FC07EC4" w14:textId="77777777" w:rsidR="00E941B5" w:rsidRPr="008B2E5D" w:rsidRDefault="00E941B5" w:rsidP="00E941B5">
      <w:pPr>
        <w:pStyle w:val="ListParagraph"/>
        <w:widowControl w:val="0"/>
        <w:autoSpaceDE w:val="0"/>
        <w:autoSpaceDN w:val="0"/>
        <w:ind w:left="360"/>
        <w:jc w:val="both"/>
        <w:textAlignment w:val="baseline"/>
        <w:rPr>
          <w:rFonts w:eastAsia="Times New Roman Bold"/>
          <w:b/>
          <w:bCs/>
        </w:rPr>
      </w:pPr>
    </w:p>
    <w:p w14:paraId="461205F3" w14:textId="77777777" w:rsidR="00943378" w:rsidRDefault="00943378" w:rsidP="00943378">
      <w:pPr>
        <w:rPr>
          <w:rFonts w:eastAsia="Times New Roman Bold"/>
        </w:rPr>
      </w:pPr>
      <w:r w:rsidRPr="007B2FE1">
        <w:rPr>
          <w:rFonts w:eastAsia="Times New Roman Bold"/>
        </w:rPr>
        <w:t xml:space="preserve">WRC-19 revised the Regulations and Procedures for the operation of non-GSO FSS satellite systems in the frequency bands including 37.5-39.5 GHz (space-to-Earth) </w:t>
      </w:r>
      <w:r w:rsidRPr="00D223CF">
        <w:rPr>
          <w:rFonts w:eastAsia="Times New Roman Bold" w:hint="eastAsia"/>
        </w:rPr>
        <w:t xml:space="preserve">under </w:t>
      </w:r>
      <w:r w:rsidRPr="007B2FE1">
        <w:rPr>
          <w:rFonts w:eastAsia="Times New Roman Bold"/>
        </w:rPr>
        <w:t>WRC-19</w:t>
      </w:r>
      <w:r>
        <w:rPr>
          <w:rFonts w:eastAsia="Times New Roman Bold"/>
        </w:rPr>
        <w:t xml:space="preserve"> </w:t>
      </w:r>
      <w:r w:rsidRPr="00C72474">
        <w:rPr>
          <w:rFonts w:eastAsia="Times New Roman Bold" w:hint="eastAsia"/>
        </w:rPr>
        <w:t>A</w:t>
      </w:r>
      <w:r w:rsidRPr="00C72474">
        <w:rPr>
          <w:rFonts w:eastAsia="Times New Roman Bold"/>
        </w:rPr>
        <w:t>g</w:t>
      </w:r>
      <w:r w:rsidRPr="007B2FE1">
        <w:rPr>
          <w:rFonts w:eastAsia="Times New Roman Bold"/>
        </w:rPr>
        <w:t>enda item 1.6, while ensuring protection of GSO satellite networks in the FSS, MSS and BSS.</w:t>
      </w:r>
      <w:r>
        <w:rPr>
          <w:rFonts w:eastAsia="Times New Roman Bold"/>
        </w:rPr>
        <w:t xml:space="preserve"> </w:t>
      </w:r>
    </w:p>
    <w:p w14:paraId="3C7B108C" w14:textId="3B442CEB" w:rsidR="00943378" w:rsidRPr="00D223CF" w:rsidRDefault="00943378" w:rsidP="00943378">
      <w:pPr>
        <w:rPr>
          <w:rFonts w:eastAsia="Times New Roman Bold"/>
        </w:rPr>
      </w:pPr>
      <w:r w:rsidRPr="008E485A">
        <w:rPr>
          <w:rFonts w:eastAsia="Times New Roman Bold"/>
        </w:rPr>
        <w:t>Meanwhile</w:t>
      </w:r>
      <w:r>
        <w:rPr>
          <w:rFonts w:eastAsia="Times New Roman Bold"/>
        </w:rPr>
        <w:t>,</w:t>
      </w:r>
      <w:r w:rsidRPr="008E485A">
        <w:rPr>
          <w:rFonts w:eastAsia="Times New Roman Bold"/>
        </w:rPr>
        <w:t xml:space="preserve"> u</w:t>
      </w:r>
      <w:r>
        <w:rPr>
          <w:rFonts w:eastAsia="Times New Roman Bold"/>
        </w:rPr>
        <w:t>n</w:t>
      </w:r>
      <w:r w:rsidRPr="007B2FE1">
        <w:rPr>
          <w:rFonts w:eastAsia="Times New Roman Bold"/>
        </w:rPr>
        <w:t xml:space="preserve">der studies considered for WRC-19 agenda item 1.6, a preliminary study on the protection of EESS (passive) sensors operating in the </w:t>
      </w:r>
      <w:r>
        <w:rPr>
          <w:rFonts w:eastAsia="Times New Roman Bold"/>
        </w:rPr>
        <w:t xml:space="preserve">adjacent frequency band </w:t>
      </w:r>
      <w:r w:rsidRPr="007B2FE1">
        <w:rPr>
          <w:rFonts w:eastAsia="Times New Roman Bold"/>
        </w:rPr>
        <w:t>36-37 GHz was submitted to the ITU</w:t>
      </w:r>
      <w:r w:rsidRPr="007B2FE1">
        <w:rPr>
          <w:rFonts w:eastAsia="Times New Roman Bold"/>
        </w:rPr>
        <w:noBreakHyphen/>
        <w:t>R</w:t>
      </w:r>
      <w:r>
        <w:rPr>
          <w:rFonts w:eastAsia="Times New Roman Bold"/>
        </w:rPr>
        <w:t xml:space="preserve"> because </w:t>
      </w:r>
      <w:r w:rsidRPr="00D223CF">
        <w:rPr>
          <w:rFonts w:eastAsia="Times New Roman Bold"/>
        </w:rPr>
        <w:t xml:space="preserve">EESS (passive) </w:t>
      </w:r>
      <w:r>
        <w:rPr>
          <w:rFonts w:eastAsia="Times New Roman Bold"/>
        </w:rPr>
        <w:t>wa</w:t>
      </w:r>
      <w:r w:rsidRPr="00D223CF">
        <w:rPr>
          <w:rFonts w:eastAsia="Times New Roman Bold"/>
        </w:rPr>
        <w:t xml:space="preserve">s used or planned to be used by several </w:t>
      </w:r>
      <w:r w:rsidR="008B7C1A">
        <w:rPr>
          <w:rFonts w:eastAsia="Times New Roman Bold"/>
        </w:rPr>
        <w:t xml:space="preserve"> </w:t>
      </w:r>
      <w:r w:rsidRPr="00D223CF">
        <w:rPr>
          <w:rFonts w:eastAsia="Times New Roman Bold"/>
        </w:rPr>
        <w:lastRenderedPageBreak/>
        <w:t>sensors</w:t>
      </w:r>
      <w:r>
        <w:rPr>
          <w:rFonts w:eastAsia="Times New Roman Bold"/>
        </w:rPr>
        <w:t xml:space="preserve"> in the band. </w:t>
      </w:r>
      <w:r w:rsidRPr="007B2FE1">
        <w:rPr>
          <w:rFonts w:eastAsia="Times New Roman Bold"/>
        </w:rPr>
        <w:t>T</w:t>
      </w:r>
      <w:r>
        <w:rPr>
          <w:rFonts w:eastAsia="Times New Roman Bold"/>
        </w:rPr>
        <w:t>he</w:t>
      </w:r>
      <w:r w:rsidRPr="007B2FE1">
        <w:rPr>
          <w:rFonts w:eastAsia="Times New Roman Bold"/>
        </w:rPr>
        <w:t xml:space="preserve"> preliminary study indicated that it may be necessary to not exceed an out-of-band e.i.r.p. of −34 dBW/100 MHz, for all angles greater than 71.4 degrees from nadir, for FSS non-GSO space stations operating in the frequency band 37.5-38 GHz. In addition, </w:t>
      </w:r>
      <w:r>
        <w:rPr>
          <w:rFonts w:eastAsia="Times New Roman Bold"/>
        </w:rPr>
        <w:t xml:space="preserve">it was pointed out in the Conference that </w:t>
      </w:r>
      <w:r w:rsidRPr="007B2FE1">
        <w:rPr>
          <w:rFonts w:eastAsia="Times New Roman Bold"/>
        </w:rPr>
        <w:t>interference into the cold calibration channel of the EESS (passive) sensor operating in the frequency band 36</w:t>
      </w:r>
      <w:r w:rsidRPr="007B2FE1">
        <w:rPr>
          <w:rFonts w:eastAsia="Times New Roman Bold"/>
        </w:rPr>
        <w:noBreakHyphen/>
        <w:t>37 GHz had not been studied.</w:t>
      </w:r>
    </w:p>
    <w:p w14:paraId="58369975" w14:textId="77777777" w:rsidR="00943378" w:rsidRPr="007B2FE1" w:rsidRDefault="00943378" w:rsidP="00943378">
      <w:pPr>
        <w:rPr>
          <w:rFonts w:eastAsia="Times New Roman Bold"/>
        </w:rPr>
      </w:pPr>
      <w:r w:rsidRPr="007B2FE1">
        <w:rPr>
          <w:rFonts w:eastAsia="Times New Roman Bold"/>
        </w:rPr>
        <w:t>Accordingly, WRC-19 invited ITU-R to conduct further study of this topic and develop Recommendations and/or Reports, as appropriate, and report back to WRC-23 to take action</w:t>
      </w:r>
      <w:r>
        <w:rPr>
          <w:rFonts w:eastAsia="Times New Roman Bold"/>
        </w:rPr>
        <w:t>,</w:t>
      </w:r>
      <w:r w:rsidRPr="007B2FE1">
        <w:rPr>
          <w:rFonts w:eastAsia="Times New Roman Bold"/>
        </w:rPr>
        <w:t xml:space="preserve"> if necessary, as mentioned in the </w:t>
      </w:r>
      <w:r>
        <w:rPr>
          <w:rFonts w:eastAsia="Times New Roman Bold"/>
        </w:rPr>
        <w:t xml:space="preserve">2nd </w:t>
      </w:r>
      <w:r w:rsidRPr="007B2FE1">
        <w:rPr>
          <w:rFonts w:eastAsia="Times New Roman Bold"/>
        </w:rPr>
        <w:t>section of the Annex to WRC-19 Document 535.</w:t>
      </w:r>
    </w:p>
    <w:p w14:paraId="41AA0C19" w14:textId="77777777" w:rsidR="00943378" w:rsidRDefault="00943378" w:rsidP="00943378">
      <w:pPr>
        <w:rPr>
          <w:rFonts w:eastAsia="Times New Roman Bold"/>
        </w:rPr>
      </w:pPr>
      <w:r w:rsidRPr="007B2FE1">
        <w:rPr>
          <w:rFonts w:eastAsia="Times New Roman Bold"/>
        </w:rPr>
        <w:t xml:space="preserve">Frequency allocations to the band 36-39.5 </w:t>
      </w:r>
      <w:r>
        <w:rPr>
          <w:rFonts w:eastAsia="Times New Roman Bold"/>
        </w:rPr>
        <w:t xml:space="preserve">GHz </w:t>
      </w:r>
      <w:r w:rsidRPr="007B2FE1">
        <w:rPr>
          <w:rFonts w:eastAsia="Times New Roman Bold"/>
        </w:rPr>
        <w:t>are as follows.</w:t>
      </w:r>
    </w:p>
    <w:p w14:paraId="339EF8D2" w14:textId="77777777" w:rsidR="00943378" w:rsidRPr="007B2FE1" w:rsidRDefault="00943378" w:rsidP="00943378">
      <w:pPr>
        <w:rPr>
          <w:rFonts w:eastAsia="Times New Roman Bold"/>
        </w:rPr>
      </w:pPr>
    </w:p>
    <w:tbl>
      <w:tblPr>
        <w:tblOverlap w:val="never"/>
        <w:tblW w:w="9072" w:type="dxa"/>
        <w:tblCellMar>
          <w:top w:w="15" w:type="dxa"/>
          <w:left w:w="15" w:type="dxa"/>
          <w:bottom w:w="15" w:type="dxa"/>
          <w:right w:w="15" w:type="dxa"/>
        </w:tblCellMar>
        <w:tblLook w:val="04A0" w:firstRow="1" w:lastRow="0" w:firstColumn="1" w:lastColumn="0" w:noHBand="0" w:noVBand="1"/>
      </w:tblPr>
      <w:tblGrid>
        <w:gridCol w:w="1325"/>
        <w:gridCol w:w="1931"/>
        <w:gridCol w:w="1842"/>
        <w:gridCol w:w="1985"/>
        <w:gridCol w:w="1989"/>
      </w:tblGrid>
      <w:tr w:rsidR="00943378" w:rsidRPr="007F1458" w14:paraId="21A4AED5" w14:textId="77777777" w:rsidTr="00B94803">
        <w:trPr>
          <w:trHeight w:val="256"/>
        </w:trPr>
        <w:tc>
          <w:tcPr>
            <w:tcW w:w="13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4BC4CAE" w14:textId="77777777" w:rsidR="00943378" w:rsidRPr="007F1458" w:rsidRDefault="00943378" w:rsidP="00B94803">
            <w:pPr>
              <w:spacing w:line="312" w:lineRule="auto"/>
              <w:textAlignment w:val="baseline"/>
              <w:rPr>
                <w:rFonts w:eastAsia="Gulim"/>
                <w:color w:val="000000"/>
                <w:szCs w:val="20"/>
              </w:rPr>
            </w:pPr>
            <w:r w:rsidRPr="00757435">
              <w:rPr>
                <w:rFonts w:eastAsia="Gulim"/>
                <w:color w:val="000000"/>
                <w:szCs w:val="20"/>
              </w:rPr>
              <w:t xml:space="preserve">     GHz</w:t>
            </w:r>
          </w:p>
        </w:tc>
        <w:tc>
          <w:tcPr>
            <w:tcW w:w="7747"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6D6987B" w14:textId="58CA2773" w:rsidR="00943378" w:rsidRPr="007F1458" w:rsidRDefault="00943378" w:rsidP="00B94803">
            <w:pPr>
              <w:spacing w:line="312" w:lineRule="auto"/>
              <w:textAlignment w:val="baseline"/>
              <w:rPr>
                <w:rFonts w:eastAsia="Gulim"/>
                <w:color w:val="000000"/>
                <w:szCs w:val="20"/>
              </w:rPr>
            </w:pPr>
            <w:r w:rsidRPr="007F1458">
              <w:rPr>
                <w:rFonts w:eastAsia="Malgun Gothic"/>
                <w:b/>
                <w:bCs/>
                <w:color w:val="000000"/>
                <w:szCs w:val="20"/>
              </w:rPr>
              <w:t>36.0</w:t>
            </w:r>
            <w:r w:rsidRPr="00757435">
              <w:rPr>
                <w:rFonts w:eastAsia="Malgun Gothic"/>
                <w:b/>
                <w:bCs/>
                <w:color w:val="000000"/>
                <w:szCs w:val="20"/>
              </w:rPr>
              <w:t xml:space="preserve">            </w:t>
            </w:r>
            <w:r>
              <w:rPr>
                <w:rFonts w:eastAsia="Malgun Gothic"/>
                <w:b/>
                <w:bCs/>
                <w:color w:val="000000"/>
                <w:szCs w:val="20"/>
              </w:rPr>
              <w:t xml:space="preserve"> </w:t>
            </w:r>
            <w:r w:rsidRPr="00757435">
              <w:rPr>
                <w:rFonts w:eastAsia="Malgun Gothic"/>
                <w:b/>
                <w:bCs/>
                <w:color w:val="000000"/>
                <w:szCs w:val="20"/>
              </w:rPr>
              <w:t xml:space="preserve"> </w:t>
            </w:r>
            <w:r w:rsidR="008B7C1A">
              <w:rPr>
                <w:rFonts w:eastAsia="Malgun Gothic"/>
                <w:b/>
                <w:bCs/>
                <w:color w:val="000000"/>
                <w:szCs w:val="20"/>
              </w:rPr>
              <w:t xml:space="preserve">        </w:t>
            </w:r>
            <w:r w:rsidRPr="007F1458">
              <w:rPr>
                <w:rFonts w:eastAsia="Malgun Gothic"/>
                <w:b/>
                <w:bCs/>
                <w:color w:val="000000"/>
                <w:szCs w:val="20"/>
              </w:rPr>
              <w:t xml:space="preserve">37.0 </w:t>
            </w:r>
            <w:r w:rsidRPr="00757435">
              <w:rPr>
                <w:rFonts w:eastAsia="Malgun Gothic"/>
                <w:b/>
                <w:bCs/>
                <w:color w:val="000000"/>
                <w:szCs w:val="20"/>
              </w:rPr>
              <w:t xml:space="preserve">           </w:t>
            </w:r>
            <w:r>
              <w:rPr>
                <w:rFonts w:eastAsia="Malgun Gothic"/>
                <w:b/>
                <w:bCs/>
                <w:color w:val="000000"/>
                <w:szCs w:val="20"/>
              </w:rPr>
              <w:t xml:space="preserve"> </w:t>
            </w:r>
            <w:r w:rsidRPr="00757435">
              <w:rPr>
                <w:rFonts w:eastAsia="Malgun Gothic"/>
                <w:b/>
                <w:bCs/>
                <w:color w:val="000000"/>
                <w:szCs w:val="20"/>
              </w:rPr>
              <w:t xml:space="preserve"> </w:t>
            </w:r>
            <w:r w:rsidR="008B7C1A">
              <w:rPr>
                <w:rFonts w:eastAsia="Malgun Gothic"/>
                <w:b/>
                <w:bCs/>
                <w:color w:val="000000"/>
                <w:szCs w:val="20"/>
              </w:rPr>
              <w:t xml:space="preserve">         </w:t>
            </w:r>
            <w:r w:rsidRPr="00757435">
              <w:rPr>
                <w:rFonts w:eastAsia="Malgun Gothic"/>
                <w:b/>
                <w:bCs/>
                <w:color w:val="000000"/>
                <w:szCs w:val="20"/>
              </w:rPr>
              <w:t xml:space="preserve"> </w:t>
            </w:r>
            <w:r w:rsidRPr="007F1458">
              <w:rPr>
                <w:rFonts w:eastAsia="Malgun Gothic"/>
                <w:b/>
                <w:bCs/>
                <w:color w:val="000000"/>
                <w:szCs w:val="20"/>
              </w:rPr>
              <w:t>37.5</w:t>
            </w:r>
            <w:r w:rsidRPr="00757435">
              <w:rPr>
                <w:rFonts w:eastAsia="Malgun Gothic"/>
                <w:b/>
                <w:bCs/>
                <w:color w:val="000000"/>
                <w:szCs w:val="20"/>
              </w:rPr>
              <w:t xml:space="preserve">         </w:t>
            </w:r>
            <w:r>
              <w:rPr>
                <w:rFonts w:eastAsia="Malgun Gothic"/>
                <w:b/>
                <w:bCs/>
                <w:color w:val="000000"/>
                <w:szCs w:val="20"/>
              </w:rPr>
              <w:t xml:space="preserve"> </w:t>
            </w:r>
            <w:r w:rsidRPr="00757435">
              <w:rPr>
                <w:rFonts w:eastAsia="Malgun Gothic"/>
                <w:b/>
                <w:bCs/>
                <w:color w:val="000000"/>
                <w:szCs w:val="20"/>
              </w:rPr>
              <w:t xml:space="preserve">  </w:t>
            </w:r>
            <w:r w:rsidRPr="007F1458">
              <w:rPr>
                <w:rFonts w:eastAsia="Malgun Gothic"/>
                <w:b/>
                <w:bCs/>
                <w:color w:val="000000"/>
                <w:szCs w:val="20"/>
              </w:rPr>
              <w:t xml:space="preserve"> </w:t>
            </w:r>
            <w:r w:rsidRPr="00757435">
              <w:rPr>
                <w:rFonts w:eastAsia="Malgun Gothic"/>
                <w:b/>
                <w:bCs/>
                <w:color w:val="000000"/>
                <w:szCs w:val="20"/>
              </w:rPr>
              <w:t xml:space="preserve">   </w:t>
            </w:r>
            <w:r w:rsidR="008B7C1A">
              <w:rPr>
                <w:rFonts w:eastAsia="Malgun Gothic"/>
                <w:b/>
                <w:bCs/>
                <w:color w:val="000000"/>
                <w:szCs w:val="20"/>
              </w:rPr>
              <w:t xml:space="preserve">         </w:t>
            </w:r>
            <w:r w:rsidRPr="007F1458">
              <w:rPr>
                <w:rFonts w:eastAsia="Malgun Gothic"/>
                <w:b/>
                <w:bCs/>
                <w:color w:val="000000"/>
                <w:szCs w:val="20"/>
              </w:rPr>
              <w:t xml:space="preserve">38.0 </w:t>
            </w:r>
            <w:r w:rsidRPr="00757435">
              <w:rPr>
                <w:rFonts w:eastAsia="Malgun Gothic"/>
                <w:b/>
                <w:bCs/>
                <w:color w:val="000000"/>
                <w:szCs w:val="20"/>
              </w:rPr>
              <w:t xml:space="preserve">            </w:t>
            </w:r>
            <w:r w:rsidR="008B7C1A">
              <w:rPr>
                <w:rFonts w:eastAsia="Malgun Gothic"/>
                <w:b/>
                <w:bCs/>
                <w:color w:val="000000"/>
                <w:szCs w:val="20"/>
              </w:rPr>
              <w:t xml:space="preserve">      </w:t>
            </w:r>
            <w:r w:rsidRPr="00757435">
              <w:rPr>
                <w:rFonts w:eastAsia="Malgun Gothic"/>
                <w:b/>
                <w:bCs/>
                <w:color w:val="000000"/>
                <w:szCs w:val="20"/>
              </w:rPr>
              <w:t xml:space="preserve"> </w:t>
            </w:r>
            <w:r w:rsidRPr="007F1458">
              <w:rPr>
                <w:rFonts w:eastAsia="Malgun Gothic"/>
                <w:b/>
                <w:bCs/>
                <w:color w:val="000000"/>
                <w:szCs w:val="20"/>
              </w:rPr>
              <w:t>39.5</w:t>
            </w:r>
          </w:p>
        </w:tc>
      </w:tr>
      <w:tr w:rsidR="00943378" w:rsidRPr="007F1458" w14:paraId="14953D28" w14:textId="77777777" w:rsidTr="00B94803">
        <w:trPr>
          <w:trHeight w:val="845"/>
        </w:trPr>
        <w:tc>
          <w:tcPr>
            <w:tcW w:w="1325" w:type="dxa"/>
            <w:tcBorders>
              <w:top w:val="single" w:sz="4" w:space="0" w:color="auto"/>
              <w:left w:val="single" w:sz="2" w:space="0" w:color="000000"/>
              <w:bottom w:val="single" w:sz="2" w:space="0" w:color="000000"/>
              <w:right w:val="nil"/>
            </w:tcBorders>
            <w:tcMar>
              <w:top w:w="28" w:type="dxa"/>
              <w:left w:w="28" w:type="dxa"/>
              <w:bottom w:w="28" w:type="dxa"/>
              <w:right w:w="28" w:type="dxa"/>
            </w:tcMar>
            <w:vAlign w:val="center"/>
            <w:hideMark/>
          </w:tcPr>
          <w:p w14:paraId="45D3D681" w14:textId="77777777" w:rsidR="00943378" w:rsidRPr="007F1458" w:rsidRDefault="00943378" w:rsidP="00B94803">
            <w:pPr>
              <w:spacing w:line="312" w:lineRule="auto"/>
              <w:jc w:val="center"/>
              <w:textAlignment w:val="baseline"/>
              <w:rPr>
                <w:rFonts w:eastAsia="Gulim"/>
                <w:color w:val="000000"/>
                <w:szCs w:val="20"/>
              </w:rPr>
            </w:pPr>
            <w:r w:rsidRPr="00757435">
              <w:rPr>
                <w:rFonts w:eastAsia="Malgun Gothic"/>
                <w:color w:val="000000"/>
                <w:szCs w:val="20"/>
              </w:rPr>
              <w:t>Region 1</w:t>
            </w:r>
          </w:p>
        </w:tc>
        <w:tc>
          <w:tcPr>
            <w:tcW w:w="1931" w:type="dxa"/>
            <w:vMerge w:val="restart"/>
            <w:tcBorders>
              <w:top w:val="single" w:sz="4" w:space="0" w:color="auto"/>
              <w:left w:val="single" w:sz="2" w:space="0" w:color="000000"/>
              <w:bottom w:val="single" w:sz="2" w:space="0" w:color="000000"/>
              <w:right w:val="single" w:sz="2" w:space="0" w:color="000000"/>
            </w:tcBorders>
            <w:shd w:val="clear" w:color="auto" w:fill="E6EEF7"/>
            <w:tcMar>
              <w:top w:w="28" w:type="dxa"/>
              <w:left w:w="28" w:type="dxa"/>
              <w:bottom w:w="28" w:type="dxa"/>
              <w:right w:w="28" w:type="dxa"/>
            </w:tcMar>
            <w:hideMark/>
          </w:tcPr>
          <w:p w14:paraId="6AD8E462" w14:textId="77777777" w:rsidR="00943378" w:rsidRPr="00757435" w:rsidRDefault="00943378" w:rsidP="00B94803">
            <w:pPr>
              <w:adjustRightInd w:val="0"/>
              <w:rPr>
                <w:szCs w:val="20"/>
              </w:rPr>
            </w:pPr>
            <w:r w:rsidRPr="00757435">
              <w:rPr>
                <w:szCs w:val="20"/>
              </w:rPr>
              <w:t>EARTH EXPLORATION-SATELLITE (passive)</w:t>
            </w:r>
          </w:p>
          <w:p w14:paraId="1DBE756C" w14:textId="77777777" w:rsidR="00943378" w:rsidRPr="00757435" w:rsidRDefault="00943378" w:rsidP="00B94803">
            <w:pPr>
              <w:adjustRightInd w:val="0"/>
              <w:rPr>
                <w:szCs w:val="20"/>
              </w:rPr>
            </w:pPr>
            <w:r w:rsidRPr="00757435">
              <w:rPr>
                <w:szCs w:val="20"/>
              </w:rPr>
              <w:t>FIXED</w:t>
            </w:r>
          </w:p>
          <w:p w14:paraId="2EAB606A" w14:textId="77777777" w:rsidR="00943378" w:rsidRPr="00757435" w:rsidRDefault="00943378" w:rsidP="00B94803">
            <w:pPr>
              <w:adjustRightInd w:val="0"/>
              <w:rPr>
                <w:szCs w:val="20"/>
              </w:rPr>
            </w:pPr>
            <w:r w:rsidRPr="00757435">
              <w:rPr>
                <w:szCs w:val="20"/>
              </w:rPr>
              <w:t>MOBILE</w:t>
            </w:r>
          </w:p>
          <w:p w14:paraId="7F9E947A" w14:textId="77777777" w:rsidR="00943378" w:rsidRDefault="00943378" w:rsidP="00B94803">
            <w:pPr>
              <w:adjustRightInd w:val="0"/>
              <w:rPr>
                <w:szCs w:val="20"/>
              </w:rPr>
            </w:pPr>
            <w:r w:rsidRPr="00757435">
              <w:rPr>
                <w:szCs w:val="20"/>
              </w:rPr>
              <w:t>SPACE RESEARCH (passive)</w:t>
            </w:r>
          </w:p>
          <w:p w14:paraId="01B30196" w14:textId="77777777" w:rsidR="00943378" w:rsidRDefault="00943378" w:rsidP="00B94803">
            <w:pPr>
              <w:adjustRightInd w:val="0"/>
              <w:rPr>
                <w:szCs w:val="20"/>
              </w:rPr>
            </w:pPr>
          </w:p>
          <w:p w14:paraId="4B50954F" w14:textId="77777777" w:rsidR="00943378" w:rsidRPr="00757435" w:rsidRDefault="00943378" w:rsidP="00B94803">
            <w:pPr>
              <w:adjustRightInd w:val="0"/>
              <w:rPr>
                <w:szCs w:val="20"/>
              </w:rPr>
            </w:pPr>
          </w:p>
          <w:p w14:paraId="6D7CCBEB" w14:textId="77777777" w:rsidR="00943378" w:rsidRPr="007F1458" w:rsidRDefault="00943378" w:rsidP="00B94803">
            <w:pPr>
              <w:spacing w:line="312" w:lineRule="auto"/>
              <w:textAlignment w:val="baseline"/>
              <w:rPr>
                <w:rFonts w:eastAsia="Gulim"/>
                <w:color w:val="000000"/>
                <w:szCs w:val="20"/>
              </w:rPr>
            </w:pPr>
            <w:r w:rsidRPr="00757435">
              <w:rPr>
                <w:szCs w:val="20"/>
              </w:rPr>
              <w:t>5.149 5.550A</w:t>
            </w:r>
          </w:p>
        </w:tc>
        <w:tc>
          <w:tcPr>
            <w:tcW w:w="1842" w:type="dxa"/>
            <w:vMerge w:val="restart"/>
            <w:tcBorders>
              <w:top w:val="single" w:sz="4" w:space="0" w:color="auto"/>
              <w:left w:val="single" w:sz="2" w:space="0" w:color="000000"/>
              <w:bottom w:val="single" w:sz="2" w:space="0" w:color="000000"/>
              <w:right w:val="single" w:sz="2" w:space="0" w:color="000000"/>
            </w:tcBorders>
            <w:shd w:val="clear" w:color="auto" w:fill="E6EEF7"/>
            <w:tcMar>
              <w:top w:w="28" w:type="dxa"/>
              <w:left w:w="28" w:type="dxa"/>
              <w:bottom w:w="28" w:type="dxa"/>
              <w:right w:w="28" w:type="dxa"/>
            </w:tcMar>
            <w:hideMark/>
          </w:tcPr>
          <w:p w14:paraId="67A7ED81" w14:textId="77777777" w:rsidR="00943378" w:rsidRPr="00757435" w:rsidRDefault="00943378" w:rsidP="00B94803">
            <w:pPr>
              <w:adjustRightInd w:val="0"/>
              <w:rPr>
                <w:szCs w:val="20"/>
              </w:rPr>
            </w:pPr>
            <w:r w:rsidRPr="00757435">
              <w:rPr>
                <w:szCs w:val="20"/>
              </w:rPr>
              <w:t>FIXED</w:t>
            </w:r>
          </w:p>
          <w:p w14:paraId="304F66E0" w14:textId="77777777" w:rsidR="00943378" w:rsidRPr="00757435" w:rsidRDefault="00943378" w:rsidP="00B94803">
            <w:pPr>
              <w:adjustRightInd w:val="0"/>
              <w:rPr>
                <w:szCs w:val="20"/>
              </w:rPr>
            </w:pPr>
            <w:r w:rsidRPr="00757435">
              <w:rPr>
                <w:szCs w:val="20"/>
              </w:rPr>
              <w:t>MOBILE except aeronautical mobile</w:t>
            </w:r>
          </w:p>
          <w:p w14:paraId="712A6043" w14:textId="77777777" w:rsidR="00943378" w:rsidRDefault="00943378" w:rsidP="00B94803">
            <w:pPr>
              <w:adjustRightInd w:val="0"/>
              <w:rPr>
                <w:szCs w:val="20"/>
              </w:rPr>
            </w:pPr>
            <w:r w:rsidRPr="00757435">
              <w:rPr>
                <w:szCs w:val="20"/>
              </w:rPr>
              <w:t>SPACE RESEARCH (space-to-Earth)</w:t>
            </w:r>
          </w:p>
          <w:p w14:paraId="01BBCFB9" w14:textId="77777777" w:rsidR="00943378" w:rsidRDefault="00943378" w:rsidP="00B94803">
            <w:pPr>
              <w:adjustRightInd w:val="0"/>
              <w:rPr>
                <w:szCs w:val="20"/>
              </w:rPr>
            </w:pPr>
          </w:p>
          <w:p w14:paraId="1D1C968B" w14:textId="77777777" w:rsidR="00943378" w:rsidRPr="00757435" w:rsidRDefault="00943378" w:rsidP="00B94803">
            <w:pPr>
              <w:adjustRightInd w:val="0"/>
              <w:rPr>
                <w:szCs w:val="20"/>
              </w:rPr>
            </w:pPr>
          </w:p>
          <w:p w14:paraId="6CC81E06" w14:textId="77777777" w:rsidR="00943378" w:rsidRPr="007F1458" w:rsidRDefault="00943378" w:rsidP="00B94803">
            <w:pPr>
              <w:spacing w:line="312" w:lineRule="auto"/>
              <w:textAlignment w:val="baseline"/>
              <w:rPr>
                <w:rFonts w:eastAsia="Gulim"/>
                <w:color w:val="000000"/>
                <w:szCs w:val="20"/>
              </w:rPr>
            </w:pPr>
            <w:r w:rsidRPr="00757435">
              <w:rPr>
                <w:szCs w:val="20"/>
              </w:rPr>
              <w:t>5.547</w:t>
            </w:r>
          </w:p>
        </w:tc>
        <w:tc>
          <w:tcPr>
            <w:tcW w:w="1985" w:type="dxa"/>
            <w:vMerge w:val="restart"/>
            <w:tcBorders>
              <w:top w:val="single" w:sz="4" w:space="0" w:color="auto"/>
              <w:left w:val="single" w:sz="2" w:space="0" w:color="000000"/>
              <w:bottom w:val="single" w:sz="2" w:space="0" w:color="000000"/>
              <w:right w:val="single" w:sz="2" w:space="0" w:color="000000"/>
            </w:tcBorders>
            <w:shd w:val="clear" w:color="auto" w:fill="E6EEF7"/>
            <w:tcMar>
              <w:top w:w="28" w:type="dxa"/>
              <w:left w:w="28" w:type="dxa"/>
              <w:bottom w:w="28" w:type="dxa"/>
              <w:right w:w="28" w:type="dxa"/>
            </w:tcMar>
            <w:hideMark/>
          </w:tcPr>
          <w:p w14:paraId="5434C09E" w14:textId="77777777" w:rsidR="00943378" w:rsidRPr="00757435" w:rsidRDefault="00943378" w:rsidP="00B94803">
            <w:pPr>
              <w:adjustRightInd w:val="0"/>
              <w:rPr>
                <w:szCs w:val="20"/>
              </w:rPr>
            </w:pPr>
            <w:r w:rsidRPr="00757435">
              <w:rPr>
                <w:szCs w:val="20"/>
              </w:rPr>
              <w:t>FIXED</w:t>
            </w:r>
          </w:p>
          <w:p w14:paraId="06CE51BB" w14:textId="77777777" w:rsidR="00943378" w:rsidRPr="00757435" w:rsidRDefault="00943378" w:rsidP="00B94803">
            <w:pPr>
              <w:adjustRightInd w:val="0"/>
              <w:rPr>
                <w:szCs w:val="20"/>
              </w:rPr>
            </w:pPr>
            <w:r w:rsidRPr="00757435">
              <w:rPr>
                <w:szCs w:val="20"/>
              </w:rPr>
              <w:t>FIXED-SATELLITE (space-to-Earth)</w:t>
            </w:r>
          </w:p>
          <w:p w14:paraId="34222EBA" w14:textId="77777777" w:rsidR="00943378" w:rsidRPr="00757435" w:rsidRDefault="00943378" w:rsidP="00B94803">
            <w:pPr>
              <w:adjustRightInd w:val="0"/>
              <w:rPr>
                <w:szCs w:val="20"/>
              </w:rPr>
            </w:pPr>
            <w:r w:rsidRPr="00757435">
              <w:rPr>
                <w:szCs w:val="20"/>
              </w:rPr>
              <w:t>MOBILE except aeronautical mobile</w:t>
            </w:r>
          </w:p>
          <w:p w14:paraId="1E676D77" w14:textId="77777777" w:rsidR="00943378" w:rsidRPr="00757435" w:rsidRDefault="00943378" w:rsidP="00B94803">
            <w:pPr>
              <w:adjustRightInd w:val="0"/>
              <w:rPr>
                <w:szCs w:val="20"/>
              </w:rPr>
            </w:pPr>
            <w:r w:rsidRPr="00757435">
              <w:rPr>
                <w:szCs w:val="20"/>
              </w:rPr>
              <w:t>SPACE RESEARCH (space-to-Earth)</w:t>
            </w:r>
          </w:p>
          <w:p w14:paraId="00DF242F" w14:textId="77777777" w:rsidR="00943378" w:rsidRDefault="00943378" w:rsidP="00B94803">
            <w:pPr>
              <w:adjustRightInd w:val="0"/>
              <w:rPr>
                <w:szCs w:val="20"/>
              </w:rPr>
            </w:pPr>
            <w:r w:rsidRPr="00757435">
              <w:rPr>
                <w:szCs w:val="20"/>
              </w:rPr>
              <w:t>Earth exploration-satellite (space-to-Earth)</w:t>
            </w:r>
          </w:p>
          <w:p w14:paraId="0B7BCA29" w14:textId="77777777" w:rsidR="00943378" w:rsidRDefault="00943378" w:rsidP="00B94803">
            <w:pPr>
              <w:adjustRightInd w:val="0"/>
              <w:rPr>
                <w:szCs w:val="20"/>
              </w:rPr>
            </w:pPr>
          </w:p>
          <w:p w14:paraId="27074B62" w14:textId="77777777" w:rsidR="00943378" w:rsidRPr="00757435" w:rsidRDefault="00943378" w:rsidP="00B94803">
            <w:pPr>
              <w:adjustRightInd w:val="0"/>
              <w:rPr>
                <w:szCs w:val="20"/>
              </w:rPr>
            </w:pPr>
          </w:p>
          <w:p w14:paraId="5DE3AE54" w14:textId="77777777" w:rsidR="00943378" w:rsidRPr="007F1458" w:rsidRDefault="00943378" w:rsidP="00B94803">
            <w:pPr>
              <w:spacing w:line="312" w:lineRule="auto"/>
              <w:textAlignment w:val="baseline"/>
              <w:rPr>
                <w:rFonts w:eastAsia="Gulim"/>
                <w:color w:val="000000"/>
                <w:szCs w:val="20"/>
              </w:rPr>
            </w:pPr>
            <w:r w:rsidRPr="00757435">
              <w:rPr>
                <w:szCs w:val="20"/>
              </w:rPr>
              <w:t>5.547</w:t>
            </w:r>
          </w:p>
        </w:tc>
        <w:tc>
          <w:tcPr>
            <w:tcW w:w="1989" w:type="dxa"/>
            <w:vMerge w:val="restart"/>
            <w:tcBorders>
              <w:top w:val="single" w:sz="4" w:space="0" w:color="auto"/>
              <w:left w:val="single" w:sz="2" w:space="0" w:color="000000"/>
              <w:right w:val="single" w:sz="2" w:space="0" w:color="000000"/>
            </w:tcBorders>
            <w:shd w:val="clear" w:color="auto" w:fill="E6EEF7"/>
            <w:tcMar>
              <w:top w:w="28" w:type="dxa"/>
              <w:left w:w="28" w:type="dxa"/>
              <w:bottom w:w="28" w:type="dxa"/>
              <w:right w:w="28" w:type="dxa"/>
            </w:tcMar>
            <w:hideMark/>
          </w:tcPr>
          <w:p w14:paraId="02A3A5CC" w14:textId="77777777" w:rsidR="00943378" w:rsidRPr="00757435" w:rsidRDefault="00943378" w:rsidP="00B94803">
            <w:pPr>
              <w:adjustRightInd w:val="0"/>
              <w:rPr>
                <w:szCs w:val="20"/>
              </w:rPr>
            </w:pPr>
            <w:r w:rsidRPr="00757435">
              <w:rPr>
                <w:szCs w:val="20"/>
              </w:rPr>
              <w:t>FIXED</w:t>
            </w:r>
          </w:p>
          <w:p w14:paraId="5B1C33A9" w14:textId="77777777" w:rsidR="00943378" w:rsidRPr="00757435" w:rsidRDefault="00943378" w:rsidP="00B94803">
            <w:pPr>
              <w:adjustRightInd w:val="0"/>
              <w:rPr>
                <w:szCs w:val="20"/>
              </w:rPr>
            </w:pPr>
            <w:r w:rsidRPr="00757435">
              <w:rPr>
                <w:szCs w:val="20"/>
              </w:rPr>
              <w:t>FIXED-SATELLITE (space-to-Earth)</w:t>
            </w:r>
          </w:p>
          <w:p w14:paraId="63F6CF35" w14:textId="77777777" w:rsidR="00943378" w:rsidRPr="00757435" w:rsidRDefault="00943378" w:rsidP="00B94803">
            <w:pPr>
              <w:adjustRightInd w:val="0"/>
              <w:rPr>
                <w:szCs w:val="20"/>
              </w:rPr>
            </w:pPr>
            <w:r w:rsidRPr="00757435">
              <w:rPr>
                <w:szCs w:val="20"/>
              </w:rPr>
              <w:t>MOBILE</w:t>
            </w:r>
          </w:p>
          <w:p w14:paraId="0E781BEB" w14:textId="77777777" w:rsidR="00943378" w:rsidRDefault="00943378" w:rsidP="00B94803">
            <w:pPr>
              <w:adjustRightInd w:val="0"/>
              <w:rPr>
                <w:szCs w:val="20"/>
              </w:rPr>
            </w:pPr>
            <w:r w:rsidRPr="00757435">
              <w:rPr>
                <w:szCs w:val="20"/>
              </w:rPr>
              <w:t>Earth exploration-satellite (space-to-Earth)</w:t>
            </w:r>
          </w:p>
          <w:p w14:paraId="30D3BCEC" w14:textId="77777777" w:rsidR="00943378" w:rsidRDefault="00943378" w:rsidP="00B94803">
            <w:pPr>
              <w:adjustRightInd w:val="0"/>
              <w:rPr>
                <w:szCs w:val="20"/>
              </w:rPr>
            </w:pPr>
          </w:p>
          <w:p w14:paraId="46036634" w14:textId="77777777" w:rsidR="00943378" w:rsidRPr="00757435" w:rsidRDefault="00943378" w:rsidP="00B94803">
            <w:pPr>
              <w:adjustRightInd w:val="0"/>
              <w:rPr>
                <w:szCs w:val="20"/>
              </w:rPr>
            </w:pPr>
          </w:p>
          <w:p w14:paraId="0B74A2C6" w14:textId="77777777" w:rsidR="00943378" w:rsidRPr="007F1458" w:rsidRDefault="00943378" w:rsidP="00B94803">
            <w:pPr>
              <w:spacing w:line="312" w:lineRule="auto"/>
              <w:textAlignment w:val="baseline"/>
              <w:rPr>
                <w:rFonts w:eastAsia="Gulim"/>
                <w:color w:val="000000"/>
                <w:szCs w:val="20"/>
              </w:rPr>
            </w:pPr>
            <w:r w:rsidRPr="00757435">
              <w:rPr>
                <w:szCs w:val="20"/>
              </w:rPr>
              <w:t>5.547</w:t>
            </w:r>
            <w:r w:rsidRPr="007F1458">
              <w:rPr>
                <w:rFonts w:eastAsia="Malgun Gothic"/>
                <w:color w:val="000000"/>
                <w:szCs w:val="20"/>
              </w:rPr>
              <w:t xml:space="preserve"> </w:t>
            </w:r>
          </w:p>
        </w:tc>
      </w:tr>
      <w:tr w:rsidR="00943378" w:rsidRPr="007F1458" w14:paraId="2A1FAB20" w14:textId="77777777" w:rsidTr="00B94803">
        <w:trPr>
          <w:trHeight w:val="987"/>
        </w:trPr>
        <w:tc>
          <w:tcPr>
            <w:tcW w:w="132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3C57D5FD" w14:textId="77777777" w:rsidR="00943378" w:rsidRPr="007F1458" w:rsidRDefault="00943378" w:rsidP="00B94803">
            <w:pPr>
              <w:spacing w:line="312" w:lineRule="auto"/>
              <w:jc w:val="center"/>
              <w:textAlignment w:val="baseline"/>
              <w:rPr>
                <w:rFonts w:eastAsia="Gulim"/>
                <w:color w:val="000000"/>
                <w:szCs w:val="20"/>
              </w:rPr>
            </w:pPr>
            <w:r w:rsidRPr="00757435">
              <w:rPr>
                <w:rFonts w:eastAsia="Malgun Gothic"/>
                <w:color w:val="000000"/>
                <w:szCs w:val="20"/>
              </w:rPr>
              <w:t>Region 2</w:t>
            </w:r>
          </w:p>
        </w:tc>
        <w:tc>
          <w:tcPr>
            <w:tcW w:w="1931" w:type="dxa"/>
            <w:vMerge/>
            <w:tcBorders>
              <w:top w:val="single" w:sz="2" w:space="0" w:color="000000"/>
              <w:left w:val="single" w:sz="2" w:space="0" w:color="000000"/>
              <w:bottom w:val="single" w:sz="2" w:space="0" w:color="000000"/>
              <w:right w:val="single" w:sz="2" w:space="0" w:color="000000"/>
            </w:tcBorders>
            <w:vAlign w:val="center"/>
            <w:hideMark/>
          </w:tcPr>
          <w:p w14:paraId="10B91611" w14:textId="77777777" w:rsidR="00943378" w:rsidRPr="007F1458" w:rsidRDefault="00943378" w:rsidP="00B94803">
            <w:pPr>
              <w:rPr>
                <w:rFonts w:ascii="한컴바탕" w:eastAsia="Gulim" w:hAnsi="Gulim" w:cs="Gulim"/>
                <w:color w:val="000000"/>
                <w:szCs w:val="20"/>
              </w:rPr>
            </w:pPr>
          </w:p>
        </w:tc>
        <w:tc>
          <w:tcPr>
            <w:tcW w:w="1842" w:type="dxa"/>
            <w:vMerge/>
            <w:tcBorders>
              <w:top w:val="single" w:sz="2" w:space="0" w:color="000000"/>
              <w:left w:val="single" w:sz="2" w:space="0" w:color="000000"/>
              <w:bottom w:val="single" w:sz="2" w:space="0" w:color="000000"/>
              <w:right w:val="single" w:sz="2" w:space="0" w:color="000000"/>
            </w:tcBorders>
            <w:vAlign w:val="center"/>
            <w:hideMark/>
          </w:tcPr>
          <w:p w14:paraId="279044C6" w14:textId="77777777" w:rsidR="00943378" w:rsidRPr="007F1458" w:rsidRDefault="00943378" w:rsidP="00B94803">
            <w:pPr>
              <w:rPr>
                <w:rFonts w:ascii="한컴바탕" w:eastAsia="Gulim" w:hAnsi="Gulim" w:cs="Gulim"/>
                <w:color w:val="000000"/>
                <w:szCs w:val="20"/>
              </w:rPr>
            </w:pPr>
          </w:p>
        </w:tc>
        <w:tc>
          <w:tcPr>
            <w:tcW w:w="1985" w:type="dxa"/>
            <w:vMerge/>
            <w:tcBorders>
              <w:top w:val="single" w:sz="2" w:space="0" w:color="000000"/>
              <w:left w:val="single" w:sz="2" w:space="0" w:color="000000"/>
              <w:bottom w:val="single" w:sz="2" w:space="0" w:color="000000"/>
              <w:right w:val="single" w:sz="2" w:space="0" w:color="000000"/>
            </w:tcBorders>
            <w:vAlign w:val="center"/>
            <w:hideMark/>
          </w:tcPr>
          <w:p w14:paraId="64AB150D" w14:textId="77777777" w:rsidR="00943378" w:rsidRPr="007F1458" w:rsidRDefault="00943378" w:rsidP="00B94803">
            <w:pPr>
              <w:rPr>
                <w:rFonts w:ascii="한컴바탕" w:eastAsia="Gulim" w:hAnsi="Gulim" w:cs="Gulim"/>
                <w:color w:val="000000"/>
                <w:szCs w:val="20"/>
              </w:rPr>
            </w:pPr>
          </w:p>
        </w:tc>
        <w:tc>
          <w:tcPr>
            <w:tcW w:w="1989" w:type="dxa"/>
            <w:vMerge/>
            <w:tcBorders>
              <w:left w:val="single" w:sz="2" w:space="0" w:color="000000"/>
              <w:bottom w:val="nil"/>
              <w:right w:val="single" w:sz="2" w:space="0" w:color="000000"/>
            </w:tcBorders>
            <w:vAlign w:val="center"/>
            <w:hideMark/>
          </w:tcPr>
          <w:p w14:paraId="12538B9C" w14:textId="77777777" w:rsidR="00943378" w:rsidRPr="007F1458" w:rsidRDefault="00943378" w:rsidP="00B94803">
            <w:pPr>
              <w:rPr>
                <w:rFonts w:ascii="한컴바탕" w:eastAsia="Gulim" w:hAnsi="Gulim" w:cs="Gulim"/>
                <w:color w:val="000000"/>
                <w:szCs w:val="20"/>
              </w:rPr>
            </w:pPr>
          </w:p>
        </w:tc>
      </w:tr>
      <w:tr w:rsidR="00943378" w:rsidRPr="007F1458" w14:paraId="05257863" w14:textId="77777777" w:rsidTr="00B94803">
        <w:trPr>
          <w:trHeight w:val="998"/>
        </w:trPr>
        <w:tc>
          <w:tcPr>
            <w:tcW w:w="13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BF4C118" w14:textId="77777777" w:rsidR="00943378" w:rsidRPr="007F1458" w:rsidRDefault="00943378" w:rsidP="00B94803">
            <w:pPr>
              <w:spacing w:line="312" w:lineRule="auto"/>
              <w:jc w:val="center"/>
              <w:textAlignment w:val="baseline"/>
              <w:rPr>
                <w:rFonts w:eastAsia="Gulim"/>
                <w:color w:val="000000"/>
                <w:szCs w:val="20"/>
              </w:rPr>
            </w:pPr>
            <w:r w:rsidRPr="00757435">
              <w:rPr>
                <w:rFonts w:eastAsia="Malgun Gothic"/>
                <w:color w:val="000000"/>
                <w:szCs w:val="20"/>
              </w:rPr>
              <w:t>Region 3</w:t>
            </w:r>
          </w:p>
        </w:tc>
        <w:tc>
          <w:tcPr>
            <w:tcW w:w="1931" w:type="dxa"/>
            <w:vMerge/>
            <w:tcBorders>
              <w:top w:val="single" w:sz="2" w:space="0" w:color="000000"/>
              <w:left w:val="single" w:sz="2" w:space="0" w:color="000000"/>
              <w:bottom w:val="single" w:sz="2" w:space="0" w:color="000000"/>
              <w:right w:val="single" w:sz="2" w:space="0" w:color="000000"/>
            </w:tcBorders>
            <w:vAlign w:val="center"/>
            <w:hideMark/>
          </w:tcPr>
          <w:p w14:paraId="17A080BA" w14:textId="77777777" w:rsidR="00943378" w:rsidRPr="007F1458" w:rsidRDefault="00943378" w:rsidP="00B94803">
            <w:pPr>
              <w:rPr>
                <w:rFonts w:ascii="한컴바탕" w:eastAsia="Gulim" w:hAnsi="Gulim" w:cs="Gulim"/>
                <w:color w:val="000000"/>
                <w:szCs w:val="20"/>
              </w:rPr>
            </w:pPr>
          </w:p>
        </w:tc>
        <w:tc>
          <w:tcPr>
            <w:tcW w:w="1842" w:type="dxa"/>
            <w:vMerge/>
            <w:tcBorders>
              <w:top w:val="single" w:sz="2" w:space="0" w:color="000000"/>
              <w:left w:val="single" w:sz="2" w:space="0" w:color="000000"/>
              <w:bottom w:val="single" w:sz="2" w:space="0" w:color="000000"/>
              <w:right w:val="single" w:sz="2" w:space="0" w:color="000000"/>
            </w:tcBorders>
            <w:vAlign w:val="center"/>
            <w:hideMark/>
          </w:tcPr>
          <w:p w14:paraId="03770C3B" w14:textId="77777777" w:rsidR="00943378" w:rsidRPr="007F1458" w:rsidRDefault="00943378" w:rsidP="00B94803">
            <w:pPr>
              <w:rPr>
                <w:rFonts w:ascii="한컴바탕" w:eastAsia="Gulim" w:hAnsi="Gulim" w:cs="Gulim"/>
                <w:color w:val="000000"/>
                <w:szCs w:val="20"/>
              </w:rPr>
            </w:pPr>
          </w:p>
        </w:tc>
        <w:tc>
          <w:tcPr>
            <w:tcW w:w="1985" w:type="dxa"/>
            <w:vMerge/>
            <w:tcBorders>
              <w:top w:val="single" w:sz="2" w:space="0" w:color="000000"/>
              <w:left w:val="single" w:sz="2" w:space="0" w:color="000000"/>
              <w:bottom w:val="single" w:sz="2" w:space="0" w:color="000000"/>
              <w:right w:val="single" w:sz="2" w:space="0" w:color="000000"/>
            </w:tcBorders>
            <w:vAlign w:val="center"/>
            <w:hideMark/>
          </w:tcPr>
          <w:p w14:paraId="091CF0CE" w14:textId="77777777" w:rsidR="00943378" w:rsidRPr="007F1458" w:rsidRDefault="00943378" w:rsidP="00B94803">
            <w:pPr>
              <w:rPr>
                <w:rFonts w:ascii="한컴바탕" w:eastAsia="Gulim" w:hAnsi="Gulim" w:cs="Gulim"/>
                <w:color w:val="000000"/>
                <w:szCs w:val="20"/>
              </w:rPr>
            </w:pPr>
          </w:p>
        </w:tc>
        <w:tc>
          <w:tcPr>
            <w:tcW w:w="1989" w:type="dxa"/>
            <w:vMerge/>
            <w:tcBorders>
              <w:left w:val="single" w:sz="2" w:space="0" w:color="000000"/>
              <w:bottom w:val="single" w:sz="2" w:space="0" w:color="000000"/>
              <w:right w:val="single" w:sz="2" w:space="0" w:color="000000"/>
            </w:tcBorders>
            <w:vAlign w:val="center"/>
            <w:hideMark/>
          </w:tcPr>
          <w:p w14:paraId="364EB93F" w14:textId="77777777" w:rsidR="00943378" w:rsidRPr="007F1458" w:rsidRDefault="00943378" w:rsidP="00B94803">
            <w:pPr>
              <w:rPr>
                <w:rFonts w:ascii="한컴바탕" w:eastAsia="Gulim" w:hAnsi="Gulim" w:cs="Gulim"/>
                <w:color w:val="000000"/>
                <w:szCs w:val="20"/>
              </w:rPr>
            </w:pPr>
          </w:p>
        </w:tc>
      </w:tr>
    </w:tbl>
    <w:p w14:paraId="098820EB" w14:textId="77777777" w:rsidR="00943378" w:rsidRPr="009974AC" w:rsidRDefault="00943378" w:rsidP="00943378">
      <w:pPr>
        <w:pStyle w:val="ListParagraph"/>
        <w:ind w:left="760"/>
        <w:rPr>
          <w:rFonts w:ascii="Calibri" w:hAnsi="Calibri" w:cs="Calibri"/>
        </w:rPr>
      </w:pPr>
    </w:p>
    <w:p w14:paraId="46639EA1" w14:textId="6022DA79" w:rsidR="00943378" w:rsidRPr="00E941B5" w:rsidRDefault="00943378" w:rsidP="00E941B5">
      <w:pPr>
        <w:pStyle w:val="ListParagraph"/>
        <w:widowControl w:val="0"/>
        <w:numPr>
          <w:ilvl w:val="0"/>
          <w:numId w:val="20"/>
        </w:numPr>
        <w:autoSpaceDE w:val="0"/>
        <w:autoSpaceDN w:val="0"/>
        <w:jc w:val="both"/>
        <w:textAlignment w:val="baseline"/>
        <w:rPr>
          <w:rFonts w:eastAsia="Times New Roman Bold"/>
          <w:b/>
          <w:bCs/>
        </w:rPr>
      </w:pPr>
      <w:r w:rsidRPr="00E941B5">
        <w:rPr>
          <w:rFonts w:eastAsia="Times New Roman Bold" w:hint="eastAsia"/>
          <w:b/>
          <w:bCs/>
        </w:rPr>
        <w:t>Information</w:t>
      </w:r>
      <w:r w:rsidRPr="00E941B5">
        <w:rPr>
          <w:rFonts w:eastAsia="Times New Roman Bold"/>
          <w:b/>
          <w:bCs/>
        </w:rPr>
        <w:t xml:space="preserve"> </w:t>
      </w:r>
      <w:r w:rsidRPr="00E941B5">
        <w:rPr>
          <w:rFonts w:eastAsia="Times New Roman Bold" w:hint="eastAsia"/>
          <w:b/>
          <w:bCs/>
        </w:rPr>
        <w:t>on</w:t>
      </w:r>
      <w:r w:rsidRPr="00E941B5">
        <w:rPr>
          <w:rFonts w:eastAsia="Times New Roman Bold"/>
          <w:b/>
          <w:bCs/>
        </w:rPr>
        <w:t xml:space="preserve"> </w:t>
      </w:r>
      <w:r w:rsidRPr="00E941B5">
        <w:rPr>
          <w:rFonts w:eastAsia="Times New Roman Bold" w:hint="eastAsia"/>
          <w:b/>
          <w:bCs/>
        </w:rPr>
        <w:t>on-going</w:t>
      </w:r>
      <w:r w:rsidRPr="00E941B5">
        <w:rPr>
          <w:rFonts w:eastAsia="Times New Roman Bold"/>
          <w:b/>
          <w:bCs/>
        </w:rPr>
        <w:t xml:space="preserve"> </w:t>
      </w:r>
      <w:r w:rsidRPr="00E941B5">
        <w:rPr>
          <w:rFonts w:eastAsia="Times New Roman Bold" w:hint="eastAsia"/>
          <w:b/>
          <w:bCs/>
        </w:rPr>
        <w:t>ITU-R</w:t>
      </w:r>
      <w:r w:rsidRPr="00E941B5">
        <w:rPr>
          <w:rFonts w:eastAsia="Times New Roman Bold"/>
          <w:b/>
          <w:bCs/>
        </w:rPr>
        <w:t xml:space="preserve"> </w:t>
      </w:r>
      <w:r w:rsidRPr="00E941B5">
        <w:rPr>
          <w:rFonts w:eastAsia="Times New Roman Bold" w:hint="eastAsia"/>
          <w:b/>
          <w:bCs/>
        </w:rPr>
        <w:t>study</w:t>
      </w:r>
    </w:p>
    <w:p w14:paraId="76C9565C" w14:textId="77777777" w:rsidR="00943378" w:rsidRDefault="00943378" w:rsidP="00943378">
      <w:pPr>
        <w:rPr>
          <w:rFonts w:eastAsia="Times New Roman Bold"/>
        </w:rPr>
      </w:pPr>
    </w:p>
    <w:p w14:paraId="2502F964" w14:textId="77777777" w:rsidR="00943378" w:rsidRDefault="00943378" w:rsidP="00943378">
      <w:pPr>
        <w:rPr>
          <w:rFonts w:eastAsia="Times New Roman Bold"/>
        </w:rPr>
      </w:pPr>
      <w:r w:rsidRPr="007B2FE1">
        <w:rPr>
          <w:rFonts w:eastAsia="Times New Roman Bold"/>
        </w:rPr>
        <w:t xml:space="preserve">ITU-R WP 4A was responsible for WRC-19 </w:t>
      </w:r>
      <w:r>
        <w:rPr>
          <w:rFonts w:eastAsia="Times New Roman Bold"/>
        </w:rPr>
        <w:t>A</w:t>
      </w:r>
      <w:r w:rsidRPr="007B2FE1">
        <w:rPr>
          <w:rFonts w:eastAsia="Times New Roman Bold"/>
        </w:rPr>
        <w:t>genda item 1.6 and was developing Preliminary Draft New Report S.[50/40 GHZADJACENT BAND STUDIES] (</w:t>
      </w:r>
      <w:hyperlink r:id="rId12" w:history="1">
        <w:r w:rsidRPr="001E7F49">
          <w:rPr>
            <w:rStyle w:val="Hyperlink"/>
            <w:rFonts w:eastAsia="Times New Roman Bold"/>
          </w:rPr>
          <w:t>Annex 11 to Document 4A/826</w:t>
        </w:r>
      </w:hyperlink>
      <w:r w:rsidRPr="007B2FE1">
        <w:rPr>
          <w:rFonts w:eastAsia="Times New Roman Bold"/>
        </w:rPr>
        <w:t xml:space="preserve"> and </w:t>
      </w:r>
      <w:hyperlink r:id="rId13" w:history="1">
        <w:r w:rsidRPr="001E7F49">
          <w:rPr>
            <w:rStyle w:val="Hyperlink"/>
            <w:rFonts w:eastAsia="Times New Roman Bold"/>
          </w:rPr>
          <w:t>Annex 6 to Document 4A/912</w:t>
        </w:r>
      </w:hyperlink>
      <w:r w:rsidRPr="007B2FE1">
        <w:rPr>
          <w:rFonts w:eastAsia="Times New Roman Bold"/>
        </w:rPr>
        <w:t>). The relevant studies for WRC-23 agenda item 9.1</w:t>
      </w:r>
      <w:r>
        <w:rPr>
          <w:rFonts w:eastAsia="Times New Roman Bold"/>
        </w:rPr>
        <w:t xml:space="preserve"> topic</w:t>
      </w:r>
      <w:r w:rsidRPr="007B2FE1">
        <w:rPr>
          <w:rFonts w:eastAsia="Times New Roman Bold"/>
        </w:rPr>
        <w:t xml:space="preserve"> d) are contained in Annex 1 of </w:t>
      </w:r>
      <w:r>
        <w:rPr>
          <w:rFonts w:eastAsia="Times New Roman Bold"/>
        </w:rPr>
        <w:t>the</w:t>
      </w:r>
      <w:r w:rsidRPr="007B2FE1">
        <w:rPr>
          <w:rFonts w:eastAsia="Times New Roman Bold"/>
        </w:rPr>
        <w:t xml:space="preserve"> Preliminary Draft New Report. Sections 4.2 and 4.4 are relevant for the protection of EESS (passive) in the frequency band 36-37 GHz. </w:t>
      </w:r>
    </w:p>
    <w:p w14:paraId="7E262F71" w14:textId="77777777" w:rsidR="00943378" w:rsidRPr="00943378" w:rsidRDefault="00943378" w:rsidP="00943378">
      <w:pPr>
        <w:rPr>
          <w:rFonts w:eastAsia="Times New Roman Bold"/>
        </w:rPr>
      </w:pPr>
    </w:p>
    <w:p w14:paraId="19F6F225" w14:textId="77777777" w:rsidR="00943378" w:rsidRDefault="00943378" w:rsidP="00943378">
      <w:pPr>
        <w:textAlignment w:val="baseline"/>
        <w:rPr>
          <w:rFonts w:eastAsia="Times New Roman Bold"/>
          <w:b/>
          <w:bCs/>
        </w:rPr>
      </w:pPr>
      <w:r w:rsidRPr="00514933">
        <w:rPr>
          <w:rFonts w:hint="eastAsia"/>
          <w:b/>
          <w:bCs/>
          <w:color w:val="000000" w:themeColor="text1"/>
        </w:rPr>
        <w:t>2</w:t>
      </w:r>
      <w:r w:rsidRPr="00514933">
        <w:rPr>
          <w:b/>
          <w:bCs/>
          <w:color w:val="000000" w:themeColor="text1"/>
        </w:rPr>
        <w:t>.</w:t>
      </w:r>
      <w:r w:rsidRPr="00514933">
        <w:rPr>
          <w:rFonts w:eastAsia="Times New Roman Bold"/>
          <w:b/>
          <w:bCs/>
        </w:rPr>
        <w:t xml:space="preserve">1 </w:t>
      </w:r>
      <w:r w:rsidRPr="00514933">
        <w:rPr>
          <w:rFonts w:eastAsia="Times New Roman Bold" w:hint="eastAsia"/>
          <w:b/>
          <w:bCs/>
        </w:rPr>
        <w:t>I</w:t>
      </w:r>
      <w:r w:rsidRPr="00514933">
        <w:rPr>
          <w:rFonts w:eastAsia="Times New Roman Bold"/>
          <w:b/>
          <w:bCs/>
        </w:rPr>
        <w:t xml:space="preserve">TU-R SG7 and WPs meeting in April </w:t>
      </w:r>
      <w:r>
        <w:rPr>
          <w:rFonts w:eastAsia="Times New Roman Bold"/>
          <w:b/>
          <w:bCs/>
        </w:rPr>
        <w:t>20</w:t>
      </w:r>
      <w:r w:rsidRPr="00514933">
        <w:rPr>
          <w:rFonts w:eastAsia="Times New Roman Bold"/>
          <w:b/>
          <w:bCs/>
        </w:rPr>
        <w:t xml:space="preserve">20 </w:t>
      </w:r>
    </w:p>
    <w:p w14:paraId="31B44517" w14:textId="77777777" w:rsidR="00943378" w:rsidRDefault="00943378" w:rsidP="00943378">
      <w:pPr>
        <w:textAlignment w:val="baseline"/>
        <w:rPr>
          <w:rFonts w:eastAsia="Times New Roman Bold"/>
          <w:b/>
          <w:bCs/>
        </w:rPr>
      </w:pPr>
    </w:p>
    <w:p w14:paraId="6BCB606A" w14:textId="77777777" w:rsidR="00943378" w:rsidRDefault="00943378" w:rsidP="00943378">
      <w:pPr>
        <w:rPr>
          <w:rFonts w:eastAsia="Times New Roman Bold"/>
        </w:rPr>
      </w:pPr>
      <w:r w:rsidRPr="00434BBC">
        <w:rPr>
          <w:rFonts w:eastAsia="Times New Roman Bold"/>
        </w:rPr>
        <w:t xml:space="preserve">Editor’s Note: The Document </w:t>
      </w:r>
      <w:hyperlink r:id="rId14" w:history="1">
        <w:r w:rsidRPr="001E7F49">
          <w:rPr>
            <w:rStyle w:val="Hyperlink"/>
            <w:rFonts w:eastAsia="Times New Roman Bold"/>
          </w:rPr>
          <w:t>R19-WP7C-C-0022!!MSW-E</w:t>
        </w:r>
      </w:hyperlink>
      <w:r w:rsidRPr="00434BBC">
        <w:rPr>
          <w:rFonts w:eastAsia="Times New Roman Bold"/>
        </w:rPr>
        <w:t xml:space="preserve"> is the </w:t>
      </w:r>
      <w:r>
        <w:rPr>
          <w:rFonts w:eastAsia="Times New Roman Bold"/>
        </w:rPr>
        <w:t xml:space="preserve">ITU-R WP 4C </w:t>
      </w:r>
      <w:r w:rsidRPr="00434BBC">
        <w:rPr>
          <w:rFonts w:eastAsia="Times New Roman Bold"/>
        </w:rPr>
        <w:t>Chairman’s Report</w:t>
      </w:r>
      <w:r>
        <w:rPr>
          <w:rFonts w:eastAsia="Times New Roman Bold"/>
        </w:rPr>
        <w:t xml:space="preserve"> of the April meeting.</w:t>
      </w:r>
    </w:p>
    <w:p w14:paraId="743EB346" w14:textId="77777777" w:rsidR="00943378" w:rsidRPr="00434BBC" w:rsidRDefault="00943378" w:rsidP="00943378">
      <w:pPr>
        <w:rPr>
          <w:rFonts w:eastAsia="Times New Roman Bold"/>
        </w:rPr>
      </w:pPr>
    </w:p>
    <w:p w14:paraId="24706C82" w14:textId="77777777" w:rsidR="00943378" w:rsidRDefault="00943378" w:rsidP="00943378">
      <w:pPr>
        <w:rPr>
          <w:rFonts w:eastAsia="Times New Roman Bold"/>
          <w:b/>
          <w:bCs/>
        </w:rPr>
      </w:pPr>
      <w:r w:rsidRPr="004204A4">
        <w:rPr>
          <w:rFonts w:eastAsia="Times New Roman Bold" w:hint="eastAsia"/>
        </w:rPr>
        <w:t>Q</w:t>
      </w:r>
      <w:r w:rsidRPr="004204A4">
        <w:rPr>
          <w:rFonts w:eastAsia="Times New Roman Bold"/>
        </w:rPr>
        <w:t>UOTE</w:t>
      </w:r>
      <w:r w:rsidRPr="004204A4">
        <w:rPr>
          <w:rFonts w:eastAsia="Times New Roman Bold"/>
          <w:b/>
          <w:bCs/>
        </w:rPr>
        <w:t xml:space="preserve"> </w:t>
      </w:r>
    </w:p>
    <w:p w14:paraId="07FF763F" w14:textId="77777777" w:rsidR="00943378" w:rsidRPr="004204A4" w:rsidRDefault="00943378" w:rsidP="00943378">
      <w:pPr>
        <w:rPr>
          <w:rFonts w:eastAsia="Times New Roman Bold"/>
          <w:b/>
          <w:bCs/>
        </w:rPr>
      </w:pPr>
    </w:p>
    <w:p w14:paraId="6E67F925" w14:textId="77777777" w:rsidR="00943378" w:rsidRPr="00514933" w:rsidRDefault="00943378" w:rsidP="00943378">
      <w:pPr>
        <w:rPr>
          <w:rFonts w:eastAsia="Times New Roman Bold"/>
        </w:rPr>
      </w:pPr>
      <w:bookmarkStart w:id="0" w:name="_Toc40772761"/>
      <w:bookmarkStart w:id="1" w:name="_Toc54781881"/>
      <w:r w:rsidRPr="0078415C">
        <w:rPr>
          <w:rFonts w:eastAsia="Times New Roman Bold"/>
          <w:b/>
          <w:bCs/>
        </w:rPr>
        <w:t>3.3.8</w:t>
      </w:r>
      <w:r w:rsidRPr="00514933">
        <w:rPr>
          <w:rFonts w:eastAsia="Times New Roman Bold"/>
        </w:rPr>
        <w:tab/>
        <w:t>WRC-23 agenda item 9.1d) (Protection of EESS (passive) in the frequency band 36-37 GHz)</w:t>
      </w:r>
      <w:bookmarkEnd w:id="0"/>
    </w:p>
    <w:p w14:paraId="25CDEB5E" w14:textId="77777777" w:rsidR="00943378" w:rsidRDefault="00943378" w:rsidP="00943378">
      <w:pPr>
        <w:rPr>
          <w:rFonts w:eastAsia="Times New Roman Bold"/>
        </w:rPr>
      </w:pPr>
      <w:r w:rsidRPr="00514933">
        <w:rPr>
          <w:rFonts w:eastAsia="Times New Roman Bold"/>
        </w:rPr>
        <w:t xml:space="preserve">The preparations for this WRC-23 agenda item are under the responsibility of WP 7C. At the meeting, no discussion took place on this agenda item. </w:t>
      </w:r>
    </w:p>
    <w:p w14:paraId="67CB306A" w14:textId="77777777" w:rsidR="00943378" w:rsidRPr="00514933" w:rsidRDefault="00943378" w:rsidP="00943378">
      <w:pPr>
        <w:rPr>
          <w:rFonts w:eastAsia="Times New Roman Bold"/>
        </w:rPr>
      </w:pPr>
    </w:p>
    <w:p w14:paraId="790D4658" w14:textId="77777777" w:rsidR="00943378" w:rsidRDefault="00943378" w:rsidP="00943378">
      <w:pPr>
        <w:rPr>
          <w:rFonts w:eastAsia="Times New Roman Bold"/>
        </w:rPr>
      </w:pPr>
      <w:r w:rsidRPr="00514933">
        <w:rPr>
          <w:rFonts w:eastAsia="Times New Roman Bold"/>
        </w:rPr>
        <w:t>UN</w:t>
      </w:r>
      <w:r w:rsidRPr="00514933">
        <w:rPr>
          <w:rFonts w:eastAsia="Times New Roman Bold" w:hint="eastAsia"/>
        </w:rPr>
        <w:t>Q</w:t>
      </w:r>
      <w:r w:rsidRPr="00514933">
        <w:rPr>
          <w:rFonts w:eastAsia="Times New Roman Bold"/>
        </w:rPr>
        <w:t>UOTE</w:t>
      </w:r>
    </w:p>
    <w:p w14:paraId="0D509722" w14:textId="77777777" w:rsidR="00943378" w:rsidRPr="00D223CF" w:rsidRDefault="00943378" w:rsidP="00943378">
      <w:pPr>
        <w:rPr>
          <w:rFonts w:eastAsia="Times New Roman Bold"/>
        </w:rPr>
      </w:pPr>
    </w:p>
    <w:p w14:paraId="67C29BE3" w14:textId="77777777" w:rsidR="00943378" w:rsidRDefault="00943378" w:rsidP="00943378">
      <w:pPr>
        <w:tabs>
          <w:tab w:val="left" w:pos="5850"/>
        </w:tabs>
        <w:spacing w:after="100" w:line="384" w:lineRule="auto"/>
        <w:textAlignment w:val="baseline"/>
        <w:rPr>
          <w:rFonts w:eastAsia="Times New Roman Bold"/>
          <w:b/>
          <w:bCs/>
        </w:rPr>
      </w:pPr>
      <w:r w:rsidRPr="00514933">
        <w:rPr>
          <w:rFonts w:eastAsia="Times New Roman Bold"/>
          <w:b/>
          <w:bCs/>
        </w:rPr>
        <w:t xml:space="preserve">2.2 </w:t>
      </w:r>
      <w:r w:rsidRPr="00514933">
        <w:rPr>
          <w:rFonts w:eastAsia="Times New Roman Bold" w:hint="eastAsia"/>
          <w:b/>
          <w:bCs/>
        </w:rPr>
        <w:t>I</w:t>
      </w:r>
      <w:r w:rsidRPr="00514933">
        <w:rPr>
          <w:rFonts w:eastAsia="Times New Roman Bold"/>
          <w:b/>
          <w:bCs/>
        </w:rPr>
        <w:t xml:space="preserve">TU-R SG7 WPs meeting in September 2020 </w:t>
      </w:r>
      <w:r>
        <w:rPr>
          <w:rFonts w:eastAsia="Times New Roman Bold"/>
          <w:b/>
          <w:bCs/>
        </w:rPr>
        <w:tab/>
      </w:r>
    </w:p>
    <w:p w14:paraId="2FE33792" w14:textId="77777777" w:rsidR="00943378" w:rsidRDefault="00943378" w:rsidP="00943378">
      <w:pPr>
        <w:tabs>
          <w:tab w:val="left" w:pos="5850"/>
        </w:tabs>
        <w:textAlignment w:val="baseline"/>
        <w:rPr>
          <w:rFonts w:eastAsia="Times New Roman Bold"/>
          <w:b/>
          <w:bCs/>
        </w:rPr>
      </w:pPr>
    </w:p>
    <w:p w14:paraId="3AD7A94A" w14:textId="77777777" w:rsidR="00943378" w:rsidRPr="00093DE4" w:rsidRDefault="00943378" w:rsidP="00943378">
      <w:pPr>
        <w:rPr>
          <w:rFonts w:eastAsia="Times New Roman Bold"/>
        </w:rPr>
      </w:pPr>
      <w:r w:rsidRPr="00434BBC">
        <w:rPr>
          <w:rFonts w:eastAsia="Times New Roman Bold"/>
        </w:rPr>
        <w:t xml:space="preserve">Editor’s Note: The Document </w:t>
      </w:r>
      <w:hyperlink r:id="rId15" w:history="1">
        <w:r w:rsidRPr="001E7F49">
          <w:rPr>
            <w:rStyle w:val="Hyperlink"/>
            <w:rFonts w:eastAsia="Times New Roman Bold"/>
          </w:rPr>
          <w:t>R19-WP7C-C-0105!!MSW-E</w:t>
        </w:r>
      </w:hyperlink>
      <w:r w:rsidRPr="00434BBC">
        <w:rPr>
          <w:rFonts w:eastAsia="Times New Roman Bold"/>
        </w:rPr>
        <w:t xml:space="preserve"> is the</w:t>
      </w:r>
      <w:r>
        <w:rPr>
          <w:rFonts w:eastAsia="Times New Roman Bold"/>
        </w:rPr>
        <w:t xml:space="preserve"> ITU-R WP 4C</w:t>
      </w:r>
      <w:r w:rsidRPr="00434BBC">
        <w:rPr>
          <w:rFonts w:eastAsia="Times New Roman Bold"/>
        </w:rPr>
        <w:t xml:space="preserve"> Chairman’s Report</w:t>
      </w:r>
      <w:r>
        <w:rPr>
          <w:rFonts w:eastAsia="Times New Roman Bold"/>
        </w:rPr>
        <w:t xml:space="preserve"> of the September meeting.</w:t>
      </w:r>
    </w:p>
    <w:p w14:paraId="7E866022" w14:textId="77777777" w:rsidR="00943378" w:rsidRDefault="00943378" w:rsidP="00943378">
      <w:pPr>
        <w:rPr>
          <w:rFonts w:eastAsia="Times New Roman Bold"/>
        </w:rPr>
      </w:pPr>
    </w:p>
    <w:p w14:paraId="0422F9E8" w14:textId="77777777" w:rsidR="00943378" w:rsidRPr="00514933" w:rsidRDefault="00943378" w:rsidP="00943378">
      <w:pPr>
        <w:rPr>
          <w:rFonts w:eastAsia="Times New Roman Bold"/>
        </w:rPr>
      </w:pPr>
      <w:r w:rsidRPr="00514933">
        <w:rPr>
          <w:rFonts w:eastAsia="Times New Roman Bold" w:hint="eastAsia"/>
        </w:rPr>
        <w:t>Q</w:t>
      </w:r>
      <w:r w:rsidRPr="00514933">
        <w:rPr>
          <w:rFonts w:eastAsia="Times New Roman Bold"/>
        </w:rPr>
        <w:t xml:space="preserve">UOTE </w:t>
      </w:r>
    </w:p>
    <w:p w14:paraId="4CD9EF01" w14:textId="77777777" w:rsidR="00943378" w:rsidRDefault="00943378" w:rsidP="00943378">
      <w:pPr>
        <w:rPr>
          <w:rFonts w:eastAsia="Times New Roman Bold"/>
          <w:b/>
          <w:bCs/>
        </w:rPr>
      </w:pPr>
    </w:p>
    <w:p w14:paraId="5FB2DC44" w14:textId="77777777" w:rsidR="00943378" w:rsidRPr="00514933" w:rsidRDefault="00943378" w:rsidP="00943378">
      <w:pPr>
        <w:rPr>
          <w:rFonts w:eastAsia="Times New Roman Bold"/>
        </w:rPr>
      </w:pPr>
      <w:r w:rsidRPr="0078415C">
        <w:rPr>
          <w:rFonts w:eastAsia="Times New Roman Bold"/>
          <w:b/>
          <w:bCs/>
        </w:rPr>
        <w:t>5.13</w:t>
      </w:r>
      <w:r w:rsidRPr="00514933">
        <w:rPr>
          <w:rFonts w:eastAsia="Times New Roman Bold"/>
        </w:rPr>
        <w:tab/>
        <w:t>WRC-23 agenda item 9.1, topic d) (Protection of EESS (passive) in the frequency band 36-37 GHz)</w:t>
      </w:r>
      <w:bookmarkEnd w:id="1"/>
    </w:p>
    <w:p w14:paraId="6BB913E9" w14:textId="77777777" w:rsidR="00943378" w:rsidRPr="00514933" w:rsidRDefault="00943378" w:rsidP="00943378">
      <w:pPr>
        <w:rPr>
          <w:rFonts w:eastAsia="Times New Roman Bold"/>
        </w:rPr>
      </w:pPr>
      <w:r w:rsidRPr="00514933">
        <w:rPr>
          <w:rFonts w:eastAsia="Times New Roman Bold"/>
        </w:rPr>
        <w:t>The preparations for this WRC-23 agenda item are under the responsibility of WP 7C. At the meeting</w:t>
      </w:r>
      <w:r>
        <w:rPr>
          <w:rFonts w:eastAsia="Times New Roman Bold"/>
        </w:rPr>
        <w:t>,</w:t>
      </w:r>
      <w:r w:rsidRPr="00514933">
        <w:rPr>
          <w:rFonts w:eastAsia="Times New Roman Bold"/>
        </w:rPr>
        <w:t xml:space="preserve"> </w:t>
      </w:r>
      <w:r>
        <w:rPr>
          <w:rFonts w:eastAsia="Times New Roman Bold"/>
        </w:rPr>
        <w:t>i</w:t>
      </w:r>
      <w:r w:rsidRPr="00514933">
        <w:rPr>
          <w:rFonts w:eastAsia="Times New Roman Bold"/>
        </w:rPr>
        <w:t xml:space="preserve">nput </w:t>
      </w:r>
      <w:r>
        <w:rPr>
          <w:rFonts w:eastAsia="Times New Roman Bold"/>
        </w:rPr>
        <w:t>d</w:t>
      </w:r>
      <w:r w:rsidRPr="00514933">
        <w:rPr>
          <w:rFonts w:eastAsia="Times New Roman Bold"/>
        </w:rPr>
        <w:t xml:space="preserve">ocument </w:t>
      </w:r>
      <w:hyperlink r:id="rId16" w:history="1">
        <w:r w:rsidRPr="00514933">
          <w:rPr>
            <w:rFonts w:eastAsia="Times New Roman Bold"/>
          </w:rPr>
          <w:t>7C/56</w:t>
        </w:r>
      </w:hyperlink>
      <w:r w:rsidRPr="00514933">
        <w:rPr>
          <w:rFonts w:eastAsia="Times New Roman Bold"/>
        </w:rPr>
        <w:t xml:space="preserve"> was </w:t>
      </w:r>
      <w:r>
        <w:rPr>
          <w:rFonts w:eastAsia="Times New Roman Bold"/>
        </w:rPr>
        <w:t>received</w:t>
      </w:r>
      <w:r w:rsidRPr="00514933">
        <w:rPr>
          <w:rFonts w:eastAsia="Times New Roman Bold"/>
        </w:rPr>
        <w:t>. Based on this contribution, WP 7C developed a liaison statement to WP 4A (</w:t>
      </w:r>
      <w:hyperlink r:id="rId17" w:history="1">
        <w:r w:rsidRPr="009F181E">
          <w:rPr>
            <w:rStyle w:val="Hyperlink"/>
            <w:rFonts w:eastAsia="Times New Roman Bold"/>
          </w:rPr>
          <w:t>4A/74</w:t>
        </w:r>
      </w:hyperlink>
      <w:r w:rsidRPr="00514933">
        <w:rPr>
          <w:rFonts w:eastAsia="Times New Roman Bold"/>
        </w:rPr>
        <w:t>) [</w:t>
      </w:r>
      <w:r>
        <w:rPr>
          <w:rFonts w:eastAsia="Times New Roman Bold"/>
        </w:rPr>
        <w:t xml:space="preserve">or </w:t>
      </w:r>
      <w:r w:rsidRPr="00514933">
        <w:rPr>
          <w:rFonts w:eastAsia="Times New Roman Bold" w:hint="eastAsia"/>
        </w:rPr>
        <w:t>W</w:t>
      </w:r>
      <w:r w:rsidRPr="00514933">
        <w:rPr>
          <w:rFonts w:eastAsia="Times New Roman Bold"/>
        </w:rPr>
        <w:t>P 7C (7C/TEMP/43)] on the issue of the protection of EESS (passive) in the band 36-37 GHz from unwanted emissions of NGSO FSS systems operating in the band 37.5-38 GHz. This liaison statement requested additional information on parameters, including unwanted emission masks, to be considered in the studies under this agenda item.</w:t>
      </w:r>
    </w:p>
    <w:p w14:paraId="363DD179" w14:textId="77777777" w:rsidR="00943378" w:rsidRDefault="00943378" w:rsidP="00943378">
      <w:pPr>
        <w:rPr>
          <w:rFonts w:eastAsia="Times New Roman Bold"/>
        </w:rPr>
      </w:pPr>
    </w:p>
    <w:p w14:paraId="7C99E44C" w14:textId="77777777" w:rsidR="00943378" w:rsidRDefault="00943378" w:rsidP="00943378">
      <w:pPr>
        <w:rPr>
          <w:rFonts w:eastAsia="Times New Roman Bold"/>
        </w:rPr>
      </w:pPr>
      <w:r w:rsidRPr="00093DE4">
        <w:rPr>
          <w:rFonts w:eastAsia="Times New Roman Bold"/>
        </w:rPr>
        <w:t>UNQUOTE</w:t>
      </w:r>
    </w:p>
    <w:p w14:paraId="36D8338B" w14:textId="77777777" w:rsidR="00943378" w:rsidRPr="00514933" w:rsidRDefault="00943378" w:rsidP="00943378">
      <w:pPr>
        <w:rPr>
          <w:rFonts w:eastAsia="Times New Roman Bold"/>
        </w:rPr>
      </w:pPr>
    </w:p>
    <w:p w14:paraId="1F3E1FC2" w14:textId="77777777" w:rsidR="00943378" w:rsidRPr="00514933" w:rsidRDefault="00943378" w:rsidP="00943378">
      <w:pPr>
        <w:pStyle w:val="ListParagraph"/>
        <w:widowControl w:val="0"/>
        <w:numPr>
          <w:ilvl w:val="0"/>
          <w:numId w:val="20"/>
        </w:numPr>
        <w:autoSpaceDE w:val="0"/>
        <w:autoSpaceDN w:val="0"/>
        <w:jc w:val="both"/>
        <w:textAlignment w:val="baseline"/>
        <w:rPr>
          <w:rFonts w:eastAsia="Times New Roman Bold"/>
          <w:b/>
          <w:bCs/>
        </w:rPr>
      </w:pPr>
      <w:r w:rsidRPr="00514933">
        <w:rPr>
          <w:rFonts w:eastAsia="Times New Roman Bold" w:hint="eastAsia"/>
          <w:b/>
          <w:bCs/>
        </w:rPr>
        <w:t>Position</w:t>
      </w:r>
      <w:r>
        <w:rPr>
          <w:rFonts w:eastAsia="Times New Roman Bold"/>
          <w:b/>
          <w:bCs/>
        </w:rPr>
        <w:t>s</w:t>
      </w:r>
      <w:r w:rsidRPr="00514933">
        <w:rPr>
          <w:rFonts w:eastAsia="Times New Roman Bold"/>
          <w:b/>
          <w:bCs/>
        </w:rPr>
        <w:t xml:space="preserve"> </w:t>
      </w:r>
      <w:r w:rsidRPr="00514933">
        <w:rPr>
          <w:rFonts w:eastAsia="Times New Roman Bold" w:hint="eastAsia"/>
          <w:b/>
          <w:bCs/>
        </w:rPr>
        <w:t>of</w:t>
      </w:r>
      <w:r w:rsidRPr="00514933">
        <w:rPr>
          <w:rFonts w:eastAsia="Times New Roman Bold"/>
          <w:b/>
          <w:bCs/>
        </w:rPr>
        <w:t xml:space="preserve"> regional </w:t>
      </w:r>
      <w:r w:rsidRPr="00514933">
        <w:rPr>
          <w:rFonts w:eastAsia="Times New Roman Bold" w:hint="eastAsia"/>
          <w:b/>
          <w:bCs/>
        </w:rPr>
        <w:t>groups</w:t>
      </w:r>
      <w:r>
        <w:rPr>
          <w:rFonts w:eastAsia="Times New Roman Bold"/>
          <w:b/>
          <w:bCs/>
        </w:rPr>
        <w:t xml:space="preserve"> and international organizations</w:t>
      </w:r>
    </w:p>
    <w:p w14:paraId="2D551B29" w14:textId="77777777" w:rsidR="00943378" w:rsidRDefault="00943378" w:rsidP="00943378">
      <w:pPr>
        <w:textAlignment w:val="baseline"/>
        <w:rPr>
          <w:rFonts w:eastAsia="Times New Roman Bold"/>
          <w:b/>
          <w:bCs/>
        </w:rPr>
      </w:pPr>
    </w:p>
    <w:p w14:paraId="34FFCAE3" w14:textId="77777777" w:rsidR="00943378" w:rsidRPr="00093DE4" w:rsidRDefault="00943378" w:rsidP="00943378">
      <w:pPr>
        <w:textAlignment w:val="baseline"/>
        <w:rPr>
          <w:rFonts w:eastAsia="Times New Roman Bold"/>
          <w:b/>
          <w:bCs/>
        </w:rPr>
      </w:pPr>
      <w:r w:rsidRPr="00093DE4">
        <w:rPr>
          <w:rFonts w:eastAsia="Times New Roman Bold"/>
          <w:b/>
          <w:bCs/>
        </w:rPr>
        <w:t>ASMG (as of Aug. 2020)</w:t>
      </w:r>
    </w:p>
    <w:p w14:paraId="54173BE2" w14:textId="77777777" w:rsidR="00943378" w:rsidRDefault="00943378" w:rsidP="00943378">
      <w:pPr>
        <w:rPr>
          <w:rFonts w:eastAsia="Times New Roman Bold"/>
        </w:rPr>
      </w:pPr>
    </w:p>
    <w:p w14:paraId="1A6129A4" w14:textId="77777777" w:rsidR="00943378" w:rsidRPr="005D06B7" w:rsidRDefault="00943378" w:rsidP="00943378">
      <w:pPr>
        <w:rPr>
          <w:rFonts w:eastAsia="Times New Roman Bold"/>
        </w:rPr>
      </w:pPr>
      <w:r w:rsidRPr="005D06B7">
        <w:rPr>
          <w:rFonts w:eastAsia="Times New Roman Bold"/>
        </w:rPr>
        <w:t>Inviting ASMG administrations to follow up the studies and ensure protection of existing systems in the frequency band 36-37 GHz.</w:t>
      </w:r>
    </w:p>
    <w:p w14:paraId="1C873892" w14:textId="77777777" w:rsidR="00943378" w:rsidRDefault="00943378" w:rsidP="00943378">
      <w:pPr>
        <w:textAlignment w:val="baseline"/>
        <w:rPr>
          <w:rFonts w:eastAsia="Times New Roman Bold"/>
          <w:b/>
          <w:bCs/>
        </w:rPr>
      </w:pPr>
    </w:p>
    <w:p w14:paraId="0A91F12A" w14:textId="77777777" w:rsidR="00943378" w:rsidRPr="005D06B7" w:rsidRDefault="00943378" w:rsidP="00943378">
      <w:pPr>
        <w:textAlignment w:val="baseline"/>
        <w:rPr>
          <w:rFonts w:eastAsia="Times New Roman Bold"/>
          <w:b/>
          <w:bCs/>
        </w:rPr>
      </w:pPr>
      <w:r w:rsidRPr="005D06B7">
        <w:rPr>
          <w:rFonts w:eastAsia="Times New Roman Bold"/>
          <w:b/>
          <w:bCs/>
        </w:rPr>
        <w:t>RCC (as of Dec. 2020)</w:t>
      </w:r>
    </w:p>
    <w:p w14:paraId="1BDD8D9C" w14:textId="77777777" w:rsidR="00943378" w:rsidRDefault="00943378" w:rsidP="00943378">
      <w:pPr>
        <w:rPr>
          <w:rFonts w:eastAsia="Times New Roman Bold"/>
        </w:rPr>
      </w:pPr>
    </w:p>
    <w:p w14:paraId="1D8E59BD" w14:textId="77777777" w:rsidR="00943378" w:rsidRDefault="00943378" w:rsidP="00943378">
      <w:pPr>
        <w:rPr>
          <w:rFonts w:eastAsia="Times New Roman Bold"/>
        </w:rPr>
      </w:pPr>
      <w:r w:rsidRPr="00514933">
        <w:rPr>
          <w:rFonts w:eastAsia="Times New Roman Bold"/>
        </w:rPr>
        <w:t>The RCC Administrations support conducting compatibility studies to determine technical conditions and regulatory provisions ensuring EESS (passive) sensors’ protection in the frequency band 36-37 GHz from interference of non-GSO FSS space stations operating in the frequency band 37.5-38 GHz.</w:t>
      </w:r>
    </w:p>
    <w:p w14:paraId="791566BF" w14:textId="77777777" w:rsidR="00943378" w:rsidRPr="00514933" w:rsidRDefault="00943378" w:rsidP="00943378">
      <w:pPr>
        <w:rPr>
          <w:rFonts w:eastAsia="Times New Roman Bold"/>
        </w:rPr>
      </w:pPr>
    </w:p>
    <w:p w14:paraId="4513AB57" w14:textId="77777777" w:rsidR="00943378" w:rsidRPr="00514933" w:rsidRDefault="00943378" w:rsidP="00943378">
      <w:pPr>
        <w:pStyle w:val="ListParagraph"/>
        <w:widowControl w:val="0"/>
        <w:numPr>
          <w:ilvl w:val="0"/>
          <w:numId w:val="20"/>
        </w:numPr>
        <w:autoSpaceDE w:val="0"/>
        <w:autoSpaceDN w:val="0"/>
        <w:jc w:val="both"/>
        <w:textAlignment w:val="baseline"/>
        <w:rPr>
          <w:rFonts w:eastAsia="Times New Roman Bold"/>
          <w:b/>
          <w:bCs/>
        </w:rPr>
      </w:pPr>
      <w:r w:rsidRPr="00514933">
        <w:rPr>
          <w:rFonts w:eastAsia="Times New Roman Bold" w:hint="eastAsia"/>
          <w:b/>
          <w:bCs/>
        </w:rPr>
        <w:t>Position</w:t>
      </w:r>
      <w:r>
        <w:rPr>
          <w:rFonts w:eastAsia="Times New Roman Bold"/>
          <w:b/>
          <w:bCs/>
        </w:rPr>
        <w:t>s</w:t>
      </w:r>
      <w:r w:rsidRPr="00514933">
        <w:rPr>
          <w:rFonts w:eastAsia="Times New Roman Bold"/>
          <w:b/>
          <w:bCs/>
        </w:rPr>
        <w:t xml:space="preserve"> </w:t>
      </w:r>
      <w:r w:rsidRPr="00514933">
        <w:rPr>
          <w:rFonts w:eastAsia="Times New Roman Bold" w:hint="eastAsia"/>
          <w:b/>
          <w:bCs/>
        </w:rPr>
        <w:t>of</w:t>
      </w:r>
      <w:r w:rsidRPr="00514933">
        <w:rPr>
          <w:rFonts w:eastAsia="Times New Roman Bold"/>
          <w:b/>
          <w:bCs/>
        </w:rPr>
        <w:t xml:space="preserve"> regional </w:t>
      </w:r>
      <w:r w:rsidRPr="00514933">
        <w:rPr>
          <w:rFonts w:eastAsia="Times New Roman Bold" w:hint="eastAsia"/>
          <w:b/>
          <w:bCs/>
        </w:rPr>
        <w:t>groups</w:t>
      </w:r>
      <w:r>
        <w:rPr>
          <w:rFonts w:eastAsia="Times New Roman Bold"/>
          <w:b/>
          <w:bCs/>
        </w:rPr>
        <w:t xml:space="preserve"> and international organizations</w:t>
      </w:r>
    </w:p>
    <w:p w14:paraId="1EA10F7C" w14:textId="77777777" w:rsidR="00943378" w:rsidRDefault="00943378" w:rsidP="00943378">
      <w:pPr>
        <w:textAlignment w:val="baseline"/>
        <w:rPr>
          <w:rFonts w:eastAsia="Times New Roman Bold"/>
          <w:b/>
          <w:bCs/>
        </w:rPr>
      </w:pPr>
    </w:p>
    <w:p w14:paraId="23DBCA96" w14:textId="77777777" w:rsidR="00943378" w:rsidRPr="005D06B7" w:rsidRDefault="00943378" w:rsidP="00943378">
      <w:pPr>
        <w:textAlignment w:val="baseline"/>
        <w:rPr>
          <w:rFonts w:eastAsia="Times New Roman Bold"/>
          <w:b/>
          <w:bCs/>
        </w:rPr>
      </w:pPr>
      <w:r w:rsidRPr="005D06B7">
        <w:rPr>
          <w:rFonts w:eastAsia="Times New Roman Bold"/>
          <w:b/>
          <w:bCs/>
        </w:rPr>
        <w:t>SFCG (as of Aug. 2020)</w:t>
      </w:r>
    </w:p>
    <w:p w14:paraId="41F79B5B" w14:textId="77777777" w:rsidR="00943378" w:rsidRDefault="00943378" w:rsidP="00943378">
      <w:pPr>
        <w:rPr>
          <w:rFonts w:eastAsia="Times New Roman Bold"/>
        </w:rPr>
      </w:pPr>
    </w:p>
    <w:p w14:paraId="530FDB1B" w14:textId="77777777" w:rsidR="00943378" w:rsidRPr="00514933" w:rsidRDefault="00943378" w:rsidP="00943378">
      <w:pPr>
        <w:rPr>
          <w:rFonts w:eastAsia="Times New Roman Bold"/>
        </w:rPr>
      </w:pPr>
      <w:r w:rsidRPr="00514933">
        <w:rPr>
          <w:rFonts w:eastAsia="Times New Roman Bold"/>
        </w:rPr>
        <w:t>SFCG supports the development of studies to further evaluate the impact of non-GSO FSS operations in the band 37.5-38 GHz on EESS (passive) sensors in the band 36-37 GHz, including the interference impact on the cold-sky calibration of passive sensors.</w:t>
      </w:r>
    </w:p>
    <w:p w14:paraId="22558DFA" w14:textId="77777777" w:rsidR="00943378" w:rsidRDefault="00943378" w:rsidP="00943378">
      <w:pPr>
        <w:textAlignment w:val="baseline"/>
        <w:rPr>
          <w:rFonts w:eastAsia="Times New Roman Bold"/>
          <w:b/>
          <w:bCs/>
        </w:rPr>
      </w:pPr>
    </w:p>
    <w:p w14:paraId="47346A44" w14:textId="77777777" w:rsidR="00943378" w:rsidRPr="005D06B7" w:rsidRDefault="00943378" w:rsidP="00943378">
      <w:pPr>
        <w:textAlignment w:val="baseline"/>
        <w:rPr>
          <w:rFonts w:eastAsia="Times New Roman Bold"/>
          <w:b/>
          <w:bCs/>
        </w:rPr>
      </w:pPr>
      <w:r w:rsidRPr="005D06B7">
        <w:rPr>
          <w:rFonts w:eastAsia="Times New Roman Bold"/>
          <w:b/>
          <w:bCs/>
        </w:rPr>
        <w:t>ESA (</w:t>
      </w:r>
      <w:r>
        <w:rPr>
          <w:rFonts w:eastAsia="Times New Roman Bold"/>
          <w:b/>
          <w:bCs/>
        </w:rPr>
        <w:t xml:space="preserve">as of </w:t>
      </w:r>
      <w:r w:rsidRPr="005D06B7">
        <w:rPr>
          <w:rFonts w:eastAsia="Times New Roman Bold"/>
          <w:b/>
          <w:bCs/>
        </w:rPr>
        <w:t>Aug. 2020)</w:t>
      </w:r>
    </w:p>
    <w:p w14:paraId="40DD8041" w14:textId="77777777" w:rsidR="00943378" w:rsidRDefault="00943378" w:rsidP="00943378">
      <w:pPr>
        <w:textAlignment w:val="baseline"/>
        <w:rPr>
          <w:rFonts w:eastAsia="Times New Roman Bold"/>
        </w:rPr>
      </w:pPr>
    </w:p>
    <w:p w14:paraId="0C8E1761" w14:textId="77777777" w:rsidR="00943378" w:rsidRPr="00514933" w:rsidRDefault="00943378" w:rsidP="00943378">
      <w:pPr>
        <w:textAlignment w:val="baseline"/>
        <w:rPr>
          <w:rFonts w:eastAsia="Times New Roman Bold"/>
        </w:rPr>
      </w:pPr>
      <w:r w:rsidRPr="00514933">
        <w:rPr>
          <w:rFonts w:eastAsia="Times New Roman Bold"/>
        </w:rPr>
        <w:t>ESA supports SFCG position.</w:t>
      </w:r>
    </w:p>
    <w:p w14:paraId="4223AEF1" w14:textId="77777777" w:rsidR="00943378" w:rsidRDefault="00943378" w:rsidP="00943378">
      <w:pPr>
        <w:textAlignment w:val="baseline"/>
        <w:rPr>
          <w:rFonts w:eastAsia="Times New Roman Bold"/>
          <w:b/>
          <w:bCs/>
        </w:rPr>
      </w:pPr>
    </w:p>
    <w:p w14:paraId="6DFB310F" w14:textId="77777777" w:rsidR="00943378" w:rsidRPr="005D06B7" w:rsidRDefault="00943378" w:rsidP="00943378">
      <w:pPr>
        <w:textAlignment w:val="baseline"/>
        <w:rPr>
          <w:rFonts w:eastAsia="Times New Roman Bold"/>
          <w:b/>
          <w:bCs/>
        </w:rPr>
      </w:pPr>
      <w:r w:rsidRPr="005D06B7">
        <w:rPr>
          <w:rFonts w:eastAsia="Times New Roman Bold"/>
          <w:b/>
          <w:bCs/>
        </w:rPr>
        <w:t>WMO (in APG23-1, Sep. 2020)</w:t>
      </w:r>
    </w:p>
    <w:p w14:paraId="589600A9" w14:textId="77777777" w:rsidR="00943378" w:rsidRDefault="00943378" w:rsidP="00943378">
      <w:pPr>
        <w:rPr>
          <w:rFonts w:eastAsia="Times New Roman Bold"/>
        </w:rPr>
      </w:pPr>
    </w:p>
    <w:p w14:paraId="0DA4491C" w14:textId="77777777" w:rsidR="00943378" w:rsidRDefault="00943378" w:rsidP="00943378">
      <w:pPr>
        <w:rPr>
          <w:rFonts w:eastAsia="Times New Roman Bold"/>
        </w:rPr>
      </w:pPr>
      <w:r w:rsidRPr="00514933">
        <w:rPr>
          <w:rFonts w:eastAsia="Times New Roman Bold"/>
        </w:rPr>
        <w:t>WMO supports studies to further evaluate the impact of non-GSO FSS operations in the band 37.5-38 GHz on EESS (passive) sensors in the band 36-37 GHz, in particular the interference impact on the cold-sky calibration of passive sensors.</w:t>
      </w:r>
    </w:p>
    <w:p w14:paraId="0CADCC05" w14:textId="6E9EBF23" w:rsidR="0037421D" w:rsidRPr="00E941B5" w:rsidRDefault="00E941B5" w:rsidP="00E941B5">
      <w:pPr>
        <w:snapToGrid w:val="0"/>
        <w:jc w:val="center"/>
        <w:textAlignment w:val="baseline"/>
        <w:rPr>
          <w:rFonts w:ascii="Batang" w:eastAsia="Batang" w:hAnsi="Batang" w:cs="Gulim"/>
          <w:color w:val="000000"/>
          <w:sz w:val="20"/>
          <w:szCs w:val="20"/>
          <w:lang w:eastAsia="ko-KR"/>
        </w:rPr>
      </w:pPr>
      <w:r w:rsidRPr="00E941B5">
        <w:rPr>
          <w:rFonts w:eastAsia="Batang"/>
          <w:color w:val="000000"/>
          <w:lang w:eastAsia="ko-KR"/>
        </w:rPr>
        <w:t>____________</w:t>
      </w:r>
    </w:p>
    <w:sectPr w:rsidR="0037421D" w:rsidRPr="00E941B5" w:rsidSect="00FF72BB">
      <w:headerReference w:type="default" r:id="rId18"/>
      <w:footerReference w:type="even" r:id="rId19"/>
      <w:footerReference w:type="default" r:id="rId20"/>
      <w:footerReference w:type="first" r:id="rId2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75B0F" w14:textId="77777777" w:rsidR="00D5068D" w:rsidRDefault="00D5068D">
      <w:r>
        <w:separator/>
      </w:r>
    </w:p>
  </w:endnote>
  <w:endnote w:type="continuationSeparator" w:id="0">
    <w:p w14:paraId="6E8B8785" w14:textId="77777777" w:rsidR="00D5068D" w:rsidRDefault="00D50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한컴바탕">
    <w:altName w:val="Batang"/>
    <w:panose1 w:val="00000000000000000000"/>
    <w:charset w:val="81"/>
    <w:family w:val="roman"/>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9151F"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3C0BB8"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27106" w14:textId="4B2DCF78" w:rsidR="00051E1E" w:rsidRDefault="00051E1E">
    <w:pPr>
      <w:pStyle w:val="Footer"/>
    </w:pPr>
    <w:r>
      <w:t>A</w:t>
    </w:r>
    <w:r w:rsidR="001E1432">
      <w:t>PG23-</w:t>
    </w:r>
    <w:r w:rsidR="008624ED">
      <w:t>2</w:t>
    </w:r>
    <w:r>
      <w:t>/IN</w:t>
    </w:r>
    <w:r w:rsidR="002033B5">
      <w:t>F</w:t>
    </w:r>
    <w:r>
      <w:t>-</w:t>
    </w:r>
    <w:r w:rsidR="002033B5">
      <w:t>05</w:t>
    </w:r>
    <w:r>
      <w:tab/>
    </w:r>
    <w:r>
      <w:tab/>
      <w:t xml:space="preserve">Page </w:t>
    </w:r>
    <w:r>
      <w:rPr>
        <w:b/>
        <w:bCs/>
      </w:rPr>
      <w:fldChar w:fldCharType="begin"/>
    </w:r>
    <w:r>
      <w:rPr>
        <w:b/>
        <w:bCs/>
      </w:rPr>
      <w:instrText xml:space="preserve"> PAGE  \* Arabic  \* MERGEFORMAT </w:instrText>
    </w:r>
    <w:r>
      <w:rPr>
        <w:b/>
        <w:bCs/>
      </w:rPr>
      <w:fldChar w:fldCharType="separate"/>
    </w:r>
    <w:r w:rsidR="00FF72BB">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F72BB">
      <w:rPr>
        <w:b/>
        <w:bCs/>
        <w:noProof/>
      </w:rPr>
      <w:t>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54758" w14:paraId="1746BBC5" w14:textId="77777777" w:rsidTr="007E7497">
      <w:trPr>
        <w:cantSplit/>
        <w:trHeight w:val="204"/>
        <w:jc w:val="center"/>
      </w:trPr>
      <w:tc>
        <w:tcPr>
          <w:tcW w:w="1152" w:type="dxa"/>
        </w:tcPr>
        <w:p w14:paraId="13B02590" w14:textId="77777777" w:rsidR="00B54758" w:rsidRDefault="00B54758" w:rsidP="007E7497">
          <w:pPr>
            <w:rPr>
              <w:b/>
              <w:bCs/>
            </w:rPr>
          </w:pPr>
          <w:r>
            <w:rPr>
              <w:b/>
              <w:bCs/>
            </w:rPr>
            <w:t>Contact:</w:t>
          </w:r>
        </w:p>
      </w:tc>
      <w:tc>
        <w:tcPr>
          <w:tcW w:w="5040" w:type="dxa"/>
        </w:tcPr>
        <w:p w14:paraId="679DAE85" w14:textId="77777777" w:rsidR="00B54758" w:rsidRDefault="00EC249E" w:rsidP="007E7497">
          <w:pPr>
            <w:pStyle w:val="Equation"/>
            <w:tabs>
              <w:tab w:val="clear" w:pos="794"/>
              <w:tab w:val="clear" w:pos="4820"/>
              <w:tab w:val="clear" w:pos="9639"/>
            </w:tabs>
            <w:spacing w:beforeLines="0"/>
            <w:rPr>
              <w:rFonts w:eastAsia="Batang"/>
            </w:rPr>
          </w:pPr>
          <w:r>
            <w:rPr>
              <w:rFonts w:eastAsia="Batang"/>
            </w:rPr>
            <w:t>Name</w:t>
          </w:r>
        </w:p>
        <w:p w14:paraId="273D20C6" w14:textId="77777777" w:rsidR="00EC249E" w:rsidRDefault="00EC249E" w:rsidP="007E7497">
          <w:pPr>
            <w:pStyle w:val="Equation"/>
            <w:tabs>
              <w:tab w:val="clear" w:pos="794"/>
              <w:tab w:val="clear" w:pos="4820"/>
              <w:tab w:val="clear" w:pos="9639"/>
            </w:tabs>
            <w:spacing w:beforeLines="0"/>
            <w:rPr>
              <w:rFonts w:eastAsia="Batang"/>
            </w:rPr>
          </w:pPr>
          <w:r>
            <w:rPr>
              <w:rFonts w:eastAsia="Batang"/>
            </w:rPr>
            <w:t>Organization, Country</w:t>
          </w:r>
        </w:p>
      </w:tc>
      <w:tc>
        <w:tcPr>
          <w:tcW w:w="3024" w:type="dxa"/>
        </w:tcPr>
        <w:p w14:paraId="6F1F1A74" w14:textId="77777777" w:rsidR="00B54758" w:rsidRDefault="00B54758" w:rsidP="00E23D98">
          <w:pPr>
            <w:rPr>
              <w:lang w:eastAsia="ja-JP"/>
            </w:rPr>
          </w:pPr>
          <w:r>
            <w:t>Email</w:t>
          </w:r>
          <w:r>
            <w:rPr>
              <w:rFonts w:hint="eastAsia"/>
            </w:rPr>
            <w:t>:</w:t>
          </w:r>
          <w:r>
            <w:t xml:space="preserve"> </w:t>
          </w:r>
        </w:p>
      </w:tc>
    </w:tr>
  </w:tbl>
  <w:p w14:paraId="0F9E3023"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60153" w14:textId="77777777" w:rsidR="00D5068D" w:rsidRDefault="00D5068D">
      <w:r>
        <w:separator/>
      </w:r>
    </w:p>
  </w:footnote>
  <w:footnote w:type="continuationSeparator" w:id="0">
    <w:p w14:paraId="7615B9A8" w14:textId="77777777" w:rsidR="00D5068D" w:rsidRDefault="00D50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B1855" w14:textId="77777777" w:rsidR="00B54758" w:rsidRDefault="00B54758" w:rsidP="008E3821">
    <w:pPr>
      <w:pStyle w:val="Header"/>
      <w:tabs>
        <w:tab w:val="clear" w:pos="4320"/>
        <w:tab w:val="clear" w:pos="8640"/>
      </w:tabs>
      <w:rPr>
        <w:lang w:eastAsia="ko-KR"/>
      </w:rPr>
    </w:pPr>
  </w:p>
  <w:p w14:paraId="1FB14547"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9801948"/>
    <w:multiLevelType w:val="hybridMultilevel"/>
    <w:tmpl w:val="7ED05576"/>
    <w:lvl w:ilvl="0" w:tplc="F3D8655E">
      <w:start w:val="1"/>
      <w:numFmt w:val="decimal"/>
      <w:lvlText w:val="%1."/>
      <w:lvlJc w:val="left"/>
      <w:pPr>
        <w:ind w:left="360" w:hanging="360"/>
      </w:pPr>
      <w:rPr>
        <w:rFonts w:ascii="Times New Roman" w:eastAsia="Times New Roman Bold" w:hAnsi="Times New Roman" w:cs="Times New Roman"/>
      </w:rPr>
    </w:lvl>
    <w:lvl w:ilvl="1" w:tplc="04090003">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5"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12"/>
  </w:num>
  <w:num w:numId="2">
    <w:abstractNumId w:val="7"/>
  </w:num>
  <w:num w:numId="3">
    <w:abstractNumId w:val="6"/>
  </w:num>
  <w:num w:numId="4">
    <w:abstractNumId w:val="17"/>
  </w:num>
  <w:num w:numId="5">
    <w:abstractNumId w:val="9"/>
  </w:num>
  <w:num w:numId="6">
    <w:abstractNumId w:val="13"/>
  </w:num>
  <w:num w:numId="7">
    <w:abstractNumId w:val="5"/>
  </w:num>
  <w:num w:numId="8">
    <w:abstractNumId w:val="1"/>
  </w:num>
  <w:num w:numId="9">
    <w:abstractNumId w:val="19"/>
  </w:num>
  <w:num w:numId="10">
    <w:abstractNumId w:val="0"/>
  </w:num>
  <w:num w:numId="11">
    <w:abstractNumId w:val="18"/>
  </w:num>
  <w:num w:numId="12">
    <w:abstractNumId w:val="10"/>
  </w:num>
  <w:num w:numId="13">
    <w:abstractNumId w:val="15"/>
  </w:num>
  <w:num w:numId="14">
    <w:abstractNumId w:val="8"/>
  </w:num>
  <w:num w:numId="15">
    <w:abstractNumId w:val="3"/>
  </w:num>
  <w:num w:numId="16">
    <w:abstractNumId w:val="2"/>
  </w:num>
  <w:num w:numId="17">
    <w:abstractNumId w:val="4"/>
  </w:num>
  <w:num w:numId="18">
    <w:abstractNumId w:val="11"/>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1B5"/>
    <w:rsid w:val="00000B9E"/>
    <w:rsid w:val="0003595B"/>
    <w:rsid w:val="00036385"/>
    <w:rsid w:val="00051E1E"/>
    <w:rsid w:val="00054C56"/>
    <w:rsid w:val="00063DF8"/>
    <w:rsid w:val="000713CF"/>
    <w:rsid w:val="00075C14"/>
    <w:rsid w:val="00094B87"/>
    <w:rsid w:val="000964D0"/>
    <w:rsid w:val="000A1F8C"/>
    <w:rsid w:val="000A5418"/>
    <w:rsid w:val="000A754D"/>
    <w:rsid w:val="000B1E8C"/>
    <w:rsid w:val="000B595C"/>
    <w:rsid w:val="000D421F"/>
    <w:rsid w:val="000D7C75"/>
    <w:rsid w:val="000F517C"/>
    <w:rsid w:val="000F5540"/>
    <w:rsid w:val="00106B56"/>
    <w:rsid w:val="00122653"/>
    <w:rsid w:val="00125217"/>
    <w:rsid w:val="00130A94"/>
    <w:rsid w:val="00131FCA"/>
    <w:rsid w:val="00133947"/>
    <w:rsid w:val="00134CC7"/>
    <w:rsid w:val="00135C32"/>
    <w:rsid w:val="001433F1"/>
    <w:rsid w:val="001539DD"/>
    <w:rsid w:val="00164353"/>
    <w:rsid w:val="00175BD2"/>
    <w:rsid w:val="0018114D"/>
    <w:rsid w:val="00182F29"/>
    <w:rsid w:val="001832C2"/>
    <w:rsid w:val="001923E8"/>
    <w:rsid w:val="00196568"/>
    <w:rsid w:val="00197B92"/>
    <w:rsid w:val="001A2F16"/>
    <w:rsid w:val="001A34FF"/>
    <w:rsid w:val="001B18C2"/>
    <w:rsid w:val="001D5D7E"/>
    <w:rsid w:val="001E1432"/>
    <w:rsid w:val="001F5947"/>
    <w:rsid w:val="002033B5"/>
    <w:rsid w:val="0021588B"/>
    <w:rsid w:val="002216AC"/>
    <w:rsid w:val="002219FD"/>
    <w:rsid w:val="0023010A"/>
    <w:rsid w:val="00230738"/>
    <w:rsid w:val="00234735"/>
    <w:rsid w:val="00241BCF"/>
    <w:rsid w:val="00254A1B"/>
    <w:rsid w:val="0026736F"/>
    <w:rsid w:val="00275ED2"/>
    <w:rsid w:val="0028454D"/>
    <w:rsid w:val="00286912"/>
    <w:rsid w:val="00287A2A"/>
    <w:rsid w:val="00291C9E"/>
    <w:rsid w:val="002926D4"/>
    <w:rsid w:val="002C07DA"/>
    <w:rsid w:val="002C7EA9"/>
    <w:rsid w:val="002E05B6"/>
    <w:rsid w:val="002F2F9A"/>
    <w:rsid w:val="003131A3"/>
    <w:rsid w:val="00336A0D"/>
    <w:rsid w:val="00342F20"/>
    <w:rsid w:val="00343067"/>
    <w:rsid w:val="00350EC2"/>
    <w:rsid w:val="003540E0"/>
    <w:rsid w:val="003548C2"/>
    <w:rsid w:val="0037421D"/>
    <w:rsid w:val="003809C7"/>
    <w:rsid w:val="003829E0"/>
    <w:rsid w:val="003B03B2"/>
    <w:rsid w:val="003B6263"/>
    <w:rsid w:val="003B6428"/>
    <w:rsid w:val="003C64A7"/>
    <w:rsid w:val="003D25E1"/>
    <w:rsid w:val="003D3FDA"/>
    <w:rsid w:val="003F6D48"/>
    <w:rsid w:val="00403CE4"/>
    <w:rsid w:val="00420822"/>
    <w:rsid w:val="0042126E"/>
    <w:rsid w:val="004323BB"/>
    <w:rsid w:val="00433925"/>
    <w:rsid w:val="004404C0"/>
    <w:rsid w:val="00440BEE"/>
    <w:rsid w:val="00444170"/>
    <w:rsid w:val="0045458F"/>
    <w:rsid w:val="00455FD4"/>
    <w:rsid w:val="004633B4"/>
    <w:rsid w:val="00483317"/>
    <w:rsid w:val="004854EE"/>
    <w:rsid w:val="004A4DE4"/>
    <w:rsid w:val="004B3553"/>
    <w:rsid w:val="004F733C"/>
    <w:rsid w:val="00515050"/>
    <w:rsid w:val="0051686D"/>
    <w:rsid w:val="005201CA"/>
    <w:rsid w:val="00521BF0"/>
    <w:rsid w:val="00530E8C"/>
    <w:rsid w:val="005442A4"/>
    <w:rsid w:val="00545933"/>
    <w:rsid w:val="0054610B"/>
    <w:rsid w:val="005549C9"/>
    <w:rsid w:val="00557544"/>
    <w:rsid w:val="005606F6"/>
    <w:rsid w:val="005614DC"/>
    <w:rsid w:val="00575CDC"/>
    <w:rsid w:val="00577C0A"/>
    <w:rsid w:val="00587875"/>
    <w:rsid w:val="005B1E77"/>
    <w:rsid w:val="005B244E"/>
    <w:rsid w:val="005C5EB6"/>
    <w:rsid w:val="005D3914"/>
    <w:rsid w:val="005D6B2F"/>
    <w:rsid w:val="005E3896"/>
    <w:rsid w:val="00607E2B"/>
    <w:rsid w:val="006139D6"/>
    <w:rsid w:val="00623CE1"/>
    <w:rsid w:val="0063062B"/>
    <w:rsid w:val="00636BAD"/>
    <w:rsid w:val="0066388B"/>
    <w:rsid w:val="00667229"/>
    <w:rsid w:val="00675C31"/>
    <w:rsid w:val="006769C2"/>
    <w:rsid w:val="00682BE5"/>
    <w:rsid w:val="006843DA"/>
    <w:rsid w:val="00690FED"/>
    <w:rsid w:val="006939A5"/>
    <w:rsid w:val="006A15A4"/>
    <w:rsid w:val="006A6D8B"/>
    <w:rsid w:val="006B6778"/>
    <w:rsid w:val="006C2D39"/>
    <w:rsid w:val="006E12FC"/>
    <w:rsid w:val="006F375E"/>
    <w:rsid w:val="00705E61"/>
    <w:rsid w:val="00712451"/>
    <w:rsid w:val="00731041"/>
    <w:rsid w:val="00732F08"/>
    <w:rsid w:val="007350E2"/>
    <w:rsid w:val="0074190C"/>
    <w:rsid w:val="00762576"/>
    <w:rsid w:val="00791060"/>
    <w:rsid w:val="007A1BDE"/>
    <w:rsid w:val="007A3E29"/>
    <w:rsid w:val="007B3299"/>
    <w:rsid w:val="007B3D18"/>
    <w:rsid w:val="007B5626"/>
    <w:rsid w:val="007B5E37"/>
    <w:rsid w:val="007D29E5"/>
    <w:rsid w:val="007E1FDD"/>
    <w:rsid w:val="007E7497"/>
    <w:rsid w:val="007F08FF"/>
    <w:rsid w:val="007F1651"/>
    <w:rsid w:val="00803C99"/>
    <w:rsid w:val="0080570B"/>
    <w:rsid w:val="008148E1"/>
    <w:rsid w:val="00816F4E"/>
    <w:rsid w:val="00831716"/>
    <w:rsid w:val="008319BF"/>
    <w:rsid w:val="008337EA"/>
    <w:rsid w:val="00850E1C"/>
    <w:rsid w:val="008624ED"/>
    <w:rsid w:val="00870944"/>
    <w:rsid w:val="008950FB"/>
    <w:rsid w:val="00897849"/>
    <w:rsid w:val="008A423E"/>
    <w:rsid w:val="008A73CD"/>
    <w:rsid w:val="008B7C1A"/>
    <w:rsid w:val="008D084B"/>
    <w:rsid w:val="008D0E09"/>
    <w:rsid w:val="008E3821"/>
    <w:rsid w:val="008F2153"/>
    <w:rsid w:val="008F301D"/>
    <w:rsid w:val="00943378"/>
    <w:rsid w:val="00953737"/>
    <w:rsid w:val="00972289"/>
    <w:rsid w:val="0097693B"/>
    <w:rsid w:val="00993355"/>
    <w:rsid w:val="009A46BF"/>
    <w:rsid w:val="009A4A6D"/>
    <w:rsid w:val="009B74AC"/>
    <w:rsid w:val="009C0B35"/>
    <w:rsid w:val="009C361C"/>
    <w:rsid w:val="00A0503B"/>
    <w:rsid w:val="00A13265"/>
    <w:rsid w:val="00A20980"/>
    <w:rsid w:val="00A31185"/>
    <w:rsid w:val="00A61885"/>
    <w:rsid w:val="00A71136"/>
    <w:rsid w:val="00A7185C"/>
    <w:rsid w:val="00A82EFC"/>
    <w:rsid w:val="00AA2D8E"/>
    <w:rsid w:val="00AA474C"/>
    <w:rsid w:val="00AB0EAD"/>
    <w:rsid w:val="00AB2572"/>
    <w:rsid w:val="00AC19BB"/>
    <w:rsid w:val="00AD7E5F"/>
    <w:rsid w:val="00AF6E67"/>
    <w:rsid w:val="00B01AA1"/>
    <w:rsid w:val="00B24089"/>
    <w:rsid w:val="00B30C81"/>
    <w:rsid w:val="00B34275"/>
    <w:rsid w:val="00B3474C"/>
    <w:rsid w:val="00B4793B"/>
    <w:rsid w:val="00B54758"/>
    <w:rsid w:val="00B66740"/>
    <w:rsid w:val="00B97AC9"/>
    <w:rsid w:val="00BB7E96"/>
    <w:rsid w:val="00BC7506"/>
    <w:rsid w:val="00BC7685"/>
    <w:rsid w:val="00C15633"/>
    <w:rsid w:val="00C15799"/>
    <w:rsid w:val="00C20F4D"/>
    <w:rsid w:val="00C256E8"/>
    <w:rsid w:val="00C26745"/>
    <w:rsid w:val="00C357AD"/>
    <w:rsid w:val="00C3644A"/>
    <w:rsid w:val="00C6069C"/>
    <w:rsid w:val="00C73F61"/>
    <w:rsid w:val="00C75805"/>
    <w:rsid w:val="00C85119"/>
    <w:rsid w:val="00CC56C6"/>
    <w:rsid w:val="00CD5431"/>
    <w:rsid w:val="00CE6DD9"/>
    <w:rsid w:val="00CF2491"/>
    <w:rsid w:val="00CF2CBA"/>
    <w:rsid w:val="00CF3030"/>
    <w:rsid w:val="00CF5DDC"/>
    <w:rsid w:val="00D1252E"/>
    <w:rsid w:val="00D12CE1"/>
    <w:rsid w:val="00D2444D"/>
    <w:rsid w:val="00D31452"/>
    <w:rsid w:val="00D500B1"/>
    <w:rsid w:val="00D5068D"/>
    <w:rsid w:val="00D5307B"/>
    <w:rsid w:val="00D57772"/>
    <w:rsid w:val="00D651AB"/>
    <w:rsid w:val="00D72AE3"/>
    <w:rsid w:val="00D75A4D"/>
    <w:rsid w:val="00D8478B"/>
    <w:rsid w:val="00D84CEE"/>
    <w:rsid w:val="00D86151"/>
    <w:rsid w:val="00D91215"/>
    <w:rsid w:val="00DA3CC4"/>
    <w:rsid w:val="00DA7595"/>
    <w:rsid w:val="00DB0A68"/>
    <w:rsid w:val="00DB13B0"/>
    <w:rsid w:val="00DB28C8"/>
    <w:rsid w:val="00DB4A1C"/>
    <w:rsid w:val="00DC13F2"/>
    <w:rsid w:val="00DC43A3"/>
    <w:rsid w:val="00DD7C09"/>
    <w:rsid w:val="00DE54CF"/>
    <w:rsid w:val="00DF791C"/>
    <w:rsid w:val="00E0124F"/>
    <w:rsid w:val="00E02E0D"/>
    <w:rsid w:val="00E06286"/>
    <w:rsid w:val="00E17376"/>
    <w:rsid w:val="00E23D98"/>
    <w:rsid w:val="00E403B9"/>
    <w:rsid w:val="00E5341E"/>
    <w:rsid w:val="00E545D9"/>
    <w:rsid w:val="00E65FC2"/>
    <w:rsid w:val="00E674D3"/>
    <w:rsid w:val="00E70FD0"/>
    <w:rsid w:val="00E80263"/>
    <w:rsid w:val="00E941B5"/>
    <w:rsid w:val="00EA7027"/>
    <w:rsid w:val="00EB2081"/>
    <w:rsid w:val="00EC249E"/>
    <w:rsid w:val="00EE3496"/>
    <w:rsid w:val="00EF2406"/>
    <w:rsid w:val="00F00257"/>
    <w:rsid w:val="00F27A79"/>
    <w:rsid w:val="00F5332C"/>
    <w:rsid w:val="00F55E0A"/>
    <w:rsid w:val="00F626B7"/>
    <w:rsid w:val="00F650EB"/>
    <w:rsid w:val="00F84067"/>
    <w:rsid w:val="00F871F5"/>
    <w:rsid w:val="00FC156A"/>
    <w:rsid w:val="00FC3E8D"/>
    <w:rsid w:val="00FC7A38"/>
    <w:rsid w:val="00FE3DE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A4887"/>
  <w15:docId w15:val="{AFE98590-207B-4F97-8F63-31806397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character" w:customStyle="1" w:styleId="TabletextChar">
    <w:name w:val="Table_text Char"/>
    <w:basedOn w:val="DefaultParagraphFont"/>
    <w:link w:val="Tabletext"/>
    <w:locked/>
    <w:rsid w:val="00943378"/>
    <w:rPr>
      <w:lang w:eastAsia="nl-NL"/>
    </w:rPr>
  </w:style>
  <w:style w:type="paragraph" w:customStyle="1" w:styleId="Tabletext">
    <w:name w:val="Table_text"/>
    <w:basedOn w:val="Normal"/>
    <w:link w:val="TabletextChar"/>
    <w:rsid w:val="0094337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Batang"/>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3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dms_pub/itu-r/md/00/ca/cir/R00-CA-CIR-0251!!MSW-E.docx" TargetMode="External"/><Relationship Id="rId13" Type="http://schemas.openxmlformats.org/officeDocument/2006/relationships/hyperlink" Target="https://www.itu.int/dms_ties/itu-r/md/15/wp4a/c/R15-WP4A-C-0912!N06!MSW-E.doc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www.itu.int/dms_ties/itu-r/md/15/wp4a/c/R15-WP4A-C-0826!N11!MSW-E.docx" TargetMode="External"/><Relationship Id="rId17" Type="http://schemas.openxmlformats.org/officeDocument/2006/relationships/hyperlink" Target="https://www.itu.int/md/meetingdoc.asp?lang=en&amp;parent=R19-WP4A-C-0074" TargetMode="External"/><Relationship Id="rId2" Type="http://schemas.openxmlformats.org/officeDocument/2006/relationships/styles" Target="styles.xml"/><Relationship Id="rId16" Type="http://schemas.openxmlformats.org/officeDocument/2006/relationships/hyperlink" Target="https://www.itu.int/md/R19-WP7C-C-0056/e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R16-WRC19-C-0535/en" TargetMode="External"/><Relationship Id="rId5" Type="http://schemas.openxmlformats.org/officeDocument/2006/relationships/footnotes" Target="footnotes.xml"/><Relationship Id="rId15" Type="http://schemas.openxmlformats.org/officeDocument/2006/relationships/hyperlink" Target="https://www.itu.int/dms_ties/itu-r/md/19/wp7c/c/R19-WP7C-C-0105!!MSW-E.docx" TargetMode="External"/><Relationship Id="rId23" Type="http://schemas.openxmlformats.org/officeDocument/2006/relationships/theme" Target="theme/theme1.xml"/><Relationship Id="rId10" Type="http://schemas.openxmlformats.org/officeDocument/2006/relationships/hyperlink" Target="https://www.itu.int/dms_pub/itu-r/md/00/ca/cir/R00-CA-CIR-0251!C1!MSW-E.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tu.int/dms_pub/itu-r/md/00/ca/cir/R00-CA-CIR-0251!A1!MSW-E.docx" TargetMode="External"/><Relationship Id="rId14" Type="http://schemas.openxmlformats.org/officeDocument/2006/relationships/hyperlink" Target="https://www.itu.int/dms_ties/itu-r/md/19/wp7c/c/R19-WP7C-C-0022!!MSW-E.doc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2102\Desktop\APG23-2%20Debriefing%20on%20AI%209.1%20D\Brief%20on%20WRC-23%20Agenda%20item%209.1%20topic%20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 on WRC-23 Agenda item 9.1 topic d</Template>
  <TotalTime>3</TotalTime>
  <Pages>3</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Tawhid Hussain</cp:lastModifiedBy>
  <cp:revision>5</cp:revision>
  <cp:lastPrinted>2004-07-28T02:14:00Z</cp:lastPrinted>
  <dcterms:created xsi:type="dcterms:W3CDTF">2021-03-02T07:41:00Z</dcterms:created>
  <dcterms:modified xsi:type="dcterms:W3CDTF">2021-03-14T05:52:00Z</dcterms:modified>
</cp:coreProperties>
</file>