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25B15063" w14:textId="77777777" w:rsidTr="007E1FDD">
        <w:trPr>
          <w:cantSplit/>
          <w:trHeight w:val="288"/>
        </w:trPr>
        <w:tc>
          <w:tcPr>
            <w:tcW w:w="1399" w:type="dxa"/>
            <w:vMerge w:val="restart"/>
          </w:tcPr>
          <w:p w14:paraId="35CB4FF6"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464A7590" wp14:editId="318CE689">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53C757C6"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217F24BE"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398213BF" w14:textId="77777777" w:rsidTr="007E7497">
        <w:trPr>
          <w:cantSplit/>
          <w:trHeight w:val="504"/>
        </w:trPr>
        <w:tc>
          <w:tcPr>
            <w:tcW w:w="1399" w:type="dxa"/>
            <w:vMerge/>
          </w:tcPr>
          <w:p w14:paraId="1E65A4C2" w14:textId="77777777" w:rsidR="003D25E1" w:rsidRPr="00891D0B" w:rsidRDefault="003D25E1" w:rsidP="000D7C75"/>
        </w:tc>
        <w:tc>
          <w:tcPr>
            <w:tcW w:w="5760" w:type="dxa"/>
            <w:vAlign w:val="center"/>
          </w:tcPr>
          <w:p w14:paraId="3C6E6232" w14:textId="77777777" w:rsidR="003D25E1" w:rsidRPr="00891D0B" w:rsidRDefault="00C73F61" w:rsidP="001E1432">
            <w:pPr>
              <w:spacing w:before="40"/>
            </w:pPr>
            <w:r>
              <w:rPr>
                <w:b/>
              </w:rPr>
              <w:t xml:space="preserve">The </w:t>
            </w:r>
            <w:r w:rsidR="008624ED">
              <w:rPr>
                <w:b/>
              </w:rPr>
              <w:t>2nd</w:t>
            </w:r>
            <w:r w:rsidR="001E1432">
              <w:rPr>
                <w:b/>
              </w:rPr>
              <w:t xml:space="preserve"> </w:t>
            </w:r>
            <w:r w:rsidR="003D25E1">
              <w:rPr>
                <w:b/>
              </w:rPr>
              <w:t xml:space="preserve">Meeting of the APT </w:t>
            </w:r>
            <w:r w:rsidR="001E1432">
              <w:rPr>
                <w:b/>
              </w:rPr>
              <w:t xml:space="preserve">Conference Preparatory Group for WRC-23 </w:t>
            </w:r>
            <w:r w:rsidR="00EC249E">
              <w:rPr>
                <w:b/>
              </w:rPr>
              <w:t>(A</w:t>
            </w:r>
            <w:r w:rsidR="001E1432">
              <w:rPr>
                <w:b/>
              </w:rPr>
              <w:t>PG</w:t>
            </w:r>
            <w:r w:rsidR="00EC249E">
              <w:rPr>
                <w:b/>
              </w:rPr>
              <w:t>2</w:t>
            </w:r>
            <w:r w:rsidR="001E1432">
              <w:rPr>
                <w:b/>
              </w:rPr>
              <w:t>3-</w:t>
            </w:r>
            <w:r w:rsidR="008624ED">
              <w:rPr>
                <w:b/>
              </w:rPr>
              <w:t>2</w:t>
            </w:r>
            <w:r w:rsidR="003D25E1">
              <w:rPr>
                <w:b/>
              </w:rPr>
              <w:t>)</w:t>
            </w:r>
          </w:p>
        </w:tc>
        <w:tc>
          <w:tcPr>
            <w:tcW w:w="2160" w:type="dxa"/>
          </w:tcPr>
          <w:p w14:paraId="71B9E915" w14:textId="5F5F0114" w:rsidR="007E1FDD" w:rsidRPr="00D14384" w:rsidRDefault="001E1432" w:rsidP="007E7497">
            <w:pPr>
              <w:spacing w:before="40"/>
              <w:rPr>
                <w:rFonts w:cs="Angsana New"/>
                <w:b/>
                <w:bCs/>
                <w:szCs w:val="30"/>
                <w:lang w:bidi="th-TH"/>
              </w:rPr>
            </w:pPr>
            <w:r>
              <w:rPr>
                <w:b/>
                <w:bCs/>
                <w:lang w:val="fr-FR"/>
              </w:rPr>
              <w:t>APG23-</w:t>
            </w:r>
            <w:r w:rsidR="008624ED">
              <w:rPr>
                <w:b/>
                <w:bCs/>
                <w:lang w:val="fr-FR"/>
              </w:rPr>
              <w:t>2</w:t>
            </w:r>
            <w:r w:rsidR="007E1FDD">
              <w:rPr>
                <w:b/>
                <w:bCs/>
                <w:lang w:val="fr-FR"/>
              </w:rPr>
              <w:t>/</w:t>
            </w:r>
            <w:r w:rsidR="00164353">
              <w:rPr>
                <w:b/>
                <w:bCs/>
                <w:lang w:val="fr-FR"/>
              </w:rPr>
              <w:t>IN</w:t>
            </w:r>
            <w:r w:rsidR="00EA0BBD">
              <w:rPr>
                <w:b/>
                <w:bCs/>
                <w:lang w:val="fr-FR"/>
              </w:rPr>
              <w:t>F</w:t>
            </w:r>
            <w:r w:rsidR="007E1FDD">
              <w:rPr>
                <w:b/>
                <w:bCs/>
                <w:lang w:val="fr-FR"/>
              </w:rPr>
              <w:t>-</w:t>
            </w:r>
            <w:r w:rsidR="00D14384">
              <w:rPr>
                <w:rFonts w:cs="Angsana New"/>
                <w:b/>
                <w:bCs/>
                <w:szCs w:val="30"/>
                <w:lang w:bidi="th-TH"/>
              </w:rPr>
              <w:t>06</w:t>
            </w:r>
          </w:p>
          <w:p w14:paraId="042FD16E" w14:textId="77777777" w:rsidR="003D25E1" w:rsidRPr="007E1FDD" w:rsidRDefault="003D25E1" w:rsidP="007E1FDD">
            <w:pPr>
              <w:rPr>
                <w:b/>
                <w:bCs/>
                <w:lang w:val="en-GB"/>
              </w:rPr>
            </w:pPr>
          </w:p>
        </w:tc>
      </w:tr>
      <w:tr w:rsidR="007E1FDD" w:rsidRPr="00891D0B" w14:paraId="321CFF55" w14:textId="77777777" w:rsidTr="007E1FDD">
        <w:trPr>
          <w:cantSplit/>
          <w:trHeight w:val="288"/>
        </w:trPr>
        <w:tc>
          <w:tcPr>
            <w:tcW w:w="1399" w:type="dxa"/>
            <w:vMerge/>
          </w:tcPr>
          <w:p w14:paraId="4E3C555C" w14:textId="77777777" w:rsidR="007E1FDD" w:rsidRPr="007E1FDD" w:rsidRDefault="007E1FDD" w:rsidP="000D7C75">
            <w:pPr>
              <w:rPr>
                <w:lang w:val="en-GB"/>
              </w:rPr>
            </w:pPr>
          </w:p>
        </w:tc>
        <w:tc>
          <w:tcPr>
            <w:tcW w:w="5760" w:type="dxa"/>
            <w:vAlign w:val="bottom"/>
          </w:tcPr>
          <w:p w14:paraId="7BA3957E" w14:textId="77777777" w:rsidR="007E1FDD" w:rsidRPr="00712451" w:rsidRDefault="008624ED" w:rsidP="00C73F61">
            <w:pPr>
              <w:spacing w:before="40"/>
              <w:rPr>
                <w:b/>
              </w:rPr>
            </w:pPr>
            <w:r>
              <w:t>19</w:t>
            </w:r>
            <w:r w:rsidR="00C73F61">
              <w:t xml:space="preserve"> – </w:t>
            </w:r>
            <w:r w:rsidR="001E1432">
              <w:t>2</w:t>
            </w:r>
            <w:r>
              <w:t>3</w:t>
            </w:r>
            <w:r w:rsidR="007E1FDD">
              <w:t xml:space="preserve"> </w:t>
            </w:r>
            <w:r>
              <w:t>April</w:t>
            </w:r>
            <w:r w:rsidR="00EC249E">
              <w:t xml:space="preserve"> </w:t>
            </w:r>
            <w:r w:rsidR="007E1FDD">
              <w:t>20</w:t>
            </w:r>
            <w:r w:rsidR="00EC249E">
              <w:t>2</w:t>
            </w:r>
            <w:r>
              <w:t>1</w:t>
            </w:r>
            <w:r w:rsidR="007E1FDD" w:rsidRPr="00891D0B">
              <w:t xml:space="preserve">, </w:t>
            </w:r>
            <w:r w:rsidR="00EC249E" w:rsidRPr="00EC249E">
              <w:rPr>
                <w:bCs/>
              </w:rPr>
              <w:t>Virtual</w:t>
            </w:r>
            <w:r>
              <w:rPr>
                <w:bCs/>
              </w:rPr>
              <w:t>/Online</w:t>
            </w:r>
            <w:r w:rsidR="00EC249E" w:rsidRPr="00EC249E">
              <w:rPr>
                <w:bCs/>
              </w:rPr>
              <w:t xml:space="preserve"> Meeting</w:t>
            </w:r>
          </w:p>
        </w:tc>
        <w:tc>
          <w:tcPr>
            <w:tcW w:w="2160" w:type="dxa"/>
            <w:vAlign w:val="bottom"/>
          </w:tcPr>
          <w:p w14:paraId="4DAAF244" w14:textId="63A32563" w:rsidR="007E1FDD" w:rsidRPr="007E1FDD" w:rsidRDefault="00D14384" w:rsidP="00C73F61">
            <w:pPr>
              <w:spacing w:before="40"/>
              <w:rPr>
                <w:bCs/>
              </w:rPr>
            </w:pPr>
            <w:r>
              <w:rPr>
                <w:bCs/>
              </w:rPr>
              <w:t>14</w:t>
            </w:r>
            <w:r w:rsidR="008624ED">
              <w:rPr>
                <w:bCs/>
              </w:rPr>
              <w:t xml:space="preserve"> </w:t>
            </w:r>
            <w:r w:rsidR="00EA0BBD">
              <w:rPr>
                <w:bCs/>
              </w:rPr>
              <w:t xml:space="preserve">March </w:t>
            </w:r>
            <w:r w:rsidR="007E1FDD" w:rsidRPr="007E1FDD">
              <w:rPr>
                <w:bCs/>
              </w:rPr>
              <w:t>20</w:t>
            </w:r>
            <w:r w:rsidR="00EC249E">
              <w:rPr>
                <w:bCs/>
              </w:rPr>
              <w:t>2</w:t>
            </w:r>
            <w:r w:rsidR="008624ED">
              <w:rPr>
                <w:bCs/>
              </w:rPr>
              <w:t>1</w:t>
            </w:r>
          </w:p>
        </w:tc>
      </w:tr>
    </w:tbl>
    <w:p w14:paraId="1D7C378C" w14:textId="77777777" w:rsidR="007E7497" w:rsidRPr="00051E1E" w:rsidRDefault="007E7497" w:rsidP="00DA7595">
      <w:pPr>
        <w:rPr>
          <w:lang w:eastAsia="ko-KR"/>
        </w:rPr>
      </w:pPr>
    </w:p>
    <w:p w14:paraId="416BBD44" w14:textId="77777777" w:rsidR="00FF72BB" w:rsidRDefault="00FF72BB" w:rsidP="00DA7595">
      <w:pPr>
        <w:jc w:val="center"/>
        <w:rPr>
          <w:lang w:eastAsia="ko-KR"/>
        </w:rPr>
      </w:pPr>
    </w:p>
    <w:p w14:paraId="5D48B783" w14:textId="40CFD480" w:rsidR="00DA7595" w:rsidRPr="00051E1E" w:rsidRDefault="00EA0BBD" w:rsidP="00DA7595">
      <w:pPr>
        <w:jc w:val="center"/>
        <w:rPr>
          <w:lang w:eastAsia="ko-KR"/>
        </w:rPr>
      </w:pPr>
      <w:r>
        <w:rPr>
          <w:lang w:eastAsia="ko-KR"/>
        </w:rPr>
        <w:t xml:space="preserve">Chairman, DG on </w:t>
      </w:r>
      <w:r w:rsidR="003E5F5B">
        <w:rPr>
          <w:lang w:eastAsia="ko-KR"/>
        </w:rPr>
        <w:t>Res. 655</w:t>
      </w:r>
      <w:r w:rsidR="002074B0">
        <w:rPr>
          <w:lang w:eastAsia="ko-KR"/>
        </w:rPr>
        <w:t xml:space="preserve"> (WRC-15)</w:t>
      </w:r>
    </w:p>
    <w:p w14:paraId="49B50650" w14:textId="77777777" w:rsidR="007E7497" w:rsidRPr="00B355DB" w:rsidRDefault="007E7497" w:rsidP="007E7497">
      <w:pPr>
        <w:jc w:val="center"/>
        <w:rPr>
          <w:caps/>
        </w:rPr>
      </w:pPr>
    </w:p>
    <w:p w14:paraId="40C01037" w14:textId="1167537B" w:rsidR="007E7497" w:rsidRPr="00F22892" w:rsidRDefault="00EA0BBD" w:rsidP="007E7497">
      <w:pPr>
        <w:jc w:val="center"/>
        <w:rPr>
          <w:b/>
          <w:bCs/>
          <w:caps/>
        </w:rPr>
      </w:pPr>
      <w:r>
        <w:rPr>
          <w:b/>
          <w:bCs/>
          <w:caps/>
        </w:rPr>
        <w:t xml:space="preserve">brief </w:t>
      </w:r>
      <w:r w:rsidR="00EC249E">
        <w:rPr>
          <w:b/>
          <w:bCs/>
          <w:caps/>
        </w:rPr>
        <w:t>o</w:t>
      </w:r>
      <w:r>
        <w:rPr>
          <w:b/>
          <w:bCs/>
          <w:caps/>
        </w:rPr>
        <w:t>n</w:t>
      </w:r>
      <w:r w:rsidR="00EC249E">
        <w:rPr>
          <w:b/>
          <w:bCs/>
          <w:caps/>
        </w:rPr>
        <w:t xml:space="preserve"> </w:t>
      </w:r>
      <w:r>
        <w:rPr>
          <w:b/>
          <w:bCs/>
          <w:caps/>
        </w:rPr>
        <w:t>wrc-23</w:t>
      </w:r>
      <w:r w:rsidR="00EC249E">
        <w:rPr>
          <w:b/>
          <w:bCs/>
          <w:caps/>
        </w:rPr>
        <w:t xml:space="preserve"> </w:t>
      </w:r>
      <w:r w:rsidR="003E5F5B">
        <w:rPr>
          <w:b/>
          <w:bCs/>
          <w:caps/>
        </w:rPr>
        <w:t>Resolution 655</w:t>
      </w:r>
      <w:r w:rsidR="002074B0">
        <w:rPr>
          <w:b/>
          <w:bCs/>
          <w:caps/>
        </w:rPr>
        <w:t xml:space="preserve"> (WRC-15)</w:t>
      </w:r>
    </w:p>
    <w:p w14:paraId="233AF010" w14:textId="77777777" w:rsidR="007E7497" w:rsidRPr="005E3896" w:rsidRDefault="007E7497" w:rsidP="007E7497">
      <w:pPr>
        <w:jc w:val="both"/>
        <w:rPr>
          <w:bCs/>
          <w:sz w:val="6"/>
        </w:rPr>
      </w:pPr>
    </w:p>
    <w:p w14:paraId="6E2A1ABA" w14:textId="77777777" w:rsidR="00EC249E" w:rsidRDefault="00EC249E" w:rsidP="00E5341E">
      <w:pPr>
        <w:spacing w:after="120"/>
        <w:jc w:val="both"/>
        <w:rPr>
          <w:b/>
          <w:lang w:val="en-NZ"/>
        </w:rPr>
      </w:pPr>
    </w:p>
    <w:p w14:paraId="4E1693DC" w14:textId="79498B28" w:rsidR="00615999" w:rsidRPr="00441526" w:rsidRDefault="003E5F5B" w:rsidP="00615999">
      <w:pPr>
        <w:spacing w:after="120"/>
        <w:jc w:val="both"/>
        <w:rPr>
          <w:lang w:val="en-NZ"/>
        </w:rPr>
      </w:pPr>
      <w:r>
        <w:rPr>
          <w:b/>
          <w:lang w:val="en-NZ"/>
        </w:rPr>
        <w:t>Resolution 655 (WRC-15)</w:t>
      </w:r>
      <w:r w:rsidR="00615999" w:rsidRPr="00441526">
        <w:rPr>
          <w:b/>
          <w:lang w:val="en-NZ"/>
        </w:rPr>
        <w:t xml:space="preserve">: </w:t>
      </w:r>
    </w:p>
    <w:p w14:paraId="53333B28" w14:textId="539DFC22" w:rsidR="00615999" w:rsidRDefault="006A74A2" w:rsidP="00615999">
      <w:pPr>
        <w:spacing w:after="120"/>
        <w:jc w:val="both"/>
        <w:rPr>
          <w:i/>
          <w:lang w:val="en-NZ"/>
        </w:rPr>
      </w:pPr>
      <w:r w:rsidRPr="006A74A2">
        <w:rPr>
          <w:i/>
          <w:lang w:val="en-NZ"/>
        </w:rPr>
        <w:t>Definition of time scale and dissemination of time signals via radiocommunication systems</w:t>
      </w:r>
    </w:p>
    <w:p w14:paraId="6EDE91BF" w14:textId="77777777" w:rsidR="006A74A2" w:rsidRPr="00441526" w:rsidRDefault="006A74A2" w:rsidP="00615999">
      <w:pPr>
        <w:spacing w:after="120"/>
        <w:jc w:val="both"/>
        <w:rPr>
          <w:i/>
          <w:lang w:val="en-NZ"/>
        </w:rPr>
      </w:pPr>
    </w:p>
    <w:p w14:paraId="3DA40495" w14:textId="67586712" w:rsidR="0037421D" w:rsidRPr="006A74A2" w:rsidRDefault="00615999" w:rsidP="00E5341E">
      <w:pPr>
        <w:spacing w:after="120"/>
        <w:jc w:val="both"/>
        <w:rPr>
          <w:b/>
          <w:lang w:val="en-NZ"/>
        </w:rPr>
      </w:pPr>
      <w:r>
        <w:rPr>
          <w:b/>
          <w:lang w:val="en-NZ"/>
        </w:rPr>
        <w:t>Relevant Resolutions and Responsible/Contributing ITU-R Groups</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7"/>
        <w:gridCol w:w="6922"/>
      </w:tblGrid>
      <w:tr w:rsidR="007B6619" w:rsidRPr="007B6619" w14:paraId="4A1CA755" w14:textId="77777777" w:rsidTr="00395A72">
        <w:trPr>
          <w:jc w:val="center"/>
        </w:trPr>
        <w:tc>
          <w:tcPr>
            <w:tcW w:w="2287" w:type="dxa"/>
          </w:tcPr>
          <w:p w14:paraId="67F22B8D" w14:textId="77777777" w:rsidR="00E52F59" w:rsidRPr="007B6619" w:rsidRDefault="00E52F59" w:rsidP="00E52F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lang w:eastAsia="nl-NL"/>
              </w:rPr>
            </w:pPr>
            <w:r w:rsidRPr="007B6619">
              <w:rPr>
                <w:rFonts w:eastAsia="Batang"/>
                <w:lang w:eastAsia="nl-NL"/>
              </w:rPr>
              <w:t xml:space="preserve">Resolution </w:t>
            </w:r>
            <w:r w:rsidRPr="007B6619">
              <w:rPr>
                <w:rFonts w:eastAsia="Batang"/>
                <w:b/>
                <w:bCs/>
                <w:lang w:eastAsia="nl-NL"/>
              </w:rPr>
              <w:t>655</w:t>
            </w:r>
            <w:r w:rsidRPr="007B6619">
              <w:rPr>
                <w:rFonts w:eastAsia="Batang"/>
                <w:lang w:eastAsia="nl-NL"/>
              </w:rPr>
              <w:t xml:space="preserve"> </w:t>
            </w:r>
            <w:r w:rsidRPr="007B6619">
              <w:rPr>
                <w:rFonts w:eastAsia="Batang"/>
                <w:b/>
                <w:bCs/>
                <w:lang w:eastAsia="nl-NL"/>
              </w:rPr>
              <w:t>(WRC-15)</w:t>
            </w:r>
          </w:p>
          <w:p w14:paraId="17BFA2B7" w14:textId="507DAD9E" w:rsidR="00615999" w:rsidRPr="007B6619" w:rsidRDefault="00E52F59" w:rsidP="00E52F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lang w:eastAsia="nl-NL"/>
              </w:rPr>
            </w:pPr>
            <w:r w:rsidRPr="007B6619">
              <w:rPr>
                <w:rFonts w:eastAsia="Batang"/>
                <w:lang w:eastAsia="nl-NL"/>
              </w:rPr>
              <w:t>Definition of time scale and dissemination of time signals via radiocommunication systems</w:t>
            </w:r>
          </w:p>
        </w:tc>
        <w:tc>
          <w:tcPr>
            <w:tcW w:w="6922" w:type="dxa"/>
          </w:tcPr>
          <w:p w14:paraId="2DD2166E" w14:textId="11D78426" w:rsidR="00615999" w:rsidRPr="007B6619" w:rsidRDefault="00BF35AA" w:rsidP="00395A72">
            <w:pPr>
              <w:keepNext/>
              <w:keepLines/>
              <w:tabs>
                <w:tab w:val="left" w:pos="794"/>
                <w:tab w:val="left" w:pos="1191"/>
                <w:tab w:val="left" w:pos="1588"/>
                <w:tab w:val="left" w:pos="1985"/>
              </w:tabs>
              <w:overflowPunct w:val="0"/>
              <w:adjustRightInd w:val="0"/>
              <w:spacing w:before="40" w:after="40" w:line="280" w:lineRule="exact"/>
              <w:ind w:left="794"/>
              <w:textAlignment w:val="baseline"/>
              <w:rPr>
                <w:rFonts w:eastAsia="Batang"/>
                <w:i/>
                <w:iCs/>
              </w:rPr>
            </w:pPr>
            <w:r w:rsidRPr="007B6619">
              <w:rPr>
                <w:rFonts w:eastAsia="MS Mincho"/>
                <w:i/>
                <w:iCs/>
              </w:rPr>
              <w:t>resolves to invite ITU-</w:t>
            </w:r>
            <w:proofErr w:type="gramStart"/>
            <w:r w:rsidRPr="007B6619">
              <w:rPr>
                <w:rFonts w:eastAsia="MS Mincho"/>
                <w:i/>
                <w:iCs/>
              </w:rPr>
              <w:t>R</w:t>
            </w:r>
            <w:proofErr w:type="gramEnd"/>
          </w:p>
          <w:p w14:paraId="72A9825F" w14:textId="77777777" w:rsidR="008851A9" w:rsidRPr="007B6619" w:rsidRDefault="00615999" w:rsidP="008851A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
                <w:lang w:eastAsia="nl-NL"/>
              </w:rPr>
            </w:pPr>
            <w:r w:rsidRPr="007B6619">
              <w:rPr>
                <w:rFonts w:eastAsia="???"/>
                <w:lang w:eastAsia="nl-NL"/>
              </w:rPr>
              <w:t>1</w:t>
            </w:r>
            <w:r w:rsidRPr="007B6619">
              <w:rPr>
                <w:rFonts w:eastAsia="???"/>
                <w:lang w:eastAsia="nl-NL"/>
              </w:rPr>
              <w:tab/>
            </w:r>
            <w:r w:rsidR="008851A9" w:rsidRPr="007B6619">
              <w:rPr>
                <w:rFonts w:eastAsia="???"/>
                <w:lang w:eastAsia="nl-NL"/>
              </w:rPr>
              <w:t xml:space="preserve">to strengthen the cooperation between ITU-R and BIPM, the International Committee for Weights and Measures (CIPM), CGPM, as well as other relevant organizations, and to carry out a dialogue concerning the expertise of each </w:t>
            </w:r>
            <w:proofErr w:type="gramStart"/>
            <w:r w:rsidR="008851A9" w:rsidRPr="007B6619">
              <w:rPr>
                <w:rFonts w:eastAsia="???"/>
                <w:lang w:eastAsia="nl-NL"/>
              </w:rPr>
              <w:t>organization;</w:t>
            </w:r>
            <w:proofErr w:type="gramEnd"/>
          </w:p>
          <w:p w14:paraId="6BFB6F72" w14:textId="77777777" w:rsidR="008851A9" w:rsidRPr="007B6619" w:rsidRDefault="008851A9" w:rsidP="008851A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
                <w:lang w:eastAsia="nl-NL"/>
              </w:rPr>
            </w:pPr>
            <w:r w:rsidRPr="007B6619">
              <w:rPr>
                <w:rFonts w:eastAsia="???"/>
                <w:lang w:eastAsia="nl-NL"/>
              </w:rPr>
              <w:t>2</w:t>
            </w:r>
            <w:r w:rsidRPr="007B6619">
              <w:rPr>
                <w:rFonts w:eastAsia="???"/>
                <w:lang w:eastAsia="nl-NL"/>
              </w:rPr>
              <w:tab/>
              <w:t xml:space="preserve">to further and more widely study in cooperation with the relevant international organizations, concerned industries and user groups, through the participation of the membership, the various aspects of current and potential future reference time scales, including their impacts and </w:t>
            </w:r>
            <w:proofErr w:type="gramStart"/>
            <w:r w:rsidRPr="007B6619">
              <w:rPr>
                <w:rFonts w:eastAsia="???"/>
                <w:lang w:eastAsia="nl-NL"/>
              </w:rPr>
              <w:t>applications;</w:t>
            </w:r>
            <w:proofErr w:type="gramEnd"/>
          </w:p>
          <w:p w14:paraId="27EF48D9" w14:textId="77777777" w:rsidR="008851A9" w:rsidRPr="007B6619" w:rsidRDefault="008851A9" w:rsidP="008851A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
                <w:lang w:eastAsia="nl-NL"/>
              </w:rPr>
            </w:pPr>
            <w:r w:rsidRPr="007B6619">
              <w:rPr>
                <w:rFonts w:eastAsia="???"/>
                <w:lang w:eastAsia="nl-NL"/>
              </w:rPr>
              <w:t>3</w:t>
            </w:r>
            <w:r w:rsidRPr="007B6619">
              <w:rPr>
                <w:rFonts w:eastAsia="???"/>
                <w:lang w:eastAsia="nl-NL"/>
              </w:rPr>
              <w:tab/>
              <w:t xml:space="preserve">to provide advice on the content and structure of time signals to be disseminated by radiocommunication systems, using the combined expertise of the relevant </w:t>
            </w:r>
            <w:proofErr w:type="gramStart"/>
            <w:r w:rsidRPr="007B6619">
              <w:rPr>
                <w:rFonts w:eastAsia="???"/>
                <w:lang w:eastAsia="nl-NL"/>
              </w:rPr>
              <w:t>organizations;</w:t>
            </w:r>
            <w:proofErr w:type="gramEnd"/>
          </w:p>
          <w:p w14:paraId="779D8283" w14:textId="21CA7DFB" w:rsidR="00BF35AA" w:rsidRPr="007B6619" w:rsidRDefault="008851A9" w:rsidP="008851A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
                <w:lang w:eastAsia="nl-NL"/>
              </w:rPr>
            </w:pPr>
            <w:r w:rsidRPr="007B6619">
              <w:rPr>
                <w:rFonts w:eastAsia="???"/>
                <w:lang w:eastAsia="nl-NL"/>
              </w:rPr>
              <w:t>4</w:t>
            </w:r>
            <w:r w:rsidRPr="007B6619">
              <w:rPr>
                <w:rFonts w:eastAsia="???"/>
                <w:lang w:eastAsia="nl-NL"/>
              </w:rPr>
              <w:tab/>
              <w:t>to prepare one or more reports containing the results of studies that should include one or more proposals to determine the reference time scale and address other issues mentioned in 1, 2 and 3 above,</w:t>
            </w:r>
          </w:p>
          <w:p w14:paraId="1A119F7B" w14:textId="14FF747C" w:rsidR="008851A9" w:rsidRPr="007B6619" w:rsidRDefault="008851A9" w:rsidP="008851A9">
            <w:pPr>
              <w:keepNext/>
              <w:keepLines/>
              <w:tabs>
                <w:tab w:val="left" w:pos="794"/>
                <w:tab w:val="left" w:pos="1191"/>
                <w:tab w:val="left" w:pos="1588"/>
                <w:tab w:val="left" w:pos="1985"/>
              </w:tabs>
              <w:overflowPunct w:val="0"/>
              <w:adjustRightInd w:val="0"/>
              <w:spacing w:before="40" w:after="40" w:line="280" w:lineRule="exact"/>
              <w:ind w:left="794"/>
              <w:textAlignment w:val="baseline"/>
              <w:rPr>
                <w:rFonts w:eastAsia="Batang"/>
                <w:i/>
                <w:iCs/>
              </w:rPr>
            </w:pPr>
            <w:r w:rsidRPr="007B6619">
              <w:rPr>
                <w:rFonts w:eastAsia="MS Mincho"/>
                <w:i/>
                <w:iCs/>
              </w:rPr>
              <w:t>resolves</w:t>
            </w:r>
          </w:p>
          <w:p w14:paraId="7F826D36" w14:textId="4ED0A2F9" w:rsidR="00BF35AA" w:rsidRPr="007B6619" w:rsidRDefault="00D16FBA" w:rsidP="00395A7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
                <w:lang w:eastAsia="nl-NL"/>
              </w:rPr>
            </w:pPr>
            <w:r w:rsidRPr="007B6619">
              <w:rPr>
                <w:rFonts w:eastAsia="???"/>
                <w:lang w:eastAsia="nl-NL"/>
              </w:rPr>
              <w:t>that until WRC-23, UTC as described in Recommendation ITU-R TF.460-6 shall continue to apply, and for most practical purposes associated with the Radio Regulations, UTC is equivalent to mean solar time at the prime meridian (0° longitude), formerly expressed in GMT,</w:t>
            </w:r>
          </w:p>
          <w:p w14:paraId="4B4439B9" w14:textId="130D9DD8" w:rsidR="00D16FBA" w:rsidRPr="007B6619" w:rsidRDefault="00D16FBA" w:rsidP="00D16FBA">
            <w:pPr>
              <w:keepNext/>
              <w:keepLines/>
              <w:tabs>
                <w:tab w:val="left" w:pos="794"/>
                <w:tab w:val="left" w:pos="1191"/>
                <w:tab w:val="left" w:pos="1588"/>
                <w:tab w:val="left" w:pos="1985"/>
              </w:tabs>
              <w:overflowPunct w:val="0"/>
              <w:adjustRightInd w:val="0"/>
              <w:spacing w:before="40" w:after="40" w:line="280" w:lineRule="exact"/>
              <w:ind w:left="794"/>
              <w:textAlignment w:val="baseline"/>
              <w:rPr>
                <w:rFonts w:eastAsia="Batang"/>
                <w:i/>
                <w:iCs/>
              </w:rPr>
            </w:pPr>
            <w:r w:rsidRPr="007B6619">
              <w:rPr>
                <w:rFonts w:eastAsia="MS Mincho"/>
                <w:i/>
                <w:iCs/>
              </w:rPr>
              <w:t>instructs the Director of the Radiocommunication Bureau</w:t>
            </w:r>
          </w:p>
          <w:p w14:paraId="79EC5EF0" w14:textId="77777777" w:rsidR="001771D4" w:rsidRPr="007B6619" w:rsidRDefault="001771D4" w:rsidP="001771D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
                <w:lang w:eastAsia="nl-NL"/>
              </w:rPr>
            </w:pPr>
            <w:r w:rsidRPr="007B6619">
              <w:rPr>
                <w:rFonts w:eastAsia="???"/>
                <w:lang w:eastAsia="nl-NL"/>
              </w:rPr>
              <w:t>1</w:t>
            </w:r>
            <w:r w:rsidRPr="007B6619">
              <w:rPr>
                <w:rFonts w:eastAsia="???"/>
                <w:lang w:eastAsia="nl-NL"/>
              </w:rPr>
              <w:tab/>
              <w:t xml:space="preserve">to invite the relevant international organizations such as the International Maritime Organization (IMO), the International Civil Aviation Organization (ICAO), CGPM, CIPM, BIPM, the International Earth Rotation and Reference Systems Service (IERS), the International Union of Geodesy and Geophysics (IUGG), the International Union of Radio Science (URSI), the International Organization for Standardization (ISO), the World Meteorological Organization (WMO) and the International Astronomical Union </w:t>
            </w:r>
            <w:r w:rsidRPr="007B6619">
              <w:rPr>
                <w:rFonts w:eastAsia="???"/>
                <w:lang w:eastAsia="nl-NL"/>
              </w:rPr>
              <w:lastRenderedPageBreak/>
              <w:t xml:space="preserve">(IAU) to participate in the work mentioned in </w:t>
            </w:r>
            <w:r w:rsidRPr="00A967BF">
              <w:rPr>
                <w:rFonts w:eastAsia="???"/>
                <w:i/>
                <w:iCs/>
                <w:lang w:eastAsia="nl-NL"/>
              </w:rPr>
              <w:t xml:space="preserve">resolves to invite the ITU Radiocommunication </w:t>
            </w:r>
            <w:proofErr w:type="gramStart"/>
            <w:r w:rsidRPr="00A967BF">
              <w:rPr>
                <w:rFonts w:eastAsia="???"/>
                <w:i/>
                <w:iCs/>
                <w:lang w:eastAsia="nl-NL"/>
              </w:rPr>
              <w:t>Sector</w:t>
            </w:r>
            <w:r w:rsidRPr="007B6619">
              <w:rPr>
                <w:rFonts w:eastAsia="???"/>
                <w:lang w:eastAsia="nl-NL"/>
              </w:rPr>
              <w:t>;</w:t>
            </w:r>
            <w:proofErr w:type="gramEnd"/>
          </w:p>
          <w:p w14:paraId="4D7F4147" w14:textId="7C031E83" w:rsidR="00BF35AA" w:rsidRPr="007B6619" w:rsidRDefault="001771D4" w:rsidP="001771D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
                <w:lang w:eastAsia="nl-NL"/>
              </w:rPr>
            </w:pPr>
            <w:r w:rsidRPr="007B6619">
              <w:rPr>
                <w:rFonts w:eastAsia="???"/>
                <w:lang w:eastAsia="nl-NL"/>
              </w:rPr>
              <w:t>2</w:t>
            </w:r>
            <w:r w:rsidRPr="007B6619">
              <w:rPr>
                <w:rFonts w:eastAsia="???"/>
                <w:lang w:eastAsia="nl-NL"/>
              </w:rPr>
              <w:tab/>
              <w:t>to report on the results of the ITU-R studies to WRC-23,</w:t>
            </w:r>
          </w:p>
          <w:p w14:paraId="0FFD2486" w14:textId="77777777" w:rsidR="000C1128" w:rsidRPr="007B6619" w:rsidRDefault="000C1128" w:rsidP="000C1128">
            <w:pPr>
              <w:keepNext/>
              <w:keepLines/>
              <w:tabs>
                <w:tab w:val="left" w:pos="794"/>
                <w:tab w:val="left" w:pos="1191"/>
                <w:tab w:val="left" w:pos="1588"/>
                <w:tab w:val="left" w:pos="1985"/>
              </w:tabs>
              <w:overflowPunct w:val="0"/>
              <w:adjustRightInd w:val="0"/>
              <w:spacing w:before="40" w:after="40" w:line="280" w:lineRule="exact"/>
              <w:ind w:left="794"/>
              <w:textAlignment w:val="baseline"/>
              <w:rPr>
                <w:rFonts w:eastAsia="Batang"/>
                <w:i/>
                <w:iCs/>
              </w:rPr>
            </w:pPr>
            <w:r w:rsidRPr="007B6619">
              <w:rPr>
                <w:rFonts w:eastAsia="MS Mincho"/>
                <w:i/>
                <w:iCs/>
              </w:rPr>
              <w:t>instructs the Director of the Radiocommunication Bureau</w:t>
            </w:r>
          </w:p>
          <w:p w14:paraId="55ADAE2E" w14:textId="2D40300A" w:rsidR="00D16FBA" w:rsidRPr="007B6619" w:rsidRDefault="000C1128" w:rsidP="00395A7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
                <w:lang w:eastAsia="nl-NL"/>
              </w:rPr>
            </w:pPr>
            <w:r w:rsidRPr="007B6619">
              <w:rPr>
                <w:rFonts w:eastAsia="???"/>
                <w:lang w:eastAsia="nl-NL"/>
              </w:rPr>
              <w:t>to assist the participation of developing countries in meetings, within approved budgetary resources,</w:t>
            </w:r>
          </w:p>
          <w:p w14:paraId="765C278A" w14:textId="09FA3797" w:rsidR="000C1128" w:rsidRPr="007B6619" w:rsidRDefault="000C1128" w:rsidP="000C1128">
            <w:pPr>
              <w:keepNext/>
              <w:keepLines/>
              <w:tabs>
                <w:tab w:val="left" w:pos="794"/>
                <w:tab w:val="left" w:pos="1191"/>
                <w:tab w:val="left" w:pos="1588"/>
                <w:tab w:val="left" w:pos="1985"/>
              </w:tabs>
              <w:overflowPunct w:val="0"/>
              <w:adjustRightInd w:val="0"/>
              <w:spacing w:before="40" w:after="40" w:line="280" w:lineRule="exact"/>
              <w:ind w:left="794"/>
              <w:textAlignment w:val="baseline"/>
              <w:rPr>
                <w:rFonts w:eastAsia="Batang"/>
                <w:i/>
                <w:iCs/>
              </w:rPr>
            </w:pPr>
            <w:r w:rsidRPr="007B6619">
              <w:rPr>
                <w:rFonts w:eastAsia="MS Mincho"/>
                <w:i/>
                <w:iCs/>
              </w:rPr>
              <w:t xml:space="preserve">invites </w:t>
            </w:r>
            <w:proofErr w:type="gramStart"/>
            <w:r w:rsidRPr="007B6619">
              <w:rPr>
                <w:rFonts w:eastAsia="MS Mincho"/>
                <w:i/>
                <w:iCs/>
              </w:rPr>
              <w:t>administrations</w:t>
            </w:r>
            <w:proofErr w:type="gramEnd"/>
          </w:p>
          <w:p w14:paraId="32F358C3" w14:textId="3F6CE99C" w:rsidR="00D16FBA" w:rsidRPr="007B6619" w:rsidRDefault="000C1128" w:rsidP="00395A7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
                <w:lang w:eastAsia="nl-NL"/>
              </w:rPr>
            </w:pPr>
            <w:r w:rsidRPr="007B6619">
              <w:rPr>
                <w:rFonts w:eastAsia="???"/>
                <w:lang w:eastAsia="nl-NL"/>
              </w:rPr>
              <w:t>to participate in the studies by submitting contributions to ITU-R,</w:t>
            </w:r>
          </w:p>
          <w:p w14:paraId="7DF907E2" w14:textId="63E46D2C" w:rsidR="000C1128" w:rsidRPr="007B6619" w:rsidRDefault="000C1128" w:rsidP="000C1128">
            <w:pPr>
              <w:keepNext/>
              <w:keepLines/>
              <w:tabs>
                <w:tab w:val="left" w:pos="794"/>
                <w:tab w:val="left" w:pos="1191"/>
                <w:tab w:val="left" w:pos="1588"/>
                <w:tab w:val="left" w:pos="1985"/>
              </w:tabs>
              <w:overflowPunct w:val="0"/>
              <w:adjustRightInd w:val="0"/>
              <w:spacing w:before="40" w:after="40" w:line="280" w:lineRule="exact"/>
              <w:ind w:left="794"/>
              <w:textAlignment w:val="baseline"/>
              <w:rPr>
                <w:rFonts w:eastAsia="Batang"/>
                <w:i/>
                <w:iCs/>
              </w:rPr>
            </w:pPr>
            <w:r w:rsidRPr="007B6619">
              <w:rPr>
                <w:rFonts w:eastAsia="MS Mincho"/>
                <w:i/>
                <w:iCs/>
              </w:rPr>
              <w:t xml:space="preserve">instructs the </w:t>
            </w:r>
            <w:proofErr w:type="gramStart"/>
            <w:r w:rsidRPr="007B6619">
              <w:rPr>
                <w:rFonts w:eastAsia="MS Mincho"/>
                <w:i/>
                <w:iCs/>
              </w:rPr>
              <w:t>Secretary-General</w:t>
            </w:r>
            <w:proofErr w:type="gramEnd"/>
          </w:p>
          <w:p w14:paraId="23E60363" w14:textId="5EE1AED9" w:rsidR="00615999" w:rsidRPr="007B6619" w:rsidRDefault="000C1128" w:rsidP="00395A7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
                <w:lang w:eastAsia="nl-NL"/>
              </w:rPr>
            </w:pPr>
            <w:r w:rsidRPr="007B6619">
              <w:rPr>
                <w:rFonts w:eastAsia="???"/>
                <w:lang w:eastAsia="nl-NL"/>
              </w:rPr>
              <w:t>to bring this Resolution to the attention of IMO, ICAO, CGPM, CIPM, BIPM, IERS, IUGG, URSI, ISO, WMO and IAU.</w:t>
            </w:r>
          </w:p>
        </w:tc>
      </w:tr>
    </w:tbl>
    <w:p w14:paraId="5850A44A" w14:textId="7DE88827" w:rsidR="0037421D" w:rsidRDefault="0037421D" w:rsidP="00E5341E">
      <w:pPr>
        <w:spacing w:after="120"/>
        <w:jc w:val="both"/>
        <w:rPr>
          <w:b/>
        </w:rPr>
      </w:pPr>
    </w:p>
    <w:tbl>
      <w:tblPr>
        <w:tblStyle w:val="TableGrid"/>
        <w:tblW w:w="0" w:type="auto"/>
        <w:tblInd w:w="-5" w:type="dxa"/>
        <w:tblLook w:val="04A0" w:firstRow="1" w:lastRow="0" w:firstColumn="1" w:lastColumn="0" w:noHBand="0" w:noVBand="1"/>
      </w:tblPr>
      <w:tblGrid>
        <w:gridCol w:w="5113"/>
        <w:gridCol w:w="3908"/>
      </w:tblGrid>
      <w:tr w:rsidR="007B6619" w:rsidRPr="007B6619" w14:paraId="201407FC" w14:textId="77777777" w:rsidTr="00395A72">
        <w:tc>
          <w:tcPr>
            <w:tcW w:w="5113" w:type="dxa"/>
          </w:tcPr>
          <w:p w14:paraId="49F372C5" w14:textId="77777777" w:rsidR="00615999" w:rsidRPr="007B6619" w:rsidRDefault="00615999" w:rsidP="00395A72">
            <w:r w:rsidRPr="007B6619">
              <w:rPr>
                <w:rFonts w:eastAsia="Batang"/>
                <w:b/>
              </w:rPr>
              <w:t>Responsible group</w:t>
            </w:r>
          </w:p>
        </w:tc>
        <w:tc>
          <w:tcPr>
            <w:tcW w:w="3908" w:type="dxa"/>
          </w:tcPr>
          <w:p w14:paraId="1B86DE8A" w14:textId="77777777" w:rsidR="00615999" w:rsidRPr="007B6619" w:rsidRDefault="00615999" w:rsidP="00395A72">
            <w:r w:rsidRPr="007B6619">
              <w:rPr>
                <w:rFonts w:eastAsia="Batang"/>
                <w:b/>
              </w:rPr>
              <w:t>Contributing group</w:t>
            </w:r>
          </w:p>
        </w:tc>
      </w:tr>
      <w:tr w:rsidR="007B6619" w:rsidRPr="007B6619" w14:paraId="62627DE7" w14:textId="77777777" w:rsidTr="00395A72">
        <w:tc>
          <w:tcPr>
            <w:tcW w:w="5113" w:type="dxa"/>
          </w:tcPr>
          <w:p w14:paraId="2FF0C3D0" w14:textId="7614A5B6" w:rsidR="00615999" w:rsidRPr="007B6619" w:rsidRDefault="00F025C9" w:rsidP="00F025C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Batang"/>
                <w:b/>
                <w:lang w:eastAsia="nl-NL"/>
              </w:rPr>
            </w:pPr>
            <w:r w:rsidRPr="007B6619">
              <w:rPr>
                <w:rFonts w:eastAsia="Batang"/>
                <w:b/>
                <w:lang w:eastAsia="nl-NL"/>
              </w:rPr>
              <w:t>WP 7A</w:t>
            </w:r>
          </w:p>
        </w:tc>
        <w:tc>
          <w:tcPr>
            <w:tcW w:w="3908" w:type="dxa"/>
          </w:tcPr>
          <w:p w14:paraId="4294D2A9" w14:textId="3BE3208D" w:rsidR="00615999" w:rsidRPr="007B6619" w:rsidRDefault="00F025C9" w:rsidP="00395A7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pPr>
            <w:r w:rsidRPr="007B6619">
              <w:rPr>
                <w:rFonts w:eastAsia="Batang"/>
                <w:b/>
                <w:lang w:eastAsia="nl-NL"/>
              </w:rPr>
              <w:t>-</w:t>
            </w:r>
          </w:p>
        </w:tc>
      </w:tr>
    </w:tbl>
    <w:p w14:paraId="5CBC4012" w14:textId="77777777" w:rsidR="00615999" w:rsidRDefault="00615999" w:rsidP="00E5341E">
      <w:pPr>
        <w:spacing w:after="120"/>
        <w:jc w:val="both"/>
        <w:rPr>
          <w:b/>
        </w:rPr>
      </w:pPr>
    </w:p>
    <w:p w14:paraId="556060EE" w14:textId="5AC2718D" w:rsidR="00D06742" w:rsidRPr="00441526" w:rsidRDefault="00D06742" w:rsidP="00D06742">
      <w:pPr>
        <w:spacing w:after="120"/>
        <w:jc w:val="both"/>
        <w:rPr>
          <w:b/>
          <w:lang w:val="en-NZ" w:eastAsia="ko-KR"/>
        </w:rPr>
      </w:pPr>
      <w:r w:rsidRPr="00441526">
        <w:rPr>
          <w:b/>
          <w:lang w:val="en-NZ" w:eastAsia="ko-KR"/>
        </w:rPr>
        <w:t xml:space="preserve">1. </w:t>
      </w:r>
      <w:r w:rsidRPr="00441526">
        <w:rPr>
          <w:b/>
          <w:lang w:val="en-NZ" w:eastAsia="ko-KR"/>
        </w:rPr>
        <w:tab/>
        <w:t>Background</w:t>
      </w:r>
      <w:r>
        <w:rPr>
          <w:b/>
          <w:lang w:val="en-NZ" w:eastAsia="ko-KR"/>
        </w:rPr>
        <w:t xml:space="preserve"> Information</w:t>
      </w:r>
    </w:p>
    <w:p w14:paraId="61823F60" w14:textId="120DF604" w:rsidR="00B76233" w:rsidRDefault="00B94EAF" w:rsidP="007564C0">
      <w:pPr>
        <w:widowControl w:val="0"/>
        <w:autoSpaceDE w:val="0"/>
        <w:autoSpaceDN w:val="0"/>
        <w:spacing w:beforeLines="50" w:before="120"/>
        <w:ind w:leftChars="300" w:left="720"/>
        <w:jc w:val="both"/>
      </w:pPr>
      <w:r w:rsidRPr="00B94EAF">
        <w:t xml:space="preserve">Coordinated Universal Time (UTC) is the international standard </w:t>
      </w:r>
      <w:proofErr w:type="gramStart"/>
      <w:r w:rsidRPr="00B94EAF">
        <w:t>time-scale</w:t>
      </w:r>
      <w:proofErr w:type="gramEnd"/>
      <w:r w:rsidRPr="00B94EAF">
        <w:t xml:space="preserve"> for all practical timekeeping in the modern world. The UTC </w:t>
      </w:r>
      <w:proofErr w:type="gramStart"/>
      <w:r w:rsidRPr="00B94EAF">
        <w:t>time-scale</w:t>
      </w:r>
      <w:proofErr w:type="gramEnd"/>
      <w:r w:rsidRPr="00B94EAF">
        <w:t xml:space="preserve"> is maintained by the International Bureau of Weights and Measures (BIPM)</w:t>
      </w:r>
      <w:r w:rsidR="00292F14">
        <w:t xml:space="preserve"> and</w:t>
      </w:r>
      <w:r w:rsidRPr="00B94EAF">
        <w:t xml:space="preserve"> adjusted by insertion or deletion of seconds (positive or negative leap-seconds) to ensure approximate agreement with mean solar time (UT1). A leap second was added most recently on 3</w:t>
      </w:r>
      <w:r w:rsidR="00733D32">
        <w:t>1</w:t>
      </w:r>
      <w:r w:rsidRPr="00B94EAF">
        <w:t xml:space="preserve"> </w:t>
      </w:r>
      <w:r w:rsidR="00733D32">
        <w:t>December</w:t>
      </w:r>
      <w:r w:rsidRPr="00B94EAF">
        <w:t xml:space="preserve"> 201</w:t>
      </w:r>
      <w:r w:rsidR="00733D32">
        <w:t>6</w:t>
      </w:r>
      <w:r w:rsidRPr="00B94EAF">
        <w:t xml:space="preserve"> at 23:59:60 UTC.</w:t>
      </w:r>
    </w:p>
    <w:p w14:paraId="781AEB27" w14:textId="0055C21D" w:rsidR="00CF7B69" w:rsidRDefault="00CF7B69" w:rsidP="007564C0">
      <w:pPr>
        <w:widowControl w:val="0"/>
        <w:autoSpaceDE w:val="0"/>
        <w:autoSpaceDN w:val="0"/>
        <w:spacing w:beforeLines="50" w:before="120"/>
        <w:ind w:leftChars="300" w:left="720"/>
        <w:jc w:val="both"/>
      </w:pPr>
      <w:r w:rsidRPr="00CF7B69">
        <w:rPr>
          <w:rFonts w:hint="eastAsia"/>
        </w:rPr>
        <w:t xml:space="preserve">WRC-15 considered </w:t>
      </w:r>
      <w:r w:rsidRPr="00CF7B69">
        <w:rPr>
          <w:rFonts w:hint="eastAsia"/>
        </w:rPr>
        <w:t>“</w:t>
      </w:r>
      <w:r w:rsidRPr="00CF7B69">
        <w:rPr>
          <w:rFonts w:hint="eastAsia"/>
        </w:rPr>
        <w:t>Future of the Coordinated Universal Time time-scale</w:t>
      </w:r>
      <w:r w:rsidRPr="00CF7B69">
        <w:rPr>
          <w:rFonts w:hint="eastAsia"/>
        </w:rPr>
        <w:t>”</w:t>
      </w:r>
      <w:r w:rsidRPr="00CF7B69">
        <w:rPr>
          <w:rFonts w:hint="eastAsia"/>
        </w:rPr>
        <w:t xml:space="preserve"> under AI 1.14, including removal of the leap second insertion or deletion from the definition of UTC, and decided that further studies were required on current and potential future </w:t>
      </w:r>
      <w:r w:rsidRPr="00CF7B69">
        <w:t xml:space="preserve">reference </w:t>
      </w:r>
      <w:proofErr w:type="gramStart"/>
      <w:r w:rsidRPr="00CF7B69">
        <w:t>time-scales</w:t>
      </w:r>
      <w:proofErr w:type="gramEnd"/>
      <w:r w:rsidRPr="00CF7B69">
        <w:t xml:space="preserve">, including their impact and applications. The results of the ITU-R studies will be reported to WRC-23. Until then, UTC shall continue to be applied as described in Recommendation ITU-R </w:t>
      </w:r>
      <w:hyperlink r:id="rId9" w:history="1">
        <w:r w:rsidRPr="00CF7B69">
          <w:rPr>
            <w:rStyle w:val="Hyperlink"/>
          </w:rPr>
          <w:t>TF.460-6</w:t>
        </w:r>
      </w:hyperlink>
      <w:r w:rsidRPr="00CF7B69">
        <w:t xml:space="preserve"> and as maintained by BIPM.</w:t>
      </w:r>
    </w:p>
    <w:p w14:paraId="0140555A" w14:textId="1F81AF4E" w:rsidR="00CF7B69" w:rsidRDefault="00CF7B69" w:rsidP="007564C0">
      <w:pPr>
        <w:widowControl w:val="0"/>
        <w:autoSpaceDE w:val="0"/>
        <w:autoSpaceDN w:val="0"/>
        <w:spacing w:beforeLines="50" w:before="120"/>
        <w:ind w:leftChars="300" w:left="720"/>
        <w:jc w:val="both"/>
      </w:pPr>
      <w:r w:rsidRPr="00CF7B69">
        <w:t xml:space="preserve">The position of </w:t>
      </w:r>
      <w:hyperlink r:id="rId10" w:history="1">
        <w:r w:rsidRPr="00CF7B69">
          <w:rPr>
            <w:rStyle w:val="Hyperlink"/>
          </w:rPr>
          <w:t>APT</w:t>
        </w:r>
      </w:hyperlink>
      <w:r w:rsidRPr="00CF7B69">
        <w:t xml:space="preserve"> on this topic (AI 1.14) at WRC-15 was as follows:</w:t>
      </w:r>
    </w:p>
    <w:p w14:paraId="1A1C8A26" w14:textId="4668C217" w:rsidR="000D7CB3" w:rsidRDefault="000D7CB3" w:rsidP="007564C0">
      <w:pPr>
        <w:pStyle w:val="ListParagraph"/>
        <w:widowControl w:val="0"/>
        <w:numPr>
          <w:ilvl w:val="0"/>
          <w:numId w:val="26"/>
        </w:numPr>
        <w:autoSpaceDE w:val="0"/>
        <w:autoSpaceDN w:val="0"/>
        <w:spacing w:beforeLines="50" w:before="120"/>
        <w:jc w:val="both"/>
      </w:pPr>
      <w:r>
        <w:t>APT Members support Method A1</w:t>
      </w:r>
      <w:r w:rsidR="00660E1D">
        <w:rPr>
          <w:rStyle w:val="FootnoteReference"/>
          <w:rFonts w:ascii="Calibri" w:hAnsi="Calibri" w:cs="Calibri"/>
        </w:rPr>
        <w:footnoteReference w:id="1"/>
      </w:r>
      <w:r>
        <w:t xml:space="preserve"> of the </w:t>
      </w:r>
      <w:hyperlink r:id="rId11" w:history="1">
        <w:r w:rsidRPr="00FC5766">
          <w:rPr>
            <w:rStyle w:val="Hyperlink"/>
          </w:rPr>
          <w:t>CPM Report</w:t>
        </w:r>
      </w:hyperlink>
      <w:r>
        <w:t xml:space="preserve"> to WRC-15.</w:t>
      </w:r>
    </w:p>
    <w:p w14:paraId="53EC815D" w14:textId="77777777" w:rsidR="000D7CB3" w:rsidRDefault="000D7CB3" w:rsidP="007564C0">
      <w:pPr>
        <w:pStyle w:val="ListParagraph"/>
        <w:widowControl w:val="0"/>
        <w:numPr>
          <w:ilvl w:val="0"/>
          <w:numId w:val="26"/>
        </w:numPr>
        <w:autoSpaceDE w:val="0"/>
        <w:autoSpaceDN w:val="0"/>
        <w:spacing w:beforeLines="50" w:before="120"/>
        <w:jc w:val="both"/>
      </w:pPr>
      <w:r>
        <w:t>APT Members support the modifications to Radio Regulations in accordance with section 2/1.14/5.1.1 of the CPM Report corresponding to Method A1.</w:t>
      </w:r>
    </w:p>
    <w:p w14:paraId="332BA80D" w14:textId="77777777" w:rsidR="000D7CB3" w:rsidRDefault="000D7CB3" w:rsidP="007564C0">
      <w:pPr>
        <w:pStyle w:val="ListParagraph"/>
        <w:widowControl w:val="0"/>
        <w:numPr>
          <w:ilvl w:val="0"/>
          <w:numId w:val="26"/>
        </w:numPr>
        <w:autoSpaceDE w:val="0"/>
        <w:autoSpaceDN w:val="0"/>
        <w:spacing w:beforeLines="50" w:before="120"/>
        <w:jc w:val="both"/>
      </w:pPr>
      <w:r>
        <w:t xml:space="preserve">To allow for an adequate </w:t>
      </w:r>
      <w:proofErr w:type="gramStart"/>
      <w:r>
        <w:t>period of time</w:t>
      </w:r>
      <w:proofErr w:type="gramEnd"/>
      <w:r>
        <w:t xml:space="preserve"> for legacy systems reliant on the use of leap seconds to adapt to the change in UTC, the application of the suppression of leap second adjustments to UTC will be effective no less than five years after the date of entry into force of the Final Acts of the WRC-15.</w:t>
      </w:r>
    </w:p>
    <w:p w14:paraId="51E10C8E" w14:textId="3349CEA1" w:rsidR="00E41BE2" w:rsidRPr="00D06742" w:rsidRDefault="00290AAE" w:rsidP="007564C0">
      <w:pPr>
        <w:widowControl w:val="0"/>
        <w:autoSpaceDE w:val="0"/>
        <w:autoSpaceDN w:val="0"/>
        <w:spacing w:beforeLines="50" w:before="120"/>
        <w:ind w:leftChars="300" w:left="720"/>
        <w:jc w:val="both"/>
      </w:pPr>
      <w:r w:rsidRPr="00290AAE">
        <w:t xml:space="preserve">It should be noted that although Resolution </w:t>
      </w:r>
      <w:r w:rsidRPr="007564C0">
        <w:t>655</w:t>
      </w:r>
      <w:r w:rsidRPr="00290AAE">
        <w:t xml:space="preserve"> </w:t>
      </w:r>
      <w:r w:rsidRPr="007564C0">
        <w:t>instructs the BR Director</w:t>
      </w:r>
      <w:r w:rsidRPr="00290AAE">
        <w:t xml:space="preserve"> to report on the progress of this Resolution to WRC-23, this topic is not included in the table of contents of the draft CPM Report to WRC-23. It can be assumed that the results of the ITU-R studies relevant to this topic will be directly reported by the BR Director to WRC</w:t>
      </w:r>
      <w:r w:rsidR="00B36656">
        <w:t>-23</w:t>
      </w:r>
      <w:r w:rsidRPr="00290AAE">
        <w:t xml:space="preserve">, as for those topics of </w:t>
      </w:r>
      <w:r w:rsidR="005177DD">
        <w:t xml:space="preserve">RR </w:t>
      </w:r>
      <w:r w:rsidRPr="00290AAE">
        <w:t xml:space="preserve">No. </w:t>
      </w:r>
      <w:r w:rsidRPr="007564C0">
        <w:t>21.5</w:t>
      </w:r>
      <w:r w:rsidRPr="00290AAE">
        <w:t xml:space="preserve"> limit and Resolution </w:t>
      </w:r>
      <w:r w:rsidRPr="007564C0">
        <w:t>427 (WRC-19)</w:t>
      </w:r>
      <w:r w:rsidRPr="00290AAE">
        <w:t>, but clarification is needed.</w:t>
      </w:r>
    </w:p>
    <w:p w14:paraId="28BBA039" w14:textId="6FADFF58" w:rsidR="0037421D" w:rsidRDefault="0037421D" w:rsidP="00E5341E">
      <w:pPr>
        <w:spacing w:after="120"/>
        <w:jc w:val="both"/>
        <w:rPr>
          <w:b/>
        </w:rPr>
      </w:pPr>
    </w:p>
    <w:p w14:paraId="38194476" w14:textId="6B09EB44" w:rsidR="00E41BE2" w:rsidRPr="00441526" w:rsidRDefault="00E41BE2" w:rsidP="00E41BE2">
      <w:pPr>
        <w:spacing w:after="120"/>
        <w:jc w:val="both"/>
        <w:rPr>
          <w:b/>
          <w:lang w:val="en-NZ" w:eastAsia="ko-KR"/>
        </w:rPr>
      </w:pPr>
      <w:r>
        <w:rPr>
          <w:b/>
          <w:lang w:val="en-NZ" w:eastAsia="ko-KR"/>
        </w:rPr>
        <w:lastRenderedPageBreak/>
        <w:t>2</w:t>
      </w:r>
      <w:r w:rsidRPr="00441526">
        <w:rPr>
          <w:b/>
          <w:lang w:val="en-NZ" w:eastAsia="ko-KR"/>
        </w:rPr>
        <w:t xml:space="preserve">. </w:t>
      </w:r>
      <w:r w:rsidRPr="00441526">
        <w:rPr>
          <w:b/>
          <w:lang w:val="en-NZ" w:eastAsia="ko-KR"/>
        </w:rPr>
        <w:tab/>
      </w:r>
      <w:r>
        <w:rPr>
          <w:b/>
          <w:lang w:val="en-NZ" w:eastAsia="ko-KR"/>
        </w:rPr>
        <w:t>Information on on-going ITU-R Study</w:t>
      </w:r>
    </w:p>
    <w:p w14:paraId="04D8BC05" w14:textId="77777777" w:rsidR="00AA4990" w:rsidRDefault="00AA4990" w:rsidP="007564C0">
      <w:pPr>
        <w:widowControl w:val="0"/>
        <w:autoSpaceDE w:val="0"/>
        <w:autoSpaceDN w:val="0"/>
        <w:spacing w:beforeLines="50" w:before="120"/>
        <w:ind w:leftChars="300" w:left="720"/>
        <w:jc w:val="both"/>
      </w:pPr>
      <w:r w:rsidRPr="00AA4990">
        <w:t>The responsible group in ITU-R is WP 7A.</w:t>
      </w:r>
    </w:p>
    <w:p w14:paraId="56E75C9C" w14:textId="3DD74C3C" w:rsidR="00AA4990" w:rsidRDefault="0090090B" w:rsidP="007564C0">
      <w:pPr>
        <w:autoSpaceDE w:val="0"/>
        <w:autoSpaceDN w:val="0"/>
        <w:spacing w:beforeLines="50" w:before="120"/>
        <w:ind w:leftChars="299" w:left="718"/>
        <w:jc w:val="both"/>
      </w:pPr>
      <w:r w:rsidRPr="0090090B">
        <w:t xml:space="preserve">After WRC-15, WP 7A started studies called for by Resolution </w:t>
      </w:r>
      <w:r w:rsidRPr="007564C0">
        <w:rPr>
          <w:b/>
          <w:bCs/>
        </w:rPr>
        <w:t>655 (WRC-15)</w:t>
      </w:r>
      <w:r w:rsidRPr="0090090B">
        <w:t xml:space="preserve"> and is currently developing working document towards the preliminary draft new Report </w:t>
      </w:r>
      <w:r w:rsidR="0095644D">
        <w:br/>
      </w:r>
      <w:r w:rsidRPr="0090090B">
        <w:t>ITU</w:t>
      </w:r>
      <w:r>
        <w:t>-</w:t>
      </w:r>
      <w:r w:rsidRPr="0090090B">
        <w:t>R TF.[UTC], “Content and structure of time signals to be disseminated by radiocommunication systems and various aspects of current and potential future reference time scales, including their impacts and applications in radiocommunication” (</w:t>
      </w:r>
      <w:hyperlink r:id="rId12" w:history="1">
        <w:r w:rsidRPr="0090090B">
          <w:rPr>
            <w:rStyle w:val="Hyperlink"/>
          </w:rPr>
          <w:t>Annex 2</w:t>
        </w:r>
      </w:hyperlink>
      <w:r w:rsidRPr="0090090B">
        <w:t xml:space="preserve"> to the WP 7A Chairman’s Report (Doc. </w:t>
      </w:r>
      <w:hyperlink r:id="rId13" w:history="1">
        <w:r w:rsidRPr="00575ED9">
          <w:rPr>
            <w:rStyle w:val="Hyperlink"/>
          </w:rPr>
          <w:t>7A/13</w:t>
        </w:r>
      </w:hyperlink>
      <w:r w:rsidRPr="0090090B">
        <w:t>)).</w:t>
      </w:r>
    </w:p>
    <w:p w14:paraId="07947750" w14:textId="0CE277E8" w:rsidR="00213E0B" w:rsidRPr="00213E0B" w:rsidRDefault="00213E0B" w:rsidP="007564C0">
      <w:pPr>
        <w:autoSpaceDE w:val="0"/>
        <w:autoSpaceDN w:val="0"/>
        <w:spacing w:beforeLines="50" w:before="120"/>
        <w:ind w:leftChars="299" w:left="718"/>
        <w:jc w:val="both"/>
      </w:pPr>
      <w:r w:rsidRPr="007564C0">
        <w:rPr>
          <w:rFonts w:eastAsia="MS Mincho" w:hint="eastAsia"/>
          <w:lang w:eastAsia="ja-JP"/>
        </w:rPr>
        <w:t>T</w:t>
      </w:r>
      <w:r w:rsidRPr="007564C0">
        <w:rPr>
          <w:rFonts w:eastAsia="MS Mincho"/>
          <w:lang w:eastAsia="ja-JP"/>
        </w:rPr>
        <w:t>his report will cover the following topics:</w:t>
      </w:r>
    </w:p>
    <w:p w14:paraId="41907BA3" w14:textId="3B8AE40A" w:rsidR="00213E0B" w:rsidRDefault="00213E0B" w:rsidP="007564C0">
      <w:pPr>
        <w:pStyle w:val="ListParagraph"/>
        <w:widowControl w:val="0"/>
        <w:numPr>
          <w:ilvl w:val="0"/>
          <w:numId w:val="26"/>
        </w:numPr>
        <w:autoSpaceDE w:val="0"/>
        <w:autoSpaceDN w:val="0"/>
        <w:spacing w:beforeLines="50" w:before="120"/>
        <w:jc w:val="both"/>
      </w:pPr>
      <w:r>
        <w:t xml:space="preserve">the role of the various organizations having responsibilities for the definition, maintenance, realization and dissemination of </w:t>
      </w:r>
      <w:proofErr w:type="gramStart"/>
      <w:r>
        <w:t>UTC;</w:t>
      </w:r>
      <w:proofErr w:type="gramEnd"/>
    </w:p>
    <w:p w14:paraId="5EE404D0" w14:textId="638E2ACB" w:rsidR="00213E0B" w:rsidRDefault="00213E0B" w:rsidP="007564C0">
      <w:pPr>
        <w:pStyle w:val="ListParagraph"/>
        <w:widowControl w:val="0"/>
        <w:numPr>
          <w:ilvl w:val="0"/>
          <w:numId w:val="26"/>
        </w:numPr>
        <w:autoSpaceDE w:val="0"/>
        <w:autoSpaceDN w:val="0"/>
        <w:spacing w:beforeLines="50" w:before="120"/>
        <w:jc w:val="both"/>
      </w:pPr>
      <w:r>
        <w:t xml:space="preserve">background on the origins of UTC and the importance of using UTC for different applications, including new technologies (navigation, telecommunications, networks, and civil time keeping), and the impact of leap second </w:t>
      </w:r>
      <w:proofErr w:type="gramStart"/>
      <w:r>
        <w:t>insertions;</w:t>
      </w:r>
      <w:proofErr w:type="gramEnd"/>
    </w:p>
    <w:p w14:paraId="6C998F47" w14:textId="5D38A5F6" w:rsidR="00213E0B" w:rsidRDefault="00213E0B" w:rsidP="007564C0">
      <w:pPr>
        <w:pStyle w:val="ListParagraph"/>
        <w:widowControl w:val="0"/>
        <w:numPr>
          <w:ilvl w:val="0"/>
          <w:numId w:val="26"/>
        </w:numPr>
        <w:autoSpaceDE w:val="0"/>
        <w:autoSpaceDN w:val="0"/>
        <w:spacing w:beforeLines="50" w:before="120"/>
        <w:jc w:val="both"/>
      </w:pPr>
      <w:r>
        <w:t xml:space="preserve">the description of current and potential future time scales, including technical issues related to the future of </w:t>
      </w:r>
      <w:proofErr w:type="gramStart"/>
      <w:r>
        <w:t>UTC;</w:t>
      </w:r>
      <w:proofErr w:type="gramEnd"/>
    </w:p>
    <w:p w14:paraId="5A1A9053" w14:textId="7FA0BC7F" w:rsidR="00213E0B" w:rsidRDefault="00213E0B" w:rsidP="007564C0">
      <w:pPr>
        <w:pStyle w:val="ListParagraph"/>
        <w:widowControl w:val="0"/>
        <w:numPr>
          <w:ilvl w:val="0"/>
          <w:numId w:val="26"/>
        </w:numPr>
        <w:autoSpaceDE w:val="0"/>
        <w:autoSpaceDN w:val="0"/>
        <w:spacing w:beforeLines="50" w:before="120"/>
        <w:jc w:val="both"/>
      </w:pPr>
      <w:r>
        <w:t xml:space="preserve">the dissemination of time signals via radiocommunication </w:t>
      </w:r>
      <w:proofErr w:type="gramStart"/>
      <w:r>
        <w:t>systems;</w:t>
      </w:r>
      <w:proofErr w:type="gramEnd"/>
    </w:p>
    <w:p w14:paraId="481FB1F8" w14:textId="579C656D" w:rsidR="00213E0B" w:rsidRDefault="00213E0B" w:rsidP="007564C0">
      <w:pPr>
        <w:pStyle w:val="ListParagraph"/>
        <w:widowControl w:val="0"/>
        <w:numPr>
          <w:ilvl w:val="0"/>
          <w:numId w:val="26"/>
        </w:numPr>
        <w:autoSpaceDE w:val="0"/>
        <w:autoSpaceDN w:val="0"/>
        <w:spacing w:beforeLines="50" w:before="120"/>
        <w:jc w:val="both"/>
      </w:pPr>
      <w:r>
        <w:t xml:space="preserve">the use of UTC in radiocommunication services and other </w:t>
      </w:r>
      <w:proofErr w:type="gramStart"/>
      <w:r>
        <w:t>applications;</w:t>
      </w:r>
      <w:proofErr w:type="gramEnd"/>
    </w:p>
    <w:p w14:paraId="671EA6B1" w14:textId="68F36D7B" w:rsidR="00213E0B" w:rsidRDefault="00213E0B" w:rsidP="007564C0">
      <w:pPr>
        <w:pStyle w:val="ListParagraph"/>
        <w:widowControl w:val="0"/>
        <w:numPr>
          <w:ilvl w:val="0"/>
          <w:numId w:val="26"/>
        </w:numPr>
        <w:autoSpaceDE w:val="0"/>
        <w:autoSpaceDN w:val="0"/>
        <w:spacing w:beforeLines="50" w:before="120"/>
        <w:jc w:val="both"/>
      </w:pPr>
      <w:r>
        <w:t>the impact of using UTC on radiocommunication services and other applications.</w:t>
      </w:r>
    </w:p>
    <w:p w14:paraId="1BAB55AA" w14:textId="704A9D97" w:rsidR="0037421D" w:rsidRDefault="0037421D" w:rsidP="00E5341E">
      <w:pPr>
        <w:spacing w:after="120"/>
        <w:jc w:val="both"/>
        <w:rPr>
          <w:b/>
        </w:rPr>
      </w:pPr>
    </w:p>
    <w:p w14:paraId="798C929A" w14:textId="20E129FD" w:rsidR="00AC3970" w:rsidRDefault="00AC3970" w:rsidP="00E5341E">
      <w:pPr>
        <w:spacing w:after="120"/>
        <w:jc w:val="both"/>
        <w:rPr>
          <w:b/>
        </w:rPr>
      </w:pPr>
    </w:p>
    <w:p w14:paraId="7914951D" w14:textId="25A9814F" w:rsidR="00AC3970" w:rsidRDefault="00AC3970" w:rsidP="00E5341E">
      <w:pPr>
        <w:spacing w:after="120"/>
        <w:jc w:val="both"/>
        <w:rPr>
          <w:b/>
        </w:rPr>
      </w:pPr>
    </w:p>
    <w:p w14:paraId="72D26C44" w14:textId="0D90723B" w:rsidR="00AC3970" w:rsidRDefault="00AC3970" w:rsidP="00E5341E">
      <w:pPr>
        <w:spacing w:after="120"/>
        <w:jc w:val="both"/>
        <w:rPr>
          <w:b/>
        </w:rPr>
      </w:pPr>
    </w:p>
    <w:p w14:paraId="797AE8EB" w14:textId="6D8113AA" w:rsidR="00AC3970" w:rsidRPr="00AC3970" w:rsidRDefault="00AC3970" w:rsidP="00E5341E">
      <w:pPr>
        <w:spacing w:after="120"/>
        <w:jc w:val="both"/>
        <w:rPr>
          <w:rFonts w:eastAsia="MS Mincho"/>
          <w:bCs/>
          <w:lang w:eastAsia="ja-JP"/>
        </w:rPr>
      </w:pPr>
      <w:r w:rsidRPr="00AC3970">
        <w:rPr>
          <w:rFonts w:eastAsia="MS Mincho" w:hint="eastAsia"/>
          <w:bCs/>
          <w:lang w:eastAsia="ja-JP"/>
        </w:rPr>
        <w:t>A</w:t>
      </w:r>
      <w:r w:rsidRPr="00AC3970">
        <w:rPr>
          <w:rFonts w:eastAsia="MS Mincho"/>
          <w:bCs/>
          <w:lang w:eastAsia="ja-JP"/>
        </w:rPr>
        <w:t>nnex: 1</w:t>
      </w:r>
    </w:p>
    <w:p w14:paraId="17021774" w14:textId="31A1FF15" w:rsidR="00DB7041" w:rsidRDefault="00DB7041">
      <w:pPr>
        <w:rPr>
          <w:b/>
        </w:rPr>
      </w:pPr>
      <w:r>
        <w:rPr>
          <w:b/>
        </w:rPr>
        <w:br w:type="page"/>
      </w:r>
    </w:p>
    <w:p w14:paraId="4E63C132" w14:textId="77777777" w:rsidR="00DB7041" w:rsidRPr="00DB7041" w:rsidRDefault="00DB7041" w:rsidP="00F02748">
      <w:pPr>
        <w:widowControl w:val="0"/>
        <w:wordWrap w:val="0"/>
        <w:autoSpaceDE w:val="0"/>
        <w:autoSpaceDN w:val="0"/>
        <w:spacing w:after="160" w:line="259" w:lineRule="auto"/>
        <w:jc w:val="right"/>
        <w:rPr>
          <w:rFonts w:ascii="Calibri" w:eastAsia="Yu Mincho" w:hAnsi="Calibri" w:cs="Calibri"/>
          <w:kern w:val="2"/>
          <w:lang w:eastAsia="ja-JP"/>
        </w:rPr>
      </w:pPr>
      <w:r w:rsidRPr="00DB7041">
        <w:rPr>
          <w:rFonts w:ascii="Calibri" w:eastAsia="Yu Mincho" w:hAnsi="Calibri" w:cs="Calibri" w:hint="eastAsia"/>
          <w:kern w:val="2"/>
          <w:lang w:eastAsia="ja-JP"/>
        </w:rPr>
        <w:lastRenderedPageBreak/>
        <w:t>A</w:t>
      </w:r>
      <w:r w:rsidRPr="00DB7041">
        <w:rPr>
          <w:rFonts w:ascii="Calibri" w:eastAsia="Yu Mincho" w:hAnsi="Calibri" w:cs="Calibri"/>
          <w:kern w:val="2"/>
          <w:lang w:eastAsia="ja-JP"/>
        </w:rPr>
        <w:t>nnex</w:t>
      </w:r>
    </w:p>
    <w:p w14:paraId="63F77D18" w14:textId="77777777" w:rsidR="00DB7041" w:rsidRPr="00DD6242" w:rsidRDefault="00DB7041" w:rsidP="00DB7041">
      <w:pPr>
        <w:widowControl w:val="0"/>
        <w:wordWrap w:val="0"/>
        <w:autoSpaceDE w:val="0"/>
        <w:autoSpaceDN w:val="0"/>
        <w:spacing w:after="160" w:line="259" w:lineRule="auto"/>
        <w:jc w:val="center"/>
        <w:rPr>
          <w:rFonts w:ascii="Calibri" w:eastAsia="Yu Mincho" w:hAnsi="Calibri" w:cs="Calibri"/>
          <w:kern w:val="2"/>
          <w:sz w:val="28"/>
          <w:szCs w:val="28"/>
          <w:lang w:eastAsia="ja-JP"/>
        </w:rPr>
      </w:pPr>
      <w:r w:rsidRPr="00DD6242">
        <w:rPr>
          <w:rFonts w:ascii="Calibri" w:eastAsia="Yu Mincho" w:hAnsi="Calibri" w:cs="Calibri"/>
          <w:kern w:val="2"/>
          <w:sz w:val="28"/>
          <w:szCs w:val="28"/>
          <w:lang w:eastAsia="ja-JP"/>
        </w:rPr>
        <w:t>Excerpt from CPM Report to WRC-15</w:t>
      </w:r>
    </w:p>
    <w:p w14:paraId="2886EB12" w14:textId="77777777" w:rsidR="00DB7041" w:rsidRPr="00DB7041" w:rsidRDefault="00DB7041" w:rsidP="00DB7041">
      <w:pPr>
        <w:widowControl w:val="0"/>
        <w:wordWrap w:val="0"/>
        <w:autoSpaceDE w:val="0"/>
        <w:autoSpaceDN w:val="0"/>
        <w:spacing w:after="160" w:line="259" w:lineRule="auto"/>
        <w:jc w:val="both"/>
        <w:rPr>
          <w:rFonts w:ascii="Calibri" w:eastAsia="Yu Mincho" w:hAnsi="Calibri" w:cs="Calibri"/>
          <w:kern w:val="2"/>
          <w:lang w:eastAsia="ja-JP"/>
        </w:rPr>
      </w:pPr>
    </w:p>
    <w:p w14:paraId="5AF4D3D9" w14:textId="77777777" w:rsidR="00DB7041" w:rsidRPr="00DB7041" w:rsidRDefault="00DB7041" w:rsidP="00DB7041">
      <w:pPr>
        <w:widowControl w:val="0"/>
        <w:wordWrap w:val="0"/>
        <w:autoSpaceDE w:val="0"/>
        <w:autoSpaceDN w:val="0"/>
        <w:spacing w:after="160" w:line="259" w:lineRule="auto"/>
        <w:jc w:val="both"/>
        <w:rPr>
          <w:rFonts w:ascii="Calibri" w:eastAsia="Yu Mincho" w:hAnsi="Calibri" w:cs="Calibri"/>
          <w:kern w:val="2"/>
          <w:lang w:eastAsia="ja-JP"/>
        </w:rPr>
      </w:pPr>
      <w:r w:rsidRPr="00DB7041">
        <w:rPr>
          <w:rFonts w:ascii="Calibri" w:eastAsia="Yu Mincho" w:hAnsi="Calibri" w:cs="Calibri"/>
          <w:kern w:val="2"/>
          <w:lang w:eastAsia="ja-JP"/>
        </w:rPr>
        <w:t xml:space="preserve">2/1.14/5 Methods to satisfy the agenda </w:t>
      </w:r>
      <w:proofErr w:type="gramStart"/>
      <w:r w:rsidRPr="00DB7041">
        <w:rPr>
          <w:rFonts w:ascii="Calibri" w:eastAsia="Yu Mincho" w:hAnsi="Calibri" w:cs="Calibri"/>
          <w:kern w:val="2"/>
          <w:lang w:eastAsia="ja-JP"/>
        </w:rPr>
        <w:t>item</w:t>
      </w:r>
      <w:proofErr w:type="gramEnd"/>
    </w:p>
    <w:p w14:paraId="7D702284" w14:textId="77777777" w:rsidR="00DB7041" w:rsidRPr="00DB7041" w:rsidRDefault="00DB7041" w:rsidP="00DB7041">
      <w:pPr>
        <w:widowControl w:val="0"/>
        <w:wordWrap w:val="0"/>
        <w:autoSpaceDE w:val="0"/>
        <w:autoSpaceDN w:val="0"/>
        <w:spacing w:after="160" w:line="259" w:lineRule="auto"/>
        <w:jc w:val="both"/>
        <w:rPr>
          <w:rFonts w:ascii="Calibri" w:eastAsia="Yu Mincho" w:hAnsi="Calibri" w:cs="Calibri"/>
          <w:kern w:val="2"/>
          <w:lang w:eastAsia="ja-JP"/>
        </w:rPr>
      </w:pPr>
      <w:r w:rsidRPr="00DB7041">
        <w:rPr>
          <w:rFonts w:ascii="Calibri" w:eastAsia="Yu Mincho" w:hAnsi="Calibri" w:cs="Calibri"/>
          <w:kern w:val="2"/>
          <w:lang w:eastAsia="ja-JP"/>
        </w:rPr>
        <w:t>2/1.14/5.1 Method A</w:t>
      </w:r>
    </w:p>
    <w:p w14:paraId="51E9175D" w14:textId="77777777" w:rsidR="00DB7041" w:rsidRPr="00DB7041" w:rsidRDefault="00DB7041" w:rsidP="00DB7041">
      <w:pPr>
        <w:widowControl w:val="0"/>
        <w:wordWrap w:val="0"/>
        <w:autoSpaceDE w:val="0"/>
        <w:autoSpaceDN w:val="0"/>
        <w:spacing w:after="160" w:line="259" w:lineRule="auto"/>
        <w:jc w:val="both"/>
        <w:rPr>
          <w:rFonts w:ascii="Calibri" w:eastAsia="Yu Mincho" w:hAnsi="Calibri" w:cs="Calibri"/>
          <w:kern w:val="2"/>
          <w:lang w:eastAsia="ja-JP"/>
        </w:rPr>
      </w:pPr>
      <w:r w:rsidRPr="00DB7041">
        <w:rPr>
          <w:rFonts w:ascii="Calibri" w:eastAsia="Yu Mincho" w:hAnsi="Calibri" w:cs="Calibri"/>
          <w:kern w:val="2"/>
          <w:lang w:eastAsia="ja-JP"/>
        </w:rPr>
        <w:t>2/1.14/5.1.1 Method A1</w:t>
      </w:r>
    </w:p>
    <w:p w14:paraId="76323CE6" w14:textId="77777777" w:rsidR="00DB7041" w:rsidRPr="00DB7041" w:rsidRDefault="00DB7041" w:rsidP="00DB7041">
      <w:pPr>
        <w:widowControl w:val="0"/>
        <w:autoSpaceDE w:val="0"/>
        <w:autoSpaceDN w:val="0"/>
        <w:spacing w:after="160" w:line="259" w:lineRule="auto"/>
        <w:jc w:val="both"/>
        <w:rPr>
          <w:rFonts w:ascii="Calibri" w:eastAsia="Yu Mincho" w:hAnsi="Calibri" w:cs="Calibri"/>
          <w:kern w:val="2"/>
          <w:lang w:eastAsia="ja-JP"/>
        </w:rPr>
      </w:pPr>
      <w:r w:rsidRPr="00DB7041">
        <w:rPr>
          <w:rFonts w:ascii="Calibri" w:eastAsia="Yu Mincho" w:hAnsi="Calibri" w:cs="Calibri"/>
          <w:kern w:val="2"/>
          <w:lang w:eastAsia="ja-JP"/>
        </w:rPr>
        <w:t xml:space="preserve">A continuous reference </w:t>
      </w:r>
      <w:proofErr w:type="gramStart"/>
      <w:r w:rsidRPr="00DB7041">
        <w:rPr>
          <w:rFonts w:ascii="Calibri" w:eastAsia="Yu Mincho" w:hAnsi="Calibri" w:cs="Calibri"/>
          <w:kern w:val="2"/>
          <w:lang w:eastAsia="ja-JP"/>
        </w:rPr>
        <w:t>time-scale</w:t>
      </w:r>
      <w:proofErr w:type="gramEnd"/>
      <w:r w:rsidRPr="00DB7041">
        <w:rPr>
          <w:rFonts w:ascii="Calibri" w:eastAsia="Yu Mincho" w:hAnsi="Calibri" w:cs="Calibri"/>
          <w:kern w:val="2"/>
          <w:lang w:eastAsia="ja-JP"/>
        </w:rPr>
        <w:t xml:space="preserve"> is feasible and it can be achieved by stopping the insertion of leap seconds in UTC. To allow for an adequate </w:t>
      </w:r>
      <w:proofErr w:type="gramStart"/>
      <w:r w:rsidRPr="00DB7041">
        <w:rPr>
          <w:rFonts w:ascii="Calibri" w:eastAsia="Yu Mincho" w:hAnsi="Calibri" w:cs="Calibri"/>
          <w:kern w:val="2"/>
          <w:lang w:eastAsia="ja-JP"/>
        </w:rPr>
        <w:t>period of time</w:t>
      </w:r>
      <w:proofErr w:type="gramEnd"/>
      <w:r w:rsidRPr="00DB7041">
        <w:rPr>
          <w:rFonts w:ascii="Calibri" w:eastAsia="Yu Mincho" w:hAnsi="Calibri" w:cs="Calibri"/>
          <w:kern w:val="2"/>
          <w:lang w:eastAsia="ja-JP"/>
        </w:rPr>
        <w:t xml:space="preserve"> for those legacy systems reliant on the use of leap seconds to adapt to the change in UTC, the application of the suppression of leap second adjustments to UTC will be effective not earlier than five years after the date of entry into force of the Final Acts of the WRC-15.</w:t>
      </w:r>
    </w:p>
    <w:p w14:paraId="005735E6" w14:textId="77777777" w:rsidR="00DB7041" w:rsidRPr="00DB7041" w:rsidRDefault="00DB7041" w:rsidP="00DB7041">
      <w:pPr>
        <w:widowControl w:val="0"/>
        <w:autoSpaceDE w:val="0"/>
        <w:autoSpaceDN w:val="0"/>
        <w:spacing w:after="160" w:line="259" w:lineRule="auto"/>
        <w:jc w:val="both"/>
        <w:rPr>
          <w:rFonts w:ascii="Calibri" w:eastAsia="Yu Mincho" w:hAnsi="Calibri" w:cs="Calibri"/>
          <w:kern w:val="2"/>
          <w:lang w:eastAsia="ja-JP"/>
        </w:rPr>
      </w:pPr>
      <w:r w:rsidRPr="00DB7041">
        <w:rPr>
          <w:rFonts w:ascii="Calibri" w:eastAsia="Yu Mincho" w:hAnsi="Calibri" w:cs="Calibri"/>
          <w:kern w:val="2"/>
          <w:lang w:eastAsia="ja-JP"/>
        </w:rPr>
        <w:t>For applications requiring knowledge of UT1 the difference between UT1 and UTC will continue to be provided by IERS with a much higher precision than that available from present broadcast UTC.</w:t>
      </w:r>
    </w:p>
    <w:p w14:paraId="2CBB733A" w14:textId="77777777" w:rsidR="00DB7041" w:rsidRPr="00DB7041" w:rsidRDefault="00DB7041" w:rsidP="00DB7041">
      <w:pPr>
        <w:widowControl w:val="0"/>
        <w:autoSpaceDE w:val="0"/>
        <w:autoSpaceDN w:val="0"/>
        <w:spacing w:after="160" w:line="259" w:lineRule="auto"/>
        <w:jc w:val="both"/>
        <w:rPr>
          <w:rFonts w:ascii="Calibri" w:eastAsia="Yu Mincho" w:hAnsi="Calibri" w:cs="Calibri"/>
          <w:kern w:val="2"/>
          <w:lang w:eastAsia="ja-JP"/>
        </w:rPr>
      </w:pPr>
      <w:r w:rsidRPr="00DB7041">
        <w:rPr>
          <w:rFonts w:ascii="Calibri" w:eastAsia="Yu Mincho" w:hAnsi="Calibri" w:cs="Calibri"/>
          <w:kern w:val="2"/>
          <w:lang w:eastAsia="ja-JP"/>
        </w:rPr>
        <w:t>The name of UTC will be retained.</w:t>
      </w:r>
    </w:p>
    <w:p w14:paraId="2EC38C37" w14:textId="6DBF622F" w:rsidR="0037421D" w:rsidRDefault="0037421D" w:rsidP="00E5341E">
      <w:pPr>
        <w:spacing w:after="120"/>
        <w:jc w:val="both"/>
        <w:rPr>
          <w:b/>
        </w:rPr>
      </w:pPr>
    </w:p>
    <w:p w14:paraId="6226A114" w14:textId="7EFE6DC7" w:rsidR="00AC3970" w:rsidRDefault="00AC3970" w:rsidP="00E5341E">
      <w:pPr>
        <w:spacing w:after="120"/>
        <w:jc w:val="both"/>
        <w:rPr>
          <w:b/>
        </w:rPr>
      </w:pPr>
    </w:p>
    <w:p w14:paraId="01C6729E" w14:textId="3527CCAC" w:rsidR="00AC3970" w:rsidRDefault="00AC3970" w:rsidP="00E5341E">
      <w:pPr>
        <w:spacing w:after="120"/>
        <w:jc w:val="both"/>
        <w:rPr>
          <w:b/>
        </w:rPr>
      </w:pPr>
    </w:p>
    <w:p w14:paraId="52E3C1F2" w14:textId="06943B22" w:rsidR="00AC3970" w:rsidRDefault="00AC3970" w:rsidP="00E5341E">
      <w:pPr>
        <w:spacing w:after="120"/>
        <w:jc w:val="both"/>
        <w:rPr>
          <w:b/>
        </w:rPr>
      </w:pPr>
    </w:p>
    <w:p w14:paraId="7FAD2F23" w14:textId="31F63CDD" w:rsidR="00AC3970" w:rsidRDefault="00AC3970" w:rsidP="00E5341E">
      <w:pPr>
        <w:spacing w:after="120"/>
        <w:jc w:val="both"/>
        <w:rPr>
          <w:b/>
        </w:rPr>
      </w:pPr>
    </w:p>
    <w:p w14:paraId="14C5E1DA" w14:textId="77777777" w:rsidR="00AC3970" w:rsidRPr="009A4A6D" w:rsidRDefault="00AC3970" w:rsidP="00AC3970">
      <w:pPr>
        <w:jc w:val="center"/>
        <w:rPr>
          <w:snapToGrid w:val="0"/>
        </w:rPr>
      </w:pPr>
      <w:r>
        <w:t>____________</w:t>
      </w:r>
    </w:p>
    <w:p w14:paraId="4E89BA88" w14:textId="77777777" w:rsidR="00AC3970" w:rsidRPr="00EC249E" w:rsidRDefault="00AC3970" w:rsidP="00E5341E">
      <w:pPr>
        <w:spacing w:after="120"/>
        <w:jc w:val="both"/>
        <w:rPr>
          <w:b/>
        </w:rPr>
      </w:pPr>
    </w:p>
    <w:sectPr w:rsidR="00AC3970" w:rsidRPr="00EC249E" w:rsidSect="00FF72BB">
      <w:headerReference w:type="default" r:id="rId14"/>
      <w:footerReference w:type="even" r:id="rId15"/>
      <w:footerReference w:type="default" r:id="rId16"/>
      <w:footerReference w:type="first" r:id="rId17"/>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447F5" w14:textId="77777777" w:rsidR="001E3E70" w:rsidRDefault="001E3E70">
      <w:r>
        <w:separator/>
      </w:r>
    </w:p>
  </w:endnote>
  <w:endnote w:type="continuationSeparator" w:id="0">
    <w:p w14:paraId="3C0B3AF2" w14:textId="77777777" w:rsidR="001E3E70" w:rsidRDefault="001E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Gulim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
    <w:altName w:val="Cambria"/>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22CB8"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A54FB"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42807" w14:textId="1EE0E365" w:rsidR="00051E1E" w:rsidRDefault="00051E1E">
    <w:pPr>
      <w:pStyle w:val="Footer"/>
    </w:pPr>
    <w:r>
      <w:t>A</w:t>
    </w:r>
    <w:r w:rsidR="001E1432">
      <w:t>PG23-</w:t>
    </w:r>
    <w:r w:rsidR="008624ED">
      <w:t>2</w:t>
    </w:r>
    <w:r>
      <w:t>/IN</w:t>
    </w:r>
    <w:r w:rsidR="0095644D">
      <w:t>F</w:t>
    </w:r>
    <w:r>
      <w:t>-</w:t>
    </w:r>
    <w:r w:rsidR="00D14384">
      <w:t>06</w:t>
    </w:r>
    <w:r>
      <w:tab/>
    </w:r>
    <w:r>
      <w:tab/>
      <w:t xml:space="preserve">Page </w:t>
    </w:r>
    <w:r>
      <w:rPr>
        <w:b/>
        <w:bCs/>
      </w:rPr>
      <w:fldChar w:fldCharType="begin"/>
    </w:r>
    <w:r>
      <w:rPr>
        <w:b/>
        <w:bCs/>
      </w:rPr>
      <w:instrText xml:space="preserve"> PAGE  \* Arabic  \* MERGEFORMAT </w:instrText>
    </w:r>
    <w:r>
      <w:rPr>
        <w:b/>
        <w:bCs/>
      </w:rPr>
      <w:fldChar w:fldCharType="separate"/>
    </w:r>
    <w:r w:rsidR="00FF72BB">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F72BB">
      <w:rPr>
        <w:b/>
        <w:bCs/>
        <w:noProof/>
      </w:rPr>
      <w:t>3</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54758" w14:paraId="7EF20505" w14:textId="77777777" w:rsidTr="007E7497">
      <w:trPr>
        <w:cantSplit/>
        <w:trHeight w:val="204"/>
        <w:jc w:val="center"/>
      </w:trPr>
      <w:tc>
        <w:tcPr>
          <w:tcW w:w="1152" w:type="dxa"/>
        </w:tcPr>
        <w:p w14:paraId="7C14EC98" w14:textId="77777777" w:rsidR="00B54758" w:rsidRDefault="00B54758" w:rsidP="007E7497">
          <w:pPr>
            <w:rPr>
              <w:b/>
              <w:bCs/>
            </w:rPr>
          </w:pPr>
          <w:r>
            <w:rPr>
              <w:b/>
              <w:bCs/>
            </w:rPr>
            <w:t>Contact:</w:t>
          </w:r>
        </w:p>
      </w:tc>
      <w:tc>
        <w:tcPr>
          <w:tcW w:w="5040" w:type="dxa"/>
        </w:tcPr>
        <w:p w14:paraId="49C5867E" w14:textId="5DFC45E2" w:rsidR="00B54758" w:rsidRDefault="00281D7E" w:rsidP="007E7497">
          <w:pPr>
            <w:pStyle w:val="Equation"/>
            <w:tabs>
              <w:tab w:val="clear" w:pos="794"/>
              <w:tab w:val="clear" w:pos="4820"/>
              <w:tab w:val="clear" w:pos="9639"/>
            </w:tabs>
            <w:spacing w:beforeLines="0"/>
            <w:rPr>
              <w:rFonts w:eastAsia="Batang"/>
            </w:rPr>
          </w:pPr>
          <w:r>
            <w:rPr>
              <w:rFonts w:eastAsia="Batang"/>
            </w:rPr>
            <w:t>Takahiro Yokoyama</w:t>
          </w:r>
        </w:p>
        <w:p w14:paraId="39C5729B" w14:textId="607DBBB4" w:rsidR="00EC249E" w:rsidRDefault="00281D7E" w:rsidP="007E7497">
          <w:pPr>
            <w:pStyle w:val="Equation"/>
            <w:tabs>
              <w:tab w:val="clear" w:pos="794"/>
              <w:tab w:val="clear" w:pos="4820"/>
              <w:tab w:val="clear" w:pos="9639"/>
            </w:tabs>
            <w:spacing w:beforeLines="0"/>
            <w:rPr>
              <w:rFonts w:eastAsia="Batang"/>
            </w:rPr>
          </w:pPr>
          <w:r>
            <w:rPr>
              <w:rFonts w:eastAsia="Batang"/>
            </w:rPr>
            <w:t>ARIB</w:t>
          </w:r>
          <w:r w:rsidR="00EC249E">
            <w:rPr>
              <w:rFonts w:eastAsia="Batang"/>
            </w:rPr>
            <w:t xml:space="preserve">, </w:t>
          </w:r>
          <w:r>
            <w:rPr>
              <w:rFonts w:eastAsia="Batang"/>
            </w:rPr>
            <w:t>Japan</w:t>
          </w:r>
        </w:p>
      </w:tc>
      <w:tc>
        <w:tcPr>
          <w:tcW w:w="3024" w:type="dxa"/>
        </w:tcPr>
        <w:p w14:paraId="7D7239EB" w14:textId="77777777" w:rsidR="00B54758" w:rsidRDefault="00B54758" w:rsidP="00E23D98">
          <w:r>
            <w:t>Email</w:t>
          </w:r>
          <w:r>
            <w:rPr>
              <w:rFonts w:hint="eastAsia"/>
            </w:rPr>
            <w:t>:</w:t>
          </w:r>
          <w:r>
            <w:t xml:space="preserve"> </w:t>
          </w:r>
        </w:p>
        <w:p w14:paraId="66CA6E30" w14:textId="6658A224" w:rsidR="00281D7E" w:rsidRPr="00281D7E" w:rsidRDefault="00281D7E" w:rsidP="00E23D98">
          <w:pPr>
            <w:rPr>
              <w:rFonts w:eastAsia="MS Mincho"/>
              <w:lang w:eastAsia="ja-JP"/>
            </w:rPr>
          </w:pPr>
          <w:r>
            <w:rPr>
              <w:rFonts w:eastAsia="MS Mincho" w:hint="eastAsia"/>
              <w:lang w:eastAsia="ja-JP"/>
            </w:rPr>
            <w:t>t</w:t>
          </w:r>
          <w:r>
            <w:rPr>
              <w:rFonts w:eastAsia="MS Mincho"/>
              <w:lang w:eastAsia="ja-JP"/>
            </w:rPr>
            <w:t>.yokoyama@joy.ocn.ne.jp</w:t>
          </w:r>
        </w:p>
      </w:tc>
    </w:tr>
  </w:tbl>
  <w:p w14:paraId="25B78C00"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365E1" w14:textId="77777777" w:rsidR="001E3E70" w:rsidRDefault="001E3E70">
      <w:r>
        <w:separator/>
      </w:r>
    </w:p>
  </w:footnote>
  <w:footnote w:type="continuationSeparator" w:id="0">
    <w:p w14:paraId="54F3A136" w14:textId="77777777" w:rsidR="001E3E70" w:rsidRDefault="001E3E70">
      <w:r>
        <w:continuationSeparator/>
      </w:r>
    </w:p>
  </w:footnote>
  <w:footnote w:id="1">
    <w:p w14:paraId="3BEABF14" w14:textId="6AE20B97" w:rsidR="00660E1D" w:rsidRPr="002A3FB4" w:rsidRDefault="00660E1D" w:rsidP="00660E1D">
      <w:pPr>
        <w:pStyle w:val="FootnoteText"/>
        <w:rPr>
          <w:rFonts w:eastAsia="Yu Mincho"/>
          <w:lang w:eastAsia="ja-JP"/>
        </w:rPr>
      </w:pPr>
      <w:r>
        <w:rPr>
          <w:rStyle w:val="FootnoteReference"/>
        </w:rPr>
        <w:footnoteRef/>
      </w:r>
      <w:r>
        <w:t xml:space="preserve"> As to Method A1, </w:t>
      </w:r>
      <w:r>
        <w:rPr>
          <w:rFonts w:eastAsia="Yu Mincho"/>
          <w:lang w:eastAsia="ja-JP"/>
        </w:rPr>
        <w:t xml:space="preserve">see </w:t>
      </w:r>
      <w:r w:rsidR="00F42B35">
        <w:rPr>
          <w:rFonts w:eastAsia="Yu Mincho"/>
          <w:lang w:eastAsia="ja-JP"/>
        </w:rPr>
        <w:t xml:space="preserve">Annex, where </w:t>
      </w:r>
      <w:r>
        <w:rPr>
          <w:rFonts w:eastAsia="Yu Mincho"/>
          <w:lang w:eastAsia="ja-JP"/>
        </w:rPr>
        <w:t>the</w:t>
      </w:r>
      <w:r w:rsidRPr="00986E77">
        <w:t xml:space="preserve"> </w:t>
      </w:r>
      <w:r w:rsidR="00F42B35">
        <w:t xml:space="preserve">relevant texts are </w:t>
      </w:r>
      <w:r w:rsidRPr="00986E77">
        <w:t>excerpt</w:t>
      </w:r>
      <w:r w:rsidR="00F42B35">
        <w:t>ed</w:t>
      </w:r>
      <w:r w:rsidRPr="00986E77">
        <w:t xml:space="preserve"> from CPM Report to WRC-15</w:t>
      </w:r>
      <w:r>
        <w:rPr>
          <w:rFonts w:eastAsia="Yu Mincho"/>
          <w:lang w:eastAsia="ja-JP"/>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A6AB3" w14:textId="77777777" w:rsidR="00B54758" w:rsidRDefault="00B54758" w:rsidP="008E3821">
    <w:pPr>
      <w:pStyle w:val="Header"/>
      <w:tabs>
        <w:tab w:val="clear" w:pos="4320"/>
        <w:tab w:val="clear" w:pos="8640"/>
      </w:tabs>
      <w:rPr>
        <w:lang w:eastAsia="ko-KR"/>
      </w:rPr>
    </w:pPr>
  </w:p>
  <w:p w14:paraId="122BFF37"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24469"/>
    <w:multiLevelType w:val="hybridMultilevel"/>
    <w:tmpl w:val="7BA4E20A"/>
    <w:lvl w:ilvl="0" w:tplc="81F65682">
      <w:start w:val="1"/>
      <w:numFmt w:val="bullet"/>
      <w:lvlText w:val=""/>
      <w:lvlJc w:val="left"/>
      <w:pPr>
        <w:ind w:left="720" w:hanging="360"/>
      </w:pPr>
      <w:rPr>
        <w:rFonts w:ascii="Symbol" w:hAnsi="Symbol" w:hint="default"/>
      </w:rPr>
    </w:lvl>
    <w:lvl w:ilvl="1" w:tplc="6F4C3E4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2497039"/>
    <w:multiLevelType w:val="hybridMultilevel"/>
    <w:tmpl w:val="0E728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70862"/>
    <w:multiLevelType w:val="hybridMultilevel"/>
    <w:tmpl w:val="799840F6"/>
    <w:lvl w:ilvl="0" w:tplc="81F656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39801948"/>
    <w:multiLevelType w:val="hybridMultilevel"/>
    <w:tmpl w:val="AB7681C2"/>
    <w:lvl w:ilvl="0" w:tplc="B0426F7E">
      <w:start w:val="1"/>
      <w:numFmt w:val="bullet"/>
      <w:lvlText w:val="-"/>
      <w:lvlJc w:val="left"/>
      <w:pPr>
        <w:ind w:left="1120" w:hanging="360"/>
      </w:pPr>
      <w:rPr>
        <w:rFonts w:ascii="Calibri" w:eastAsiaTheme="minorEastAsia" w:hAnsi="Calibri" w:cs="Calibri"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8"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275DE5"/>
    <w:multiLevelType w:val="hybridMultilevel"/>
    <w:tmpl w:val="C01A37A6"/>
    <w:lvl w:ilvl="0" w:tplc="81F656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684554"/>
    <w:multiLevelType w:val="hybridMultilevel"/>
    <w:tmpl w:val="E8046254"/>
    <w:lvl w:ilvl="0" w:tplc="81F65682">
      <w:start w:val="1"/>
      <w:numFmt w:val="bullet"/>
      <w:lvlText w:val=""/>
      <w:lvlJc w:val="left"/>
      <w:pPr>
        <w:ind w:left="2151" w:hanging="360"/>
      </w:pPr>
      <w:rPr>
        <w:rFonts w:ascii="Symbol" w:hAnsi="Symbol" w:hint="default"/>
      </w:rPr>
    </w:lvl>
    <w:lvl w:ilvl="1" w:tplc="6F4C3E46">
      <w:start w:val="1"/>
      <w:numFmt w:val="bullet"/>
      <w:lvlText w:val="·"/>
      <w:lvlJc w:val="left"/>
      <w:pPr>
        <w:ind w:left="2871" w:hanging="360"/>
      </w:pPr>
      <w:rPr>
        <w:rFonts w:ascii="Courier New" w:hAnsi="Courier New" w:hint="default"/>
      </w:rPr>
    </w:lvl>
    <w:lvl w:ilvl="2" w:tplc="04090005" w:tentative="1">
      <w:start w:val="1"/>
      <w:numFmt w:val="bullet"/>
      <w:lvlText w:val=""/>
      <w:lvlJc w:val="left"/>
      <w:pPr>
        <w:ind w:left="3591" w:hanging="360"/>
      </w:pPr>
      <w:rPr>
        <w:rFonts w:ascii="Wingdings" w:hAnsi="Wingdings" w:hint="default"/>
      </w:rPr>
    </w:lvl>
    <w:lvl w:ilvl="3" w:tplc="04090001" w:tentative="1">
      <w:start w:val="1"/>
      <w:numFmt w:val="bullet"/>
      <w:lvlText w:val=""/>
      <w:lvlJc w:val="left"/>
      <w:pPr>
        <w:ind w:left="4311" w:hanging="360"/>
      </w:pPr>
      <w:rPr>
        <w:rFonts w:ascii="Symbol" w:hAnsi="Symbol" w:hint="default"/>
      </w:rPr>
    </w:lvl>
    <w:lvl w:ilvl="4" w:tplc="04090003" w:tentative="1">
      <w:start w:val="1"/>
      <w:numFmt w:val="bullet"/>
      <w:lvlText w:val="o"/>
      <w:lvlJc w:val="left"/>
      <w:pPr>
        <w:ind w:left="5031" w:hanging="360"/>
      </w:pPr>
      <w:rPr>
        <w:rFonts w:ascii="Courier New" w:hAnsi="Courier New" w:cs="Courier New" w:hint="default"/>
      </w:rPr>
    </w:lvl>
    <w:lvl w:ilvl="5" w:tplc="04090005" w:tentative="1">
      <w:start w:val="1"/>
      <w:numFmt w:val="bullet"/>
      <w:lvlText w:val=""/>
      <w:lvlJc w:val="left"/>
      <w:pPr>
        <w:ind w:left="5751" w:hanging="360"/>
      </w:pPr>
      <w:rPr>
        <w:rFonts w:ascii="Wingdings" w:hAnsi="Wingdings" w:hint="default"/>
      </w:rPr>
    </w:lvl>
    <w:lvl w:ilvl="6" w:tplc="04090001" w:tentative="1">
      <w:start w:val="1"/>
      <w:numFmt w:val="bullet"/>
      <w:lvlText w:val=""/>
      <w:lvlJc w:val="left"/>
      <w:pPr>
        <w:ind w:left="6471" w:hanging="360"/>
      </w:pPr>
      <w:rPr>
        <w:rFonts w:ascii="Symbol" w:hAnsi="Symbol" w:hint="default"/>
      </w:rPr>
    </w:lvl>
    <w:lvl w:ilvl="7" w:tplc="04090003" w:tentative="1">
      <w:start w:val="1"/>
      <w:numFmt w:val="bullet"/>
      <w:lvlText w:val="o"/>
      <w:lvlJc w:val="left"/>
      <w:pPr>
        <w:ind w:left="7191" w:hanging="360"/>
      </w:pPr>
      <w:rPr>
        <w:rFonts w:ascii="Courier New" w:hAnsi="Courier New" w:cs="Courier New" w:hint="default"/>
      </w:rPr>
    </w:lvl>
    <w:lvl w:ilvl="8" w:tplc="04090005" w:tentative="1">
      <w:start w:val="1"/>
      <w:numFmt w:val="bullet"/>
      <w:lvlText w:val=""/>
      <w:lvlJc w:val="left"/>
      <w:pPr>
        <w:ind w:left="7911" w:hanging="360"/>
      </w:pPr>
      <w:rPr>
        <w:rFonts w:ascii="Wingdings" w:hAnsi="Wingdings" w:hint="default"/>
      </w:rPr>
    </w:lvl>
  </w:abstractNum>
  <w:abstractNum w:abstractNumId="22" w15:restartNumberingAfterBreak="0">
    <w:nsid w:val="6A673AD2"/>
    <w:multiLevelType w:val="hybridMultilevel"/>
    <w:tmpl w:val="88B88204"/>
    <w:lvl w:ilvl="0" w:tplc="6F4C3E46">
      <w:start w:val="1"/>
      <w:numFmt w:val="bullet"/>
      <w:lvlText w:val="·"/>
      <w:lvlJc w:val="left"/>
      <w:pPr>
        <w:ind w:left="1140" w:hanging="420"/>
      </w:pPr>
      <w:rPr>
        <w:rFonts w:ascii="Courier New" w:hAnsi="Courier New"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3"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4"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15"/>
  </w:num>
  <w:num w:numId="2">
    <w:abstractNumId w:val="9"/>
  </w:num>
  <w:num w:numId="3">
    <w:abstractNumId w:val="7"/>
  </w:num>
  <w:num w:numId="4">
    <w:abstractNumId w:val="23"/>
  </w:num>
  <w:num w:numId="5">
    <w:abstractNumId w:val="12"/>
  </w:num>
  <w:num w:numId="6">
    <w:abstractNumId w:val="16"/>
  </w:num>
  <w:num w:numId="7">
    <w:abstractNumId w:val="6"/>
  </w:num>
  <w:num w:numId="8">
    <w:abstractNumId w:val="2"/>
  </w:num>
  <w:num w:numId="9">
    <w:abstractNumId w:val="25"/>
  </w:num>
  <w:num w:numId="10">
    <w:abstractNumId w:val="0"/>
  </w:num>
  <w:num w:numId="11">
    <w:abstractNumId w:val="24"/>
  </w:num>
  <w:num w:numId="12">
    <w:abstractNumId w:val="13"/>
  </w:num>
  <w:num w:numId="13">
    <w:abstractNumId w:val="18"/>
  </w:num>
  <w:num w:numId="14">
    <w:abstractNumId w:val="10"/>
  </w:num>
  <w:num w:numId="15">
    <w:abstractNumId w:val="4"/>
  </w:num>
  <w:num w:numId="16">
    <w:abstractNumId w:val="3"/>
  </w:num>
  <w:num w:numId="17">
    <w:abstractNumId w:val="5"/>
  </w:num>
  <w:num w:numId="18">
    <w:abstractNumId w:val="14"/>
  </w:num>
  <w:num w:numId="19">
    <w:abstractNumId w:val="19"/>
  </w:num>
  <w:num w:numId="20">
    <w:abstractNumId w:val="17"/>
  </w:num>
  <w:num w:numId="21">
    <w:abstractNumId w:val="8"/>
  </w:num>
  <w:num w:numId="22">
    <w:abstractNumId w:val="11"/>
  </w:num>
  <w:num w:numId="23">
    <w:abstractNumId w:val="20"/>
  </w:num>
  <w:num w:numId="24">
    <w:abstractNumId w:val="1"/>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2D"/>
    <w:rsid w:val="00000B9E"/>
    <w:rsid w:val="00012933"/>
    <w:rsid w:val="000252EC"/>
    <w:rsid w:val="0003595B"/>
    <w:rsid w:val="00036385"/>
    <w:rsid w:val="00050864"/>
    <w:rsid w:val="00051E1E"/>
    <w:rsid w:val="00054C56"/>
    <w:rsid w:val="00063DF8"/>
    <w:rsid w:val="000713CF"/>
    <w:rsid w:val="00075C14"/>
    <w:rsid w:val="00094B87"/>
    <w:rsid w:val="000964D0"/>
    <w:rsid w:val="000A1F8C"/>
    <w:rsid w:val="000A5418"/>
    <w:rsid w:val="000A754D"/>
    <w:rsid w:val="000B1E8C"/>
    <w:rsid w:val="000B595C"/>
    <w:rsid w:val="000C1128"/>
    <w:rsid w:val="000D69C7"/>
    <w:rsid w:val="000D7C75"/>
    <w:rsid w:val="000D7CB3"/>
    <w:rsid w:val="000F517C"/>
    <w:rsid w:val="000F5540"/>
    <w:rsid w:val="00106B56"/>
    <w:rsid w:val="00122653"/>
    <w:rsid w:val="00125217"/>
    <w:rsid w:val="00130A94"/>
    <w:rsid w:val="00131FCA"/>
    <w:rsid w:val="00133947"/>
    <w:rsid w:val="00134CC7"/>
    <w:rsid w:val="00135C32"/>
    <w:rsid w:val="001433F1"/>
    <w:rsid w:val="001539DD"/>
    <w:rsid w:val="00164353"/>
    <w:rsid w:val="00175BD2"/>
    <w:rsid w:val="001771D4"/>
    <w:rsid w:val="0018114D"/>
    <w:rsid w:val="001832C2"/>
    <w:rsid w:val="001923E8"/>
    <w:rsid w:val="00196568"/>
    <w:rsid w:val="00197B92"/>
    <w:rsid w:val="001A2F16"/>
    <w:rsid w:val="001A34FF"/>
    <w:rsid w:val="001B18C2"/>
    <w:rsid w:val="001D5D7E"/>
    <w:rsid w:val="001E1432"/>
    <w:rsid w:val="001E3E70"/>
    <w:rsid w:val="001F5947"/>
    <w:rsid w:val="002074B0"/>
    <w:rsid w:val="00213E0B"/>
    <w:rsid w:val="0021588B"/>
    <w:rsid w:val="002216AC"/>
    <w:rsid w:val="002219FD"/>
    <w:rsid w:val="0023010A"/>
    <w:rsid w:val="00230738"/>
    <w:rsid w:val="00234735"/>
    <w:rsid w:val="00241BCF"/>
    <w:rsid w:val="00254A1B"/>
    <w:rsid w:val="0026736F"/>
    <w:rsid w:val="00275ED2"/>
    <w:rsid w:val="00281D7E"/>
    <w:rsid w:val="0028454D"/>
    <w:rsid w:val="00286912"/>
    <w:rsid w:val="00287A2A"/>
    <w:rsid w:val="00290AAE"/>
    <w:rsid w:val="00291C9E"/>
    <w:rsid w:val="002926D4"/>
    <w:rsid w:val="00292F14"/>
    <w:rsid w:val="002B416F"/>
    <w:rsid w:val="002C07DA"/>
    <w:rsid w:val="002C4B51"/>
    <w:rsid w:val="002C7EA9"/>
    <w:rsid w:val="002F2F9A"/>
    <w:rsid w:val="003131A3"/>
    <w:rsid w:val="00317D9A"/>
    <w:rsid w:val="00336A0D"/>
    <w:rsid w:val="00342F20"/>
    <w:rsid w:val="00343067"/>
    <w:rsid w:val="00350EC2"/>
    <w:rsid w:val="003540E0"/>
    <w:rsid w:val="003548C2"/>
    <w:rsid w:val="0037421D"/>
    <w:rsid w:val="00375049"/>
    <w:rsid w:val="003809C7"/>
    <w:rsid w:val="003829E0"/>
    <w:rsid w:val="00397277"/>
    <w:rsid w:val="003A3AE3"/>
    <w:rsid w:val="003B03B2"/>
    <w:rsid w:val="003B6263"/>
    <w:rsid w:val="003B6428"/>
    <w:rsid w:val="003C64A7"/>
    <w:rsid w:val="003D25E1"/>
    <w:rsid w:val="003D3FDA"/>
    <w:rsid w:val="003E5F5B"/>
    <w:rsid w:val="003F505C"/>
    <w:rsid w:val="003F6D48"/>
    <w:rsid w:val="00403CE4"/>
    <w:rsid w:val="00420822"/>
    <w:rsid w:val="0042126E"/>
    <w:rsid w:val="004323BB"/>
    <w:rsid w:val="00433925"/>
    <w:rsid w:val="004404C0"/>
    <w:rsid w:val="00440BEE"/>
    <w:rsid w:val="00444170"/>
    <w:rsid w:val="0045458F"/>
    <w:rsid w:val="00455FD4"/>
    <w:rsid w:val="004633B4"/>
    <w:rsid w:val="00483317"/>
    <w:rsid w:val="004854EE"/>
    <w:rsid w:val="004A4DE4"/>
    <w:rsid w:val="004B3553"/>
    <w:rsid w:val="004F733C"/>
    <w:rsid w:val="00515050"/>
    <w:rsid w:val="0051686D"/>
    <w:rsid w:val="005177DD"/>
    <w:rsid w:val="005201CA"/>
    <w:rsid w:val="00521BF0"/>
    <w:rsid w:val="005263C8"/>
    <w:rsid w:val="00530E8C"/>
    <w:rsid w:val="005442A4"/>
    <w:rsid w:val="00545933"/>
    <w:rsid w:val="0054610B"/>
    <w:rsid w:val="005549C9"/>
    <w:rsid w:val="00557544"/>
    <w:rsid w:val="005606F6"/>
    <w:rsid w:val="005614DC"/>
    <w:rsid w:val="00575CDC"/>
    <w:rsid w:val="00575ED9"/>
    <w:rsid w:val="00577C0A"/>
    <w:rsid w:val="00587875"/>
    <w:rsid w:val="005B1E77"/>
    <w:rsid w:val="005B244E"/>
    <w:rsid w:val="005C5EB6"/>
    <w:rsid w:val="005D3914"/>
    <w:rsid w:val="005D6B2F"/>
    <w:rsid w:val="005E3896"/>
    <w:rsid w:val="005E6C90"/>
    <w:rsid w:val="00607E2B"/>
    <w:rsid w:val="006139D6"/>
    <w:rsid w:val="00615999"/>
    <w:rsid w:val="00623CE1"/>
    <w:rsid w:val="0063062B"/>
    <w:rsid w:val="00636BAD"/>
    <w:rsid w:val="00660E1D"/>
    <w:rsid w:val="0066388B"/>
    <w:rsid w:val="00667229"/>
    <w:rsid w:val="00675C31"/>
    <w:rsid w:val="006769C2"/>
    <w:rsid w:val="00682BE5"/>
    <w:rsid w:val="006843DA"/>
    <w:rsid w:val="00690FED"/>
    <w:rsid w:val="006939A5"/>
    <w:rsid w:val="006A15A4"/>
    <w:rsid w:val="006A74A2"/>
    <w:rsid w:val="006B6778"/>
    <w:rsid w:val="006C2D39"/>
    <w:rsid w:val="006E12FC"/>
    <w:rsid w:val="006F375E"/>
    <w:rsid w:val="00705C2D"/>
    <w:rsid w:val="00705E61"/>
    <w:rsid w:val="00712451"/>
    <w:rsid w:val="00731041"/>
    <w:rsid w:val="00732F08"/>
    <w:rsid w:val="00733D32"/>
    <w:rsid w:val="007350E2"/>
    <w:rsid w:val="0074190C"/>
    <w:rsid w:val="007564C0"/>
    <w:rsid w:val="00762576"/>
    <w:rsid w:val="00791060"/>
    <w:rsid w:val="007A1BDE"/>
    <w:rsid w:val="007A3E29"/>
    <w:rsid w:val="007B3299"/>
    <w:rsid w:val="007B3D18"/>
    <w:rsid w:val="007B5626"/>
    <w:rsid w:val="007B5E37"/>
    <w:rsid w:val="007B6619"/>
    <w:rsid w:val="007D29E5"/>
    <w:rsid w:val="007D2B3D"/>
    <w:rsid w:val="007E1FDD"/>
    <w:rsid w:val="007E7497"/>
    <w:rsid w:val="007F08FF"/>
    <w:rsid w:val="007F0B2A"/>
    <w:rsid w:val="007F1651"/>
    <w:rsid w:val="00803C99"/>
    <w:rsid w:val="0080570B"/>
    <w:rsid w:val="008148E1"/>
    <w:rsid w:val="00816F4E"/>
    <w:rsid w:val="00831716"/>
    <w:rsid w:val="008319BF"/>
    <w:rsid w:val="008337EA"/>
    <w:rsid w:val="00850E1C"/>
    <w:rsid w:val="008624ED"/>
    <w:rsid w:val="00870944"/>
    <w:rsid w:val="008851A9"/>
    <w:rsid w:val="008950FB"/>
    <w:rsid w:val="00897849"/>
    <w:rsid w:val="008A423E"/>
    <w:rsid w:val="008A73CD"/>
    <w:rsid w:val="008D084B"/>
    <w:rsid w:val="008D0E09"/>
    <w:rsid w:val="008E2F00"/>
    <w:rsid w:val="008E3821"/>
    <w:rsid w:val="008F2153"/>
    <w:rsid w:val="008F301D"/>
    <w:rsid w:val="0090090B"/>
    <w:rsid w:val="009306C7"/>
    <w:rsid w:val="00953737"/>
    <w:rsid w:val="0095644D"/>
    <w:rsid w:val="00957294"/>
    <w:rsid w:val="00972289"/>
    <w:rsid w:val="0097693B"/>
    <w:rsid w:val="00993355"/>
    <w:rsid w:val="009A46BF"/>
    <w:rsid w:val="009A4A6D"/>
    <w:rsid w:val="009B74AC"/>
    <w:rsid w:val="009C0B35"/>
    <w:rsid w:val="009C361C"/>
    <w:rsid w:val="009C434B"/>
    <w:rsid w:val="00A0503B"/>
    <w:rsid w:val="00A13265"/>
    <w:rsid w:val="00A16F8E"/>
    <w:rsid w:val="00A20980"/>
    <w:rsid w:val="00A31185"/>
    <w:rsid w:val="00A61885"/>
    <w:rsid w:val="00A71136"/>
    <w:rsid w:val="00A967BF"/>
    <w:rsid w:val="00AA2D8E"/>
    <w:rsid w:val="00AA474C"/>
    <w:rsid w:val="00AA4990"/>
    <w:rsid w:val="00AB0EAD"/>
    <w:rsid w:val="00AB2572"/>
    <w:rsid w:val="00AB6D04"/>
    <w:rsid w:val="00AC19BB"/>
    <w:rsid w:val="00AC3970"/>
    <w:rsid w:val="00AD7E5F"/>
    <w:rsid w:val="00AF6E67"/>
    <w:rsid w:val="00AF6FDF"/>
    <w:rsid w:val="00B01AA1"/>
    <w:rsid w:val="00B24089"/>
    <w:rsid w:val="00B30C81"/>
    <w:rsid w:val="00B34275"/>
    <w:rsid w:val="00B3474C"/>
    <w:rsid w:val="00B36656"/>
    <w:rsid w:val="00B4793B"/>
    <w:rsid w:val="00B54758"/>
    <w:rsid w:val="00B66740"/>
    <w:rsid w:val="00B676EF"/>
    <w:rsid w:val="00B70815"/>
    <w:rsid w:val="00B76233"/>
    <w:rsid w:val="00B94EAF"/>
    <w:rsid w:val="00B97AC9"/>
    <w:rsid w:val="00BB7E96"/>
    <w:rsid w:val="00BC7506"/>
    <w:rsid w:val="00BE4C66"/>
    <w:rsid w:val="00BF35AA"/>
    <w:rsid w:val="00C15633"/>
    <w:rsid w:val="00C15799"/>
    <w:rsid w:val="00C20F4D"/>
    <w:rsid w:val="00C256E8"/>
    <w:rsid w:val="00C26745"/>
    <w:rsid w:val="00C357AD"/>
    <w:rsid w:val="00C3644A"/>
    <w:rsid w:val="00C6069C"/>
    <w:rsid w:val="00C73F61"/>
    <w:rsid w:val="00C75805"/>
    <w:rsid w:val="00C85119"/>
    <w:rsid w:val="00CC56C6"/>
    <w:rsid w:val="00CD5431"/>
    <w:rsid w:val="00CE6DD9"/>
    <w:rsid w:val="00CF2491"/>
    <w:rsid w:val="00CF2CBA"/>
    <w:rsid w:val="00CF3030"/>
    <w:rsid w:val="00CF5DDC"/>
    <w:rsid w:val="00CF7B69"/>
    <w:rsid w:val="00D06742"/>
    <w:rsid w:val="00D1252E"/>
    <w:rsid w:val="00D12CE1"/>
    <w:rsid w:val="00D14384"/>
    <w:rsid w:val="00D16FBA"/>
    <w:rsid w:val="00D23CD6"/>
    <w:rsid w:val="00D2444D"/>
    <w:rsid w:val="00D31452"/>
    <w:rsid w:val="00D500B1"/>
    <w:rsid w:val="00D5307B"/>
    <w:rsid w:val="00D57772"/>
    <w:rsid w:val="00D651AB"/>
    <w:rsid w:val="00D72AE3"/>
    <w:rsid w:val="00D75A4D"/>
    <w:rsid w:val="00D8478B"/>
    <w:rsid w:val="00D84CEE"/>
    <w:rsid w:val="00D86151"/>
    <w:rsid w:val="00D91215"/>
    <w:rsid w:val="00DA3CC4"/>
    <w:rsid w:val="00DA7595"/>
    <w:rsid w:val="00DB0A68"/>
    <w:rsid w:val="00DB13B0"/>
    <w:rsid w:val="00DB28C8"/>
    <w:rsid w:val="00DB4A1C"/>
    <w:rsid w:val="00DB7041"/>
    <w:rsid w:val="00DC43A3"/>
    <w:rsid w:val="00DD6242"/>
    <w:rsid w:val="00DD7C09"/>
    <w:rsid w:val="00DE54CF"/>
    <w:rsid w:val="00DF791C"/>
    <w:rsid w:val="00E0124F"/>
    <w:rsid w:val="00E02E0D"/>
    <w:rsid w:val="00E06286"/>
    <w:rsid w:val="00E17376"/>
    <w:rsid w:val="00E23D98"/>
    <w:rsid w:val="00E403B9"/>
    <w:rsid w:val="00E41BE2"/>
    <w:rsid w:val="00E52F59"/>
    <w:rsid w:val="00E5341E"/>
    <w:rsid w:val="00E545D9"/>
    <w:rsid w:val="00E65FC2"/>
    <w:rsid w:val="00E674D3"/>
    <w:rsid w:val="00E70FD0"/>
    <w:rsid w:val="00E80263"/>
    <w:rsid w:val="00EA0BBD"/>
    <w:rsid w:val="00EA7027"/>
    <w:rsid w:val="00EB2081"/>
    <w:rsid w:val="00EC249E"/>
    <w:rsid w:val="00EE3496"/>
    <w:rsid w:val="00EF2406"/>
    <w:rsid w:val="00F00257"/>
    <w:rsid w:val="00F025C9"/>
    <w:rsid w:val="00F02748"/>
    <w:rsid w:val="00F27A79"/>
    <w:rsid w:val="00F42B35"/>
    <w:rsid w:val="00F440A5"/>
    <w:rsid w:val="00F5332C"/>
    <w:rsid w:val="00F55E0A"/>
    <w:rsid w:val="00F626B7"/>
    <w:rsid w:val="00F650EB"/>
    <w:rsid w:val="00F84067"/>
    <w:rsid w:val="00F871F5"/>
    <w:rsid w:val="00FC156A"/>
    <w:rsid w:val="00FC5766"/>
    <w:rsid w:val="00FC7A38"/>
    <w:rsid w:val="00FE3DE5"/>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92590F"/>
  <w15:docId w15:val="{89C1F0ED-BF91-4B70-983E-58AEFC26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iPriority w:val="99"/>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uiPriority w:val="99"/>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character" w:styleId="UnresolvedMention">
    <w:name w:val="Unresolved Mention"/>
    <w:basedOn w:val="DefaultParagraphFont"/>
    <w:uiPriority w:val="99"/>
    <w:semiHidden/>
    <w:unhideWhenUsed/>
    <w:rsid w:val="009306C7"/>
    <w:rPr>
      <w:color w:val="605E5C"/>
      <w:shd w:val="clear" w:color="auto" w:fill="E1DFDD"/>
    </w:rPr>
  </w:style>
  <w:style w:type="paragraph" w:customStyle="1" w:styleId="Call">
    <w:name w:val="Call"/>
    <w:basedOn w:val="Normal"/>
    <w:next w:val="Normal"/>
    <w:link w:val="CallChar"/>
    <w:rsid w:val="000C1128"/>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pPr>
    <w:rPr>
      <w:rFonts w:ascii="Calibri" w:eastAsia="MS Mincho" w:hAnsi="Calibri" w:cs="Calibri"/>
      <w:i/>
      <w:szCs w:val="22"/>
    </w:rPr>
  </w:style>
  <w:style w:type="character" w:customStyle="1" w:styleId="CallChar">
    <w:name w:val="Call Char"/>
    <w:basedOn w:val="DefaultParagraphFont"/>
    <w:link w:val="Call"/>
    <w:locked/>
    <w:rsid w:val="000C1128"/>
    <w:rPr>
      <w:rFonts w:ascii="Calibri" w:eastAsia="MS Mincho" w:hAnsi="Calibri" w:cs="Calibri"/>
      <w: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R19-WP7A-C-0013/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dms_ties/itu-r/md/19/wp7a/c/R19-WP7A-C-0013!N02!MSW-E.docx"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2-CPM15.02-R-0001/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dms_pub/itu-r/md/15/wrc15/c/R15-WRC15-C-0032!A14!MSW-E.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rec/R-REC-TF.460/recommendation.asp?lang=en&amp;parent=R-REC-TF.460-6-200202-I"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23\APG23-2\APG23-2%20Document%20Template%20Oth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81F3E-E75B-4637-BCAD-08C75B29A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APG23-2 Document Template Others</Template>
  <TotalTime>225</TotalTime>
  <Pages>4</Pages>
  <Words>1113</Words>
  <Characters>6346</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Tawhid Hussain</cp:lastModifiedBy>
  <cp:revision>67</cp:revision>
  <cp:lastPrinted>2004-07-28T02:14:00Z</cp:lastPrinted>
  <dcterms:created xsi:type="dcterms:W3CDTF">2021-02-10T02:11:00Z</dcterms:created>
  <dcterms:modified xsi:type="dcterms:W3CDTF">2021-03-14T05:50:00Z</dcterms:modified>
</cp:coreProperties>
</file>