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CA3D60">
            <w:pPr>
              <w:pStyle w:val="Note"/>
              <w:widowControl w:val="0"/>
              <w:tabs>
                <w:tab w:val="clear" w:pos="284"/>
                <w:tab w:val="clear" w:pos="1134"/>
                <w:tab w:val="clear" w:pos="1871"/>
                <w:tab w:val="clear" w:pos="2268"/>
              </w:tabs>
              <w:overflowPunct w:val="0"/>
              <w:spacing w:before="0"/>
              <w:rPr>
                <w:noProof w:val="0"/>
                <w:kern w:val="2"/>
                <w:sz w:val="24"/>
                <w:szCs w:val="24"/>
              </w:rPr>
            </w:pPr>
            <w:r>
              <w:rPr>
                <w:kern w:val="2"/>
                <w:sz w:val="24"/>
                <w:szCs w:val="24"/>
                <w:lang w:eastAsia="ja-JP"/>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CA3D60">
            <w:pPr>
              <w:overflowPunct w:val="0"/>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CA3D60">
            <w:pPr>
              <w:pStyle w:val="Heading8"/>
              <w:wordWrap/>
              <w:overflowPunct w:val="0"/>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CA3D60">
            <w:pPr>
              <w:overflowPunct w:val="0"/>
            </w:pPr>
          </w:p>
        </w:tc>
        <w:tc>
          <w:tcPr>
            <w:tcW w:w="5760" w:type="dxa"/>
            <w:vAlign w:val="center"/>
          </w:tcPr>
          <w:p w14:paraId="3C6E6232" w14:textId="77777777" w:rsidR="003D25E1" w:rsidRPr="00891D0B" w:rsidRDefault="00C73F61" w:rsidP="00CA3D60">
            <w:pPr>
              <w:overflowPunct w:val="0"/>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158FC729" w:rsidR="007E1FDD" w:rsidRDefault="001E1432" w:rsidP="00CA3D60">
            <w:pPr>
              <w:overflowPunct w:val="0"/>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762618">
              <w:rPr>
                <w:b/>
                <w:bCs/>
                <w:lang w:val="fr-FR"/>
              </w:rPr>
              <w:t>07</w:t>
            </w:r>
          </w:p>
          <w:p w14:paraId="042FD16E" w14:textId="77777777" w:rsidR="003D25E1" w:rsidRPr="007E1FDD" w:rsidRDefault="003D25E1" w:rsidP="00CA3D60">
            <w:pPr>
              <w:overflowPunct w:val="0"/>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CA3D60">
            <w:pPr>
              <w:overflowPunct w:val="0"/>
              <w:rPr>
                <w:lang w:val="en-GB"/>
              </w:rPr>
            </w:pPr>
          </w:p>
        </w:tc>
        <w:tc>
          <w:tcPr>
            <w:tcW w:w="5760" w:type="dxa"/>
            <w:vAlign w:val="bottom"/>
          </w:tcPr>
          <w:p w14:paraId="7BA3957E" w14:textId="77777777" w:rsidR="007E1FDD" w:rsidRPr="00712451" w:rsidRDefault="008624ED" w:rsidP="00CA3D60">
            <w:pPr>
              <w:overflowPunct w:val="0"/>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38AFE032" w:rsidR="007E1FDD" w:rsidRPr="007E1FDD" w:rsidRDefault="00762618" w:rsidP="00CA3D60">
            <w:pPr>
              <w:overflowPunct w:val="0"/>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CA3D60">
      <w:pPr>
        <w:overflowPunct w:val="0"/>
        <w:rPr>
          <w:lang w:eastAsia="ko-KR"/>
        </w:rPr>
      </w:pPr>
    </w:p>
    <w:p w14:paraId="416BBD44" w14:textId="77777777" w:rsidR="00FF72BB" w:rsidRDefault="00FF72BB" w:rsidP="00CA3D60">
      <w:pPr>
        <w:overflowPunct w:val="0"/>
        <w:jc w:val="center"/>
        <w:rPr>
          <w:lang w:eastAsia="ko-KR"/>
        </w:rPr>
      </w:pPr>
    </w:p>
    <w:p w14:paraId="5D48B783" w14:textId="5058FEBC" w:rsidR="00DA7595" w:rsidRPr="00051E1E" w:rsidRDefault="004B2CCC" w:rsidP="00CA3D60">
      <w:pPr>
        <w:overflowPunct w:val="0"/>
        <w:jc w:val="center"/>
        <w:rPr>
          <w:lang w:eastAsia="ko-KR"/>
        </w:rPr>
      </w:pPr>
      <w:r>
        <w:rPr>
          <w:lang w:eastAsia="ko-KR"/>
        </w:rPr>
        <w:t xml:space="preserve">Chairman, DG on AI </w:t>
      </w:r>
      <w:r>
        <w:rPr>
          <w:rFonts w:hint="eastAsia"/>
          <w:lang w:eastAsia="ko-KR"/>
        </w:rPr>
        <w:t>9</w:t>
      </w:r>
      <w:r w:rsidR="00EA0BBD">
        <w:rPr>
          <w:lang w:eastAsia="ko-KR"/>
        </w:rPr>
        <w:t>.</w:t>
      </w:r>
      <w:r>
        <w:rPr>
          <w:rFonts w:hint="eastAsia"/>
          <w:lang w:eastAsia="ko-KR"/>
        </w:rPr>
        <w:t>1.C</w:t>
      </w:r>
    </w:p>
    <w:p w14:paraId="49B50650" w14:textId="77777777" w:rsidR="007E7497" w:rsidRPr="00B355DB" w:rsidRDefault="007E7497" w:rsidP="00CA3D60">
      <w:pPr>
        <w:overflowPunct w:val="0"/>
        <w:jc w:val="center"/>
        <w:rPr>
          <w:caps/>
        </w:rPr>
      </w:pPr>
    </w:p>
    <w:p w14:paraId="40C01037" w14:textId="4ECD587C" w:rsidR="007E7497" w:rsidRPr="00F22892" w:rsidRDefault="00EA0BBD" w:rsidP="00CA3D60">
      <w:pPr>
        <w:overflowPunct w:val="0"/>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4B2CCC">
        <w:rPr>
          <w:b/>
          <w:bCs/>
          <w:caps/>
        </w:rPr>
        <w:t xml:space="preserve">agenda item </w:t>
      </w:r>
      <w:r w:rsidR="004B2CCC">
        <w:rPr>
          <w:rFonts w:hint="eastAsia"/>
          <w:b/>
          <w:bCs/>
          <w:caps/>
          <w:lang w:eastAsia="ko-KR"/>
        </w:rPr>
        <w:t>9</w:t>
      </w:r>
      <w:r>
        <w:rPr>
          <w:b/>
          <w:bCs/>
          <w:caps/>
        </w:rPr>
        <w:t>.</w:t>
      </w:r>
      <w:r w:rsidR="004B2CCC">
        <w:rPr>
          <w:rFonts w:hint="eastAsia"/>
          <w:b/>
          <w:bCs/>
          <w:caps/>
          <w:lang w:eastAsia="ko-KR"/>
        </w:rPr>
        <w:t>1.C</w:t>
      </w:r>
    </w:p>
    <w:p w14:paraId="233AF010" w14:textId="77777777" w:rsidR="007E7497" w:rsidRPr="005E3896" w:rsidRDefault="007E7497" w:rsidP="00CA3D60">
      <w:pPr>
        <w:overflowPunct w:val="0"/>
        <w:jc w:val="both"/>
        <w:rPr>
          <w:bCs/>
          <w:sz w:val="6"/>
        </w:rPr>
      </w:pPr>
    </w:p>
    <w:p w14:paraId="271866BD" w14:textId="0F475CEC" w:rsidR="00D84CEE" w:rsidRPr="00D84CEE" w:rsidRDefault="008825A1" w:rsidP="00CA3D60">
      <w:pPr>
        <w:overflowPunct w:val="0"/>
        <w:jc w:val="both"/>
        <w:rPr>
          <w:sz w:val="10"/>
          <w:lang w:eastAsia="ko-KR"/>
        </w:rPr>
      </w:pPr>
      <w:r>
        <w:rPr>
          <w:rFonts w:hint="eastAsia"/>
          <w:sz w:val="10"/>
          <w:lang w:eastAsia="ko-KR"/>
        </w:rPr>
        <w:t xml:space="preserve">   </w:t>
      </w:r>
    </w:p>
    <w:p w14:paraId="6E2A1ABA" w14:textId="77777777" w:rsidR="00EC249E" w:rsidRDefault="00EC249E" w:rsidP="00CA3D60">
      <w:pPr>
        <w:overflowPunct w:val="0"/>
        <w:spacing w:after="120"/>
        <w:jc w:val="both"/>
        <w:rPr>
          <w:b/>
          <w:lang w:val="en-NZ"/>
        </w:rPr>
      </w:pPr>
    </w:p>
    <w:p w14:paraId="60504901" w14:textId="177A8D24" w:rsidR="00EC249E" w:rsidRPr="00C17F93" w:rsidRDefault="00EC249E" w:rsidP="00CA3D60">
      <w:pPr>
        <w:overflowPunct w:val="0"/>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CA3D60">
      <w:pPr>
        <w:overflowPunct w:val="0"/>
        <w:spacing w:after="120"/>
        <w:jc w:val="both"/>
        <w:rPr>
          <w:b/>
        </w:rPr>
      </w:pPr>
    </w:p>
    <w:p w14:paraId="4E1693DC" w14:textId="20A92433" w:rsidR="00615999" w:rsidRPr="00441526" w:rsidRDefault="009579D3" w:rsidP="00CA3D60">
      <w:pPr>
        <w:overflowPunct w:val="0"/>
        <w:spacing w:after="120"/>
        <w:jc w:val="both"/>
        <w:rPr>
          <w:lang w:val="en-NZ" w:eastAsia="ko-KR"/>
        </w:rPr>
      </w:pPr>
      <w:r>
        <w:rPr>
          <w:b/>
          <w:lang w:val="en-NZ"/>
        </w:rPr>
        <w:t xml:space="preserve">Agenda Item </w:t>
      </w:r>
      <w:r>
        <w:rPr>
          <w:rFonts w:hint="eastAsia"/>
          <w:b/>
          <w:lang w:val="en-NZ" w:eastAsia="ko-KR"/>
        </w:rPr>
        <w:t>9.1</w:t>
      </w:r>
      <w:r w:rsidR="00615999" w:rsidRPr="00441526">
        <w:rPr>
          <w:b/>
          <w:lang w:val="en-NZ"/>
        </w:rPr>
        <w:t>.</w:t>
      </w:r>
      <w:r>
        <w:rPr>
          <w:rFonts w:hint="eastAsia"/>
          <w:b/>
          <w:lang w:val="en-NZ" w:eastAsia="ko-KR"/>
        </w:rPr>
        <w:t>C</w:t>
      </w:r>
      <w:r w:rsidR="00615999" w:rsidRPr="00441526">
        <w:rPr>
          <w:b/>
          <w:lang w:val="en-NZ"/>
        </w:rPr>
        <w:t xml:space="preserve">: </w:t>
      </w:r>
    </w:p>
    <w:p w14:paraId="53333B28" w14:textId="773979D4" w:rsidR="00615999" w:rsidRPr="00441526" w:rsidRDefault="004B2CCC" w:rsidP="00CA3D60">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r w:rsidRPr="004B2CCC">
        <w:rPr>
          <w:rFonts w:hint="eastAsia"/>
          <w:i/>
          <w:lang w:val="en-NZ"/>
        </w:rPr>
        <w:t>;</w:t>
      </w:r>
    </w:p>
    <w:p w14:paraId="3BD549DE" w14:textId="56FA60BB" w:rsidR="0037421D" w:rsidRPr="00615999" w:rsidRDefault="00615999" w:rsidP="00CA3D60">
      <w:pPr>
        <w:overflowPunct w:val="0"/>
        <w:spacing w:after="120"/>
        <w:jc w:val="both"/>
        <w:rPr>
          <w:b/>
          <w:lang w:val="en-NZ"/>
        </w:rPr>
      </w:pPr>
      <w:r>
        <w:rPr>
          <w:b/>
          <w:lang w:val="en-NZ"/>
        </w:rPr>
        <w:t>Relevant Resolutions and Responsible/Contributing ITU-R Groups</w:t>
      </w:r>
    </w:p>
    <w:p w14:paraId="3DA40495" w14:textId="71286BFF" w:rsidR="0037421D" w:rsidRPr="00615999" w:rsidRDefault="0037421D" w:rsidP="00CA3D60">
      <w:pPr>
        <w:overflowPunct w:val="0"/>
        <w:spacing w:after="120"/>
        <w:jc w:val="both"/>
        <w:rPr>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329EF8E8" w14:textId="4570D5B4" w:rsidR="00615999" w:rsidRPr="004B2CCC" w:rsidRDefault="00615999"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4B2CCC">
              <w:rPr>
                <w:rFonts w:eastAsia="Batang"/>
                <w:color w:val="000000" w:themeColor="text1"/>
                <w:lang w:eastAsia="nl-NL"/>
              </w:rPr>
              <w:t>Resolution </w:t>
            </w:r>
            <w:r w:rsidR="004B2CCC">
              <w:rPr>
                <w:rFonts w:eastAsia="Batang" w:hint="eastAsia"/>
                <w:color w:val="000000" w:themeColor="text1"/>
                <w:lang w:eastAsia="ko-KR"/>
              </w:rPr>
              <w:t>175</w:t>
            </w:r>
            <w:r w:rsidRPr="004B2CCC">
              <w:rPr>
                <w:rFonts w:eastAsia="Batang"/>
                <w:b/>
                <w:color w:val="000000" w:themeColor="text1"/>
                <w:lang w:eastAsia="nl-NL"/>
              </w:rPr>
              <w:t> (Rev.WRC</w:t>
            </w:r>
            <w:r w:rsidRPr="004B2CCC">
              <w:rPr>
                <w:rFonts w:eastAsia="Batang"/>
                <w:b/>
                <w:color w:val="000000" w:themeColor="text1"/>
                <w:lang w:eastAsia="nl-NL"/>
              </w:rPr>
              <w:noBreakHyphen/>
              <w:t>19)</w:t>
            </w:r>
          </w:p>
          <w:p w14:paraId="5EE5765B" w14:textId="264F1698" w:rsidR="004B2CCC"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ascii="Calibri" w:eastAsia="Batang" w:hAnsi="Calibri" w:cs="Calibri"/>
                <w:color w:val="000000" w:themeColor="text1"/>
              </w:rPr>
            </w:pPr>
            <w:r w:rsidRPr="004B2CCC">
              <w:rPr>
                <w:rFonts w:eastAsia="Batang" w:hint="eastAsia"/>
                <w:color w:val="000000" w:themeColor="text1"/>
                <w:lang w:eastAsia="nl-NL"/>
              </w:rPr>
              <w:t>Use of International Mobile Telecommunications systems for fixed wireless broadband in the frequency bands allocated to the fixed service on a primary basis</w:t>
            </w:r>
          </w:p>
          <w:p w14:paraId="17BFA2B7" w14:textId="77777777" w:rsidR="00615999" w:rsidRPr="004B2CCC" w:rsidRDefault="00615999"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p>
        </w:tc>
        <w:tc>
          <w:tcPr>
            <w:tcW w:w="6922" w:type="dxa"/>
          </w:tcPr>
          <w:p w14:paraId="503F745C" w14:textId="77777777" w:rsidR="004B2CCC" w:rsidRPr="004B2CCC" w:rsidRDefault="004B2CCC" w:rsidP="00CA3D60">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ascii="Calibri" w:eastAsia="Batang" w:hAnsi="Calibri" w:cs="Calibri"/>
                <w:i/>
                <w:color w:val="000000" w:themeColor="text1"/>
              </w:rPr>
            </w:pPr>
            <w:r w:rsidRPr="004B2CCC">
              <w:rPr>
                <w:rFonts w:eastAsia="MS Mincho"/>
                <w:i/>
                <w:iCs/>
                <w:color w:val="000000" w:themeColor="text1"/>
              </w:rPr>
              <w:t xml:space="preserve">resolves to invite the ITU Radiocommunication Sector </w:t>
            </w:r>
          </w:p>
          <w:p w14:paraId="4FAB38A8" w14:textId="77777777" w:rsidR="004B2CCC"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4B2CCC">
              <w:rPr>
                <w:rFonts w:eastAsia="???"/>
                <w:color w:val="000000" w:themeColor="text1"/>
                <w:lang w:eastAsia="nl-NL"/>
              </w:rPr>
              <w:t>to conduct any necessary studies on the use of IMT systems for fixed wireless broadband in the frequency bands allocated to the fixed service on primary basis, taking into account the relevant ITU-R studies, Handbooks, Recommendations and Reports,</w:t>
            </w:r>
          </w:p>
          <w:p w14:paraId="76A96157" w14:textId="77777777" w:rsidR="004B2CCC"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ascii="Calibri" w:eastAsia="Batang" w:hAnsi="Calibri" w:cs="Calibri"/>
                <w:color w:val="000000" w:themeColor="text1"/>
              </w:rPr>
            </w:pPr>
          </w:p>
          <w:p w14:paraId="5B083E6A" w14:textId="77777777" w:rsidR="004B2CCC" w:rsidRPr="004B2CCC" w:rsidRDefault="004B2CCC" w:rsidP="00CA3D60">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MS Mincho"/>
                <w:i/>
                <w:iCs/>
                <w:color w:val="000000" w:themeColor="text1"/>
              </w:rPr>
            </w:pPr>
            <w:r w:rsidRPr="004B2CCC">
              <w:rPr>
                <w:rFonts w:eastAsia="MS Mincho"/>
                <w:i/>
                <w:iCs/>
                <w:color w:val="000000" w:themeColor="text1"/>
              </w:rPr>
              <w:t xml:space="preserve">instructs the Director of the Radiocommunication Bureau </w:t>
            </w:r>
          </w:p>
          <w:p w14:paraId="0C408485" w14:textId="77777777" w:rsidR="004B2CCC"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ascii="Calibri" w:eastAsia="Batang" w:hAnsi="Calibri" w:cs="Calibri"/>
                <w:color w:val="000000" w:themeColor="text1"/>
              </w:rPr>
            </w:pPr>
            <w:r w:rsidRPr="004B2CCC">
              <w:rPr>
                <w:rFonts w:eastAsia="???"/>
                <w:color w:val="000000" w:themeColor="text1"/>
                <w:lang w:eastAsia="nl-NL"/>
              </w:rPr>
              <w:t>to report to WRC-23 on the results of these studies,</w:t>
            </w:r>
            <w:r w:rsidRPr="004B2CCC">
              <w:rPr>
                <w:rFonts w:ascii="Calibri" w:eastAsia="Batang" w:hAnsi="Calibri" w:cs="Calibri"/>
                <w:color w:val="000000" w:themeColor="text1"/>
                <w:lang w:eastAsia="nl-NL"/>
              </w:rPr>
              <w:t xml:space="preserve"> </w:t>
            </w:r>
          </w:p>
          <w:p w14:paraId="2228A8D3" w14:textId="77777777" w:rsidR="004B2CCC"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ascii="Calibri" w:eastAsia="Batang" w:hAnsi="Calibri" w:cs="Calibri"/>
                <w:color w:val="000000" w:themeColor="text1"/>
              </w:rPr>
            </w:pPr>
          </w:p>
          <w:p w14:paraId="0CE17D93" w14:textId="77777777" w:rsidR="004B2CCC" w:rsidRPr="004B2CCC" w:rsidRDefault="004B2CCC" w:rsidP="00CA3D60">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MS Mincho"/>
                <w:i/>
                <w:iCs/>
                <w:color w:val="000000" w:themeColor="text1"/>
              </w:rPr>
            </w:pPr>
            <w:r w:rsidRPr="004B2CCC">
              <w:rPr>
                <w:rFonts w:eastAsia="MS Mincho"/>
                <w:i/>
                <w:iCs/>
                <w:color w:val="000000" w:themeColor="text1"/>
              </w:rPr>
              <w:t xml:space="preserve">invites administrations </w:t>
            </w:r>
          </w:p>
          <w:p w14:paraId="23E60363" w14:textId="11819B6E" w:rsidR="00615999"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Theme="minorEastAsia"/>
                <w:color w:val="FF0000"/>
                <w:lang w:eastAsia="ko-KR"/>
              </w:rPr>
            </w:pPr>
            <w:r w:rsidRPr="004B2CCC">
              <w:rPr>
                <w:rFonts w:eastAsia="???"/>
                <w:color w:val="000000" w:themeColor="text1"/>
                <w:lang w:eastAsia="nl-NL"/>
              </w:rPr>
              <w:t>to participate in these studies in the process of preparation for WRC-23.</w:t>
            </w:r>
          </w:p>
        </w:tc>
      </w:tr>
    </w:tbl>
    <w:p w14:paraId="5850A44A" w14:textId="7DE88827" w:rsidR="0037421D" w:rsidRDefault="0037421D" w:rsidP="00CA3D60">
      <w:pPr>
        <w:overflowPunct w:val="0"/>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4B2CCC" w:rsidRDefault="00615999" w:rsidP="00CA3D60">
            <w:pPr>
              <w:overflowPunct w:val="0"/>
              <w:rPr>
                <w:color w:val="000000" w:themeColor="text1"/>
              </w:rPr>
            </w:pPr>
            <w:r w:rsidRPr="004B2CCC">
              <w:rPr>
                <w:rFonts w:eastAsia="Batang"/>
                <w:b/>
                <w:color w:val="000000" w:themeColor="text1"/>
              </w:rPr>
              <w:t>Responsible group</w:t>
            </w:r>
          </w:p>
        </w:tc>
        <w:tc>
          <w:tcPr>
            <w:tcW w:w="3908" w:type="dxa"/>
          </w:tcPr>
          <w:p w14:paraId="1B86DE8A" w14:textId="77777777" w:rsidR="00615999" w:rsidRPr="004B2CCC" w:rsidRDefault="00615999" w:rsidP="00CA3D60">
            <w:pPr>
              <w:overflowPunct w:val="0"/>
              <w:rPr>
                <w:color w:val="000000" w:themeColor="text1"/>
              </w:rPr>
            </w:pPr>
            <w:r w:rsidRPr="004B2CCC">
              <w:rPr>
                <w:rFonts w:eastAsia="Batang"/>
                <w:b/>
                <w:color w:val="000000" w:themeColor="text1"/>
              </w:rPr>
              <w:t>Contributing group</w:t>
            </w:r>
          </w:p>
        </w:tc>
      </w:tr>
      <w:tr w:rsidR="00D06742" w:rsidRPr="00D06742" w14:paraId="62627DE7" w14:textId="77777777" w:rsidTr="00395A72">
        <w:tc>
          <w:tcPr>
            <w:tcW w:w="5113" w:type="dxa"/>
          </w:tcPr>
          <w:p w14:paraId="3B831CB3" w14:textId="024C5DF8" w:rsidR="00615999" w:rsidRPr="004B2CCC" w:rsidRDefault="00615999"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color w:val="000000" w:themeColor="text1"/>
                <w:lang w:eastAsia="ko-KR"/>
              </w:rPr>
            </w:pPr>
            <w:r w:rsidRPr="004B2CCC">
              <w:rPr>
                <w:rFonts w:eastAsia="Batang"/>
                <w:b/>
                <w:color w:val="000000" w:themeColor="text1"/>
                <w:lang w:eastAsia="nl-NL"/>
              </w:rPr>
              <w:t>WP 5</w:t>
            </w:r>
            <w:r w:rsidR="004B2CCC" w:rsidRPr="004B2CCC">
              <w:rPr>
                <w:rFonts w:eastAsia="Batang" w:hint="eastAsia"/>
                <w:b/>
                <w:color w:val="000000" w:themeColor="text1"/>
                <w:lang w:eastAsia="ko-KR"/>
              </w:rPr>
              <w:t>A</w:t>
            </w:r>
            <w:r w:rsidRPr="004B2CCC">
              <w:rPr>
                <w:rFonts w:eastAsia="Batang"/>
                <w:color w:val="000000" w:themeColor="text1"/>
                <w:lang w:eastAsia="nl-NL"/>
              </w:rPr>
              <w:t xml:space="preserve"> and </w:t>
            </w:r>
            <w:r w:rsidRPr="004B2CCC">
              <w:rPr>
                <w:rFonts w:eastAsia="Batang"/>
                <w:b/>
                <w:color w:val="000000" w:themeColor="text1"/>
                <w:lang w:eastAsia="nl-NL"/>
              </w:rPr>
              <w:t>WP 5</w:t>
            </w:r>
            <w:r w:rsidR="004B2CCC" w:rsidRPr="004B2CCC">
              <w:rPr>
                <w:rFonts w:eastAsia="Batang" w:hint="eastAsia"/>
                <w:b/>
                <w:color w:val="000000" w:themeColor="text1"/>
                <w:lang w:eastAsia="ko-KR"/>
              </w:rPr>
              <w:t>C</w:t>
            </w:r>
          </w:p>
          <w:p w14:paraId="2FF0C3D0" w14:textId="100D8C46" w:rsidR="00615999" w:rsidRPr="004B2CCC" w:rsidRDefault="00615999" w:rsidP="00CA3D60">
            <w:pPr>
              <w:overflowPunct w:val="0"/>
              <w:rPr>
                <w:color w:val="000000" w:themeColor="text1"/>
                <w:lang w:eastAsia="ko-KR"/>
              </w:rPr>
            </w:pPr>
            <w:r w:rsidRPr="004B2CCC">
              <w:rPr>
                <w:rFonts w:eastAsia="Batang"/>
                <w:color w:val="000000" w:themeColor="text1"/>
                <w:u w:val="single"/>
                <w:lang w:eastAsia="nl-NL"/>
              </w:rPr>
              <w:t>Note</w:t>
            </w:r>
            <w:r w:rsidRPr="004B2CCC">
              <w:rPr>
                <w:rFonts w:eastAsia="Batang"/>
                <w:color w:val="000000" w:themeColor="text1"/>
                <w:lang w:eastAsia="nl-NL"/>
              </w:rPr>
              <w:t xml:space="preserve">: </w:t>
            </w:r>
            <w:r w:rsidR="004B2CCC" w:rsidRPr="004B2CCC">
              <w:rPr>
                <w:rFonts w:eastAsia="Batang"/>
                <w:color w:val="000000" w:themeColor="text1"/>
                <w:lang w:eastAsia="nl-NL"/>
              </w:rPr>
              <w:t>This is a joint activity and a joint plenary may be held if required. WP 5A will provide the draft text on the results of studies to the CPM Chapter co-Rapporteurs</w:t>
            </w:r>
          </w:p>
        </w:tc>
        <w:tc>
          <w:tcPr>
            <w:tcW w:w="3908" w:type="dxa"/>
          </w:tcPr>
          <w:p w14:paraId="4294D2A9" w14:textId="27BA514A" w:rsidR="00615999" w:rsidRPr="004B2CCC" w:rsidRDefault="004B2CCC" w:rsidP="00CA3D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4B2CCC">
              <w:rPr>
                <w:rFonts w:eastAsia="Batang"/>
                <w:b/>
                <w:color w:val="000000" w:themeColor="text1"/>
                <w:lang w:eastAsia="nl-NL"/>
              </w:rPr>
              <w:t>WP 1B, WP 4A, WP 4C, WP 5D, WP 6A, WP 7B, WP 7C, WP 7D</w:t>
            </w:r>
          </w:p>
        </w:tc>
      </w:tr>
    </w:tbl>
    <w:p w14:paraId="5CBC4012" w14:textId="77777777" w:rsidR="00615999" w:rsidRDefault="00615999" w:rsidP="00CA3D60">
      <w:pPr>
        <w:overflowPunct w:val="0"/>
        <w:spacing w:after="120"/>
        <w:jc w:val="both"/>
        <w:rPr>
          <w:b/>
        </w:rPr>
      </w:pPr>
    </w:p>
    <w:p w14:paraId="556060EE" w14:textId="5AC2718D" w:rsidR="00D06742" w:rsidRPr="00441526" w:rsidRDefault="00D06742" w:rsidP="00CA3D60">
      <w:pPr>
        <w:overflowPunct w:val="0"/>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E696CE6" w14:textId="6DBD6AC2" w:rsidR="005263C8" w:rsidRDefault="0006313A" w:rsidP="00CA3D60">
      <w:pPr>
        <w:pStyle w:val="ListParagraph"/>
        <w:widowControl w:val="0"/>
        <w:numPr>
          <w:ilvl w:val="0"/>
          <w:numId w:val="22"/>
        </w:numPr>
        <w:overflowPunct w:val="0"/>
        <w:autoSpaceDE w:val="0"/>
        <w:autoSpaceDN w:val="0"/>
        <w:jc w:val="both"/>
      </w:pPr>
      <w:r w:rsidRPr="0006313A">
        <w:rPr>
          <w:rFonts w:eastAsia="MS Mincho" w:hint="eastAsia"/>
          <w:lang w:eastAsia="ja-JP"/>
        </w:rPr>
        <w:t xml:space="preserve">At WRC-19, </w:t>
      </w:r>
      <w:r w:rsidRPr="0006313A">
        <w:rPr>
          <w:rFonts w:eastAsia="MS Mincho"/>
          <w:lang w:eastAsia="ja-JP"/>
        </w:rPr>
        <w:t xml:space="preserve">Bahrain (Kingdom of), Kuwait (State of), Tunisia and United Arab Emirates proposed a new agenda item for WRC-23 on “Study of the use of IMT for Fixed Wireless Broadband in accordance with the primary allocation of the frequency band 10.7-11.7 GHz to the fixed service, taking into account the relevant ITU-R studies” as shown in </w:t>
      </w:r>
      <w:hyperlink r:id="rId9" w:history="1">
        <w:r w:rsidRPr="001C7553">
          <w:rPr>
            <w:rStyle w:val="Hyperlink"/>
            <w:rFonts w:eastAsia="MS Mincho"/>
            <w:lang w:eastAsia="ja-JP"/>
          </w:rPr>
          <w:t>Document 64</w:t>
        </w:r>
      </w:hyperlink>
      <w:r>
        <w:rPr>
          <w:rFonts w:eastAsia="MS Mincho"/>
          <w:lang w:eastAsia="ja-JP"/>
        </w:rPr>
        <w:t xml:space="preserve">. After the extensive discussion at WRC-19, WRC-23 agenda item 9.1, topic c) was agreed. </w:t>
      </w:r>
      <w:r w:rsidRPr="0006313A">
        <w:rPr>
          <w:rFonts w:eastAsia="MS Mincho"/>
          <w:lang w:eastAsia="ja-JP"/>
        </w:rPr>
        <w:t xml:space="preserve"> </w:t>
      </w:r>
      <w:r w:rsidRPr="0006313A">
        <w:rPr>
          <w:rFonts w:eastAsia="MS Mincho" w:hint="eastAsia"/>
          <w:lang w:eastAsia="ja-JP"/>
        </w:rPr>
        <w:t xml:space="preserve"> </w:t>
      </w:r>
    </w:p>
    <w:p w14:paraId="7008CDF8" w14:textId="0D1BC83F" w:rsidR="006B0E3F" w:rsidRDefault="006B0E3F" w:rsidP="00CA3D60">
      <w:pPr>
        <w:pStyle w:val="ListParagraph"/>
        <w:widowControl w:val="0"/>
        <w:numPr>
          <w:ilvl w:val="0"/>
          <w:numId w:val="22"/>
        </w:numPr>
        <w:overflowPunct w:val="0"/>
        <w:autoSpaceDE w:val="0"/>
        <w:autoSpaceDN w:val="0"/>
        <w:jc w:val="both"/>
      </w:pPr>
      <w:r>
        <w:t xml:space="preserve">ITU-R </w:t>
      </w:r>
      <w:r w:rsidRPr="006B0E3F">
        <w:t>W</w:t>
      </w:r>
      <w:r>
        <w:t xml:space="preserve">orking </w:t>
      </w:r>
      <w:r w:rsidRPr="006B0E3F">
        <w:t>P</w:t>
      </w:r>
      <w:r>
        <w:t>arty (WP)</w:t>
      </w:r>
      <w:r w:rsidRPr="006B0E3F">
        <w:t xml:space="preserve"> 5A is responsible for the fixed wireless access applications in the fixed service and WP 5C is responsible for all the other applications of fixed wireless systems, according to the assignment of work by S</w:t>
      </w:r>
      <w:r>
        <w:t xml:space="preserve">tudy </w:t>
      </w:r>
      <w:r w:rsidRPr="006B0E3F">
        <w:t>G</w:t>
      </w:r>
      <w:r>
        <w:t>roup</w:t>
      </w:r>
      <w:r w:rsidRPr="006B0E3F">
        <w:t xml:space="preserve"> 5 to its working parties.</w:t>
      </w:r>
    </w:p>
    <w:p w14:paraId="06DA8377" w14:textId="4E8473DC" w:rsidR="006B0E3F" w:rsidRPr="0053625F" w:rsidRDefault="006B0E3F" w:rsidP="00CA3D60">
      <w:pPr>
        <w:pStyle w:val="ListParagraph"/>
        <w:widowControl w:val="0"/>
        <w:numPr>
          <w:ilvl w:val="0"/>
          <w:numId w:val="22"/>
        </w:numPr>
        <w:overflowPunct w:val="0"/>
        <w:autoSpaceDE w:val="0"/>
        <w:autoSpaceDN w:val="0"/>
        <w:jc w:val="both"/>
      </w:pPr>
      <w:r w:rsidRPr="006B0E3F">
        <w:t>The published Recommendations, Reports and Handbook on Fixe</w:t>
      </w:r>
      <w:r>
        <w:t xml:space="preserve">d Wireless Access are summarized in the following tables, which are based on the information presented in Section 2 and Annex 1 of Document </w:t>
      </w:r>
      <w:hyperlink r:id="rId10" w:history="1">
        <w:r w:rsidRPr="006B0E3F">
          <w:rPr>
            <w:rStyle w:val="Hyperlink"/>
          </w:rPr>
          <w:t>5A/19</w:t>
        </w:r>
      </w:hyperlink>
      <w:r>
        <w:t>.</w:t>
      </w:r>
    </w:p>
    <w:p w14:paraId="2C159C4C" w14:textId="77777777" w:rsidR="0053625F" w:rsidRPr="009579D3" w:rsidRDefault="0053625F" w:rsidP="00CA3D60">
      <w:pPr>
        <w:pStyle w:val="ListParagraph"/>
        <w:widowControl w:val="0"/>
        <w:overflowPunct w:val="0"/>
        <w:autoSpaceDE w:val="0"/>
        <w:autoSpaceDN w:val="0"/>
        <w:jc w:val="both"/>
      </w:pPr>
    </w:p>
    <w:tbl>
      <w:tblPr>
        <w:tblStyle w:val="TableGrid"/>
        <w:tblW w:w="0" w:type="auto"/>
        <w:tblLook w:val="04A0" w:firstRow="1" w:lastRow="0" w:firstColumn="1" w:lastColumn="0" w:noHBand="0" w:noVBand="1"/>
      </w:tblPr>
      <w:tblGrid>
        <w:gridCol w:w="2473"/>
        <w:gridCol w:w="6690"/>
      </w:tblGrid>
      <w:tr w:rsidR="009579D3" w14:paraId="7B5C9918" w14:textId="77777777" w:rsidTr="00FA0C3C">
        <w:tc>
          <w:tcPr>
            <w:tcW w:w="9371" w:type="dxa"/>
            <w:gridSpan w:val="2"/>
          </w:tcPr>
          <w:p w14:paraId="2AC24EFA" w14:textId="1C88F2D4" w:rsidR="009579D3" w:rsidRDefault="009579D3" w:rsidP="00CA3D60">
            <w:pPr>
              <w:widowControl w:val="0"/>
              <w:overflowPunct w:val="0"/>
              <w:autoSpaceDE w:val="0"/>
              <w:autoSpaceDN w:val="0"/>
              <w:jc w:val="both"/>
              <w:rPr>
                <w:lang w:eastAsia="ko-KR"/>
              </w:rPr>
            </w:pPr>
            <w:r>
              <w:rPr>
                <w:rFonts w:hint="eastAsia"/>
                <w:lang w:eastAsia="ko-KR"/>
              </w:rPr>
              <w:t>Vocabulary of terms</w:t>
            </w:r>
          </w:p>
        </w:tc>
      </w:tr>
      <w:tr w:rsidR="00B22E00" w14:paraId="16A5975E" w14:textId="77777777" w:rsidTr="00564477">
        <w:tc>
          <w:tcPr>
            <w:tcW w:w="2518" w:type="dxa"/>
          </w:tcPr>
          <w:p w14:paraId="0B62CDAF" w14:textId="69ACB93A" w:rsidR="00B22E00" w:rsidRDefault="00B22E00" w:rsidP="00CA3D60">
            <w:pPr>
              <w:widowControl w:val="0"/>
              <w:overflowPunct w:val="0"/>
              <w:autoSpaceDE w:val="0"/>
              <w:autoSpaceDN w:val="0"/>
              <w:jc w:val="center"/>
              <w:rPr>
                <w:lang w:eastAsia="ko-KR"/>
              </w:rPr>
            </w:pPr>
            <w:r>
              <w:rPr>
                <w:rFonts w:hint="eastAsia"/>
                <w:lang w:eastAsia="ko-KR"/>
              </w:rPr>
              <w:t>Number</w:t>
            </w:r>
          </w:p>
        </w:tc>
        <w:tc>
          <w:tcPr>
            <w:tcW w:w="6853" w:type="dxa"/>
          </w:tcPr>
          <w:p w14:paraId="687975B5" w14:textId="224ADC3C" w:rsidR="00B22E00" w:rsidRPr="009579D3" w:rsidRDefault="00B22E00" w:rsidP="00CA3D60">
            <w:pPr>
              <w:widowControl w:val="0"/>
              <w:overflowPunct w:val="0"/>
              <w:autoSpaceDE w:val="0"/>
              <w:autoSpaceDN w:val="0"/>
              <w:jc w:val="center"/>
              <w:rPr>
                <w:lang w:eastAsia="ko-KR"/>
              </w:rPr>
            </w:pPr>
            <w:r>
              <w:rPr>
                <w:rFonts w:hint="eastAsia"/>
                <w:lang w:eastAsia="ko-KR"/>
              </w:rPr>
              <w:t>Title</w:t>
            </w:r>
          </w:p>
        </w:tc>
      </w:tr>
      <w:tr w:rsidR="009579D3" w14:paraId="1589B013" w14:textId="77777777" w:rsidTr="00564477">
        <w:tc>
          <w:tcPr>
            <w:tcW w:w="2518" w:type="dxa"/>
          </w:tcPr>
          <w:p w14:paraId="2A6A2A7A" w14:textId="09436A11" w:rsidR="009579D3" w:rsidRDefault="009579D3" w:rsidP="00CA3D60">
            <w:pPr>
              <w:widowControl w:val="0"/>
              <w:overflowPunct w:val="0"/>
              <w:autoSpaceDE w:val="0"/>
              <w:autoSpaceDN w:val="0"/>
              <w:jc w:val="both"/>
              <w:rPr>
                <w:lang w:eastAsia="ko-KR"/>
              </w:rPr>
            </w:pPr>
            <w:r>
              <w:rPr>
                <w:rFonts w:hint="eastAsia"/>
                <w:lang w:eastAsia="ko-KR"/>
              </w:rPr>
              <w:t>Rec. ITU-R F.592</w:t>
            </w:r>
          </w:p>
        </w:tc>
        <w:tc>
          <w:tcPr>
            <w:tcW w:w="6853" w:type="dxa"/>
          </w:tcPr>
          <w:p w14:paraId="45EC4E6E" w14:textId="5A5E152D" w:rsidR="009579D3" w:rsidRDefault="009579D3" w:rsidP="00CA3D60">
            <w:pPr>
              <w:widowControl w:val="0"/>
              <w:overflowPunct w:val="0"/>
              <w:autoSpaceDE w:val="0"/>
              <w:autoSpaceDN w:val="0"/>
              <w:jc w:val="both"/>
              <w:rPr>
                <w:lang w:eastAsia="ko-KR"/>
              </w:rPr>
            </w:pPr>
            <w:r w:rsidRPr="009579D3">
              <w:rPr>
                <w:lang w:eastAsia="ko-KR"/>
              </w:rPr>
              <w:t>Vocabulary of terms for the fixed service</w:t>
            </w:r>
          </w:p>
        </w:tc>
      </w:tr>
      <w:tr w:rsidR="009579D3" w14:paraId="420A9A29" w14:textId="77777777" w:rsidTr="00564477">
        <w:tc>
          <w:tcPr>
            <w:tcW w:w="2518" w:type="dxa"/>
          </w:tcPr>
          <w:p w14:paraId="5E3481C5" w14:textId="56B2FF6A" w:rsidR="009579D3" w:rsidRDefault="009579D3" w:rsidP="00CA3D60">
            <w:pPr>
              <w:widowControl w:val="0"/>
              <w:overflowPunct w:val="0"/>
              <w:autoSpaceDE w:val="0"/>
              <w:autoSpaceDN w:val="0"/>
              <w:jc w:val="both"/>
              <w:rPr>
                <w:lang w:eastAsia="ko-KR"/>
              </w:rPr>
            </w:pPr>
            <w:r>
              <w:rPr>
                <w:rFonts w:hint="eastAsia"/>
                <w:lang w:eastAsia="ko-KR"/>
              </w:rPr>
              <w:t>Rec. ITU-R F.1399</w:t>
            </w:r>
          </w:p>
        </w:tc>
        <w:tc>
          <w:tcPr>
            <w:tcW w:w="6853" w:type="dxa"/>
          </w:tcPr>
          <w:p w14:paraId="1F635D9A" w14:textId="1EA8CCCF" w:rsidR="009579D3" w:rsidRDefault="009579D3" w:rsidP="00CA3D60">
            <w:pPr>
              <w:widowControl w:val="0"/>
              <w:overflowPunct w:val="0"/>
              <w:autoSpaceDE w:val="0"/>
              <w:autoSpaceDN w:val="0"/>
              <w:jc w:val="both"/>
              <w:rPr>
                <w:lang w:eastAsia="ko-KR"/>
              </w:rPr>
            </w:pPr>
            <w:r w:rsidRPr="009579D3">
              <w:rPr>
                <w:lang w:eastAsia="ko-KR"/>
              </w:rPr>
              <w:t xml:space="preserve">Vocabulary of terms for wireless access </w:t>
            </w:r>
          </w:p>
        </w:tc>
      </w:tr>
    </w:tbl>
    <w:p w14:paraId="6CAA890C" w14:textId="77777777" w:rsidR="009579D3" w:rsidRPr="00D06742" w:rsidRDefault="009579D3" w:rsidP="00CA3D60">
      <w:pPr>
        <w:widowControl w:val="0"/>
        <w:overflowPunct w:val="0"/>
        <w:autoSpaceDE w:val="0"/>
        <w:autoSpaceDN w:val="0"/>
        <w:jc w:val="both"/>
        <w:rPr>
          <w:lang w:eastAsia="ko-KR"/>
        </w:rPr>
      </w:pPr>
    </w:p>
    <w:tbl>
      <w:tblPr>
        <w:tblStyle w:val="TableGrid"/>
        <w:tblW w:w="0" w:type="auto"/>
        <w:tblLook w:val="04A0" w:firstRow="1" w:lastRow="0" w:firstColumn="1" w:lastColumn="0" w:noHBand="0" w:noVBand="1"/>
      </w:tblPr>
      <w:tblGrid>
        <w:gridCol w:w="2472"/>
        <w:gridCol w:w="6691"/>
      </w:tblGrid>
      <w:tr w:rsidR="00564477" w14:paraId="40F6E7F4" w14:textId="77777777" w:rsidTr="009A3913">
        <w:tc>
          <w:tcPr>
            <w:tcW w:w="9371" w:type="dxa"/>
            <w:gridSpan w:val="2"/>
          </w:tcPr>
          <w:p w14:paraId="63975DD0" w14:textId="5287C5D3" w:rsidR="00564477" w:rsidRDefault="00564477" w:rsidP="00CA3D60">
            <w:pPr>
              <w:widowControl w:val="0"/>
              <w:overflowPunct w:val="0"/>
              <w:autoSpaceDE w:val="0"/>
              <w:autoSpaceDN w:val="0"/>
              <w:jc w:val="both"/>
              <w:rPr>
                <w:b/>
                <w:lang w:eastAsia="ko-KR"/>
              </w:rPr>
            </w:pPr>
            <w:r w:rsidRPr="00564477">
              <w:rPr>
                <w:rFonts w:hint="eastAsia"/>
                <w:lang w:eastAsia="ko-KR"/>
              </w:rPr>
              <w:t>Frequency</w:t>
            </w:r>
          </w:p>
        </w:tc>
      </w:tr>
      <w:tr w:rsidR="00564477" w:rsidRPr="00564477" w14:paraId="43CB90C1" w14:textId="77777777" w:rsidTr="00564477">
        <w:tc>
          <w:tcPr>
            <w:tcW w:w="2518" w:type="dxa"/>
          </w:tcPr>
          <w:p w14:paraId="5B2D4AFD" w14:textId="29394654" w:rsidR="00564477" w:rsidRPr="00564477" w:rsidRDefault="00B22E00" w:rsidP="00CA3D60">
            <w:pPr>
              <w:widowControl w:val="0"/>
              <w:overflowPunct w:val="0"/>
              <w:autoSpaceDE w:val="0"/>
              <w:autoSpaceDN w:val="0"/>
              <w:jc w:val="center"/>
              <w:rPr>
                <w:lang w:eastAsia="ko-KR"/>
              </w:rPr>
            </w:pPr>
            <w:r>
              <w:rPr>
                <w:rFonts w:hint="eastAsia"/>
                <w:lang w:eastAsia="ko-KR"/>
              </w:rPr>
              <w:t>Number</w:t>
            </w:r>
          </w:p>
        </w:tc>
        <w:tc>
          <w:tcPr>
            <w:tcW w:w="6853" w:type="dxa"/>
          </w:tcPr>
          <w:p w14:paraId="73A2B375" w14:textId="154BBCF1" w:rsidR="00564477" w:rsidRPr="00564477" w:rsidRDefault="00B22E00" w:rsidP="00CA3D60">
            <w:pPr>
              <w:widowControl w:val="0"/>
              <w:overflowPunct w:val="0"/>
              <w:autoSpaceDE w:val="0"/>
              <w:autoSpaceDN w:val="0"/>
              <w:jc w:val="center"/>
              <w:rPr>
                <w:lang w:eastAsia="ko-KR"/>
              </w:rPr>
            </w:pPr>
            <w:r>
              <w:rPr>
                <w:rFonts w:hint="eastAsia"/>
                <w:lang w:eastAsia="ko-KR"/>
              </w:rPr>
              <w:t>Title</w:t>
            </w:r>
          </w:p>
        </w:tc>
      </w:tr>
      <w:tr w:rsidR="00B22E00" w:rsidRPr="00564477" w14:paraId="710ED793" w14:textId="77777777" w:rsidTr="00564477">
        <w:tc>
          <w:tcPr>
            <w:tcW w:w="2518" w:type="dxa"/>
          </w:tcPr>
          <w:p w14:paraId="55B2D196" w14:textId="0E30CA6E" w:rsidR="00B22E00" w:rsidRDefault="00B22E00" w:rsidP="00CA3D60">
            <w:pPr>
              <w:widowControl w:val="0"/>
              <w:overflowPunct w:val="0"/>
              <w:autoSpaceDE w:val="0"/>
              <w:autoSpaceDN w:val="0"/>
              <w:jc w:val="both"/>
              <w:rPr>
                <w:lang w:eastAsia="ko-KR"/>
              </w:rPr>
            </w:pPr>
            <w:r>
              <w:rPr>
                <w:rFonts w:hint="eastAsia"/>
                <w:lang w:eastAsia="ko-KR"/>
              </w:rPr>
              <w:t>Rec. ITU-R F.748</w:t>
            </w:r>
          </w:p>
        </w:tc>
        <w:tc>
          <w:tcPr>
            <w:tcW w:w="6853" w:type="dxa"/>
          </w:tcPr>
          <w:p w14:paraId="481F3A5D" w14:textId="00D2920A" w:rsidR="00B22E00" w:rsidRPr="00564477" w:rsidRDefault="00B22E00" w:rsidP="00CA3D60">
            <w:pPr>
              <w:widowControl w:val="0"/>
              <w:overflowPunct w:val="0"/>
              <w:autoSpaceDE w:val="0"/>
              <w:autoSpaceDN w:val="0"/>
              <w:jc w:val="both"/>
              <w:rPr>
                <w:lang w:eastAsia="ko-KR"/>
              </w:rPr>
            </w:pPr>
            <w:r w:rsidRPr="00564477">
              <w:rPr>
                <w:lang w:eastAsia="ko-KR"/>
              </w:rPr>
              <w:t>Radio-frequency arrangements for systems of the fixed service operating in the 25, 26 and 28 GHz bands</w:t>
            </w:r>
          </w:p>
        </w:tc>
      </w:tr>
      <w:tr w:rsidR="00B22E00" w:rsidRPr="00564477" w14:paraId="3C0E3EDE" w14:textId="77777777" w:rsidTr="00564477">
        <w:tc>
          <w:tcPr>
            <w:tcW w:w="2518" w:type="dxa"/>
          </w:tcPr>
          <w:p w14:paraId="737D22B0" w14:textId="6430BF8B" w:rsidR="00B22E00" w:rsidRPr="00564477" w:rsidRDefault="00B22E00" w:rsidP="00CA3D60">
            <w:pPr>
              <w:widowControl w:val="0"/>
              <w:overflowPunct w:val="0"/>
              <w:autoSpaceDE w:val="0"/>
              <w:autoSpaceDN w:val="0"/>
              <w:jc w:val="both"/>
              <w:rPr>
                <w:lang w:eastAsia="ko-KR"/>
              </w:rPr>
            </w:pPr>
            <w:r>
              <w:rPr>
                <w:rFonts w:hint="eastAsia"/>
                <w:lang w:eastAsia="ko-KR"/>
              </w:rPr>
              <w:t>Rec. ITU-R F.749</w:t>
            </w:r>
          </w:p>
        </w:tc>
        <w:tc>
          <w:tcPr>
            <w:tcW w:w="6853" w:type="dxa"/>
          </w:tcPr>
          <w:p w14:paraId="22A8AD54" w14:textId="0F955724" w:rsidR="00B22E00" w:rsidRPr="00564477" w:rsidRDefault="00B22E00" w:rsidP="00CA3D60">
            <w:pPr>
              <w:widowControl w:val="0"/>
              <w:overflowPunct w:val="0"/>
              <w:autoSpaceDE w:val="0"/>
              <w:autoSpaceDN w:val="0"/>
              <w:jc w:val="both"/>
              <w:rPr>
                <w:lang w:eastAsia="ko-KR"/>
              </w:rPr>
            </w:pPr>
            <w:r w:rsidRPr="00B22E00">
              <w:rPr>
                <w:lang w:eastAsia="ko-KR"/>
              </w:rPr>
              <w:t>Radio-frequency arrangements for systems of the fixed service operating in sub-bands in the 36-40.5 GHz band</w:t>
            </w:r>
          </w:p>
        </w:tc>
      </w:tr>
      <w:tr w:rsidR="00B22E00" w:rsidRPr="00564477" w14:paraId="1808E5FE" w14:textId="77777777" w:rsidTr="00564477">
        <w:tc>
          <w:tcPr>
            <w:tcW w:w="2518" w:type="dxa"/>
          </w:tcPr>
          <w:p w14:paraId="098E8BD7" w14:textId="508A4F4C" w:rsidR="00B22E00" w:rsidRPr="00564477" w:rsidRDefault="00B22E00" w:rsidP="00CA3D60">
            <w:pPr>
              <w:widowControl w:val="0"/>
              <w:overflowPunct w:val="0"/>
              <w:autoSpaceDE w:val="0"/>
              <w:autoSpaceDN w:val="0"/>
              <w:jc w:val="both"/>
              <w:rPr>
                <w:lang w:eastAsia="ko-KR"/>
              </w:rPr>
            </w:pPr>
            <w:r>
              <w:rPr>
                <w:rFonts w:hint="eastAsia"/>
                <w:lang w:eastAsia="ko-KR"/>
              </w:rPr>
              <w:t>Rec. ITU-R F.1402</w:t>
            </w:r>
          </w:p>
        </w:tc>
        <w:tc>
          <w:tcPr>
            <w:tcW w:w="6853" w:type="dxa"/>
          </w:tcPr>
          <w:p w14:paraId="3C976BA1" w14:textId="0E2DEBD1" w:rsidR="00B22E00" w:rsidRPr="00564477" w:rsidRDefault="00B22E00" w:rsidP="00CA3D60">
            <w:pPr>
              <w:widowControl w:val="0"/>
              <w:overflowPunct w:val="0"/>
              <w:autoSpaceDE w:val="0"/>
              <w:autoSpaceDN w:val="0"/>
              <w:jc w:val="both"/>
              <w:rPr>
                <w:lang w:eastAsia="ko-KR"/>
              </w:rPr>
            </w:pPr>
            <w:r w:rsidRPr="00B22E00">
              <w:rPr>
                <w:lang w:eastAsia="ko-KR"/>
              </w:rPr>
              <w:t>Frequency sharing criteria between a land mobile wireless access system and a fixed wireless access system using the same equipment type as the mobile wireless access system</w:t>
            </w:r>
          </w:p>
        </w:tc>
      </w:tr>
      <w:tr w:rsidR="00B22E00" w:rsidRPr="00564477" w14:paraId="75C00C81" w14:textId="77777777" w:rsidTr="00564477">
        <w:tc>
          <w:tcPr>
            <w:tcW w:w="2518" w:type="dxa"/>
          </w:tcPr>
          <w:p w14:paraId="286C0755" w14:textId="5C0215ED" w:rsidR="00B22E00" w:rsidRPr="00564477" w:rsidRDefault="00B22E00" w:rsidP="00CA3D60">
            <w:pPr>
              <w:widowControl w:val="0"/>
              <w:overflowPunct w:val="0"/>
              <w:autoSpaceDE w:val="0"/>
              <w:autoSpaceDN w:val="0"/>
              <w:jc w:val="both"/>
              <w:rPr>
                <w:lang w:eastAsia="ko-KR"/>
              </w:rPr>
            </w:pPr>
            <w:r>
              <w:rPr>
                <w:rFonts w:hint="eastAsia"/>
                <w:lang w:eastAsia="ko-KR"/>
              </w:rPr>
              <w:t>Rec. ITU-R F.1488</w:t>
            </w:r>
          </w:p>
        </w:tc>
        <w:tc>
          <w:tcPr>
            <w:tcW w:w="6853" w:type="dxa"/>
          </w:tcPr>
          <w:p w14:paraId="53621B59" w14:textId="75FE97B1" w:rsidR="00B22E00" w:rsidRPr="00564477" w:rsidRDefault="00B22E00" w:rsidP="00CA3D60">
            <w:pPr>
              <w:widowControl w:val="0"/>
              <w:overflowPunct w:val="0"/>
              <w:autoSpaceDE w:val="0"/>
              <w:autoSpaceDN w:val="0"/>
              <w:jc w:val="both"/>
              <w:rPr>
                <w:lang w:eastAsia="ko-KR"/>
              </w:rPr>
            </w:pPr>
            <w:r w:rsidRPr="00B22E00">
              <w:rPr>
                <w:lang w:eastAsia="ko-KR"/>
              </w:rPr>
              <w:t>Frequency block arrangements for fixed wireless access systems in the range 3 400-3 800 MHz</w:t>
            </w:r>
          </w:p>
        </w:tc>
      </w:tr>
      <w:tr w:rsidR="00B22E00" w:rsidRPr="00564477" w14:paraId="04A4CF74" w14:textId="77777777" w:rsidTr="00564477">
        <w:tc>
          <w:tcPr>
            <w:tcW w:w="2518" w:type="dxa"/>
          </w:tcPr>
          <w:p w14:paraId="01922A0A" w14:textId="257D3FA4" w:rsidR="00B22E00" w:rsidRDefault="00B22E00" w:rsidP="00CA3D60">
            <w:pPr>
              <w:widowControl w:val="0"/>
              <w:overflowPunct w:val="0"/>
              <w:autoSpaceDE w:val="0"/>
              <w:autoSpaceDN w:val="0"/>
              <w:jc w:val="both"/>
              <w:rPr>
                <w:lang w:eastAsia="ko-KR"/>
              </w:rPr>
            </w:pPr>
            <w:r>
              <w:rPr>
                <w:rFonts w:hint="eastAsia"/>
                <w:lang w:eastAsia="ko-KR"/>
              </w:rPr>
              <w:t>Rec. ITU-R F.1489</w:t>
            </w:r>
          </w:p>
        </w:tc>
        <w:tc>
          <w:tcPr>
            <w:tcW w:w="6853" w:type="dxa"/>
          </w:tcPr>
          <w:p w14:paraId="5F636EF6" w14:textId="611E66AF" w:rsidR="00B22E00" w:rsidRPr="00B22E00" w:rsidRDefault="00B22E00" w:rsidP="00CA3D60">
            <w:pPr>
              <w:widowControl w:val="0"/>
              <w:overflowPunct w:val="0"/>
              <w:autoSpaceDE w:val="0"/>
              <w:autoSpaceDN w:val="0"/>
              <w:jc w:val="both"/>
              <w:rPr>
                <w:lang w:eastAsia="ko-KR"/>
              </w:rPr>
            </w:pPr>
            <w:r w:rsidRPr="00B22E00">
              <w:rPr>
                <w:lang w:eastAsia="ko-KR"/>
              </w:rPr>
              <w:t>A methodology for assessing the level of operational compatibility between fixed wireless access and radiolocation systems when sharing the band 3.4-3.7 GHz</w:t>
            </w:r>
          </w:p>
        </w:tc>
      </w:tr>
      <w:tr w:rsidR="00B22E00" w:rsidRPr="00564477" w14:paraId="5F919E7D" w14:textId="77777777" w:rsidTr="00564477">
        <w:tc>
          <w:tcPr>
            <w:tcW w:w="2518" w:type="dxa"/>
          </w:tcPr>
          <w:p w14:paraId="56EE7D40" w14:textId="2E732324" w:rsidR="00B22E00" w:rsidRDefault="00B22E00" w:rsidP="00CA3D60">
            <w:pPr>
              <w:widowControl w:val="0"/>
              <w:overflowPunct w:val="0"/>
              <w:autoSpaceDE w:val="0"/>
              <w:autoSpaceDN w:val="0"/>
              <w:jc w:val="both"/>
              <w:rPr>
                <w:lang w:eastAsia="ko-KR"/>
              </w:rPr>
            </w:pPr>
            <w:r>
              <w:rPr>
                <w:rFonts w:hint="eastAsia"/>
                <w:lang w:eastAsia="ko-KR"/>
              </w:rPr>
              <w:t>Rec. ITU-R F.1518</w:t>
            </w:r>
          </w:p>
        </w:tc>
        <w:tc>
          <w:tcPr>
            <w:tcW w:w="6853" w:type="dxa"/>
          </w:tcPr>
          <w:p w14:paraId="1647E7BB" w14:textId="183B2234" w:rsidR="00B22E00" w:rsidRPr="00B22E00" w:rsidRDefault="00B22E00" w:rsidP="00CA3D60">
            <w:pPr>
              <w:widowControl w:val="0"/>
              <w:overflowPunct w:val="0"/>
              <w:autoSpaceDE w:val="0"/>
              <w:autoSpaceDN w:val="0"/>
              <w:jc w:val="both"/>
              <w:rPr>
                <w:lang w:eastAsia="ko-KR"/>
              </w:rPr>
            </w:pPr>
            <w:r w:rsidRPr="00B22E00">
              <w:rPr>
                <w:lang w:eastAsia="ko-KR"/>
              </w:rPr>
              <w:t>Spectrum requirement methodology for fixed wireless access and mobile wireless access networks using the same type of equipment, when coexisting in the same frequency band</w:t>
            </w:r>
          </w:p>
        </w:tc>
      </w:tr>
      <w:tr w:rsidR="00B22E00" w:rsidRPr="00564477" w14:paraId="02015C7F" w14:textId="77777777" w:rsidTr="00564477">
        <w:tc>
          <w:tcPr>
            <w:tcW w:w="2518" w:type="dxa"/>
          </w:tcPr>
          <w:p w14:paraId="7091D6F2" w14:textId="34FC056B" w:rsidR="00B22E00" w:rsidRDefault="00B22E00" w:rsidP="00CA3D60">
            <w:pPr>
              <w:widowControl w:val="0"/>
              <w:overflowPunct w:val="0"/>
              <w:autoSpaceDE w:val="0"/>
              <w:autoSpaceDN w:val="0"/>
              <w:jc w:val="both"/>
              <w:rPr>
                <w:lang w:eastAsia="ko-KR"/>
              </w:rPr>
            </w:pPr>
            <w:r>
              <w:rPr>
                <w:rFonts w:hint="eastAsia"/>
                <w:lang w:eastAsia="ko-KR"/>
              </w:rPr>
              <w:t>Rec. ITU-R F.1519</w:t>
            </w:r>
          </w:p>
        </w:tc>
        <w:tc>
          <w:tcPr>
            <w:tcW w:w="6853" w:type="dxa"/>
          </w:tcPr>
          <w:p w14:paraId="25EFF7C7" w14:textId="09AC4686" w:rsidR="00B22E00" w:rsidRPr="00B22E00" w:rsidRDefault="00B22E00" w:rsidP="00CA3D60">
            <w:pPr>
              <w:widowControl w:val="0"/>
              <w:overflowPunct w:val="0"/>
              <w:autoSpaceDE w:val="0"/>
              <w:autoSpaceDN w:val="0"/>
              <w:jc w:val="both"/>
              <w:rPr>
                <w:lang w:eastAsia="ko-KR"/>
              </w:rPr>
            </w:pPr>
            <w:r w:rsidRPr="00B22E00">
              <w:rPr>
                <w:lang w:eastAsia="ko-KR"/>
              </w:rPr>
              <w:t>Guidance on frequency arrangements based on frequency blocks for systems in the fixed service  </w:t>
            </w:r>
          </w:p>
        </w:tc>
      </w:tr>
      <w:tr w:rsidR="00DF7472" w:rsidRPr="00564477" w14:paraId="4263B976" w14:textId="77777777" w:rsidTr="00564477">
        <w:tc>
          <w:tcPr>
            <w:tcW w:w="2518" w:type="dxa"/>
          </w:tcPr>
          <w:p w14:paraId="002D10F9" w14:textId="6AA1C1A8" w:rsidR="00DF7472" w:rsidRDefault="00DF7472" w:rsidP="00CA3D60">
            <w:pPr>
              <w:widowControl w:val="0"/>
              <w:overflowPunct w:val="0"/>
              <w:autoSpaceDE w:val="0"/>
              <w:autoSpaceDN w:val="0"/>
              <w:jc w:val="both"/>
              <w:rPr>
                <w:lang w:eastAsia="ko-KR"/>
              </w:rPr>
            </w:pPr>
            <w:r>
              <w:rPr>
                <w:rFonts w:hint="eastAsia"/>
                <w:lang w:eastAsia="ko-KR"/>
              </w:rPr>
              <w:t>Rec. ITU-R F.1613</w:t>
            </w:r>
          </w:p>
        </w:tc>
        <w:tc>
          <w:tcPr>
            <w:tcW w:w="6853" w:type="dxa"/>
          </w:tcPr>
          <w:p w14:paraId="5BF0DD39" w14:textId="20CB9FB3" w:rsidR="00DF7472" w:rsidRPr="00B22E00" w:rsidRDefault="00DF7472" w:rsidP="00CA3D60">
            <w:pPr>
              <w:widowControl w:val="0"/>
              <w:overflowPunct w:val="0"/>
              <w:autoSpaceDE w:val="0"/>
              <w:autoSpaceDN w:val="0"/>
              <w:jc w:val="both"/>
              <w:rPr>
                <w:lang w:eastAsia="ko-KR"/>
              </w:rPr>
            </w:pPr>
            <w:r w:rsidRPr="00DF7472">
              <w:rPr>
                <w:lang w:eastAsia="ko-KR"/>
              </w:rPr>
              <w:t>Operational and deployment requirements for fixed wireless access systems in the fixed service in Region 3 to ensure the protection of systems in the Earth exploration-satellite service (active) and the space research service (active) in the band 5 250-5 350 MHz  </w:t>
            </w:r>
          </w:p>
        </w:tc>
      </w:tr>
    </w:tbl>
    <w:p w14:paraId="28BBA039" w14:textId="6FADFF58" w:rsidR="0037421D" w:rsidRDefault="0037421D" w:rsidP="00CA3D60">
      <w:pPr>
        <w:widowControl w:val="0"/>
        <w:overflowPunct w:val="0"/>
        <w:autoSpaceDE w:val="0"/>
        <w:autoSpaceDN w:val="0"/>
        <w:jc w:val="both"/>
        <w:rPr>
          <w:lang w:eastAsia="ko-KR"/>
        </w:rPr>
      </w:pPr>
    </w:p>
    <w:tbl>
      <w:tblPr>
        <w:tblStyle w:val="TableGrid"/>
        <w:tblW w:w="0" w:type="auto"/>
        <w:tblLook w:val="04A0" w:firstRow="1" w:lastRow="0" w:firstColumn="1" w:lastColumn="0" w:noHBand="0" w:noVBand="1"/>
      </w:tblPr>
      <w:tblGrid>
        <w:gridCol w:w="2471"/>
        <w:gridCol w:w="6692"/>
      </w:tblGrid>
      <w:tr w:rsidR="00DF7472" w14:paraId="5CCDBCE6" w14:textId="77777777" w:rsidTr="001A0C14">
        <w:tc>
          <w:tcPr>
            <w:tcW w:w="9371" w:type="dxa"/>
            <w:gridSpan w:val="2"/>
          </w:tcPr>
          <w:p w14:paraId="6CCF03B2" w14:textId="7CC264A0" w:rsidR="00DF7472" w:rsidRDefault="0053625F" w:rsidP="00CA3D60">
            <w:pPr>
              <w:widowControl w:val="0"/>
              <w:overflowPunct w:val="0"/>
              <w:autoSpaceDE w:val="0"/>
              <w:autoSpaceDN w:val="0"/>
              <w:jc w:val="both"/>
              <w:rPr>
                <w:lang w:eastAsia="ko-KR"/>
              </w:rPr>
            </w:pPr>
            <w:r>
              <w:rPr>
                <w:rFonts w:hint="eastAsia"/>
                <w:lang w:eastAsia="ko-KR"/>
              </w:rPr>
              <w:t>Technical related</w:t>
            </w:r>
          </w:p>
        </w:tc>
      </w:tr>
      <w:tr w:rsidR="00DF7472" w14:paraId="69052FDC" w14:textId="77777777" w:rsidTr="00DF7472">
        <w:tc>
          <w:tcPr>
            <w:tcW w:w="2518" w:type="dxa"/>
          </w:tcPr>
          <w:p w14:paraId="5BD4997F" w14:textId="0A4986E0" w:rsidR="00DF7472" w:rsidRDefault="00DF7472" w:rsidP="00CA3D60">
            <w:pPr>
              <w:widowControl w:val="0"/>
              <w:overflowPunct w:val="0"/>
              <w:autoSpaceDE w:val="0"/>
              <w:autoSpaceDN w:val="0"/>
              <w:jc w:val="center"/>
              <w:rPr>
                <w:lang w:eastAsia="ko-KR"/>
              </w:rPr>
            </w:pPr>
            <w:r>
              <w:rPr>
                <w:rFonts w:hint="eastAsia"/>
                <w:lang w:eastAsia="ko-KR"/>
              </w:rPr>
              <w:t>Number</w:t>
            </w:r>
          </w:p>
        </w:tc>
        <w:tc>
          <w:tcPr>
            <w:tcW w:w="6853" w:type="dxa"/>
          </w:tcPr>
          <w:p w14:paraId="06118418" w14:textId="41C8055C" w:rsidR="00DF7472" w:rsidRDefault="00DF7472" w:rsidP="00CA3D60">
            <w:pPr>
              <w:widowControl w:val="0"/>
              <w:overflowPunct w:val="0"/>
              <w:autoSpaceDE w:val="0"/>
              <w:autoSpaceDN w:val="0"/>
              <w:jc w:val="center"/>
              <w:rPr>
                <w:lang w:eastAsia="ko-KR"/>
              </w:rPr>
            </w:pPr>
            <w:r>
              <w:rPr>
                <w:rFonts w:hint="eastAsia"/>
                <w:lang w:eastAsia="ko-KR"/>
              </w:rPr>
              <w:t>Title</w:t>
            </w:r>
          </w:p>
        </w:tc>
      </w:tr>
      <w:tr w:rsidR="00DF7472" w14:paraId="6FA8405F" w14:textId="77777777" w:rsidTr="00DF7472">
        <w:tc>
          <w:tcPr>
            <w:tcW w:w="2518" w:type="dxa"/>
          </w:tcPr>
          <w:p w14:paraId="0709EC08" w14:textId="7730103F" w:rsidR="00DF7472" w:rsidRDefault="00DF7472" w:rsidP="00CA3D60">
            <w:pPr>
              <w:widowControl w:val="0"/>
              <w:overflowPunct w:val="0"/>
              <w:autoSpaceDE w:val="0"/>
              <w:autoSpaceDN w:val="0"/>
              <w:jc w:val="both"/>
              <w:rPr>
                <w:lang w:eastAsia="ko-KR"/>
              </w:rPr>
            </w:pPr>
            <w:r>
              <w:rPr>
                <w:rFonts w:hint="eastAsia"/>
                <w:lang w:eastAsia="ko-KR"/>
              </w:rPr>
              <w:t>Rec. ITU-R F.757</w:t>
            </w:r>
          </w:p>
        </w:tc>
        <w:tc>
          <w:tcPr>
            <w:tcW w:w="6853" w:type="dxa"/>
          </w:tcPr>
          <w:p w14:paraId="22B0B1F8" w14:textId="10B2DCB0" w:rsidR="00DF7472" w:rsidRDefault="00DF7472" w:rsidP="00CA3D60">
            <w:pPr>
              <w:widowControl w:val="0"/>
              <w:overflowPunct w:val="0"/>
              <w:autoSpaceDE w:val="0"/>
              <w:autoSpaceDN w:val="0"/>
              <w:jc w:val="both"/>
              <w:rPr>
                <w:lang w:eastAsia="ko-KR"/>
              </w:rPr>
            </w:pPr>
            <w:r w:rsidRPr="00DF7472">
              <w:rPr>
                <w:lang w:eastAsia="ko-KR"/>
              </w:rPr>
              <w:t>Basic system requirements and performance objectives for fixed wireless access using mobile-derived technologies offering telephony and data communication services </w:t>
            </w:r>
          </w:p>
        </w:tc>
      </w:tr>
      <w:tr w:rsidR="00DF7472" w14:paraId="5DC94DC2" w14:textId="77777777" w:rsidTr="00DF7472">
        <w:tc>
          <w:tcPr>
            <w:tcW w:w="2518" w:type="dxa"/>
          </w:tcPr>
          <w:p w14:paraId="4AB992DB" w14:textId="2DC9744D" w:rsidR="00DF7472" w:rsidRDefault="00DF7472" w:rsidP="00CA3D60">
            <w:pPr>
              <w:widowControl w:val="0"/>
              <w:overflowPunct w:val="0"/>
              <w:autoSpaceDE w:val="0"/>
              <w:autoSpaceDN w:val="0"/>
              <w:jc w:val="both"/>
              <w:rPr>
                <w:lang w:eastAsia="ko-KR"/>
              </w:rPr>
            </w:pPr>
            <w:r>
              <w:rPr>
                <w:rFonts w:hint="eastAsia"/>
                <w:lang w:eastAsia="ko-KR"/>
              </w:rPr>
              <w:t>Rec. ITU-R F.1400</w:t>
            </w:r>
          </w:p>
        </w:tc>
        <w:tc>
          <w:tcPr>
            <w:tcW w:w="6853" w:type="dxa"/>
          </w:tcPr>
          <w:p w14:paraId="4C43BD7D" w14:textId="4A2807FB" w:rsidR="00DF7472" w:rsidRPr="00DF7472" w:rsidRDefault="00DF7472" w:rsidP="00CA3D60">
            <w:pPr>
              <w:widowControl w:val="0"/>
              <w:overflowPunct w:val="0"/>
              <w:autoSpaceDE w:val="0"/>
              <w:autoSpaceDN w:val="0"/>
              <w:jc w:val="both"/>
              <w:rPr>
                <w:lang w:eastAsia="ko-KR"/>
              </w:rPr>
            </w:pPr>
            <w:r w:rsidRPr="00DF7472">
              <w:rPr>
                <w:lang w:eastAsia="ko-KR"/>
              </w:rPr>
              <w:t>Performance and availability requirements and objectives for fixed wireless access to public switched telephone network  </w:t>
            </w:r>
          </w:p>
        </w:tc>
      </w:tr>
      <w:tr w:rsidR="00511DB4" w14:paraId="2545E26F" w14:textId="77777777" w:rsidTr="00DF7472">
        <w:tc>
          <w:tcPr>
            <w:tcW w:w="2518" w:type="dxa"/>
          </w:tcPr>
          <w:p w14:paraId="2393E030" w14:textId="08A7D163" w:rsidR="00511DB4" w:rsidRDefault="00511DB4" w:rsidP="00CA3D60">
            <w:pPr>
              <w:widowControl w:val="0"/>
              <w:overflowPunct w:val="0"/>
              <w:autoSpaceDE w:val="0"/>
              <w:autoSpaceDN w:val="0"/>
              <w:jc w:val="both"/>
              <w:rPr>
                <w:lang w:eastAsia="ko-KR"/>
              </w:rPr>
            </w:pPr>
            <w:r>
              <w:rPr>
                <w:rFonts w:hint="eastAsia"/>
                <w:lang w:eastAsia="ko-KR"/>
              </w:rPr>
              <w:t>Rec. ITU-R F.1401</w:t>
            </w:r>
          </w:p>
        </w:tc>
        <w:tc>
          <w:tcPr>
            <w:tcW w:w="6853" w:type="dxa"/>
          </w:tcPr>
          <w:p w14:paraId="7B0C632E" w14:textId="0E77A093" w:rsidR="00511DB4" w:rsidRPr="00DF7472" w:rsidRDefault="00511DB4" w:rsidP="00CA3D60">
            <w:pPr>
              <w:widowControl w:val="0"/>
              <w:overflowPunct w:val="0"/>
              <w:autoSpaceDE w:val="0"/>
              <w:autoSpaceDN w:val="0"/>
              <w:jc w:val="both"/>
              <w:rPr>
                <w:lang w:eastAsia="ko-KR"/>
              </w:rPr>
            </w:pPr>
            <w:r w:rsidRPr="00511DB4">
              <w:rPr>
                <w:lang w:eastAsia="ko-KR"/>
              </w:rPr>
              <w:t xml:space="preserve">Considerations for the identification of possible frequency bands for fixed wireless access and related sharing studies </w:t>
            </w:r>
          </w:p>
        </w:tc>
      </w:tr>
      <w:tr w:rsidR="00511DB4" w14:paraId="57DD911E" w14:textId="77777777" w:rsidTr="00DF7472">
        <w:tc>
          <w:tcPr>
            <w:tcW w:w="2518" w:type="dxa"/>
          </w:tcPr>
          <w:p w14:paraId="52131C9E" w14:textId="249C34D2" w:rsidR="00511DB4" w:rsidRDefault="00511DB4" w:rsidP="00CA3D60">
            <w:pPr>
              <w:widowControl w:val="0"/>
              <w:overflowPunct w:val="0"/>
              <w:autoSpaceDE w:val="0"/>
              <w:autoSpaceDN w:val="0"/>
              <w:jc w:val="both"/>
              <w:rPr>
                <w:lang w:eastAsia="ko-KR"/>
              </w:rPr>
            </w:pPr>
            <w:r>
              <w:rPr>
                <w:rFonts w:hint="eastAsia"/>
                <w:lang w:eastAsia="ko-KR"/>
              </w:rPr>
              <w:t>Rec. ITU-R F.1490</w:t>
            </w:r>
          </w:p>
        </w:tc>
        <w:tc>
          <w:tcPr>
            <w:tcW w:w="6853" w:type="dxa"/>
          </w:tcPr>
          <w:p w14:paraId="423DCC90" w14:textId="022D5354" w:rsidR="00511DB4" w:rsidRPr="00511DB4" w:rsidRDefault="00511DB4" w:rsidP="00CA3D60">
            <w:pPr>
              <w:widowControl w:val="0"/>
              <w:overflowPunct w:val="0"/>
              <w:autoSpaceDE w:val="0"/>
              <w:autoSpaceDN w:val="0"/>
              <w:jc w:val="both"/>
              <w:rPr>
                <w:lang w:eastAsia="ko-KR"/>
              </w:rPr>
            </w:pPr>
            <w:r w:rsidRPr="00511DB4">
              <w:rPr>
                <w:lang w:eastAsia="ko-KR"/>
              </w:rPr>
              <w:t>Generic requirements for fixed wireless access systems</w:t>
            </w:r>
          </w:p>
        </w:tc>
      </w:tr>
      <w:tr w:rsidR="00511DB4" w14:paraId="5E28E68C" w14:textId="77777777" w:rsidTr="00DF7472">
        <w:tc>
          <w:tcPr>
            <w:tcW w:w="2518" w:type="dxa"/>
          </w:tcPr>
          <w:p w14:paraId="35471DB5" w14:textId="552E700A" w:rsidR="00511DB4" w:rsidRPr="00511DB4" w:rsidRDefault="00511DB4" w:rsidP="00CA3D60">
            <w:pPr>
              <w:widowControl w:val="0"/>
              <w:overflowPunct w:val="0"/>
              <w:autoSpaceDE w:val="0"/>
              <w:autoSpaceDN w:val="0"/>
              <w:jc w:val="both"/>
              <w:rPr>
                <w:lang w:eastAsia="ko-KR"/>
              </w:rPr>
            </w:pPr>
            <w:r>
              <w:rPr>
                <w:rFonts w:hint="eastAsia"/>
                <w:lang w:eastAsia="ko-KR"/>
              </w:rPr>
              <w:t>Rec. ITU-R F.149</w:t>
            </w:r>
            <w:r w:rsidR="00272F71">
              <w:rPr>
                <w:rFonts w:hint="eastAsia"/>
                <w:lang w:eastAsia="ko-KR"/>
              </w:rPr>
              <w:t>9</w:t>
            </w:r>
          </w:p>
        </w:tc>
        <w:tc>
          <w:tcPr>
            <w:tcW w:w="6853" w:type="dxa"/>
          </w:tcPr>
          <w:p w14:paraId="044B7735" w14:textId="5E5204CD" w:rsidR="00511DB4" w:rsidRPr="00511DB4" w:rsidRDefault="00511DB4" w:rsidP="00CA3D60">
            <w:pPr>
              <w:widowControl w:val="0"/>
              <w:overflowPunct w:val="0"/>
              <w:autoSpaceDE w:val="0"/>
              <w:autoSpaceDN w:val="0"/>
              <w:jc w:val="both"/>
              <w:rPr>
                <w:lang w:eastAsia="ko-KR"/>
              </w:rPr>
            </w:pPr>
            <w:r w:rsidRPr="00511DB4">
              <w:rPr>
                <w:lang w:eastAsia="ko-KR"/>
              </w:rPr>
              <w:t xml:space="preserve">Radio transmission systems for fixed broadband wireless access </w:t>
            </w:r>
            <w:r w:rsidRPr="00511DB4">
              <w:rPr>
                <w:lang w:eastAsia="ko-KR"/>
              </w:rPr>
              <w:lastRenderedPageBreak/>
              <w:t>based on cable modem standard </w:t>
            </w:r>
          </w:p>
        </w:tc>
      </w:tr>
      <w:tr w:rsidR="00272F71" w14:paraId="5638FAB2" w14:textId="77777777" w:rsidTr="00DF7472">
        <w:tc>
          <w:tcPr>
            <w:tcW w:w="2518" w:type="dxa"/>
          </w:tcPr>
          <w:p w14:paraId="080889E7" w14:textId="6E18EF7B" w:rsidR="00272F71" w:rsidRDefault="00272F71" w:rsidP="00CA3D60">
            <w:pPr>
              <w:widowControl w:val="0"/>
              <w:overflowPunct w:val="0"/>
              <w:autoSpaceDE w:val="0"/>
              <w:autoSpaceDN w:val="0"/>
              <w:jc w:val="both"/>
              <w:rPr>
                <w:lang w:eastAsia="ko-KR"/>
              </w:rPr>
            </w:pPr>
            <w:r>
              <w:rPr>
                <w:rFonts w:hint="eastAsia"/>
                <w:lang w:eastAsia="ko-KR"/>
              </w:rPr>
              <w:lastRenderedPageBreak/>
              <w:t>Rec. ITU-R F.1763</w:t>
            </w:r>
          </w:p>
        </w:tc>
        <w:tc>
          <w:tcPr>
            <w:tcW w:w="6853" w:type="dxa"/>
          </w:tcPr>
          <w:p w14:paraId="4A9F241B" w14:textId="30CE6FED" w:rsidR="00272F71" w:rsidRPr="00511DB4" w:rsidRDefault="00272F71" w:rsidP="00CA3D60">
            <w:pPr>
              <w:widowControl w:val="0"/>
              <w:overflowPunct w:val="0"/>
              <w:autoSpaceDE w:val="0"/>
              <w:autoSpaceDN w:val="0"/>
              <w:jc w:val="both"/>
              <w:rPr>
                <w:lang w:eastAsia="ko-KR"/>
              </w:rPr>
            </w:pPr>
            <w:r w:rsidRPr="00272F71">
              <w:rPr>
                <w:lang w:eastAsia="ko-KR"/>
              </w:rPr>
              <w:t>Radio interface standards for broadband wireless access systems in the fixed service operating below 66 GHz</w:t>
            </w:r>
          </w:p>
        </w:tc>
      </w:tr>
    </w:tbl>
    <w:p w14:paraId="0F06C47B" w14:textId="77777777" w:rsidR="00DF7472" w:rsidRDefault="00DF7472" w:rsidP="00CA3D60">
      <w:pPr>
        <w:widowControl w:val="0"/>
        <w:overflowPunct w:val="0"/>
        <w:autoSpaceDE w:val="0"/>
        <w:autoSpaceDN w:val="0"/>
        <w:jc w:val="both"/>
        <w:rPr>
          <w:lang w:eastAsia="ko-KR"/>
        </w:rPr>
      </w:pPr>
    </w:p>
    <w:p w14:paraId="11AC6B24" w14:textId="77777777" w:rsidR="00DF7472" w:rsidRPr="00564477" w:rsidRDefault="00DF7472" w:rsidP="00CA3D60">
      <w:pPr>
        <w:widowControl w:val="0"/>
        <w:overflowPunct w:val="0"/>
        <w:autoSpaceDE w:val="0"/>
        <w:autoSpaceDN w:val="0"/>
        <w:jc w:val="both"/>
        <w:rPr>
          <w:lang w:eastAsia="ko-KR"/>
        </w:rPr>
      </w:pPr>
    </w:p>
    <w:p w14:paraId="38194476" w14:textId="6B09EB44" w:rsidR="00E41BE2" w:rsidRPr="00441526" w:rsidRDefault="00E41BE2" w:rsidP="00CA3D60">
      <w:pPr>
        <w:overflowPunct w:val="0"/>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ACE9BD1" w14:textId="77777777" w:rsidR="005263C8" w:rsidRDefault="00E41BE2" w:rsidP="00CA3D60">
      <w:pPr>
        <w:pStyle w:val="ListParagraph"/>
        <w:numPr>
          <w:ilvl w:val="0"/>
          <w:numId w:val="23"/>
        </w:numPr>
        <w:overflowPunct w:val="0"/>
        <w:autoSpaceDE w:val="0"/>
        <w:autoSpaceDN w:val="0"/>
        <w:jc w:val="both"/>
      </w:pPr>
      <w:r w:rsidRPr="00E41BE2">
        <w:t>What document</w:t>
      </w:r>
      <w:r w:rsidR="005E6C90">
        <w:t>s</w:t>
      </w:r>
      <w:r w:rsidRPr="00E41BE2">
        <w:t xml:space="preserve"> </w:t>
      </w:r>
      <w:r w:rsidR="005E6C90">
        <w:t>are</w:t>
      </w:r>
      <w:r w:rsidRPr="00E41BE2">
        <w:t xml:space="preserve"> being developed by the responsible group: Revising the existing ITU-R Report(s), ITU-R Recommendation(s) or developing a PDNR or a working document</w:t>
      </w:r>
    </w:p>
    <w:p w14:paraId="3901900B" w14:textId="68972A0C" w:rsidR="00094363" w:rsidRPr="00094363" w:rsidRDefault="0084221E" w:rsidP="00CA3D60">
      <w:pPr>
        <w:pStyle w:val="ListParagraph"/>
        <w:numPr>
          <w:ilvl w:val="0"/>
          <w:numId w:val="24"/>
        </w:numPr>
        <w:overflowPunct w:val="0"/>
        <w:autoSpaceDE w:val="0"/>
        <w:autoSpaceDN w:val="0"/>
        <w:jc w:val="both"/>
        <w:rPr>
          <w:rStyle w:val="Hyperlink"/>
          <w:color w:val="auto"/>
          <w:u w:val="none"/>
          <w:lang w:eastAsia="ko-KR"/>
        </w:rPr>
      </w:pPr>
      <w:hyperlink r:id="rId11" w:history="1">
        <w:r w:rsidR="00094363" w:rsidRPr="007946E0">
          <w:rPr>
            <w:rStyle w:val="Hyperlink"/>
          </w:rPr>
          <w:t>WRC-19 Document 64</w:t>
        </w:r>
      </w:hyperlink>
    </w:p>
    <w:p w14:paraId="08D07BDE" w14:textId="565A693C" w:rsidR="00094363" w:rsidRDefault="00094363" w:rsidP="00CA3D60">
      <w:pPr>
        <w:pStyle w:val="ECCBulletsLv1"/>
        <w:numPr>
          <w:ilvl w:val="0"/>
          <w:numId w:val="24"/>
        </w:numPr>
        <w:overflowPunct w:val="0"/>
        <w:rPr>
          <w:rStyle w:val="ECCParagraph"/>
        </w:rPr>
      </w:pPr>
      <w:r w:rsidRPr="00094363">
        <w:rPr>
          <w:rFonts w:ascii="Times New Roman" w:eastAsia="BatangChe" w:hAnsi="Times New Roman"/>
          <w:sz w:val="24"/>
          <w:szCs w:val="24"/>
          <w:lang w:val="en-US" w:eastAsia="ko-KR"/>
        </w:rPr>
        <w:t>Draft work plan/Report</w:t>
      </w:r>
      <w:r>
        <w:rPr>
          <w:rStyle w:val="ECCParagraph"/>
        </w:rPr>
        <w:t xml:space="preserve"> </w:t>
      </w:r>
      <w:r w:rsidRPr="00094363">
        <w:rPr>
          <w:rStyle w:val="Hyperlink"/>
          <w:rFonts w:ascii="Times New Roman" w:eastAsia="BatangChe" w:hAnsi="Times New Roman"/>
          <w:sz w:val="24"/>
          <w:szCs w:val="24"/>
          <w:lang w:val="en-US"/>
        </w:rPr>
        <w:t xml:space="preserve">– </w:t>
      </w:r>
      <w:hyperlink r:id="rId12" w:history="1">
        <w:r w:rsidRPr="00094363">
          <w:rPr>
            <w:rStyle w:val="Hyperlink"/>
            <w:rFonts w:ascii="Times New Roman" w:eastAsia="BatangChe" w:hAnsi="Times New Roman"/>
            <w:sz w:val="24"/>
            <w:szCs w:val="24"/>
            <w:lang w:val="en-US"/>
          </w:rPr>
          <w:t>Annex 9 to Document 5A/</w:t>
        </w:r>
      </w:hyperlink>
      <w:r w:rsidR="001C7553">
        <w:rPr>
          <w:rStyle w:val="Hyperlink"/>
          <w:rFonts w:ascii="Times New Roman" w:eastAsia="BatangChe" w:hAnsi="Times New Roman"/>
          <w:sz w:val="24"/>
          <w:szCs w:val="24"/>
          <w:lang w:val="en-US"/>
        </w:rPr>
        <w:t>221</w:t>
      </w:r>
    </w:p>
    <w:p w14:paraId="7DD056FD" w14:textId="4AFB292F" w:rsidR="00B0090F" w:rsidRPr="006B0E3F" w:rsidRDefault="00B0090F" w:rsidP="00CA3D60">
      <w:pPr>
        <w:pStyle w:val="ListParagraph"/>
        <w:numPr>
          <w:ilvl w:val="0"/>
          <w:numId w:val="24"/>
        </w:numPr>
        <w:overflowPunct w:val="0"/>
        <w:autoSpaceDE w:val="0"/>
        <w:autoSpaceDN w:val="0"/>
        <w:jc w:val="both"/>
        <w:rPr>
          <w:rStyle w:val="Hyperlink"/>
          <w:color w:val="auto"/>
          <w:u w:val="none"/>
          <w:lang w:eastAsia="ko-KR"/>
        </w:rPr>
      </w:pPr>
      <w:r>
        <w:rPr>
          <w:rFonts w:hint="eastAsia"/>
          <w:lang w:eastAsia="ko-KR"/>
        </w:rPr>
        <w:t xml:space="preserve">Draft CPM text </w:t>
      </w:r>
      <w:r>
        <w:rPr>
          <w:lang w:eastAsia="ko-KR"/>
        </w:rPr>
        <w:t>–</w:t>
      </w:r>
      <w:r>
        <w:rPr>
          <w:rFonts w:hint="eastAsia"/>
          <w:lang w:eastAsia="ko-KR"/>
        </w:rPr>
        <w:t xml:space="preserve"> </w:t>
      </w:r>
      <w:hyperlink r:id="rId13" w:history="1">
        <w:r w:rsidR="00094363" w:rsidRPr="007B2CED">
          <w:rPr>
            <w:rStyle w:val="Hyperlink"/>
          </w:rPr>
          <w:t>Annex 8 to Document 5A/</w:t>
        </w:r>
      </w:hyperlink>
      <w:r w:rsidR="001C7553">
        <w:rPr>
          <w:rStyle w:val="Hyperlink"/>
        </w:rPr>
        <w:t>221</w:t>
      </w:r>
    </w:p>
    <w:p w14:paraId="5ADB3E93" w14:textId="1008F52F" w:rsidR="00F06F8D" w:rsidRDefault="00F06F8D" w:rsidP="00CA3D60">
      <w:pPr>
        <w:pStyle w:val="ListParagraph"/>
        <w:numPr>
          <w:ilvl w:val="0"/>
          <w:numId w:val="24"/>
        </w:numPr>
        <w:overflowPunct w:val="0"/>
        <w:autoSpaceDE w:val="0"/>
        <w:autoSpaceDN w:val="0"/>
        <w:jc w:val="both"/>
        <w:rPr>
          <w:lang w:eastAsia="ko-KR"/>
        </w:rPr>
      </w:pPr>
      <w:r w:rsidRPr="00F06F8D">
        <w:rPr>
          <w:lang w:eastAsia="ko-KR"/>
        </w:rPr>
        <w:t>Elements for a working document towards a preliminary draft new [Report/Recommendation] ITU-R F.[IMT-FWB]</w:t>
      </w:r>
      <w:r>
        <w:rPr>
          <w:rFonts w:hint="eastAsia"/>
          <w:lang w:eastAsia="ko-KR"/>
        </w:rPr>
        <w:t xml:space="preserve"> </w:t>
      </w:r>
      <w:r>
        <w:rPr>
          <w:lang w:eastAsia="ko-KR"/>
        </w:rPr>
        <w:t>–</w:t>
      </w:r>
      <w:r>
        <w:rPr>
          <w:rFonts w:hint="eastAsia"/>
          <w:lang w:eastAsia="ko-KR"/>
        </w:rPr>
        <w:t xml:space="preserve"> </w:t>
      </w:r>
      <w:hyperlink r:id="rId14" w:history="1">
        <w:r w:rsidRPr="007B2CED">
          <w:rPr>
            <w:rStyle w:val="Hyperlink"/>
          </w:rPr>
          <w:t xml:space="preserve">Annex </w:t>
        </w:r>
        <w:r>
          <w:rPr>
            <w:rStyle w:val="Hyperlink"/>
          </w:rPr>
          <w:t>1</w:t>
        </w:r>
        <w:r w:rsidRPr="007B2CED">
          <w:rPr>
            <w:rStyle w:val="Hyperlink"/>
          </w:rPr>
          <w:t>8 to Document 5A/</w:t>
        </w:r>
      </w:hyperlink>
      <w:r>
        <w:rPr>
          <w:rStyle w:val="Hyperlink"/>
        </w:rPr>
        <w:t>221</w:t>
      </w:r>
      <w:r>
        <w:rPr>
          <w:rStyle w:val="FootnoteReference"/>
          <w:color w:val="0000FF" w:themeColor="hyperlink"/>
          <w:u w:val="single"/>
        </w:rPr>
        <w:footnoteReference w:id="1"/>
      </w:r>
      <w:r>
        <w:rPr>
          <w:rStyle w:val="Hyperlink"/>
        </w:rPr>
        <w:t xml:space="preserve"> </w:t>
      </w:r>
    </w:p>
    <w:p w14:paraId="589D4CD4" w14:textId="77777777" w:rsidR="00B0090F" w:rsidRDefault="00B0090F" w:rsidP="00CA3D60">
      <w:pPr>
        <w:overflowPunct w:val="0"/>
        <w:autoSpaceDE w:val="0"/>
        <w:autoSpaceDN w:val="0"/>
        <w:jc w:val="both"/>
        <w:rPr>
          <w:lang w:eastAsia="ko-KR"/>
        </w:rPr>
      </w:pPr>
    </w:p>
    <w:p w14:paraId="493CDFCB" w14:textId="4DFF8D31" w:rsidR="005263C8" w:rsidRDefault="00E41BE2" w:rsidP="00CA3D60">
      <w:pPr>
        <w:pStyle w:val="ListParagraph"/>
        <w:numPr>
          <w:ilvl w:val="0"/>
          <w:numId w:val="23"/>
        </w:numPr>
        <w:overflowPunct w:val="0"/>
        <w:autoSpaceDE w:val="0"/>
        <w:autoSpaceDN w:val="0"/>
        <w:jc w:val="both"/>
      </w:pPr>
      <w:r w:rsidRPr="00E41BE2">
        <w:t>Contentious issues in ITU-R meeting (list all issues up in the beginning and then update</w:t>
      </w:r>
      <w:r w:rsidR="005E6C90">
        <w:t xml:space="preserve"> </w:t>
      </w:r>
      <w:r w:rsidRPr="00E41BE2">
        <w:t>(removal or addition) later stage)</w:t>
      </w:r>
    </w:p>
    <w:p w14:paraId="5FD85E33" w14:textId="16E3B853" w:rsidR="001C7553" w:rsidRDefault="001C7553" w:rsidP="00CA3D60">
      <w:pPr>
        <w:pStyle w:val="ListParagraph"/>
        <w:numPr>
          <w:ilvl w:val="0"/>
          <w:numId w:val="24"/>
        </w:numPr>
        <w:overflowPunct w:val="0"/>
        <w:autoSpaceDE w:val="0"/>
        <w:autoSpaceDN w:val="0"/>
        <w:jc w:val="both"/>
      </w:pPr>
      <w:r>
        <w:rPr>
          <w:rFonts w:eastAsia="MS Mincho" w:hint="eastAsia"/>
          <w:lang w:eastAsia="ja-JP"/>
        </w:rPr>
        <w:t>At the joi</w:t>
      </w:r>
      <w:r>
        <w:rPr>
          <w:rFonts w:eastAsia="MS Mincho"/>
          <w:lang w:eastAsia="ja-JP"/>
        </w:rPr>
        <w:t>nt</w:t>
      </w:r>
      <w:r>
        <w:rPr>
          <w:rFonts w:eastAsia="MS Mincho" w:hint="eastAsia"/>
          <w:lang w:eastAsia="ja-JP"/>
        </w:rPr>
        <w:t xml:space="preserve"> meeting </w:t>
      </w:r>
      <w:r>
        <w:rPr>
          <w:rFonts w:eastAsia="MS Mincho"/>
          <w:lang w:eastAsia="ja-JP"/>
        </w:rPr>
        <w:t xml:space="preserve">of WPs 5A and 5C in July 2020, </w:t>
      </w:r>
      <w:r w:rsidRPr="006A2FD2">
        <w:t xml:space="preserve">it was clarified that the objective being investigated </w:t>
      </w:r>
      <w:r w:rsidR="007E5509">
        <w:t xml:space="preserve">on this topic </w:t>
      </w:r>
      <w:r w:rsidRPr="006A2FD2">
        <w:t>is the use of IMT technologies for fixed wireless broadband in the fixed service and not the deployment of mobile systems in the fixed service.</w:t>
      </w:r>
    </w:p>
    <w:p w14:paraId="59C39F60" w14:textId="377B6527" w:rsidR="001C7553" w:rsidRDefault="00F06F8D" w:rsidP="00CA3D60">
      <w:pPr>
        <w:pStyle w:val="ListParagraph"/>
        <w:numPr>
          <w:ilvl w:val="0"/>
          <w:numId w:val="24"/>
        </w:numPr>
        <w:overflowPunct w:val="0"/>
        <w:autoSpaceDE w:val="0"/>
        <w:autoSpaceDN w:val="0"/>
        <w:jc w:val="both"/>
      </w:pPr>
      <w:r w:rsidRPr="00F06F8D">
        <w:t xml:space="preserve">Different opinions were expressed by administrations </w:t>
      </w:r>
      <w:r>
        <w:t>for the following aspects;</w:t>
      </w:r>
      <w:r w:rsidRPr="006A2FD2">
        <w:rPr>
          <w:rStyle w:val="apple-converted-space"/>
        </w:rPr>
        <w:t xml:space="preserve"> however, no consensus was reached.</w:t>
      </w:r>
    </w:p>
    <w:p w14:paraId="56F8BB76" w14:textId="0D16C3CF" w:rsidR="00F06F8D" w:rsidRDefault="00F06F8D" w:rsidP="00CA3D60">
      <w:pPr>
        <w:pStyle w:val="ListParagraph"/>
        <w:numPr>
          <w:ilvl w:val="1"/>
          <w:numId w:val="24"/>
        </w:numPr>
        <w:overflowPunct w:val="0"/>
        <w:autoSpaceDE w:val="0"/>
        <w:autoSpaceDN w:val="0"/>
        <w:jc w:val="both"/>
      </w:pPr>
      <w:r>
        <w:t xml:space="preserve">whether </w:t>
      </w:r>
      <w:r w:rsidRPr="00F06F8D">
        <w:t>a specific new recommendation providing guidance in the use of IMT technology in fixed wireless broadband</w:t>
      </w:r>
      <w:r>
        <w:t xml:space="preserve"> could be developed or not on this topic,</w:t>
      </w:r>
    </w:p>
    <w:p w14:paraId="5B1B8AF9" w14:textId="4FB6E971" w:rsidR="00F06F8D" w:rsidRDefault="00F06F8D" w:rsidP="00CA3D60">
      <w:pPr>
        <w:pStyle w:val="ListParagraph"/>
        <w:numPr>
          <w:ilvl w:val="1"/>
          <w:numId w:val="24"/>
        </w:numPr>
        <w:overflowPunct w:val="0"/>
        <w:autoSpaceDE w:val="0"/>
        <w:autoSpaceDN w:val="0"/>
        <w:jc w:val="both"/>
      </w:pPr>
      <w:r>
        <w:t>w</w:t>
      </w:r>
      <w:r w:rsidRPr="00F06F8D">
        <w:t>hether the possible regulatory related studies could be conducted or not on this topic</w:t>
      </w:r>
      <w:r>
        <w:t>.</w:t>
      </w:r>
    </w:p>
    <w:p w14:paraId="68630DE0" w14:textId="77777777" w:rsidR="00B0090F" w:rsidRDefault="00E41BE2" w:rsidP="00CA3D60">
      <w:pPr>
        <w:pStyle w:val="ListParagraph"/>
        <w:numPr>
          <w:ilvl w:val="0"/>
          <w:numId w:val="23"/>
        </w:numPr>
        <w:overflowPunct w:val="0"/>
        <w:autoSpaceDE w:val="0"/>
        <w:autoSpaceDN w:val="0"/>
        <w:jc w:val="both"/>
      </w:pPr>
      <w:r w:rsidRPr="00E41BE2">
        <w:t xml:space="preserve">Hyperlink </w:t>
      </w:r>
      <w:r w:rsidR="005E6C90">
        <w:t xml:space="preserve">to </w:t>
      </w:r>
      <w:r w:rsidR="009306C7">
        <w:t xml:space="preserve">the relevant part of the webpage of </w:t>
      </w:r>
      <w:hyperlink r:id="rId15" w:history="1">
        <w:r w:rsidR="009306C7" w:rsidRPr="009306C7">
          <w:rPr>
            <w:rStyle w:val="Hyperlink"/>
          </w:rPr>
          <w:t>ITU-R Preparatory Studies for WRC-23</w:t>
        </w:r>
      </w:hyperlink>
      <w:r w:rsidR="009306C7">
        <w:t xml:space="preserve"> </w:t>
      </w:r>
    </w:p>
    <w:p w14:paraId="2FF5383B" w14:textId="77777777" w:rsidR="00B0090F" w:rsidRDefault="00B0090F" w:rsidP="00CA3D60">
      <w:pPr>
        <w:overflowPunct w:val="0"/>
        <w:autoSpaceDE w:val="0"/>
        <w:autoSpaceDN w:val="0"/>
        <w:jc w:val="both"/>
        <w:rPr>
          <w:lang w:eastAsia="ko-KR"/>
        </w:rPr>
      </w:pPr>
    </w:p>
    <w:p w14:paraId="525F6010" w14:textId="77777777" w:rsidR="00B0090F" w:rsidRPr="00736198" w:rsidRDefault="00E41BE2" w:rsidP="00CA3D60">
      <w:pPr>
        <w:pStyle w:val="ListParagraph"/>
        <w:numPr>
          <w:ilvl w:val="0"/>
          <w:numId w:val="24"/>
        </w:numPr>
        <w:overflowPunct w:val="0"/>
        <w:autoSpaceDE w:val="0"/>
        <w:autoSpaceDN w:val="0"/>
        <w:jc w:val="both"/>
        <w:rPr>
          <w:rStyle w:val="Hyperlink"/>
        </w:rPr>
      </w:pPr>
      <w:r w:rsidRPr="00E41BE2">
        <w:t xml:space="preserve"> </w:t>
      </w:r>
      <w:hyperlink r:id="rId16" w:history="1">
        <w:r w:rsidR="00B0090F" w:rsidRPr="00736198">
          <w:rPr>
            <w:rStyle w:val="Hyperlink"/>
          </w:rPr>
          <w:t>https://www.itu.int/en/ITU-R/study-groups/rcpm/Pages/wrc-23-studies.aspx</w:t>
        </w:r>
      </w:hyperlink>
    </w:p>
    <w:p w14:paraId="0129B534" w14:textId="77777777" w:rsidR="00E41BE2" w:rsidRDefault="00E41BE2" w:rsidP="00CA3D60">
      <w:pPr>
        <w:overflowPunct w:val="0"/>
        <w:spacing w:after="120"/>
        <w:jc w:val="both"/>
        <w:rPr>
          <w:b/>
          <w:lang w:eastAsia="ko-KR"/>
        </w:rPr>
      </w:pPr>
    </w:p>
    <w:p w14:paraId="1A59F811" w14:textId="631F4F7D" w:rsidR="00957294" w:rsidRDefault="00957294" w:rsidP="00CA3D60">
      <w:pPr>
        <w:overflowPunct w:val="0"/>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4ABD4C8C" w:rsidR="00957294" w:rsidRDefault="005263C8" w:rsidP="00CA3D60">
      <w:pPr>
        <w:pStyle w:val="ListParagraph"/>
        <w:numPr>
          <w:ilvl w:val="0"/>
          <w:numId w:val="21"/>
        </w:numPr>
        <w:overflowPunct w:val="0"/>
        <w:spacing w:after="120"/>
        <w:jc w:val="both"/>
        <w:rPr>
          <w:bCs/>
          <w:lang w:val="en-NZ" w:eastAsia="ko-KR"/>
        </w:rPr>
      </w:pPr>
      <w:r w:rsidRPr="005263C8">
        <w:rPr>
          <w:bCs/>
          <w:lang w:val="en-NZ" w:eastAsia="ko-KR"/>
        </w:rPr>
        <w:t>ATU</w:t>
      </w:r>
    </w:p>
    <w:p w14:paraId="5B2E86A7" w14:textId="77777777" w:rsidR="005263C8" w:rsidRPr="005263C8" w:rsidRDefault="005263C8" w:rsidP="00CA3D60">
      <w:pPr>
        <w:pStyle w:val="ListParagraph"/>
        <w:overflowPunct w:val="0"/>
        <w:spacing w:after="120"/>
        <w:ind w:left="1080"/>
        <w:jc w:val="both"/>
        <w:rPr>
          <w:bCs/>
          <w:lang w:val="en-NZ" w:eastAsia="ko-KR"/>
        </w:rPr>
      </w:pPr>
    </w:p>
    <w:p w14:paraId="5FEC8BCB" w14:textId="21236E49" w:rsidR="00EE5918" w:rsidRPr="00EE5918" w:rsidRDefault="005263C8" w:rsidP="00CA3D60">
      <w:pPr>
        <w:pStyle w:val="ListParagraph"/>
        <w:numPr>
          <w:ilvl w:val="0"/>
          <w:numId w:val="21"/>
        </w:numPr>
        <w:overflowPunct w:val="0"/>
        <w:spacing w:after="120"/>
        <w:jc w:val="both"/>
        <w:rPr>
          <w:bCs/>
          <w:lang w:val="en-NZ" w:eastAsia="ko-KR"/>
        </w:rPr>
      </w:pPr>
      <w:r w:rsidRPr="005263C8">
        <w:rPr>
          <w:bCs/>
          <w:lang w:val="en-NZ" w:eastAsia="ko-KR"/>
        </w:rPr>
        <w:t>ASMG</w:t>
      </w:r>
      <w:r w:rsidR="00EE5918">
        <w:rPr>
          <w:rFonts w:hint="eastAsia"/>
          <w:bCs/>
          <w:lang w:val="en-NZ" w:eastAsia="ko-KR"/>
        </w:rPr>
        <w:t>(August 2020)</w:t>
      </w:r>
    </w:p>
    <w:p w14:paraId="27721DC3" w14:textId="00AE89CD" w:rsidR="00EE5918" w:rsidRPr="00EE5918" w:rsidRDefault="00EE5918" w:rsidP="00CA3D60">
      <w:pPr>
        <w:pStyle w:val="ListParagraph"/>
        <w:numPr>
          <w:ilvl w:val="0"/>
          <w:numId w:val="27"/>
        </w:numPr>
        <w:overflowPunct w:val="0"/>
        <w:ind w:left="1276" w:hanging="283"/>
        <w:jc w:val="both"/>
        <w:rPr>
          <w:rFonts w:ascii="Arial" w:hAnsi="Arial" w:cs="Arial"/>
          <w:sz w:val="20"/>
          <w:bdr w:val="none" w:sz="0" w:space="0" w:color="auto" w:frame="1"/>
          <w:lang w:val="en-GB"/>
        </w:rPr>
      </w:pPr>
      <w:r w:rsidRPr="00686B8C">
        <w:t>Inviting ASMG administrations to consider the frequency bands that will be studied for using the IMT systems for fixed wireless broadband in the frequency bands allocated to the fixed service on a primary basis. Ensure the protection of the existing services.</w:t>
      </w:r>
    </w:p>
    <w:p w14:paraId="2F999586" w14:textId="77777777" w:rsidR="005263C8" w:rsidRPr="005263C8" w:rsidRDefault="005263C8" w:rsidP="00CA3D60">
      <w:pPr>
        <w:overflowPunct w:val="0"/>
        <w:spacing w:after="120"/>
        <w:jc w:val="both"/>
        <w:rPr>
          <w:bCs/>
          <w:lang w:val="en-NZ" w:eastAsia="ko-KR"/>
        </w:rPr>
      </w:pPr>
    </w:p>
    <w:p w14:paraId="6F14C81D" w14:textId="366F8160" w:rsidR="005263C8" w:rsidRDefault="005263C8" w:rsidP="00CA3D60">
      <w:pPr>
        <w:pStyle w:val="ListParagraph"/>
        <w:numPr>
          <w:ilvl w:val="0"/>
          <w:numId w:val="21"/>
        </w:numPr>
        <w:overflowPunct w:val="0"/>
        <w:spacing w:after="120"/>
        <w:jc w:val="both"/>
        <w:rPr>
          <w:bCs/>
          <w:lang w:val="en-NZ" w:eastAsia="ko-KR"/>
        </w:rPr>
      </w:pPr>
      <w:r w:rsidRPr="005263C8">
        <w:rPr>
          <w:bCs/>
          <w:lang w:val="en-NZ" w:eastAsia="ko-KR"/>
        </w:rPr>
        <w:t>CEPT</w:t>
      </w:r>
      <w:r w:rsidR="00EE5918">
        <w:rPr>
          <w:rFonts w:hint="eastAsia"/>
          <w:bCs/>
          <w:lang w:val="en-NZ" w:eastAsia="ko-KR"/>
        </w:rPr>
        <w:t>(December 2020)</w:t>
      </w:r>
    </w:p>
    <w:p w14:paraId="47E8CBA3" w14:textId="77777777" w:rsidR="00EE5918" w:rsidRPr="00BB6D5C" w:rsidRDefault="00EE5918" w:rsidP="00CA3D60">
      <w:pPr>
        <w:pStyle w:val="ListParagraph"/>
        <w:numPr>
          <w:ilvl w:val="0"/>
          <w:numId w:val="27"/>
        </w:numPr>
        <w:overflowPunct w:val="0"/>
        <w:ind w:left="1276" w:hanging="283"/>
      </w:pPr>
      <w:r w:rsidRPr="00BB6D5C">
        <w:t>CEPT opposes to any changes to the RR in response to WRC-23 Agenda item 9.1, topic c. With this CEPT is also of the view that there is no need to consider/study specific frequency bands.</w:t>
      </w:r>
    </w:p>
    <w:p w14:paraId="48D906F4" w14:textId="77777777" w:rsidR="00EE5918" w:rsidRDefault="00EE5918" w:rsidP="00CA3D60">
      <w:pPr>
        <w:pStyle w:val="ListParagraph"/>
        <w:numPr>
          <w:ilvl w:val="0"/>
          <w:numId w:val="27"/>
        </w:numPr>
        <w:overflowPunct w:val="0"/>
        <w:ind w:left="1276" w:hanging="283"/>
      </w:pPr>
      <w:r w:rsidRPr="00BB6D5C">
        <w:t xml:space="preserve">CEPT is of the view that fixed wireless broadband applications using IMT technologies as well as other technologies in the frequency bands allocated to the </w:t>
      </w:r>
      <w:r w:rsidRPr="00BB6D5C">
        <w:lastRenderedPageBreak/>
        <w:t>fixed service can be addressed through update of appropriate existing ITU-R Recommendations/Reports/Handbooks. Development of new ITU-R Recommendations/Reports should only be considered, if necessary, based on the outcome of review of existing ITU-R deliverables. Therefore, this work falls under regular activities of Working Parties 5A and 5C.</w:t>
      </w:r>
    </w:p>
    <w:p w14:paraId="683AD373" w14:textId="77777777" w:rsidR="00EE5918" w:rsidRPr="00BB6D5C" w:rsidRDefault="00EE5918" w:rsidP="00CA3D60">
      <w:pPr>
        <w:pStyle w:val="ListParagraph"/>
        <w:overflowPunct w:val="0"/>
        <w:ind w:left="1276"/>
      </w:pPr>
    </w:p>
    <w:p w14:paraId="3E39A585" w14:textId="6F3920D7" w:rsidR="005263C8" w:rsidRDefault="005263C8" w:rsidP="00CA3D60">
      <w:pPr>
        <w:pStyle w:val="ListParagraph"/>
        <w:numPr>
          <w:ilvl w:val="0"/>
          <w:numId w:val="21"/>
        </w:numPr>
        <w:overflowPunct w:val="0"/>
        <w:spacing w:after="120"/>
        <w:jc w:val="both"/>
        <w:rPr>
          <w:bCs/>
          <w:lang w:val="en-NZ" w:eastAsia="ko-KR"/>
        </w:rPr>
      </w:pPr>
      <w:r w:rsidRPr="005263C8">
        <w:rPr>
          <w:bCs/>
          <w:lang w:val="en-NZ" w:eastAsia="ko-KR"/>
        </w:rPr>
        <w:t>CITEL</w:t>
      </w:r>
    </w:p>
    <w:p w14:paraId="7DADBFF4" w14:textId="77777777" w:rsidR="005263C8" w:rsidRPr="005263C8" w:rsidRDefault="005263C8" w:rsidP="00CA3D60">
      <w:pPr>
        <w:pStyle w:val="ListParagraph"/>
        <w:overflowPunct w:val="0"/>
        <w:spacing w:after="120"/>
        <w:ind w:left="1080"/>
        <w:jc w:val="both"/>
        <w:rPr>
          <w:bCs/>
          <w:lang w:val="en-NZ" w:eastAsia="ko-KR"/>
        </w:rPr>
      </w:pPr>
    </w:p>
    <w:p w14:paraId="59ED3143" w14:textId="50BCF8B1" w:rsidR="005263C8" w:rsidRDefault="005263C8" w:rsidP="00CA3D60">
      <w:pPr>
        <w:pStyle w:val="ListParagraph"/>
        <w:numPr>
          <w:ilvl w:val="0"/>
          <w:numId w:val="21"/>
        </w:numPr>
        <w:overflowPunct w:val="0"/>
        <w:spacing w:after="120"/>
        <w:jc w:val="both"/>
        <w:rPr>
          <w:bCs/>
          <w:lang w:val="en-NZ" w:eastAsia="ko-KR"/>
        </w:rPr>
      </w:pPr>
      <w:r w:rsidRPr="005263C8">
        <w:rPr>
          <w:bCs/>
          <w:lang w:val="en-NZ" w:eastAsia="ko-KR"/>
        </w:rPr>
        <w:t>RCC</w:t>
      </w:r>
      <w:r w:rsidR="00576BA4">
        <w:rPr>
          <w:rFonts w:hint="eastAsia"/>
          <w:bCs/>
          <w:lang w:val="en-NZ" w:eastAsia="ko-KR"/>
        </w:rPr>
        <w:t>(September 2020)</w:t>
      </w:r>
    </w:p>
    <w:p w14:paraId="59B9F860" w14:textId="77777777" w:rsidR="00E346AE" w:rsidRPr="00E346AE" w:rsidRDefault="00E346AE" w:rsidP="00CA3D60">
      <w:pPr>
        <w:pStyle w:val="ListParagraph"/>
        <w:overflowPunct w:val="0"/>
        <w:rPr>
          <w:bCs/>
          <w:lang w:val="en-NZ" w:eastAsia="ko-KR"/>
        </w:rPr>
      </w:pPr>
    </w:p>
    <w:p w14:paraId="38DB8CEB" w14:textId="670E5056" w:rsidR="00E346AE" w:rsidRDefault="00E346AE" w:rsidP="00CA3D60">
      <w:pPr>
        <w:pStyle w:val="ListParagraph"/>
        <w:numPr>
          <w:ilvl w:val="0"/>
          <w:numId w:val="34"/>
        </w:numPr>
        <w:overflowPunct w:val="0"/>
        <w:spacing w:after="120"/>
        <w:ind w:left="1276" w:hanging="283"/>
        <w:jc w:val="both"/>
        <w:rPr>
          <w:bCs/>
          <w:lang w:val="en-NZ" w:eastAsia="ko-KR"/>
        </w:rPr>
      </w:pPr>
      <w:r w:rsidRPr="00E346AE">
        <w:rPr>
          <w:bCs/>
          <w:lang w:eastAsia="ko-KR"/>
        </w:rPr>
        <w:t>The RCC Administrations consider that when making decision on IMT systems using the frequency bands allocated to the fixed service on the primary basis, IMT systems for fixed wireless broadband should protect services operating in the these or adjacent frequency bands, if necessary.</w:t>
      </w:r>
    </w:p>
    <w:p w14:paraId="455B0EE5" w14:textId="77777777" w:rsidR="005263C8" w:rsidRPr="005263C8" w:rsidRDefault="005263C8" w:rsidP="00CA3D60">
      <w:pPr>
        <w:pStyle w:val="ListParagraph"/>
        <w:overflowPunct w:val="0"/>
        <w:rPr>
          <w:bCs/>
          <w:lang w:val="en-NZ" w:eastAsia="ko-KR"/>
        </w:rPr>
      </w:pPr>
    </w:p>
    <w:p w14:paraId="4A980740" w14:textId="77777777" w:rsidR="005263C8" w:rsidRPr="005263C8" w:rsidRDefault="005263C8" w:rsidP="00CA3D60">
      <w:pPr>
        <w:pStyle w:val="ListParagraph"/>
        <w:overflowPunct w:val="0"/>
        <w:spacing w:after="120"/>
        <w:ind w:left="1080"/>
        <w:jc w:val="both"/>
        <w:rPr>
          <w:bCs/>
          <w:lang w:val="en-NZ" w:eastAsia="ko-KR"/>
        </w:rPr>
      </w:pPr>
    </w:p>
    <w:p w14:paraId="32715F49" w14:textId="744F53A8" w:rsidR="00957294" w:rsidRPr="00441526" w:rsidRDefault="00957294" w:rsidP="00CA3D60">
      <w:pPr>
        <w:overflowPunct w:val="0"/>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09BE45A9" w:rsidR="005263C8" w:rsidRDefault="005263C8" w:rsidP="00CA3D60">
      <w:pPr>
        <w:pStyle w:val="ListParagraph"/>
        <w:numPr>
          <w:ilvl w:val="0"/>
          <w:numId w:val="21"/>
        </w:numPr>
        <w:overflowPunct w:val="0"/>
        <w:spacing w:after="120"/>
        <w:jc w:val="both"/>
        <w:rPr>
          <w:bCs/>
          <w:lang w:val="en-NZ" w:eastAsia="ko-KR"/>
        </w:rPr>
      </w:pPr>
      <w:r>
        <w:rPr>
          <w:bCs/>
          <w:lang w:val="en-NZ" w:eastAsia="ko-KR"/>
        </w:rPr>
        <w:t>ICAO</w:t>
      </w:r>
    </w:p>
    <w:p w14:paraId="638325BC" w14:textId="77777777" w:rsidR="005263C8" w:rsidRDefault="005263C8" w:rsidP="00CA3D60">
      <w:pPr>
        <w:pStyle w:val="ListParagraph"/>
        <w:overflowPunct w:val="0"/>
        <w:spacing w:after="120"/>
        <w:ind w:left="1080"/>
        <w:jc w:val="both"/>
        <w:rPr>
          <w:bCs/>
          <w:lang w:val="en-NZ" w:eastAsia="ko-KR"/>
        </w:rPr>
      </w:pPr>
    </w:p>
    <w:p w14:paraId="1A3BA6F3" w14:textId="394B76C1" w:rsidR="005263C8" w:rsidRDefault="005263C8" w:rsidP="00CA3D60">
      <w:pPr>
        <w:pStyle w:val="ListParagraph"/>
        <w:numPr>
          <w:ilvl w:val="0"/>
          <w:numId w:val="21"/>
        </w:numPr>
        <w:overflowPunct w:val="0"/>
        <w:spacing w:after="120"/>
        <w:jc w:val="both"/>
        <w:rPr>
          <w:bCs/>
          <w:lang w:val="en-NZ" w:eastAsia="ko-KR"/>
        </w:rPr>
      </w:pPr>
      <w:r>
        <w:rPr>
          <w:bCs/>
          <w:lang w:val="en-NZ" w:eastAsia="ko-KR"/>
        </w:rPr>
        <w:t>IMO</w:t>
      </w:r>
    </w:p>
    <w:p w14:paraId="1F179006" w14:textId="77777777" w:rsidR="005263C8" w:rsidRPr="005263C8" w:rsidRDefault="005263C8" w:rsidP="00CA3D60">
      <w:pPr>
        <w:overflowPunct w:val="0"/>
        <w:spacing w:after="120"/>
        <w:jc w:val="both"/>
        <w:rPr>
          <w:bCs/>
          <w:lang w:val="en-NZ" w:eastAsia="ko-KR"/>
        </w:rPr>
      </w:pPr>
    </w:p>
    <w:p w14:paraId="7D807065" w14:textId="75D3085F" w:rsidR="005263C8" w:rsidRDefault="005263C8" w:rsidP="00CA3D60">
      <w:pPr>
        <w:pStyle w:val="ListParagraph"/>
        <w:numPr>
          <w:ilvl w:val="0"/>
          <w:numId w:val="21"/>
        </w:numPr>
        <w:overflowPunct w:val="0"/>
        <w:spacing w:after="120"/>
        <w:jc w:val="both"/>
        <w:rPr>
          <w:bCs/>
          <w:lang w:val="en-NZ" w:eastAsia="ko-KR"/>
        </w:rPr>
      </w:pPr>
      <w:r>
        <w:rPr>
          <w:bCs/>
          <w:lang w:val="en-NZ" w:eastAsia="ko-KR"/>
        </w:rPr>
        <w:t>WMO</w:t>
      </w:r>
      <w:r w:rsidR="00EE5918">
        <w:rPr>
          <w:rFonts w:hint="eastAsia"/>
          <w:bCs/>
          <w:lang w:val="en-NZ" w:eastAsia="ko-KR"/>
        </w:rPr>
        <w:t xml:space="preserve"> (February 2020)</w:t>
      </w:r>
    </w:p>
    <w:p w14:paraId="212FCB3E" w14:textId="77777777" w:rsidR="00EE5918" w:rsidRDefault="00EE5918" w:rsidP="00CA3D60">
      <w:pPr>
        <w:pStyle w:val="ListParagraph"/>
        <w:numPr>
          <w:ilvl w:val="0"/>
          <w:numId w:val="28"/>
        </w:numPr>
        <w:overflowPunct w:val="0"/>
        <w:ind w:left="1276" w:hanging="283"/>
        <w:rPr>
          <w:lang w:eastAsia="fr-FR"/>
        </w:rPr>
      </w:pPr>
      <w:r w:rsidRPr="00360DC4">
        <w:t>WMO is concerned about this Topic c) under Agenda item 9.1 that is very broad in scope and could hence potentially affect a large number of meteorological operations and applications, including EESS (passive) under RR No 5.340.</w:t>
      </w:r>
    </w:p>
    <w:p w14:paraId="6EC31178" w14:textId="33BD2F40" w:rsidR="00EE5918" w:rsidRPr="00EE5918" w:rsidRDefault="00EE5918" w:rsidP="00CA3D60">
      <w:pPr>
        <w:pStyle w:val="ListParagraph"/>
        <w:numPr>
          <w:ilvl w:val="0"/>
          <w:numId w:val="28"/>
        </w:numPr>
        <w:overflowPunct w:val="0"/>
        <w:ind w:left="1276" w:hanging="283"/>
        <w:rPr>
          <w:lang w:eastAsia="fr-FR"/>
        </w:rPr>
      </w:pPr>
      <w:r w:rsidRPr="00360DC4">
        <w:t>WMO will monitor the work on this Topic and contribute as necessary</w:t>
      </w:r>
      <w:r>
        <w:rPr>
          <w:rFonts w:hint="eastAsia"/>
          <w:lang w:eastAsia="ko-KR"/>
        </w:rPr>
        <w:t>.</w:t>
      </w:r>
    </w:p>
    <w:p w14:paraId="140C012D" w14:textId="77777777" w:rsidR="005263C8" w:rsidRPr="005263C8" w:rsidRDefault="005263C8" w:rsidP="00CA3D60">
      <w:pPr>
        <w:overflowPunct w:val="0"/>
        <w:spacing w:after="120"/>
        <w:jc w:val="both"/>
        <w:rPr>
          <w:bCs/>
          <w:lang w:val="en-NZ" w:eastAsia="ko-KR"/>
        </w:rPr>
      </w:pPr>
    </w:p>
    <w:p w14:paraId="588FA515" w14:textId="784D71C0" w:rsidR="005263C8" w:rsidRDefault="005263C8" w:rsidP="00CA3D60">
      <w:pPr>
        <w:pStyle w:val="ListParagraph"/>
        <w:numPr>
          <w:ilvl w:val="0"/>
          <w:numId w:val="21"/>
        </w:numPr>
        <w:overflowPunct w:val="0"/>
        <w:spacing w:after="120"/>
        <w:jc w:val="both"/>
        <w:rPr>
          <w:bCs/>
          <w:lang w:val="en-NZ" w:eastAsia="ko-KR"/>
        </w:rPr>
      </w:pPr>
      <w:r>
        <w:rPr>
          <w:bCs/>
          <w:lang w:val="en-NZ" w:eastAsia="ko-KR"/>
        </w:rPr>
        <w:t>IARU R3</w:t>
      </w:r>
    </w:p>
    <w:p w14:paraId="7BCA8848" w14:textId="77777777" w:rsidR="00EE5918" w:rsidRPr="005263C8" w:rsidRDefault="00EE5918" w:rsidP="00CA3D60">
      <w:pPr>
        <w:pStyle w:val="ListParagraph"/>
        <w:overflowPunct w:val="0"/>
        <w:rPr>
          <w:bCs/>
          <w:lang w:val="en-NZ" w:eastAsia="ko-KR"/>
        </w:rPr>
      </w:pPr>
    </w:p>
    <w:p w14:paraId="4E11B821" w14:textId="7CBE992E" w:rsidR="005263C8" w:rsidRDefault="005263C8" w:rsidP="00CA3D60">
      <w:pPr>
        <w:pStyle w:val="ListParagraph"/>
        <w:numPr>
          <w:ilvl w:val="0"/>
          <w:numId w:val="21"/>
        </w:numPr>
        <w:overflowPunct w:val="0"/>
        <w:spacing w:after="120"/>
        <w:jc w:val="both"/>
        <w:rPr>
          <w:bCs/>
          <w:lang w:val="en-NZ" w:eastAsia="ko-KR"/>
        </w:rPr>
      </w:pPr>
      <w:r>
        <w:rPr>
          <w:bCs/>
          <w:lang w:val="en-NZ" w:eastAsia="ko-KR"/>
        </w:rPr>
        <w:t>Etc…</w:t>
      </w:r>
    </w:p>
    <w:p w14:paraId="2E92025C" w14:textId="77777777" w:rsidR="00957294" w:rsidRPr="00441526" w:rsidRDefault="00957294" w:rsidP="00CA3D60">
      <w:pPr>
        <w:overflowPunct w:val="0"/>
        <w:spacing w:after="120"/>
        <w:jc w:val="both"/>
        <w:rPr>
          <w:b/>
          <w:lang w:val="en-NZ" w:eastAsia="ko-KR"/>
        </w:rPr>
      </w:pPr>
    </w:p>
    <w:p w14:paraId="40FE6F6B" w14:textId="77777777" w:rsidR="0037421D" w:rsidRPr="00957294" w:rsidRDefault="0037421D" w:rsidP="00CA3D60">
      <w:pPr>
        <w:overflowPunct w:val="0"/>
        <w:spacing w:after="120"/>
        <w:jc w:val="both"/>
        <w:rPr>
          <w:b/>
          <w:lang w:val="en-NZ"/>
        </w:rPr>
      </w:pPr>
    </w:p>
    <w:p w14:paraId="7C0524FF" w14:textId="77777777" w:rsidR="0037421D" w:rsidRDefault="0037421D" w:rsidP="00CA3D60">
      <w:pPr>
        <w:overflowPunct w:val="0"/>
        <w:spacing w:after="120"/>
        <w:jc w:val="both"/>
        <w:rPr>
          <w:b/>
        </w:rPr>
      </w:pPr>
    </w:p>
    <w:p w14:paraId="6C6955A0" w14:textId="77777777" w:rsidR="0037421D" w:rsidRDefault="0037421D" w:rsidP="00CA3D60">
      <w:pPr>
        <w:overflowPunct w:val="0"/>
        <w:spacing w:after="120"/>
        <w:jc w:val="both"/>
        <w:rPr>
          <w:b/>
        </w:rPr>
      </w:pPr>
    </w:p>
    <w:p w14:paraId="2006D93B" w14:textId="77777777" w:rsidR="0037421D" w:rsidRDefault="0037421D" w:rsidP="00CA3D60">
      <w:pPr>
        <w:overflowPunct w:val="0"/>
        <w:spacing w:after="120"/>
        <w:jc w:val="both"/>
        <w:rPr>
          <w:b/>
        </w:rPr>
      </w:pPr>
    </w:p>
    <w:p w14:paraId="41C87AE2" w14:textId="77777777" w:rsidR="0037421D" w:rsidRDefault="0037421D" w:rsidP="00CA3D60">
      <w:pPr>
        <w:overflowPunct w:val="0"/>
        <w:spacing w:after="120"/>
        <w:jc w:val="both"/>
        <w:rPr>
          <w:b/>
        </w:rPr>
      </w:pPr>
    </w:p>
    <w:p w14:paraId="431F10C2" w14:textId="77777777" w:rsidR="0037421D" w:rsidRDefault="0037421D" w:rsidP="00CA3D60">
      <w:pPr>
        <w:overflowPunct w:val="0"/>
        <w:spacing w:after="120"/>
        <w:jc w:val="both"/>
        <w:rPr>
          <w:b/>
        </w:rPr>
      </w:pPr>
    </w:p>
    <w:p w14:paraId="19D2C875" w14:textId="77777777" w:rsidR="0037421D" w:rsidRDefault="0037421D" w:rsidP="00CA3D60">
      <w:pPr>
        <w:overflowPunct w:val="0"/>
        <w:spacing w:after="120"/>
        <w:jc w:val="both"/>
        <w:rPr>
          <w:b/>
        </w:rPr>
      </w:pPr>
    </w:p>
    <w:sectPr w:rsidR="0037421D" w:rsidSect="00FF72BB">
      <w:headerReference w:type="default" r:id="rId17"/>
      <w:footerReference w:type="even" r:id="rId18"/>
      <w:footerReference w:type="defaul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FDA2" w14:textId="77777777" w:rsidR="0084221E" w:rsidRDefault="0084221E">
      <w:r>
        <w:separator/>
      </w:r>
    </w:p>
  </w:endnote>
  <w:endnote w:type="continuationSeparator" w:id="0">
    <w:p w14:paraId="03A6E67D" w14:textId="77777777" w:rsidR="0084221E" w:rsidRDefault="0084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44B9E978" w:rsidR="00051E1E" w:rsidRDefault="00051E1E">
    <w:pPr>
      <w:pStyle w:val="Footer"/>
    </w:pPr>
    <w:r>
      <w:t>A</w:t>
    </w:r>
    <w:r w:rsidR="001E1432">
      <w:t>PG23-</w:t>
    </w:r>
    <w:r w:rsidR="008624ED">
      <w:t>2</w:t>
    </w:r>
    <w:r>
      <w:t>/IN</w:t>
    </w:r>
    <w:r w:rsidR="00762618">
      <w:t>F</w:t>
    </w:r>
    <w:r>
      <w:t>-</w:t>
    </w:r>
    <w:r w:rsidR="00762618">
      <w:t>07</w:t>
    </w:r>
    <w:r>
      <w:tab/>
    </w:r>
    <w:r>
      <w:tab/>
      <w:t xml:space="preserve">Page </w:t>
    </w:r>
    <w:r>
      <w:rPr>
        <w:b/>
        <w:bCs/>
      </w:rPr>
      <w:fldChar w:fldCharType="begin"/>
    </w:r>
    <w:r>
      <w:rPr>
        <w:b/>
        <w:bCs/>
      </w:rPr>
      <w:instrText xml:space="preserve"> PAGE  \* Arabic  \* MERGEFORMAT </w:instrText>
    </w:r>
    <w:r>
      <w:rPr>
        <w:b/>
        <w:bCs/>
      </w:rPr>
      <w:fldChar w:fldCharType="separate"/>
    </w:r>
    <w:r w:rsidR="00CA3D6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3D60">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1CAA476F" w:rsidR="00B54758" w:rsidRDefault="00762618" w:rsidP="007E7497">
          <w:pPr>
            <w:pStyle w:val="Equation"/>
            <w:tabs>
              <w:tab w:val="clear" w:pos="794"/>
              <w:tab w:val="clear" w:pos="4820"/>
              <w:tab w:val="clear" w:pos="9639"/>
            </w:tabs>
            <w:spacing w:beforeLines="0"/>
            <w:rPr>
              <w:rFonts w:eastAsia="Batang"/>
            </w:rPr>
          </w:pPr>
          <w:r>
            <w:rPr>
              <w:rFonts w:eastAsia="Batang"/>
            </w:rPr>
            <w:t xml:space="preserve">Mr. </w:t>
          </w:r>
          <w:proofErr w:type="spellStart"/>
          <w:r>
            <w:rPr>
              <w:rFonts w:eastAsia="Batang"/>
            </w:rPr>
            <w:t>Yongseok</w:t>
          </w:r>
          <w:proofErr w:type="spellEnd"/>
          <w:r>
            <w:rPr>
              <w:rFonts w:eastAsia="Batang"/>
            </w:rPr>
            <w:t xml:space="preserve"> </w:t>
          </w:r>
          <w:proofErr w:type="spellStart"/>
          <w:r>
            <w:rPr>
              <w:rFonts w:eastAsia="Batang"/>
            </w:rPr>
            <w:t>Seo</w:t>
          </w:r>
          <w:proofErr w:type="spellEnd"/>
        </w:p>
        <w:p w14:paraId="39C5729B" w14:textId="6FFA68A2" w:rsidR="00EC249E" w:rsidRDefault="00762618" w:rsidP="007E7497">
          <w:pPr>
            <w:pStyle w:val="Equation"/>
            <w:tabs>
              <w:tab w:val="clear" w:pos="794"/>
              <w:tab w:val="clear" w:pos="4820"/>
              <w:tab w:val="clear" w:pos="9639"/>
            </w:tabs>
            <w:spacing w:beforeLines="0"/>
            <w:rPr>
              <w:rFonts w:eastAsia="Batang"/>
            </w:rPr>
          </w:pPr>
          <w:r>
            <w:rPr>
              <w:rFonts w:eastAsia="Batang"/>
            </w:rPr>
            <w:t>Chairman, DG AI9.1 c)</w:t>
          </w:r>
        </w:p>
      </w:tc>
      <w:tc>
        <w:tcPr>
          <w:tcW w:w="3024" w:type="dxa"/>
        </w:tcPr>
        <w:p w14:paraId="66CA6E30" w14:textId="3719E8D3" w:rsidR="00B54758" w:rsidRDefault="00B54758" w:rsidP="00E23D98">
          <w:pPr>
            <w:rPr>
              <w:lang w:eastAsia="ja-JP"/>
            </w:rPr>
          </w:pPr>
          <w:r>
            <w:t>Email</w:t>
          </w:r>
          <w:r>
            <w:rPr>
              <w:rFonts w:hint="eastAsia"/>
            </w:rPr>
            <w:t>:</w:t>
          </w:r>
          <w:r>
            <w:t xml:space="preserve"> </w:t>
          </w:r>
          <w:hyperlink r:id="rId1" w:history="1">
            <w:r w:rsidR="00762618" w:rsidRPr="00033970">
              <w:rPr>
                <w:rStyle w:val="Hyperlink"/>
              </w:rPr>
              <w:t>on1yys@korea.kr</w:t>
            </w:r>
          </w:hyperlink>
          <w:r w:rsidR="00762618">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529F" w14:textId="77777777" w:rsidR="0084221E" w:rsidRDefault="0084221E">
      <w:r>
        <w:separator/>
      </w:r>
    </w:p>
  </w:footnote>
  <w:footnote w:type="continuationSeparator" w:id="0">
    <w:p w14:paraId="7CB48728" w14:textId="77777777" w:rsidR="0084221E" w:rsidRDefault="0084221E">
      <w:r>
        <w:continuationSeparator/>
      </w:r>
    </w:p>
  </w:footnote>
  <w:footnote w:id="1">
    <w:p w14:paraId="42B2CEFC" w14:textId="6FA24EAA" w:rsidR="00F06F8D" w:rsidRPr="006B0E3F" w:rsidRDefault="00F06F8D">
      <w:pPr>
        <w:pStyle w:val="FootnoteText"/>
        <w:rPr>
          <w:rFonts w:eastAsia="MS Mincho"/>
          <w:lang w:eastAsia="ja-JP"/>
        </w:rPr>
      </w:pPr>
      <w:r>
        <w:rPr>
          <w:rStyle w:val="FootnoteReference"/>
        </w:rPr>
        <w:footnoteRef/>
      </w:r>
      <w:r>
        <w:t xml:space="preserve"> T</w:t>
      </w:r>
      <w:r w:rsidRPr="00F06F8D">
        <w:t>he text was neither reviewed nor agreed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C3EF5"/>
    <w:multiLevelType w:val="hybridMultilevel"/>
    <w:tmpl w:val="0A02465C"/>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497039"/>
    <w:multiLevelType w:val="hybridMultilevel"/>
    <w:tmpl w:val="C518C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416A6"/>
    <w:multiLevelType w:val="hybridMultilevel"/>
    <w:tmpl w:val="4C0028D0"/>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9510934"/>
    <w:multiLevelType w:val="hybridMultilevel"/>
    <w:tmpl w:val="628E69E6"/>
    <w:lvl w:ilvl="0" w:tplc="04090001">
      <w:start w:val="1"/>
      <w:numFmt w:val="bullet"/>
      <w:lvlText w:val=""/>
      <w:lvlJc w:val="left"/>
      <w:pPr>
        <w:ind w:left="800" w:hanging="400"/>
      </w:pPr>
      <w:rPr>
        <w:rFonts w:ascii="Symbol" w:hAnsi="Symbol" w:hint="default"/>
      </w:rPr>
    </w:lvl>
    <w:lvl w:ilvl="1" w:tplc="EDECF812">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F632B"/>
    <w:multiLevelType w:val="hybridMultilevel"/>
    <w:tmpl w:val="0876E3FC"/>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25" w15:restartNumberingAfterBreak="0">
    <w:nsid w:val="4F275DE5"/>
    <w:multiLevelType w:val="hybridMultilevel"/>
    <w:tmpl w:val="C01A37A6"/>
    <w:lvl w:ilvl="0" w:tplc="81F656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46015E"/>
    <w:multiLevelType w:val="hybridMultilevel"/>
    <w:tmpl w:val="4A6EAEAC"/>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27" w15:restartNumberingAfterBreak="0">
    <w:nsid w:val="55556B57"/>
    <w:multiLevelType w:val="hybridMultilevel"/>
    <w:tmpl w:val="80828AD8"/>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28" w15:restartNumberingAfterBreak="0">
    <w:nsid w:val="6AB02678"/>
    <w:multiLevelType w:val="hybridMultilevel"/>
    <w:tmpl w:val="196001C0"/>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38E63E2"/>
    <w:multiLevelType w:val="hybridMultilevel"/>
    <w:tmpl w:val="5D4A6B3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74225"/>
    <w:multiLevelType w:val="hybridMultilevel"/>
    <w:tmpl w:val="A716A93E"/>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8"/>
  </w:num>
  <w:num w:numId="2">
    <w:abstractNumId w:val="10"/>
  </w:num>
  <w:num w:numId="3">
    <w:abstractNumId w:val="8"/>
  </w:num>
  <w:num w:numId="4">
    <w:abstractNumId w:val="29"/>
  </w:num>
  <w:num w:numId="5">
    <w:abstractNumId w:val="15"/>
  </w:num>
  <w:num w:numId="6">
    <w:abstractNumId w:val="19"/>
  </w:num>
  <w:num w:numId="7">
    <w:abstractNumId w:val="7"/>
  </w:num>
  <w:num w:numId="8">
    <w:abstractNumId w:val="1"/>
  </w:num>
  <w:num w:numId="9">
    <w:abstractNumId w:val="33"/>
  </w:num>
  <w:num w:numId="10">
    <w:abstractNumId w:val="0"/>
  </w:num>
  <w:num w:numId="11">
    <w:abstractNumId w:val="31"/>
  </w:num>
  <w:num w:numId="12">
    <w:abstractNumId w:val="16"/>
  </w:num>
  <w:num w:numId="13">
    <w:abstractNumId w:val="22"/>
  </w:num>
  <w:num w:numId="14">
    <w:abstractNumId w:val="12"/>
  </w:num>
  <w:num w:numId="15">
    <w:abstractNumId w:val="4"/>
  </w:num>
  <w:num w:numId="16">
    <w:abstractNumId w:val="3"/>
  </w:num>
  <w:num w:numId="17">
    <w:abstractNumId w:val="6"/>
  </w:num>
  <w:num w:numId="18">
    <w:abstractNumId w:val="17"/>
  </w:num>
  <w:num w:numId="19">
    <w:abstractNumId w:val="23"/>
  </w:num>
  <w:num w:numId="20">
    <w:abstractNumId w:val="21"/>
  </w:num>
  <w:num w:numId="21">
    <w:abstractNumId w:val="9"/>
  </w:num>
  <w:num w:numId="22">
    <w:abstractNumId w:val="14"/>
  </w:num>
  <w:num w:numId="23">
    <w:abstractNumId w:val="25"/>
  </w:num>
  <w:num w:numId="24">
    <w:abstractNumId w:val="20"/>
  </w:num>
  <w:num w:numId="25">
    <w:abstractNumId w:val="2"/>
  </w:num>
  <w:num w:numId="26">
    <w:abstractNumId w:val="30"/>
  </w:num>
  <w:num w:numId="27">
    <w:abstractNumId w:val="11"/>
  </w:num>
  <w:num w:numId="28">
    <w:abstractNumId w:val="24"/>
  </w:num>
  <w:num w:numId="29">
    <w:abstractNumId w:val="27"/>
  </w:num>
  <w:num w:numId="30">
    <w:abstractNumId w:val="5"/>
  </w:num>
  <w:num w:numId="31">
    <w:abstractNumId w:val="28"/>
  </w:num>
  <w:num w:numId="32">
    <w:abstractNumId w:val="26"/>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21E0D"/>
    <w:rsid w:val="0003595B"/>
    <w:rsid w:val="00036385"/>
    <w:rsid w:val="00051E1E"/>
    <w:rsid w:val="00053986"/>
    <w:rsid w:val="00054C56"/>
    <w:rsid w:val="0006313A"/>
    <w:rsid w:val="00063DF8"/>
    <w:rsid w:val="000713CF"/>
    <w:rsid w:val="00075C14"/>
    <w:rsid w:val="00094363"/>
    <w:rsid w:val="00094B87"/>
    <w:rsid w:val="000964D0"/>
    <w:rsid w:val="000A1F8C"/>
    <w:rsid w:val="000A5418"/>
    <w:rsid w:val="000A754D"/>
    <w:rsid w:val="000B1E8C"/>
    <w:rsid w:val="000B595C"/>
    <w:rsid w:val="000D7C75"/>
    <w:rsid w:val="000F517C"/>
    <w:rsid w:val="000F5540"/>
    <w:rsid w:val="001049D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C7553"/>
    <w:rsid w:val="001D5D7E"/>
    <w:rsid w:val="001E1432"/>
    <w:rsid w:val="001F5947"/>
    <w:rsid w:val="0021588B"/>
    <w:rsid w:val="002216AC"/>
    <w:rsid w:val="002219FD"/>
    <w:rsid w:val="0023010A"/>
    <w:rsid w:val="00230738"/>
    <w:rsid w:val="00234735"/>
    <w:rsid w:val="00241BCF"/>
    <w:rsid w:val="00254A1B"/>
    <w:rsid w:val="0026736F"/>
    <w:rsid w:val="00272F71"/>
    <w:rsid w:val="00275ED2"/>
    <w:rsid w:val="0028454D"/>
    <w:rsid w:val="00286912"/>
    <w:rsid w:val="00287A2A"/>
    <w:rsid w:val="00291C9E"/>
    <w:rsid w:val="002926D4"/>
    <w:rsid w:val="002C07DA"/>
    <w:rsid w:val="002C7EA9"/>
    <w:rsid w:val="002D651B"/>
    <w:rsid w:val="002F2F9A"/>
    <w:rsid w:val="003131A3"/>
    <w:rsid w:val="00336A0D"/>
    <w:rsid w:val="00342F20"/>
    <w:rsid w:val="00343067"/>
    <w:rsid w:val="00350EC2"/>
    <w:rsid w:val="003540E0"/>
    <w:rsid w:val="003548C2"/>
    <w:rsid w:val="003654C9"/>
    <w:rsid w:val="0037421D"/>
    <w:rsid w:val="003809C7"/>
    <w:rsid w:val="003829E0"/>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87F89"/>
    <w:rsid w:val="004A4DE4"/>
    <w:rsid w:val="004B1D99"/>
    <w:rsid w:val="004B2CCC"/>
    <w:rsid w:val="004B3553"/>
    <w:rsid w:val="004F733C"/>
    <w:rsid w:val="00511DB4"/>
    <w:rsid w:val="00515050"/>
    <w:rsid w:val="0051686D"/>
    <w:rsid w:val="005201CA"/>
    <w:rsid w:val="00521BF0"/>
    <w:rsid w:val="005263C8"/>
    <w:rsid w:val="00530E8C"/>
    <w:rsid w:val="0053625F"/>
    <w:rsid w:val="005442A4"/>
    <w:rsid w:val="00545933"/>
    <w:rsid w:val="0054610B"/>
    <w:rsid w:val="005549C9"/>
    <w:rsid w:val="00557544"/>
    <w:rsid w:val="005606F6"/>
    <w:rsid w:val="005614DC"/>
    <w:rsid w:val="00564477"/>
    <w:rsid w:val="00575CDC"/>
    <w:rsid w:val="00576BA4"/>
    <w:rsid w:val="00577C0A"/>
    <w:rsid w:val="00587875"/>
    <w:rsid w:val="005B1E77"/>
    <w:rsid w:val="005B244E"/>
    <w:rsid w:val="005B454A"/>
    <w:rsid w:val="005C5EB6"/>
    <w:rsid w:val="005D3914"/>
    <w:rsid w:val="005D6B2F"/>
    <w:rsid w:val="005E3896"/>
    <w:rsid w:val="005E6C90"/>
    <w:rsid w:val="00607E2B"/>
    <w:rsid w:val="006139D6"/>
    <w:rsid w:val="00615999"/>
    <w:rsid w:val="00623CE1"/>
    <w:rsid w:val="0063062B"/>
    <w:rsid w:val="00636BAD"/>
    <w:rsid w:val="0066388B"/>
    <w:rsid w:val="00667229"/>
    <w:rsid w:val="00675C31"/>
    <w:rsid w:val="006769C2"/>
    <w:rsid w:val="00682BE5"/>
    <w:rsid w:val="006843DA"/>
    <w:rsid w:val="00690FED"/>
    <w:rsid w:val="006939A5"/>
    <w:rsid w:val="006A15A4"/>
    <w:rsid w:val="006B0E3F"/>
    <w:rsid w:val="006B6778"/>
    <w:rsid w:val="006C2D39"/>
    <w:rsid w:val="006E12FC"/>
    <w:rsid w:val="006F375E"/>
    <w:rsid w:val="00705C2D"/>
    <w:rsid w:val="00705E61"/>
    <w:rsid w:val="00712451"/>
    <w:rsid w:val="00731041"/>
    <w:rsid w:val="00732F08"/>
    <w:rsid w:val="007350E2"/>
    <w:rsid w:val="00736198"/>
    <w:rsid w:val="0074190C"/>
    <w:rsid w:val="00762576"/>
    <w:rsid w:val="00762618"/>
    <w:rsid w:val="00791060"/>
    <w:rsid w:val="007A1BDE"/>
    <w:rsid w:val="007A3E29"/>
    <w:rsid w:val="007A5E34"/>
    <w:rsid w:val="007B3299"/>
    <w:rsid w:val="007B3D18"/>
    <w:rsid w:val="007B5626"/>
    <w:rsid w:val="007B5E37"/>
    <w:rsid w:val="007D29E5"/>
    <w:rsid w:val="007E1FDD"/>
    <w:rsid w:val="007E5509"/>
    <w:rsid w:val="007E7497"/>
    <w:rsid w:val="007F08FF"/>
    <w:rsid w:val="007F1651"/>
    <w:rsid w:val="007F29A4"/>
    <w:rsid w:val="00803C99"/>
    <w:rsid w:val="0080570B"/>
    <w:rsid w:val="008148E1"/>
    <w:rsid w:val="00816F4E"/>
    <w:rsid w:val="00831716"/>
    <w:rsid w:val="008319BF"/>
    <w:rsid w:val="008337EA"/>
    <w:rsid w:val="0084221E"/>
    <w:rsid w:val="00850E1C"/>
    <w:rsid w:val="008624ED"/>
    <w:rsid w:val="00870944"/>
    <w:rsid w:val="008825A1"/>
    <w:rsid w:val="008950FB"/>
    <w:rsid w:val="00897849"/>
    <w:rsid w:val="008A423E"/>
    <w:rsid w:val="008A73CD"/>
    <w:rsid w:val="008D084B"/>
    <w:rsid w:val="008D0E09"/>
    <w:rsid w:val="008E3821"/>
    <w:rsid w:val="008F2153"/>
    <w:rsid w:val="008F301D"/>
    <w:rsid w:val="009306C7"/>
    <w:rsid w:val="009346A2"/>
    <w:rsid w:val="00953737"/>
    <w:rsid w:val="00957294"/>
    <w:rsid w:val="009579D3"/>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A2D8E"/>
    <w:rsid w:val="00AA474C"/>
    <w:rsid w:val="00AB0EAD"/>
    <w:rsid w:val="00AB2572"/>
    <w:rsid w:val="00AC19BB"/>
    <w:rsid w:val="00AD7E5F"/>
    <w:rsid w:val="00AF6E67"/>
    <w:rsid w:val="00B0090F"/>
    <w:rsid w:val="00B01AA1"/>
    <w:rsid w:val="00B122CE"/>
    <w:rsid w:val="00B22E00"/>
    <w:rsid w:val="00B24089"/>
    <w:rsid w:val="00B30C81"/>
    <w:rsid w:val="00B34275"/>
    <w:rsid w:val="00B3474C"/>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66130"/>
    <w:rsid w:val="00C73F61"/>
    <w:rsid w:val="00C75805"/>
    <w:rsid w:val="00C81297"/>
    <w:rsid w:val="00C85119"/>
    <w:rsid w:val="00CA3D60"/>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3F90"/>
    <w:rsid w:val="00DB4A1C"/>
    <w:rsid w:val="00DC43A3"/>
    <w:rsid w:val="00DD3717"/>
    <w:rsid w:val="00DD7C09"/>
    <w:rsid w:val="00DE54CF"/>
    <w:rsid w:val="00DF7472"/>
    <w:rsid w:val="00DF791C"/>
    <w:rsid w:val="00E0124F"/>
    <w:rsid w:val="00E02E0D"/>
    <w:rsid w:val="00E06286"/>
    <w:rsid w:val="00E17376"/>
    <w:rsid w:val="00E23D98"/>
    <w:rsid w:val="00E346AE"/>
    <w:rsid w:val="00E403B9"/>
    <w:rsid w:val="00E41BE2"/>
    <w:rsid w:val="00E5341E"/>
    <w:rsid w:val="00E545D9"/>
    <w:rsid w:val="00E65FC2"/>
    <w:rsid w:val="00E674D3"/>
    <w:rsid w:val="00E70FD0"/>
    <w:rsid w:val="00E80263"/>
    <w:rsid w:val="00EA0BBD"/>
    <w:rsid w:val="00EA7027"/>
    <w:rsid w:val="00EB2081"/>
    <w:rsid w:val="00EC249E"/>
    <w:rsid w:val="00EE3496"/>
    <w:rsid w:val="00EE5918"/>
    <w:rsid w:val="00EF2406"/>
    <w:rsid w:val="00F00257"/>
    <w:rsid w:val="00F06F8D"/>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414FC326-7647-4B86-A492-5EFBB31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styleId="FollowedHyperlink">
    <w:name w:val="FollowedHyperlink"/>
    <w:basedOn w:val="DefaultParagraphFont"/>
    <w:semiHidden/>
    <w:unhideWhenUsed/>
    <w:rsid w:val="00B0090F"/>
    <w:rPr>
      <w:color w:val="800080" w:themeColor="followedHyperlink"/>
      <w:u w:val="single"/>
    </w:rPr>
  </w:style>
  <w:style w:type="paragraph" w:customStyle="1" w:styleId="ECCBulletsLv1">
    <w:name w:val="ECC Bullets Lv1"/>
    <w:basedOn w:val="Normal"/>
    <w:qFormat/>
    <w:rsid w:val="00094363"/>
    <w:pPr>
      <w:numPr>
        <w:numId w:val="25"/>
      </w:numPr>
      <w:tabs>
        <w:tab w:val="left" w:pos="340"/>
      </w:tabs>
      <w:spacing w:before="60"/>
      <w:jc w:val="both"/>
    </w:pPr>
    <w:rPr>
      <w:rFonts w:ascii="Arial" w:eastAsia="Calibri" w:hAnsi="Arial"/>
      <w:sz w:val="20"/>
      <w:szCs w:val="22"/>
      <w:lang w:val="en-GB"/>
    </w:rPr>
  </w:style>
  <w:style w:type="character" w:customStyle="1" w:styleId="apple-converted-space">
    <w:name w:val="apple-converted-space"/>
    <w:basedOn w:val="DefaultParagraphFont"/>
    <w:rsid w:val="00F06F8D"/>
  </w:style>
  <w:style w:type="character" w:styleId="UnresolvedMention">
    <w:name w:val="Unresolved Mention"/>
    <w:basedOn w:val="DefaultParagraphFont"/>
    <w:uiPriority w:val="99"/>
    <w:semiHidden/>
    <w:unhideWhenUsed/>
    <w:rsid w:val="0076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0268">
      <w:bodyDiv w:val="1"/>
      <w:marLeft w:val="0"/>
      <w:marRight w:val="0"/>
      <w:marTop w:val="0"/>
      <w:marBottom w:val="0"/>
      <w:divBdr>
        <w:top w:val="none" w:sz="0" w:space="0" w:color="auto"/>
        <w:left w:val="none" w:sz="0" w:space="0" w:color="auto"/>
        <w:bottom w:val="none" w:sz="0" w:space="0" w:color="auto"/>
        <w:right w:val="none" w:sz="0" w:space="0" w:color="auto"/>
      </w:divBdr>
    </w:div>
    <w:div w:id="1029573861">
      <w:bodyDiv w:val="1"/>
      <w:marLeft w:val="0"/>
      <w:marRight w:val="0"/>
      <w:marTop w:val="0"/>
      <w:marBottom w:val="0"/>
      <w:divBdr>
        <w:top w:val="none" w:sz="0" w:space="0" w:color="auto"/>
        <w:left w:val="none" w:sz="0" w:space="0" w:color="auto"/>
        <w:bottom w:val="none" w:sz="0" w:space="0" w:color="auto"/>
        <w:right w:val="none" w:sz="0" w:space="0" w:color="auto"/>
      </w:divBdr>
    </w:div>
    <w:div w:id="14419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WP5A-C-0221/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9-WP5A-C-0221/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R/study-groups/rcpm/Pages/wrc-23-studies.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064/en" TargetMode="External"/><Relationship Id="rId5" Type="http://schemas.openxmlformats.org/officeDocument/2006/relationships/webSettings" Target="webSettings.xml"/><Relationship Id="rId15" Type="http://schemas.openxmlformats.org/officeDocument/2006/relationships/hyperlink" Target="https://www.itu.int/en/ITU-R/study-groups/rcpm/Pages/wrc-23-studies.aspx" TargetMode="External"/><Relationship Id="rId10" Type="http://schemas.openxmlformats.org/officeDocument/2006/relationships/hyperlink" Target="https://www.itu.int/md/R19-WP5A-C-0019/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R16-WRC19-C-0064/en" TargetMode="External"/><Relationship Id="rId14" Type="http://schemas.openxmlformats.org/officeDocument/2006/relationships/hyperlink" Target="https://www.itu.int/md/R19-WP5A-C-0221/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on1yys@korea.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1026-27DC-40E1-B232-02FE9715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TotalTime>
  <Pages>4</Pages>
  <Words>1281</Words>
  <Characters>7303</Characters>
  <Application>Microsoft Office Word</Application>
  <DocSecurity>0</DocSecurity>
  <Lines>60</Lines>
  <Paragraphs>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Forhadul Parvez</cp:lastModifiedBy>
  <cp:revision>2</cp:revision>
  <cp:lastPrinted>2004-07-28T02:14:00Z</cp:lastPrinted>
  <dcterms:created xsi:type="dcterms:W3CDTF">2021-03-23T01:38:00Z</dcterms:created>
  <dcterms:modified xsi:type="dcterms:W3CDTF">2021-03-23T01:38:00Z</dcterms:modified>
</cp:coreProperties>
</file>