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25B15063" w14:textId="77777777" w:rsidTr="007E1FDD">
        <w:trPr>
          <w:cantSplit/>
          <w:trHeight w:val="288"/>
        </w:trPr>
        <w:tc>
          <w:tcPr>
            <w:tcW w:w="1399" w:type="dxa"/>
            <w:vMerge w:val="restart"/>
          </w:tcPr>
          <w:p w14:paraId="35CB4FF6"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rPr>
              <w:drawing>
                <wp:inline distT="0" distB="0" distL="0" distR="0" wp14:anchorId="464A7590" wp14:editId="318CE689">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3C757C6"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217F24BE"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398213BF" w14:textId="77777777" w:rsidTr="007E7497">
        <w:trPr>
          <w:cantSplit/>
          <w:trHeight w:val="504"/>
        </w:trPr>
        <w:tc>
          <w:tcPr>
            <w:tcW w:w="1399" w:type="dxa"/>
            <w:vMerge/>
          </w:tcPr>
          <w:p w14:paraId="1E65A4C2" w14:textId="77777777" w:rsidR="003D25E1" w:rsidRPr="00891D0B" w:rsidRDefault="003D25E1" w:rsidP="000D7C75"/>
        </w:tc>
        <w:tc>
          <w:tcPr>
            <w:tcW w:w="5760" w:type="dxa"/>
            <w:vAlign w:val="center"/>
          </w:tcPr>
          <w:p w14:paraId="3C6E6232" w14:textId="77777777" w:rsidR="003D25E1" w:rsidRPr="00891D0B" w:rsidRDefault="00C73F61" w:rsidP="001E1432">
            <w:pPr>
              <w:spacing w:before="40"/>
            </w:pPr>
            <w:r>
              <w:rPr>
                <w:b/>
              </w:rPr>
              <w:t xml:space="preserve">The </w:t>
            </w:r>
            <w:r w:rsidR="008624ED">
              <w:rPr>
                <w:b/>
              </w:rPr>
              <w:t>2nd</w:t>
            </w:r>
            <w:r w:rsidR="001E1432">
              <w:rPr>
                <w:b/>
              </w:rPr>
              <w:t xml:space="preserve">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8624ED">
              <w:rPr>
                <w:b/>
              </w:rPr>
              <w:t>2</w:t>
            </w:r>
            <w:r w:rsidR="003D25E1">
              <w:rPr>
                <w:b/>
              </w:rPr>
              <w:t>)</w:t>
            </w:r>
          </w:p>
        </w:tc>
        <w:tc>
          <w:tcPr>
            <w:tcW w:w="2160" w:type="dxa"/>
          </w:tcPr>
          <w:p w14:paraId="71B9E915" w14:textId="09F68029" w:rsidR="007E1FDD" w:rsidRDefault="001E1432" w:rsidP="007E7497">
            <w:pPr>
              <w:spacing w:before="40"/>
              <w:rPr>
                <w:b/>
                <w:bCs/>
                <w:lang w:val="fr-FR"/>
              </w:rPr>
            </w:pPr>
            <w:r>
              <w:rPr>
                <w:b/>
                <w:bCs/>
                <w:lang w:val="fr-FR"/>
              </w:rPr>
              <w:t>APG23-</w:t>
            </w:r>
            <w:r w:rsidR="008624ED">
              <w:rPr>
                <w:b/>
                <w:bCs/>
                <w:lang w:val="fr-FR"/>
              </w:rPr>
              <w:t>2</w:t>
            </w:r>
            <w:r w:rsidR="007E1FDD">
              <w:rPr>
                <w:b/>
                <w:bCs/>
                <w:lang w:val="fr-FR"/>
              </w:rPr>
              <w:t>/</w:t>
            </w:r>
            <w:r w:rsidR="00164353">
              <w:rPr>
                <w:b/>
                <w:bCs/>
                <w:lang w:val="fr-FR"/>
              </w:rPr>
              <w:t>IN</w:t>
            </w:r>
            <w:r w:rsidR="00EA0BBD">
              <w:rPr>
                <w:b/>
                <w:bCs/>
                <w:lang w:val="fr-FR"/>
              </w:rPr>
              <w:t>F</w:t>
            </w:r>
            <w:r w:rsidR="007E1FDD">
              <w:rPr>
                <w:b/>
                <w:bCs/>
                <w:lang w:val="fr-FR"/>
              </w:rPr>
              <w:t>-</w:t>
            </w:r>
            <w:r w:rsidR="00753159">
              <w:rPr>
                <w:b/>
                <w:bCs/>
                <w:lang w:val="fr-FR"/>
              </w:rPr>
              <w:t>10</w:t>
            </w:r>
          </w:p>
          <w:p w14:paraId="042FD16E" w14:textId="77777777" w:rsidR="003D25E1" w:rsidRPr="007E1FDD" w:rsidRDefault="003D25E1" w:rsidP="007E1FDD">
            <w:pPr>
              <w:rPr>
                <w:b/>
                <w:bCs/>
                <w:lang w:val="en-GB"/>
              </w:rPr>
            </w:pPr>
          </w:p>
        </w:tc>
      </w:tr>
      <w:tr w:rsidR="007E1FDD" w:rsidRPr="00891D0B" w14:paraId="321CFF55" w14:textId="77777777" w:rsidTr="007E1FDD">
        <w:trPr>
          <w:cantSplit/>
          <w:trHeight w:val="288"/>
        </w:trPr>
        <w:tc>
          <w:tcPr>
            <w:tcW w:w="1399" w:type="dxa"/>
            <w:vMerge/>
          </w:tcPr>
          <w:p w14:paraId="4E3C555C" w14:textId="77777777" w:rsidR="007E1FDD" w:rsidRPr="007E1FDD" w:rsidRDefault="007E1FDD" w:rsidP="000D7C75">
            <w:pPr>
              <w:rPr>
                <w:lang w:val="en-GB"/>
              </w:rPr>
            </w:pPr>
          </w:p>
        </w:tc>
        <w:tc>
          <w:tcPr>
            <w:tcW w:w="5760" w:type="dxa"/>
            <w:vAlign w:val="bottom"/>
          </w:tcPr>
          <w:p w14:paraId="7BA3957E" w14:textId="77777777" w:rsidR="007E1FDD" w:rsidRPr="00712451" w:rsidRDefault="008624ED" w:rsidP="00C73F61">
            <w:pPr>
              <w:spacing w:before="40"/>
              <w:rPr>
                <w:b/>
              </w:rPr>
            </w:pPr>
            <w:r>
              <w:t>19</w:t>
            </w:r>
            <w:r w:rsidR="00C73F61">
              <w:t xml:space="preserve"> – </w:t>
            </w:r>
            <w:r w:rsidR="001E1432">
              <w:t>2</w:t>
            </w:r>
            <w:r>
              <w:t>3</w:t>
            </w:r>
            <w:r w:rsidR="007E1FDD">
              <w:t xml:space="preserve"> </w:t>
            </w:r>
            <w:r>
              <w:t>April</w:t>
            </w:r>
            <w:r w:rsidR="00EC249E">
              <w:t xml:space="preserve"> </w:t>
            </w:r>
            <w:r w:rsidR="007E1FDD">
              <w:t>20</w:t>
            </w:r>
            <w:r w:rsidR="00EC249E">
              <w:t>2</w:t>
            </w:r>
            <w:r>
              <w:t>1</w:t>
            </w:r>
            <w:r w:rsidR="007E1FDD" w:rsidRPr="00891D0B">
              <w:t xml:space="preserve">, </w:t>
            </w:r>
            <w:r w:rsidR="00EC249E" w:rsidRPr="00EC249E">
              <w:rPr>
                <w:bCs/>
              </w:rPr>
              <w:t>Virtual</w:t>
            </w:r>
            <w:r>
              <w:rPr>
                <w:bCs/>
              </w:rPr>
              <w:t>/Online</w:t>
            </w:r>
            <w:r w:rsidR="00EC249E" w:rsidRPr="00EC249E">
              <w:rPr>
                <w:bCs/>
              </w:rPr>
              <w:t xml:space="preserve"> Meeting</w:t>
            </w:r>
          </w:p>
        </w:tc>
        <w:tc>
          <w:tcPr>
            <w:tcW w:w="2160" w:type="dxa"/>
            <w:vAlign w:val="bottom"/>
          </w:tcPr>
          <w:p w14:paraId="4DAAF244" w14:textId="03150287" w:rsidR="007E1FDD" w:rsidRPr="007E1FDD" w:rsidRDefault="00753159" w:rsidP="00C73F61">
            <w:pPr>
              <w:spacing w:before="40"/>
              <w:rPr>
                <w:bCs/>
              </w:rPr>
            </w:pPr>
            <w:r>
              <w:rPr>
                <w:bCs/>
              </w:rPr>
              <w:t>23</w:t>
            </w:r>
            <w:r w:rsidR="008624ED">
              <w:rPr>
                <w:bCs/>
              </w:rPr>
              <w:t xml:space="preserve"> </w:t>
            </w:r>
            <w:r w:rsidR="00EA0BBD">
              <w:rPr>
                <w:bCs/>
              </w:rPr>
              <w:t xml:space="preserve">March </w:t>
            </w:r>
            <w:r w:rsidR="007E1FDD" w:rsidRPr="007E1FDD">
              <w:rPr>
                <w:bCs/>
              </w:rPr>
              <w:t>20</w:t>
            </w:r>
            <w:r w:rsidR="00EC249E">
              <w:rPr>
                <w:bCs/>
              </w:rPr>
              <w:t>2</w:t>
            </w:r>
            <w:r w:rsidR="008624ED">
              <w:rPr>
                <w:bCs/>
              </w:rPr>
              <w:t>1</w:t>
            </w:r>
          </w:p>
        </w:tc>
      </w:tr>
    </w:tbl>
    <w:p w14:paraId="1D7C378C" w14:textId="77777777" w:rsidR="007E7497" w:rsidRPr="00051E1E" w:rsidRDefault="007E7497" w:rsidP="00DA7595">
      <w:pPr>
        <w:rPr>
          <w:lang w:eastAsia="ko-KR"/>
        </w:rPr>
      </w:pPr>
    </w:p>
    <w:p w14:paraId="416BBD44" w14:textId="77777777" w:rsidR="00FF72BB" w:rsidRDefault="00FF72BB" w:rsidP="00DA7595">
      <w:pPr>
        <w:jc w:val="center"/>
        <w:rPr>
          <w:lang w:eastAsia="ko-KR"/>
        </w:rPr>
      </w:pPr>
    </w:p>
    <w:p w14:paraId="5D48B783" w14:textId="34E57F2A" w:rsidR="00DA7595" w:rsidRPr="00051E1E" w:rsidRDefault="000C39C6" w:rsidP="00DA7595">
      <w:pPr>
        <w:jc w:val="center"/>
        <w:rPr>
          <w:lang w:eastAsia="ko-KR"/>
        </w:rPr>
      </w:pPr>
      <w:r>
        <w:rPr>
          <w:lang w:eastAsia="ko-KR"/>
        </w:rPr>
        <w:t>Chairman, DG on AI 1.3</w:t>
      </w:r>
    </w:p>
    <w:p w14:paraId="49B50650" w14:textId="77777777" w:rsidR="007E7497" w:rsidRPr="00B355DB" w:rsidRDefault="007E7497" w:rsidP="007E7497">
      <w:pPr>
        <w:jc w:val="center"/>
        <w:rPr>
          <w:caps/>
        </w:rPr>
      </w:pPr>
    </w:p>
    <w:p w14:paraId="40C01037" w14:textId="013FEFB5" w:rsidR="007E7497" w:rsidRPr="00F22892" w:rsidRDefault="00EA0BBD" w:rsidP="007E7497">
      <w:pPr>
        <w:jc w:val="center"/>
        <w:rPr>
          <w:b/>
          <w:bCs/>
          <w:caps/>
        </w:rPr>
      </w:pPr>
      <w:r>
        <w:rPr>
          <w:b/>
          <w:bCs/>
          <w:caps/>
        </w:rPr>
        <w:t xml:space="preserve">brief </w:t>
      </w:r>
      <w:r w:rsidR="00EC249E">
        <w:rPr>
          <w:b/>
          <w:bCs/>
          <w:caps/>
        </w:rPr>
        <w:t>o</w:t>
      </w:r>
      <w:r>
        <w:rPr>
          <w:b/>
          <w:bCs/>
          <w:caps/>
        </w:rPr>
        <w:t>n</w:t>
      </w:r>
      <w:r w:rsidR="00EC249E">
        <w:rPr>
          <w:b/>
          <w:bCs/>
          <w:caps/>
        </w:rPr>
        <w:t xml:space="preserve"> </w:t>
      </w:r>
      <w:r>
        <w:rPr>
          <w:b/>
          <w:bCs/>
          <w:caps/>
        </w:rPr>
        <w:t>wrc-23</w:t>
      </w:r>
      <w:r w:rsidR="00EC249E">
        <w:rPr>
          <w:b/>
          <w:bCs/>
          <w:caps/>
        </w:rPr>
        <w:t xml:space="preserve"> </w:t>
      </w:r>
      <w:r w:rsidR="000C39C6">
        <w:rPr>
          <w:b/>
          <w:bCs/>
          <w:caps/>
        </w:rPr>
        <w:t>agenda item 1.3</w:t>
      </w:r>
    </w:p>
    <w:p w14:paraId="233AF010" w14:textId="77777777" w:rsidR="007E7497" w:rsidRPr="005E3896" w:rsidRDefault="007E7497" w:rsidP="007E7497">
      <w:pPr>
        <w:jc w:val="both"/>
        <w:rPr>
          <w:bCs/>
          <w:sz w:val="6"/>
        </w:rPr>
      </w:pPr>
    </w:p>
    <w:p w14:paraId="271866BD" w14:textId="77777777" w:rsidR="00D84CEE" w:rsidRPr="00D84CEE" w:rsidRDefault="00D84CEE" w:rsidP="00D84CEE">
      <w:pPr>
        <w:jc w:val="both"/>
        <w:rPr>
          <w:sz w:val="10"/>
        </w:rPr>
      </w:pPr>
    </w:p>
    <w:p w14:paraId="6E2A1ABA" w14:textId="77777777" w:rsidR="00EC249E" w:rsidRDefault="00EC249E" w:rsidP="00E5341E">
      <w:pPr>
        <w:spacing w:after="120"/>
        <w:jc w:val="both"/>
        <w:rPr>
          <w:b/>
          <w:lang w:val="en-NZ"/>
        </w:rPr>
      </w:pPr>
    </w:p>
    <w:p w14:paraId="60504901" w14:textId="177A8D24" w:rsidR="00EC249E" w:rsidRPr="00C17F93" w:rsidRDefault="00EC249E" w:rsidP="00EC249E">
      <w:pPr>
        <w:jc w:val="both"/>
      </w:pPr>
      <w:r w:rsidRPr="00C17F93">
        <w:t>(</w:t>
      </w:r>
      <w:r w:rsidR="00615999">
        <w:t xml:space="preserve">Note: </w:t>
      </w:r>
      <w:r w:rsidR="00615999" w:rsidRPr="00615999">
        <w:rPr>
          <w:i/>
          <w:iCs/>
        </w:rPr>
        <w:t>This brief was developed for information purpose only. It does not necessarily express the view of APG-23</w:t>
      </w:r>
      <w:r w:rsidRPr="00C17F93">
        <w:t>)</w:t>
      </w:r>
    </w:p>
    <w:p w14:paraId="030D99E3" w14:textId="77777777" w:rsidR="00EC249E" w:rsidRDefault="00EC249E" w:rsidP="00E5341E">
      <w:pPr>
        <w:spacing w:after="120"/>
        <w:jc w:val="both"/>
        <w:rPr>
          <w:b/>
        </w:rPr>
      </w:pPr>
    </w:p>
    <w:p w14:paraId="4E1693DC" w14:textId="19728F9C" w:rsidR="00615999" w:rsidRPr="00441526" w:rsidRDefault="00464CAB" w:rsidP="00615999">
      <w:pPr>
        <w:spacing w:after="120"/>
        <w:jc w:val="both"/>
        <w:rPr>
          <w:lang w:val="en-NZ"/>
        </w:rPr>
      </w:pPr>
      <w:r>
        <w:rPr>
          <w:b/>
          <w:lang w:val="en-NZ"/>
        </w:rPr>
        <w:t>Agenda Item 1.3</w:t>
      </w:r>
      <w:r w:rsidR="00615999" w:rsidRPr="00441526">
        <w:rPr>
          <w:b/>
          <w:lang w:val="en-NZ"/>
        </w:rPr>
        <w:t xml:space="preserve">: </w:t>
      </w:r>
    </w:p>
    <w:p w14:paraId="4AE82A7D" w14:textId="484AAF00" w:rsidR="000C39C6" w:rsidRPr="000C39C6" w:rsidRDefault="000C39C6" w:rsidP="000C39C6">
      <w:pPr>
        <w:pStyle w:val="ListParagraph"/>
        <w:ind w:left="0"/>
        <w:rPr>
          <w:i/>
          <w:lang w:val="en-NZ"/>
        </w:rPr>
      </w:pPr>
      <w:r w:rsidRPr="000C39C6">
        <w:rPr>
          <w:i/>
          <w:lang w:val="en-NZ"/>
        </w:rPr>
        <w:t>to consider primary allocation of the band 3 600</w:t>
      </w:r>
      <w:r w:rsidRPr="000C39C6">
        <w:rPr>
          <w:i/>
          <w:lang w:val="en-NZ"/>
        </w:rPr>
        <w:noBreakHyphen/>
        <w:t>3 800 MHz to mobile service within Region 1 and take appropriate regulatory actions, in accordance with Resolution </w:t>
      </w:r>
      <w:r w:rsidRPr="000C39C6">
        <w:rPr>
          <w:b/>
          <w:i/>
          <w:lang w:val="en-NZ"/>
        </w:rPr>
        <w:t>246 (WRC</w:t>
      </w:r>
      <w:r w:rsidRPr="000C39C6">
        <w:rPr>
          <w:b/>
          <w:i/>
          <w:lang w:val="en-NZ"/>
        </w:rPr>
        <w:noBreakHyphen/>
        <w:t>19</w:t>
      </w:r>
      <w:proofErr w:type="gramStart"/>
      <w:r w:rsidRPr="000C39C6">
        <w:rPr>
          <w:i/>
          <w:lang w:val="en-NZ"/>
        </w:rPr>
        <w:t>);</w:t>
      </w:r>
      <w:proofErr w:type="gramEnd"/>
    </w:p>
    <w:p w14:paraId="53333B28" w14:textId="442E1243" w:rsidR="00615999" w:rsidRPr="00441526" w:rsidRDefault="00615999" w:rsidP="00615999">
      <w:pPr>
        <w:spacing w:after="120"/>
        <w:jc w:val="both"/>
        <w:rPr>
          <w:i/>
          <w:lang w:val="en-NZ"/>
        </w:rPr>
      </w:pPr>
    </w:p>
    <w:p w14:paraId="3BD549DE" w14:textId="56FA60BB" w:rsidR="0037421D" w:rsidRPr="00615999" w:rsidRDefault="00615999" w:rsidP="00E5341E">
      <w:pPr>
        <w:spacing w:after="120"/>
        <w:jc w:val="both"/>
        <w:rPr>
          <w:b/>
          <w:lang w:val="en-NZ"/>
        </w:rPr>
      </w:pPr>
      <w:r>
        <w:rPr>
          <w:b/>
          <w:lang w:val="en-NZ"/>
        </w:rPr>
        <w:t>Relevant Resolutions and Responsible/Contributing ITU-R Groups</w:t>
      </w:r>
    </w:p>
    <w:p w14:paraId="3DA40495" w14:textId="72BC96EF" w:rsidR="0037421D" w:rsidRPr="009D055C" w:rsidRDefault="0037421D" w:rsidP="009D055C">
      <w:pPr>
        <w:pStyle w:val="Tabletext"/>
        <w:keepNext/>
        <w:keepLines/>
        <w:jc w:val="both"/>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6922"/>
      </w:tblGrid>
      <w:tr w:rsidR="000C39C6" w:rsidRPr="00D06742" w14:paraId="4A1CA755" w14:textId="77777777" w:rsidTr="00395A72">
        <w:trPr>
          <w:jc w:val="center"/>
        </w:trPr>
        <w:tc>
          <w:tcPr>
            <w:tcW w:w="2287" w:type="dxa"/>
          </w:tcPr>
          <w:p w14:paraId="3FCEB715" w14:textId="77777777" w:rsidR="000C39C6" w:rsidRPr="00DA5DE2" w:rsidRDefault="000C39C6" w:rsidP="000C39C6">
            <w:pPr>
              <w:pStyle w:val="Tabletext"/>
              <w:rPr>
                <w:rFonts w:ascii="Times New Roman" w:hAnsi="Times New Roman" w:cs="Times New Roman"/>
                <w:sz w:val="24"/>
                <w:szCs w:val="24"/>
              </w:rPr>
            </w:pPr>
            <w:r w:rsidRPr="00DA5DE2">
              <w:rPr>
                <w:rFonts w:ascii="Times New Roman" w:hAnsi="Times New Roman" w:cs="Times New Roman"/>
                <w:sz w:val="24"/>
                <w:szCs w:val="24"/>
              </w:rPr>
              <w:t>Resolution </w:t>
            </w:r>
            <w:r w:rsidRPr="00DA5DE2">
              <w:rPr>
                <w:rFonts w:ascii="Times New Roman" w:hAnsi="Times New Roman" w:cs="Times New Roman"/>
                <w:b/>
                <w:sz w:val="24"/>
                <w:szCs w:val="24"/>
              </w:rPr>
              <w:t>246 (WRC</w:t>
            </w:r>
            <w:r w:rsidRPr="00DA5DE2">
              <w:rPr>
                <w:rFonts w:ascii="Times New Roman" w:hAnsi="Times New Roman" w:cs="Times New Roman"/>
                <w:b/>
                <w:sz w:val="24"/>
                <w:szCs w:val="24"/>
              </w:rPr>
              <w:noBreakHyphen/>
              <w:t>19)</w:t>
            </w:r>
          </w:p>
          <w:p w14:paraId="17BFA2B7" w14:textId="785274C5" w:rsidR="000C39C6" w:rsidRPr="00DA5DE2" w:rsidRDefault="000C39C6" w:rsidP="000C39C6">
            <w:pPr>
              <w:pStyle w:val="Tabletext"/>
              <w:keepNext/>
              <w:keepLines/>
              <w:rPr>
                <w:rFonts w:ascii="Times New Roman" w:hAnsi="Times New Roman" w:cs="Times New Roman"/>
                <w:sz w:val="24"/>
                <w:szCs w:val="24"/>
              </w:rPr>
            </w:pPr>
            <w:r w:rsidRPr="00DA5DE2">
              <w:rPr>
                <w:rFonts w:ascii="Times New Roman" w:hAnsi="Times New Roman" w:cs="Times New Roman"/>
                <w:sz w:val="24"/>
                <w:szCs w:val="24"/>
              </w:rPr>
              <w:t>Studies to consider possible allocation of the frequency band 3 600</w:t>
            </w:r>
            <w:r w:rsidRPr="00DA5DE2">
              <w:rPr>
                <w:rFonts w:ascii="Times New Roman" w:hAnsi="Times New Roman" w:cs="Times New Roman"/>
                <w:sz w:val="24"/>
                <w:szCs w:val="24"/>
              </w:rPr>
              <w:noBreakHyphen/>
              <w:t>3 800 MHz to the mobile, except aeronautical mobile, service on a primary basis within Region 1</w:t>
            </w:r>
          </w:p>
        </w:tc>
        <w:tc>
          <w:tcPr>
            <w:tcW w:w="6922" w:type="dxa"/>
          </w:tcPr>
          <w:p w14:paraId="2DA1DD8E" w14:textId="77777777" w:rsidR="000C39C6" w:rsidRPr="00DA5DE2" w:rsidRDefault="000C39C6" w:rsidP="000C39C6">
            <w:pPr>
              <w:pStyle w:val="StyleCall10pt"/>
              <w:jc w:val="both"/>
              <w:rPr>
                <w:rFonts w:ascii="Times New Roman" w:hAnsi="Times New Roman" w:cs="Times New Roman"/>
                <w:sz w:val="24"/>
                <w:szCs w:val="24"/>
              </w:rPr>
            </w:pPr>
            <w:r w:rsidRPr="00DA5DE2">
              <w:rPr>
                <w:rFonts w:ascii="Times New Roman" w:hAnsi="Times New Roman" w:cs="Times New Roman"/>
                <w:sz w:val="24"/>
                <w:szCs w:val="24"/>
              </w:rPr>
              <w:t>resolves to invite ITU-R</w:t>
            </w:r>
          </w:p>
          <w:p w14:paraId="35BD5047" w14:textId="77777777" w:rsidR="000C39C6" w:rsidRPr="00DA5DE2" w:rsidRDefault="000C39C6" w:rsidP="000C39C6">
            <w:pPr>
              <w:pStyle w:val="Tabletext"/>
              <w:jc w:val="both"/>
              <w:rPr>
                <w:rFonts w:ascii="Times New Roman" w:hAnsi="Times New Roman" w:cs="Times New Roman"/>
                <w:sz w:val="24"/>
                <w:szCs w:val="24"/>
              </w:rPr>
            </w:pPr>
            <w:r w:rsidRPr="00DA5DE2">
              <w:rPr>
                <w:rFonts w:ascii="Times New Roman" w:hAnsi="Times New Roman" w:cs="Times New Roman"/>
                <w:sz w:val="24"/>
                <w:szCs w:val="24"/>
              </w:rPr>
              <w:t>to conduct sharing and compatibility studies in time for WRC</w:t>
            </w:r>
            <w:r w:rsidRPr="00DA5DE2">
              <w:rPr>
                <w:rFonts w:ascii="Times New Roman" w:hAnsi="Times New Roman" w:cs="Times New Roman"/>
                <w:sz w:val="24"/>
                <w:szCs w:val="24"/>
              </w:rPr>
              <w:noBreakHyphen/>
              <w:t>23 between the mobile service and other services allocated on a primary basis within the frequency band 3 600-3 800 MHz and adjacent bands in Region 1, as appropriate, to ensure protection of those services to which the frequency band is allocated on a primary basis, and not impose undue constraints on the existing services and their future development,</w:t>
            </w:r>
          </w:p>
          <w:p w14:paraId="3ABD7668" w14:textId="77777777" w:rsidR="000C39C6" w:rsidRPr="00DA5DE2" w:rsidRDefault="000C39C6" w:rsidP="000C39C6">
            <w:pPr>
              <w:pStyle w:val="StyleCall10pt"/>
              <w:jc w:val="both"/>
              <w:rPr>
                <w:rFonts w:ascii="Times New Roman" w:hAnsi="Times New Roman" w:cs="Times New Roman"/>
                <w:sz w:val="24"/>
                <w:szCs w:val="24"/>
              </w:rPr>
            </w:pPr>
            <w:r w:rsidRPr="00DA5DE2">
              <w:rPr>
                <w:rFonts w:ascii="Times New Roman" w:hAnsi="Times New Roman" w:cs="Times New Roman"/>
                <w:sz w:val="24"/>
                <w:szCs w:val="24"/>
              </w:rPr>
              <w:br w:type="page"/>
              <w:t>resolves to invite WRC-23</w:t>
            </w:r>
          </w:p>
          <w:p w14:paraId="1174399E" w14:textId="77777777" w:rsidR="000C39C6" w:rsidRPr="00DA5DE2" w:rsidRDefault="000C39C6" w:rsidP="000C39C6">
            <w:pPr>
              <w:pStyle w:val="Tabletext"/>
              <w:jc w:val="both"/>
              <w:rPr>
                <w:rFonts w:ascii="Times New Roman" w:hAnsi="Times New Roman" w:cs="Times New Roman"/>
                <w:sz w:val="24"/>
                <w:szCs w:val="24"/>
              </w:rPr>
            </w:pPr>
            <w:r w:rsidRPr="00DA5DE2">
              <w:rPr>
                <w:rFonts w:ascii="Times New Roman" w:hAnsi="Times New Roman" w:cs="Times New Roman"/>
                <w:sz w:val="24"/>
                <w:szCs w:val="24"/>
              </w:rPr>
              <w:t xml:space="preserve">based on the results of studies in </w:t>
            </w:r>
            <w:r w:rsidRPr="00DA5DE2">
              <w:rPr>
                <w:rFonts w:ascii="Times New Roman" w:hAnsi="Times New Roman" w:cs="Times New Roman"/>
                <w:i/>
                <w:sz w:val="24"/>
                <w:szCs w:val="24"/>
              </w:rPr>
              <w:t>resolves to invite ITU</w:t>
            </w:r>
            <w:r w:rsidRPr="00DA5DE2">
              <w:rPr>
                <w:rFonts w:ascii="Times New Roman" w:hAnsi="Times New Roman" w:cs="Times New Roman"/>
                <w:i/>
                <w:sz w:val="24"/>
                <w:szCs w:val="24"/>
              </w:rPr>
              <w:noBreakHyphen/>
              <w:t>R</w:t>
            </w:r>
            <w:r w:rsidRPr="00DA5DE2">
              <w:rPr>
                <w:rFonts w:ascii="Times New Roman" w:hAnsi="Times New Roman" w:cs="Times New Roman"/>
                <w:sz w:val="24"/>
                <w:szCs w:val="24"/>
              </w:rPr>
              <w:t>, to consider possible upgrade of the allocation of the frequency band 3 600-3 800 MHz to the mobile, except aeronautical mobile, service on a primary basis within Region 1, and to take appropriate regulatory actions,</w:t>
            </w:r>
          </w:p>
          <w:p w14:paraId="32D320F7" w14:textId="77777777" w:rsidR="000C39C6" w:rsidRPr="00DA5DE2" w:rsidRDefault="000C39C6" w:rsidP="000C39C6">
            <w:pPr>
              <w:pStyle w:val="StyleCall10pt"/>
              <w:jc w:val="both"/>
              <w:rPr>
                <w:rFonts w:ascii="Times New Roman" w:hAnsi="Times New Roman" w:cs="Times New Roman"/>
                <w:sz w:val="24"/>
                <w:szCs w:val="24"/>
                <w:lang w:eastAsia="nl-NL"/>
              </w:rPr>
            </w:pPr>
            <w:r w:rsidRPr="00DA5DE2">
              <w:rPr>
                <w:rFonts w:ascii="Times New Roman" w:hAnsi="Times New Roman" w:cs="Times New Roman"/>
                <w:sz w:val="24"/>
                <w:szCs w:val="24"/>
                <w:lang w:eastAsia="nl-NL"/>
              </w:rPr>
              <w:t>invites administrations</w:t>
            </w:r>
          </w:p>
          <w:p w14:paraId="23E60363" w14:textId="68A470E8" w:rsidR="000C39C6" w:rsidRPr="00DA5DE2" w:rsidRDefault="000C39C6" w:rsidP="000C39C6">
            <w:pPr>
              <w:pStyle w:val="Tabletext"/>
              <w:keepNext/>
              <w:keepLines/>
              <w:jc w:val="both"/>
              <w:rPr>
                <w:rFonts w:ascii="Times New Roman" w:hAnsi="Times New Roman" w:cs="Times New Roman"/>
                <w:sz w:val="24"/>
                <w:szCs w:val="24"/>
              </w:rPr>
            </w:pPr>
            <w:r w:rsidRPr="00DA5DE2">
              <w:rPr>
                <w:rFonts w:ascii="Times New Roman" w:hAnsi="Times New Roman" w:cs="Times New Roman"/>
                <w:sz w:val="24"/>
                <w:szCs w:val="24"/>
              </w:rPr>
              <w:t>to participate in these studies in the process of preparation for WRC</w:t>
            </w:r>
            <w:r w:rsidRPr="00DA5DE2">
              <w:rPr>
                <w:rFonts w:ascii="Times New Roman" w:hAnsi="Times New Roman" w:cs="Times New Roman"/>
                <w:sz w:val="24"/>
                <w:szCs w:val="24"/>
              </w:rPr>
              <w:noBreakHyphen/>
              <w:t>23.</w:t>
            </w:r>
          </w:p>
        </w:tc>
      </w:tr>
    </w:tbl>
    <w:p w14:paraId="5850A44A" w14:textId="7DE88827" w:rsidR="0037421D" w:rsidRDefault="0037421D" w:rsidP="00E5341E">
      <w:pPr>
        <w:spacing w:after="120"/>
        <w:jc w:val="both"/>
        <w:rPr>
          <w:b/>
        </w:rPr>
      </w:pPr>
    </w:p>
    <w:tbl>
      <w:tblPr>
        <w:tblStyle w:val="TableGrid"/>
        <w:tblW w:w="9214" w:type="dxa"/>
        <w:tblInd w:w="-5" w:type="dxa"/>
        <w:tblLook w:val="04A0" w:firstRow="1" w:lastRow="0" w:firstColumn="1" w:lastColumn="0" w:noHBand="0" w:noVBand="1"/>
      </w:tblPr>
      <w:tblGrid>
        <w:gridCol w:w="2694"/>
        <w:gridCol w:w="6520"/>
      </w:tblGrid>
      <w:tr w:rsidR="009D055C" w:rsidRPr="00D06742" w14:paraId="201407FC" w14:textId="77777777" w:rsidTr="009D055C">
        <w:tc>
          <w:tcPr>
            <w:tcW w:w="2694" w:type="dxa"/>
          </w:tcPr>
          <w:p w14:paraId="49F372C5" w14:textId="5D7474A6" w:rsidR="009D055C" w:rsidRPr="00837245" w:rsidRDefault="009D055C" w:rsidP="009D055C">
            <w:pPr>
              <w:jc w:val="center"/>
              <w:rPr>
                <w:color w:val="FF0000"/>
              </w:rPr>
            </w:pPr>
            <w:r w:rsidRPr="00DA5DE2">
              <w:rPr>
                <w:rFonts w:eastAsia="Batang"/>
                <w:b/>
              </w:rPr>
              <w:t>Responsible group</w:t>
            </w:r>
          </w:p>
        </w:tc>
        <w:tc>
          <w:tcPr>
            <w:tcW w:w="6520" w:type="dxa"/>
          </w:tcPr>
          <w:p w14:paraId="1B86DE8A" w14:textId="78AF5503" w:rsidR="009D055C" w:rsidRPr="00837245" w:rsidRDefault="009D055C" w:rsidP="009D055C">
            <w:pPr>
              <w:jc w:val="center"/>
              <w:rPr>
                <w:color w:val="FF0000"/>
              </w:rPr>
            </w:pPr>
            <w:r w:rsidRPr="00DA5DE2">
              <w:rPr>
                <w:rFonts w:eastAsia="Batang"/>
                <w:b/>
              </w:rPr>
              <w:t>Contributing group</w:t>
            </w:r>
          </w:p>
        </w:tc>
      </w:tr>
      <w:tr w:rsidR="000C39C6" w:rsidRPr="00D06742" w14:paraId="62627DE7" w14:textId="77777777" w:rsidTr="00BC1A1C">
        <w:tc>
          <w:tcPr>
            <w:tcW w:w="2694" w:type="dxa"/>
            <w:vAlign w:val="center"/>
          </w:tcPr>
          <w:p w14:paraId="2FF0C3D0" w14:textId="77169FAE" w:rsidR="000C39C6" w:rsidRPr="000C39C6" w:rsidRDefault="000C39C6" w:rsidP="000C39C6">
            <w:pPr>
              <w:jc w:val="center"/>
              <w:rPr>
                <w:color w:val="FF0000"/>
              </w:rPr>
            </w:pPr>
            <w:r w:rsidRPr="000C39C6">
              <w:t>WP 5A</w:t>
            </w:r>
          </w:p>
        </w:tc>
        <w:tc>
          <w:tcPr>
            <w:tcW w:w="6520" w:type="dxa"/>
          </w:tcPr>
          <w:p w14:paraId="4294D2A9" w14:textId="170A9781" w:rsidR="000C39C6" w:rsidRPr="000C39C6" w:rsidRDefault="000C39C6" w:rsidP="000C39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color w:val="FF0000"/>
              </w:rPr>
            </w:pPr>
            <w:r w:rsidRPr="000C39C6">
              <w:t>WP 3K, WP 3M, WP 4A, WP 5B, WP 5C, WP 5D</w:t>
            </w:r>
          </w:p>
        </w:tc>
      </w:tr>
    </w:tbl>
    <w:p w14:paraId="5CBC4012" w14:textId="77777777" w:rsidR="00615999" w:rsidRDefault="00615999" w:rsidP="00E5341E">
      <w:pPr>
        <w:spacing w:after="120"/>
        <w:jc w:val="both"/>
        <w:rPr>
          <w:b/>
        </w:rPr>
      </w:pPr>
    </w:p>
    <w:p w14:paraId="556060EE" w14:textId="5AC2718D" w:rsidR="00D06742" w:rsidRPr="00441526" w:rsidRDefault="00D06742" w:rsidP="00D06742">
      <w:pPr>
        <w:spacing w:after="120"/>
        <w:jc w:val="both"/>
        <w:rPr>
          <w:b/>
          <w:lang w:val="en-NZ" w:eastAsia="ko-KR"/>
        </w:rPr>
      </w:pPr>
      <w:r w:rsidRPr="00441526">
        <w:rPr>
          <w:b/>
          <w:lang w:val="en-NZ" w:eastAsia="ko-KR"/>
        </w:rPr>
        <w:t xml:space="preserve">1. </w:t>
      </w:r>
      <w:r w:rsidRPr="00441526">
        <w:rPr>
          <w:b/>
          <w:lang w:val="en-NZ" w:eastAsia="ko-KR"/>
        </w:rPr>
        <w:tab/>
        <w:t>Background</w:t>
      </w:r>
      <w:r>
        <w:rPr>
          <w:b/>
          <w:lang w:val="en-NZ" w:eastAsia="ko-KR"/>
        </w:rPr>
        <w:t xml:space="preserve"> Information</w:t>
      </w:r>
    </w:p>
    <w:p w14:paraId="02698043" w14:textId="539CCA08" w:rsidR="00FA5C45" w:rsidRDefault="00DC3557" w:rsidP="00FA5C45">
      <w:pPr>
        <w:pStyle w:val="ListParagraph"/>
        <w:widowControl w:val="0"/>
        <w:numPr>
          <w:ilvl w:val="0"/>
          <w:numId w:val="22"/>
        </w:numPr>
        <w:autoSpaceDE w:val="0"/>
        <w:autoSpaceDN w:val="0"/>
        <w:jc w:val="both"/>
      </w:pPr>
      <w:r>
        <w:t xml:space="preserve">At WRC-19, ASMG proposed an agenda item for WRC-23, </w:t>
      </w:r>
      <w:bookmarkStart w:id="0" w:name="_Toc319401796"/>
      <w:bookmarkStart w:id="1" w:name="_Toc327364420"/>
      <w:r w:rsidRPr="00DC3557">
        <w:rPr>
          <w:i/>
        </w:rPr>
        <w:t>“</w:t>
      </w:r>
      <w:bookmarkEnd w:id="0"/>
      <w:bookmarkEnd w:id="1"/>
      <w:r w:rsidRPr="00DC3557">
        <w:rPr>
          <w:i/>
        </w:rPr>
        <w:t>study elevating the current secondary allocation of the mobile service in the frequency band 3 600-3 800 MHz to primary allocation within Region 1, and identification of the band for the future development of International Mobile Telecommunications (IMT)”</w:t>
      </w:r>
      <w:r>
        <w:t xml:space="preserve"> as shown in </w:t>
      </w:r>
      <w:hyperlink r:id="rId9" w:history="1">
        <w:r w:rsidRPr="00FA5C45">
          <w:rPr>
            <w:rStyle w:val="Hyperlink"/>
          </w:rPr>
          <w:t>Document 29</w:t>
        </w:r>
      </w:hyperlink>
      <w:r w:rsidR="00FA5C45">
        <w:t xml:space="preserve"> </w:t>
      </w:r>
      <w:r>
        <w:t>(Add.24</w:t>
      </w:r>
      <w:r w:rsidR="00FA5C45">
        <w:t>-Add.3</w:t>
      </w:r>
      <w:r>
        <w:t>).</w:t>
      </w:r>
    </w:p>
    <w:p w14:paraId="67E940ED" w14:textId="77FBE40A" w:rsidR="00DC3557" w:rsidRDefault="00FA5C45" w:rsidP="00FA5C45">
      <w:pPr>
        <w:pStyle w:val="ListParagraph"/>
        <w:widowControl w:val="0"/>
        <w:numPr>
          <w:ilvl w:val="0"/>
          <w:numId w:val="22"/>
        </w:numPr>
        <w:autoSpaceDE w:val="0"/>
        <w:autoSpaceDN w:val="0"/>
        <w:jc w:val="both"/>
      </w:pPr>
      <w:r>
        <w:t xml:space="preserve">Furthermore, </w:t>
      </w:r>
      <w:r w:rsidR="00DC3557">
        <w:t xml:space="preserve">a number of African countries </w:t>
      </w:r>
      <w:r>
        <w:t xml:space="preserve">proposed an agenda item for WRC-23, </w:t>
      </w:r>
      <w:r w:rsidRPr="00DA5DE2">
        <w:rPr>
          <w:i/>
        </w:rPr>
        <w:t>“to consider a primary allocation to the mobile service in the frequency band 3 600-3 800 MHz in Region 1, and an identification of the band for IMT in the same Region, in accordance with the results of the studies carried out under Resolution [IMT-3600-R1]”</w:t>
      </w:r>
      <w:r>
        <w:rPr>
          <w:i/>
        </w:rPr>
        <w:t xml:space="preserve"> </w:t>
      </w:r>
      <w:r>
        <w:t xml:space="preserve">as shown in </w:t>
      </w:r>
      <w:hyperlink r:id="rId10" w:history="1">
        <w:r w:rsidRPr="00FA5C45">
          <w:rPr>
            <w:rStyle w:val="Hyperlink"/>
          </w:rPr>
          <w:t>Document 94</w:t>
        </w:r>
      </w:hyperlink>
      <w:r>
        <w:t>.</w:t>
      </w:r>
    </w:p>
    <w:p w14:paraId="6C9E853C" w14:textId="67803265" w:rsidR="00DC3557" w:rsidRDefault="00FA5C45" w:rsidP="00FA5C45">
      <w:pPr>
        <w:pStyle w:val="ListParagraph"/>
        <w:widowControl w:val="0"/>
        <w:numPr>
          <w:ilvl w:val="0"/>
          <w:numId w:val="22"/>
        </w:numPr>
        <w:autoSpaceDE w:val="0"/>
        <w:autoSpaceDN w:val="0"/>
        <w:jc w:val="both"/>
      </w:pPr>
      <w:r>
        <w:rPr>
          <w:rFonts w:eastAsia="MS Mincho" w:hint="eastAsia"/>
          <w:lang w:eastAsia="ja-JP"/>
        </w:rPr>
        <w:t>After the extensive discussio</w:t>
      </w:r>
      <w:r>
        <w:rPr>
          <w:rFonts w:eastAsia="MS Mincho"/>
          <w:lang w:eastAsia="ja-JP"/>
        </w:rPr>
        <w:t xml:space="preserve">n on these proposals, WRC-23 agenda item 1.3 was established, which only refers to the </w:t>
      </w:r>
      <w:r w:rsidRPr="00FA5C45">
        <w:rPr>
          <w:rFonts w:eastAsia="MS Mincho"/>
          <w:lang w:eastAsia="ja-JP"/>
        </w:rPr>
        <w:t>primary allocation of the band 3 600</w:t>
      </w:r>
      <w:r w:rsidR="00DA5DE2">
        <w:rPr>
          <w:rFonts w:eastAsia="MS Mincho"/>
          <w:lang w:eastAsia="ja-JP"/>
        </w:rPr>
        <w:t>-</w:t>
      </w:r>
      <w:r w:rsidRPr="00FA5C45">
        <w:rPr>
          <w:rFonts w:eastAsia="MS Mincho"/>
          <w:lang w:eastAsia="ja-JP"/>
        </w:rPr>
        <w:t>3 800 MHz to mobile service within Region 1</w:t>
      </w:r>
      <w:r>
        <w:rPr>
          <w:rFonts w:eastAsia="MS Mincho"/>
          <w:lang w:eastAsia="ja-JP"/>
        </w:rPr>
        <w:t>, but not refers to the IMT identification of that band.</w:t>
      </w:r>
    </w:p>
    <w:p w14:paraId="28BBA039" w14:textId="6FADFF58" w:rsidR="0037421D" w:rsidRDefault="0037421D" w:rsidP="00E5341E">
      <w:pPr>
        <w:spacing w:after="120"/>
        <w:jc w:val="both"/>
        <w:rPr>
          <w:b/>
        </w:rPr>
      </w:pPr>
    </w:p>
    <w:p w14:paraId="38194476" w14:textId="6B09EB44" w:rsidR="00E41BE2" w:rsidRPr="00441526" w:rsidRDefault="00E41BE2" w:rsidP="00E41BE2">
      <w:pPr>
        <w:spacing w:after="120"/>
        <w:jc w:val="both"/>
        <w:rPr>
          <w:b/>
          <w:lang w:val="en-NZ" w:eastAsia="ko-KR"/>
        </w:rPr>
      </w:pPr>
      <w:r>
        <w:rPr>
          <w:b/>
          <w:lang w:val="en-NZ" w:eastAsia="ko-KR"/>
        </w:rPr>
        <w:t>2</w:t>
      </w:r>
      <w:r w:rsidRPr="00441526">
        <w:rPr>
          <w:b/>
          <w:lang w:val="en-NZ" w:eastAsia="ko-KR"/>
        </w:rPr>
        <w:t xml:space="preserve">. </w:t>
      </w:r>
      <w:r w:rsidRPr="00441526">
        <w:rPr>
          <w:b/>
          <w:lang w:val="en-NZ" w:eastAsia="ko-KR"/>
        </w:rPr>
        <w:tab/>
      </w:r>
      <w:r>
        <w:rPr>
          <w:b/>
          <w:lang w:val="en-NZ" w:eastAsia="ko-KR"/>
        </w:rPr>
        <w:t>Information on on-going ITU-R Study</w:t>
      </w:r>
    </w:p>
    <w:p w14:paraId="2611AAFE" w14:textId="15C809EE" w:rsidR="00131727" w:rsidRDefault="00953A5D" w:rsidP="00F80577">
      <w:pPr>
        <w:pStyle w:val="ListParagraph"/>
        <w:numPr>
          <w:ilvl w:val="0"/>
          <w:numId w:val="23"/>
        </w:numPr>
        <w:autoSpaceDE w:val="0"/>
        <w:autoSpaceDN w:val="0"/>
        <w:jc w:val="both"/>
      </w:pPr>
      <w:r>
        <w:t xml:space="preserve">At </w:t>
      </w:r>
      <w:r w:rsidR="00FA5C45">
        <w:t xml:space="preserve">its </w:t>
      </w:r>
      <w:r w:rsidRPr="00953A5D">
        <w:t>November 2020</w:t>
      </w:r>
      <w:r>
        <w:t xml:space="preserve"> meeting, </w:t>
      </w:r>
      <w:hyperlink r:id="rId11" w:history="1">
        <w:r w:rsidRPr="008826AE">
          <w:rPr>
            <w:rStyle w:val="Hyperlink"/>
          </w:rPr>
          <w:t xml:space="preserve">ITU-R </w:t>
        </w:r>
        <w:r w:rsidR="00E706E8" w:rsidRPr="00DA5DE2">
          <w:rPr>
            <w:rStyle w:val="Hyperlink"/>
            <w:bCs/>
          </w:rPr>
          <w:t>WP</w:t>
        </w:r>
        <w:r w:rsidRPr="00F80577">
          <w:rPr>
            <w:rStyle w:val="Hyperlink"/>
          </w:rPr>
          <w:t xml:space="preserve"> </w:t>
        </w:r>
        <w:r w:rsidRPr="00DA5DE2">
          <w:rPr>
            <w:rStyle w:val="Hyperlink"/>
            <w:bCs/>
          </w:rPr>
          <w:t>5A</w:t>
        </w:r>
      </w:hyperlink>
      <w:r>
        <w:t xml:space="preserve"> </w:t>
      </w:r>
      <w:r w:rsidR="00131727">
        <w:t>creat</w:t>
      </w:r>
      <w:r w:rsidR="006308B5">
        <w:t>ed</w:t>
      </w:r>
      <w:r>
        <w:t xml:space="preserve"> </w:t>
      </w:r>
      <w:r w:rsidR="006308B5">
        <w:t xml:space="preserve">two </w:t>
      </w:r>
      <w:hyperlink r:id="rId12" w:history="1">
        <w:r w:rsidRPr="008826AE">
          <w:rPr>
            <w:rStyle w:val="Hyperlink"/>
          </w:rPr>
          <w:t>Annex</w:t>
        </w:r>
        <w:r w:rsidR="006308B5" w:rsidRPr="008826AE">
          <w:rPr>
            <w:rStyle w:val="Hyperlink"/>
          </w:rPr>
          <w:t>es</w:t>
        </w:r>
        <w:r w:rsidRPr="008826AE">
          <w:rPr>
            <w:rStyle w:val="Hyperlink"/>
          </w:rPr>
          <w:t xml:space="preserve"> </w:t>
        </w:r>
        <w:r w:rsidRPr="00DA5DE2">
          <w:rPr>
            <w:rStyle w:val="Hyperlink"/>
            <w:bCs/>
          </w:rPr>
          <w:t>4</w:t>
        </w:r>
      </w:hyperlink>
      <w:r w:rsidRPr="00953A5D">
        <w:t xml:space="preserve"> </w:t>
      </w:r>
      <w:r>
        <w:t xml:space="preserve">and </w:t>
      </w:r>
      <w:hyperlink r:id="rId13" w:history="1">
        <w:r w:rsidRPr="00DA5DE2">
          <w:rPr>
            <w:rStyle w:val="Hyperlink"/>
            <w:bCs/>
          </w:rPr>
          <w:t>5</w:t>
        </w:r>
      </w:hyperlink>
      <w:r>
        <w:t xml:space="preserve"> </w:t>
      </w:r>
      <w:r w:rsidRPr="00953A5D">
        <w:t xml:space="preserve">to </w:t>
      </w:r>
      <w:r w:rsidR="006308B5">
        <w:t>the</w:t>
      </w:r>
      <w:r>
        <w:t xml:space="preserve"> </w:t>
      </w:r>
      <w:r w:rsidR="00F80577">
        <w:t>C</w:t>
      </w:r>
      <w:r>
        <w:t>hairman</w:t>
      </w:r>
      <w:r w:rsidR="00F80577">
        <w:t>’s</w:t>
      </w:r>
      <w:r>
        <w:t xml:space="preserve"> Report</w:t>
      </w:r>
      <w:r w:rsidR="006308B5">
        <w:t xml:space="preserve"> (</w:t>
      </w:r>
      <w:hyperlink r:id="rId14" w:history="1">
        <w:r w:rsidR="006308B5" w:rsidRPr="008826AE">
          <w:rPr>
            <w:rStyle w:val="Hyperlink"/>
          </w:rPr>
          <w:t xml:space="preserve">Doc. </w:t>
        </w:r>
        <w:r w:rsidR="006308B5" w:rsidRPr="00DA5DE2">
          <w:rPr>
            <w:rStyle w:val="Hyperlink"/>
            <w:bCs/>
          </w:rPr>
          <w:t>5A/221-E</w:t>
        </w:r>
      </w:hyperlink>
      <w:r>
        <w:t>) presenting “</w:t>
      </w:r>
      <w:r w:rsidR="00F80577" w:rsidRPr="00F80577">
        <w:t xml:space="preserve">Working document towards preliminary </w:t>
      </w:r>
      <w:r w:rsidRPr="00C66246">
        <w:t>draft CPM text</w:t>
      </w:r>
      <w:r>
        <w:t>” and “</w:t>
      </w:r>
      <w:r w:rsidRPr="00524DD0">
        <w:t>W</w:t>
      </w:r>
      <w:r>
        <w:t xml:space="preserve">orkplan/Report” for this agenda item. </w:t>
      </w:r>
      <w:r w:rsidR="006308B5">
        <w:t xml:space="preserve">Only the Background section of </w:t>
      </w:r>
      <w:r w:rsidR="006308B5" w:rsidRPr="00C66246">
        <w:t>draft CPM text</w:t>
      </w:r>
      <w:r w:rsidR="006308B5">
        <w:t xml:space="preserve"> has been given some texts using Resolution </w:t>
      </w:r>
      <w:r w:rsidR="006308B5" w:rsidRPr="006308B5">
        <w:rPr>
          <w:b/>
          <w:iCs/>
          <w:lang w:val="en-NZ"/>
        </w:rPr>
        <w:t>246 (WRC</w:t>
      </w:r>
      <w:r w:rsidR="006308B5" w:rsidRPr="006308B5">
        <w:rPr>
          <w:b/>
          <w:iCs/>
          <w:lang w:val="en-NZ"/>
        </w:rPr>
        <w:noBreakHyphen/>
        <w:t>19</w:t>
      </w:r>
      <w:r w:rsidR="006308B5" w:rsidRPr="006308B5">
        <w:rPr>
          <w:iCs/>
          <w:lang w:val="en-NZ"/>
        </w:rPr>
        <w:t>)</w:t>
      </w:r>
      <w:r w:rsidR="006308B5">
        <w:rPr>
          <w:iCs/>
          <w:lang w:val="en-NZ"/>
        </w:rPr>
        <w:t>,</w:t>
      </w:r>
      <w:r w:rsidR="006308B5">
        <w:rPr>
          <w:i/>
          <w:lang w:val="en-NZ"/>
        </w:rPr>
        <w:t xml:space="preserve"> </w:t>
      </w:r>
      <w:r w:rsidR="006308B5">
        <w:t xml:space="preserve">at this early stage. There would be possibility to complete draft CPM text during forthcoming four scheduled meetings of </w:t>
      </w:r>
      <w:r w:rsidR="00E706E8" w:rsidRPr="00DA5DE2">
        <w:rPr>
          <w:bCs/>
        </w:rPr>
        <w:t>WP</w:t>
      </w:r>
      <w:r w:rsidR="006308B5" w:rsidRPr="00DA5DE2">
        <w:rPr>
          <w:bCs/>
        </w:rPr>
        <w:t xml:space="preserve"> 5A</w:t>
      </w:r>
      <w:r w:rsidR="006308B5">
        <w:t>.</w:t>
      </w:r>
      <w:r w:rsidR="00131727">
        <w:t xml:space="preserve"> No further working documents created.</w:t>
      </w:r>
    </w:p>
    <w:p w14:paraId="50227316" w14:textId="232C7C28" w:rsidR="00953A5D" w:rsidRDefault="00131727" w:rsidP="00E706E8">
      <w:pPr>
        <w:pStyle w:val="ListParagraph"/>
        <w:numPr>
          <w:ilvl w:val="0"/>
          <w:numId w:val="23"/>
        </w:numPr>
        <w:autoSpaceDE w:val="0"/>
        <w:autoSpaceDN w:val="0"/>
        <w:ind w:hanging="357"/>
        <w:jc w:val="both"/>
      </w:pPr>
      <w:r>
        <w:t xml:space="preserve">During next </w:t>
      </w:r>
      <w:r w:rsidR="00E706E8" w:rsidRPr="00DA5DE2">
        <w:rPr>
          <w:bCs/>
        </w:rPr>
        <w:t>WP</w:t>
      </w:r>
      <w:r w:rsidRPr="00DA5DE2">
        <w:rPr>
          <w:bCs/>
        </w:rPr>
        <w:t xml:space="preserve"> 5A</w:t>
      </w:r>
      <w:r>
        <w:t xml:space="preserve"> meeting in May 2021, work would continue by analysis of existing Recommendations/Reports to decide on necessity for </w:t>
      </w:r>
      <w:r w:rsidR="00E706E8">
        <w:t>l</w:t>
      </w:r>
      <w:r w:rsidR="00E706E8" w:rsidRPr="00CD31FF">
        <w:t>iais</w:t>
      </w:r>
      <w:r w:rsidR="00E706E8">
        <w:t>ing</w:t>
      </w:r>
      <w:r w:rsidR="00E706E8" w:rsidRPr="00CD31FF">
        <w:t xml:space="preserve"> with contributing W</w:t>
      </w:r>
      <w:r w:rsidR="00F80577">
        <w:t xml:space="preserve">orking </w:t>
      </w:r>
      <w:r w:rsidR="00E706E8" w:rsidRPr="00CD31FF">
        <w:t>P</w:t>
      </w:r>
      <w:r w:rsidR="00F80577">
        <w:t>artie</w:t>
      </w:r>
      <w:r w:rsidR="00E706E8">
        <w:t>s</w:t>
      </w:r>
      <w:r w:rsidR="00E706E8" w:rsidRPr="00CD31FF">
        <w:t xml:space="preserve"> regarding characteristics and protection criteria for </w:t>
      </w:r>
      <w:r w:rsidR="00E706E8">
        <w:t>this agenda item.</w:t>
      </w:r>
    </w:p>
    <w:p w14:paraId="336A8A87" w14:textId="2C42C2F1" w:rsidR="00E41BE2" w:rsidRDefault="00E41BE2" w:rsidP="000C39C6">
      <w:pPr>
        <w:pStyle w:val="ListParagraph"/>
        <w:numPr>
          <w:ilvl w:val="0"/>
          <w:numId w:val="23"/>
        </w:numPr>
        <w:wordWrap w:val="0"/>
        <w:autoSpaceDE w:val="0"/>
        <w:autoSpaceDN w:val="0"/>
        <w:jc w:val="both"/>
      </w:pPr>
      <w:r w:rsidRPr="00E41BE2">
        <w:t xml:space="preserve">Hyperlink </w:t>
      </w:r>
      <w:r w:rsidR="005E6C90">
        <w:t xml:space="preserve">to </w:t>
      </w:r>
      <w:r w:rsidR="009306C7">
        <w:t xml:space="preserve">the relevant part of the webpage of </w:t>
      </w:r>
      <w:hyperlink r:id="rId15" w:history="1">
        <w:r w:rsidR="009306C7" w:rsidRPr="009306C7">
          <w:rPr>
            <w:rStyle w:val="Hyperlink"/>
          </w:rPr>
          <w:t>ITU-R Preparatory Studies for WRC-23</w:t>
        </w:r>
      </w:hyperlink>
    </w:p>
    <w:p w14:paraId="70918B03" w14:textId="27F45657" w:rsidR="00764D3C" w:rsidRPr="00DA5DE2" w:rsidRDefault="0062195D" w:rsidP="00764D3C">
      <w:pPr>
        <w:pStyle w:val="ListParagraph"/>
        <w:widowControl w:val="0"/>
        <w:numPr>
          <w:ilvl w:val="1"/>
          <w:numId w:val="23"/>
        </w:numPr>
        <w:wordWrap w:val="0"/>
        <w:autoSpaceDE w:val="0"/>
        <w:autoSpaceDN w:val="0"/>
        <w:spacing w:after="160" w:line="259" w:lineRule="auto"/>
        <w:jc w:val="both"/>
      </w:pPr>
      <w:hyperlink r:id="rId16" w:history="1">
        <w:r w:rsidR="00764D3C" w:rsidRPr="00DA5DE2">
          <w:rPr>
            <w:rStyle w:val="Hyperlink"/>
          </w:rPr>
          <w:t>https://www.itu.int/en/ITU-R/study-groups/rcpm/Pages/wrc-23-studies.aspx</w:t>
        </w:r>
      </w:hyperlink>
    </w:p>
    <w:p w14:paraId="1A59F811" w14:textId="631F4F7D" w:rsidR="00957294" w:rsidRDefault="00957294" w:rsidP="00957294">
      <w:pPr>
        <w:spacing w:after="120"/>
        <w:jc w:val="both"/>
        <w:rPr>
          <w:b/>
          <w:lang w:val="en-NZ" w:eastAsia="ko-KR"/>
        </w:rPr>
      </w:pPr>
      <w:r>
        <w:rPr>
          <w:b/>
          <w:lang w:val="en-NZ" w:eastAsia="ko-KR"/>
        </w:rPr>
        <w:t>3</w:t>
      </w:r>
      <w:r w:rsidRPr="00441526">
        <w:rPr>
          <w:b/>
          <w:lang w:val="en-NZ" w:eastAsia="ko-KR"/>
        </w:rPr>
        <w:t xml:space="preserve">. </w:t>
      </w:r>
      <w:r w:rsidRPr="00441526">
        <w:rPr>
          <w:b/>
          <w:lang w:val="en-NZ" w:eastAsia="ko-KR"/>
        </w:rPr>
        <w:tab/>
      </w:r>
      <w:r>
        <w:rPr>
          <w:b/>
          <w:lang w:val="en-NZ" w:eastAsia="ko-KR"/>
        </w:rPr>
        <w:t>Position of the Regional Group (if available)</w:t>
      </w:r>
    </w:p>
    <w:p w14:paraId="2DE08B60" w14:textId="77777777" w:rsidR="000C39C6" w:rsidRPr="00C44810" w:rsidRDefault="000C39C6" w:rsidP="00FB61E5">
      <w:pPr>
        <w:pStyle w:val="ListParagraph"/>
        <w:widowControl w:val="0"/>
        <w:numPr>
          <w:ilvl w:val="0"/>
          <w:numId w:val="20"/>
        </w:numPr>
        <w:wordWrap w:val="0"/>
        <w:autoSpaceDE w:val="0"/>
        <w:autoSpaceDN w:val="0"/>
        <w:spacing w:after="80"/>
        <w:ind w:left="1123"/>
        <w:jc w:val="both"/>
      </w:pPr>
      <w:r w:rsidRPr="00C44810">
        <w:t>ATU</w:t>
      </w:r>
    </w:p>
    <w:p w14:paraId="65616F9A" w14:textId="77777777" w:rsidR="00223583" w:rsidRPr="00C44810" w:rsidRDefault="00223583" w:rsidP="00223583">
      <w:pPr>
        <w:pStyle w:val="ListParagraph"/>
        <w:widowControl w:val="0"/>
        <w:numPr>
          <w:ilvl w:val="1"/>
          <w:numId w:val="20"/>
        </w:numPr>
        <w:autoSpaceDE w:val="0"/>
        <w:autoSpaceDN w:val="0"/>
        <w:spacing w:after="160" w:line="259" w:lineRule="auto"/>
        <w:ind w:left="1565" w:hanging="403"/>
        <w:jc w:val="both"/>
      </w:pPr>
      <w:r w:rsidRPr="00C44810">
        <w:t>To be developed</w:t>
      </w:r>
    </w:p>
    <w:p w14:paraId="1A4FB306" w14:textId="77777777" w:rsidR="000C39C6" w:rsidRPr="00C44810" w:rsidRDefault="000C39C6" w:rsidP="00FB61E5">
      <w:pPr>
        <w:pStyle w:val="ListParagraph"/>
        <w:widowControl w:val="0"/>
        <w:numPr>
          <w:ilvl w:val="0"/>
          <w:numId w:val="20"/>
        </w:numPr>
        <w:wordWrap w:val="0"/>
        <w:autoSpaceDE w:val="0"/>
        <w:autoSpaceDN w:val="0"/>
        <w:spacing w:after="80"/>
        <w:ind w:left="1123"/>
        <w:jc w:val="both"/>
        <w:rPr>
          <w:lang w:val="en-GB"/>
        </w:rPr>
      </w:pPr>
      <w:r w:rsidRPr="00C44810">
        <w:t>ASMG</w:t>
      </w:r>
      <w:r w:rsidRPr="00C44810">
        <w:rPr>
          <w:lang w:val="en-GB"/>
        </w:rPr>
        <w:t xml:space="preserve"> (</w:t>
      </w:r>
      <w:r w:rsidRPr="00C44810">
        <w:t>July 2020</w:t>
      </w:r>
      <w:r w:rsidRPr="00C44810">
        <w:rPr>
          <w:lang w:val="en-GB"/>
        </w:rPr>
        <w:t>)</w:t>
      </w:r>
    </w:p>
    <w:p w14:paraId="7E93BC27" w14:textId="77777777" w:rsidR="000C39C6" w:rsidRPr="00C44810" w:rsidRDefault="000C39C6" w:rsidP="000C39C6">
      <w:pPr>
        <w:pStyle w:val="ListParagraph"/>
        <w:widowControl w:val="0"/>
        <w:numPr>
          <w:ilvl w:val="1"/>
          <w:numId w:val="20"/>
        </w:numPr>
        <w:autoSpaceDE w:val="0"/>
        <w:autoSpaceDN w:val="0"/>
        <w:spacing w:after="160" w:line="259" w:lineRule="auto"/>
        <w:ind w:left="1565" w:hanging="403"/>
        <w:jc w:val="both"/>
      </w:pPr>
      <w:r w:rsidRPr="00C44810">
        <w:t>Support to elevate the status of the frequency band 3 600-3 800 MHz for the mobile service, with the exception of aeronautical mobile, on a primary basis in Region 1, without imposing unnecessary restrictions on existing services and future development.</w:t>
      </w:r>
    </w:p>
    <w:p w14:paraId="04A60F3F" w14:textId="056F34A4" w:rsidR="000C39C6" w:rsidRPr="00C44810" w:rsidRDefault="000C39C6" w:rsidP="00FB61E5">
      <w:pPr>
        <w:pStyle w:val="ListParagraph"/>
        <w:widowControl w:val="0"/>
        <w:numPr>
          <w:ilvl w:val="0"/>
          <w:numId w:val="20"/>
        </w:numPr>
        <w:wordWrap w:val="0"/>
        <w:autoSpaceDE w:val="0"/>
        <w:autoSpaceDN w:val="0"/>
        <w:spacing w:after="80"/>
        <w:ind w:left="1123"/>
        <w:jc w:val="both"/>
      </w:pPr>
      <w:r w:rsidRPr="00C44810">
        <w:t>CEPT</w:t>
      </w:r>
      <w:r w:rsidR="00F80577">
        <w:t xml:space="preserve"> (December 2020)</w:t>
      </w:r>
    </w:p>
    <w:p w14:paraId="7E7DB5A0" w14:textId="48C480EC" w:rsidR="00223583" w:rsidRPr="00C44810" w:rsidRDefault="00223583" w:rsidP="00223583">
      <w:pPr>
        <w:pStyle w:val="ListParagraph"/>
        <w:widowControl w:val="0"/>
        <w:numPr>
          <w:ilvl w:val="1"/>
          <w:numId w:val="20"/>
        </w:numPr>
        <w:autoSpaceDE w:val="0"/>
        <w:autoSpaceDN w:val="0"/>
        <w:spacing w:after="160" w:line="259" w:lineRule="auto"/>
        <w:ind w:left="1565" w:hanging="403"/>
        <w:jc w:val="both"/>
      </w:pPr>
      <w:r w:rsidRPr="00C44810">
        <w:t>To be developed</w:t>
      </w:r>
    </w:p>
    <w:p w14:paraId="71A386BA" w14:textId="77777777" w:rsidR="000C39C6" w:rsidRPr="00C44810" w:rsidRDefault="000C39C6" w:rsidP="00FB61E5">
      <w:pPr>
        <w:pStyle w:val="ListParagraph"/>
        <w:widowControl w:val="0"/>
        <w:numPr>
          <w:ilvl w:val="0"/>
          <w:numId w:val="20"/>
        </w:numPr>
        <w:wordWrap w:val="0"/>
        <w:autoSpaceDE w:val="0"/>
        <w:autoSpaceDN w:val="0"/>
        <w:spacing w:after="80"/>
        <w:ind w:left="1123"/>
        <w:jc w:val="both"/>
        <w:rPr>
          <w:lang w:val="en-GB"/>
        </w:rPr>
      </w:pPr>
      <w:r w:rsidRPr="00C44810">
        <w:t xml:space="preserve">CITEL </w:t>
      </w:r>
      <w:r w:rsidRPr="00C44810">
        <w:rPr>
          <w:lang w:val="en-GB"/>
        </w:rPr>
        <w:t>(</w:t>
      </w:r>
      <w:r w:rsidRPr="00C44810">
        <w:t>December 2020</w:t>
      </w:r>
      <w:r w:rsidRPr="00C44810">
        <w:rPr>
          <w:lang w:val="en-GB"/>
        </w:rPr>
        <w:t>)</w:t>
      </w:r>
    </w:p>
    <w:p w14:paraId="2974792B" w14:textId="77777777" w:rsidR="000C39C6" w:rsidRPr="00C44810" w:rsidRDefault="000C39C6" w:rsidP="000C39C6">
      <w:pPr>
        <w:pStyle w:val="ListParagraph"/>
        <w:widowControl w:val="0"/>
        <w:numPr>
          <w:ilvl w:val="1"/>
          <w:numId w:val="20"/>
        </w:numPr>
        <w:autoSpaceDE w:val="0"/>
        <w:autoSpaceDN w:val="0"/>
        <w:spacing w:after="160" w:line="259" w:lineRule="auto"/>
        <w:ind w:left="1565" w:hanging="403"/>
        <w:jc w:val="both"/>
      </w:pPr>
      <w:r w:rsidRPr="00C44810">
        <w:t>In the interest of global harmonization and economies of scale, the United States supports studies to consider the primary allocation to the mobile service in the band 3 600-3 800 MHz in Region 1 while ensuring the protection of those services to which the frequency band is allocated on a primary basis and not impose undue constraints on the existing services and their future development in Region 2.</w:t>
      </w:r>
    </w:p>
    <w:p w14:paraId="1E194B68" w14:textId="77777777" w:rsidR="000C39C6" w:rsidRPr="00C44810" w:rsidRDefault="000C39C6" w:rsidP="00FB61E5">
      <w:pPr>
        <w:pStyle w:val="ListParagraph"/>
        <w:widowControl w:val="0"/>
        <w:numPr>
          <w:ilvl w:val="0"/>
          <w:numId w:val="20"/>
        </w:numPr>
        <w:wordWrap w:val="0"/>
        <w:autoSpaceDE w:val="0"/>
        <w:autoSpaceDN w:val="0"/>
        <w:spacing w:after="80"/>
        <w:ind w:left="1123"/>
        <w:jc w:val="both"/>
        <w:rPr>
          <w:lang w:val="en-GB"/>
        </w:rPr>
      </w:pPr>
      <w:r w:rsidRPr="00C44810">
        <w:t>RCC</w:t>
      </w:r>
      <w:r w:rsidRPr="00C44810">
        <w:rPr>
          <w:lang w:val="en-GB"/>
        </w:rPr>
        <w:t xml:space="preserve"> (September</w:t>
      </w:r>
      <w:r w:rsidRPr="00C44810">
        <w:t xml:space="preserve"> 2020</w:t>
      </w:r>
      <w:r w:rsidRPr="00C44810">
        <w:rPr>
          <w:lang w:val="en-GB"/>
        </w:rPr>
        <w:t>)</w:t>
      </w:r>
    </w:p>
    <w:p w14:paraId="4B6E88DB" w14:textId="77777777" w:rsidR="000C39C6" w:rsidRPr="00C44810" w:rsidRDefault="000C39C6" w:rsidP="000C39C6">
      <w:pPr>
        <w:pStyle w:val="ListParagraph"/>
        <w:widowControl w:val="0"/>
        <w:numPr>
          <w:ilvl w:val="1"/>
          <w:numId w:val="20"/>
        </w:numPr>
        <w:autoSpaceDE w:val="0"/>
        <w:autoSpaceDN w:val="0"/>
        <w:spacing w:after="160" w:line="259" w:lineRule="auto"/>
        <w:ind w:left="1565" w:hanging="403"/>
        <w:jc w:val="both"/>
      </w:pPr>
      <w:r w:rsidRPr="00C44810">
        <w:t xml:space="preserve">The RCC Administrations, in resolving the issue of upgrading the secondary allocation to the mobile service in the frequency band 3600−3800 MHz to </w:t>
      </w:r>
      <w:r w:rsidRPr="00C44810">
        <w:lastRenderedPageBreak/>
        <w:t xml:space="preserve">primary one within Region 1, are in </w:t>
      </w:r>
      <w:proofErr w:type="spellStart"/>
      <w:r w:rsidRPr="00C44810">
        <w:t>favour</w:t>
      </w:r>
      <w:proofErr w:type="spellEnd"/>
      <w:r w:rsidRPr="00C44810">
        <w:t xml:space="preserve"> of the protection of FSS (space-to-Earth), FS and other services operating in the frequency band 3 600-3 800 MHz and in adjacent frequency bands, without imposing undue constraints on these services and their further development, taking into account the existing results of the compatibility studies with FSS in the frequency band 3400−4200 MHz (Reports ITU-R S.2368, ITU-R M.2109 and М.2111) as well as the results of studying the issue of the protection of FSS (space-to-Earth), FS and other services during the current ITU-R study cycle.</w:t>
      </w:r>
    </w:p>
    <w:p w14:paraId="32715F49" w14:textId="744F53A8" w:rsidR="00957294" w:rsidRPr="00C44810" w:rsidRDefault="00957294" w:rsidP="00957294">
      <w:pPr>
        <w:spacing w:after="120"/>
        <w:jc w:val="both"/>
        <w:rPr>
          <w:b/>
          <w:lang w:val="en-NZ" w:eastAsia="ko-KR"/>
        </w:rPr>
      </w:pPr>
      <w:r w:rsidRPr="00C44810">
        <w:rPr>
          <w:b/>
          <w:lang w:val="en-NZ" w:eastAsia="ko-KR"/>
        </w:rPr>
        <w:t xml:space="preserve">4. </w:t>
      </w:r>
      <w:r w:rsidRPr="00C44810">
        <w:rPr>
          <w:b/>
          <w:lang w:val="en-NZ" w:eastAsia="ko-KR"/>
        </w:rPr>
        <w:tab/>
      </w:r>
      <w:r w:rsidR="005263C8" w:rsidRPr="00C44810">
        <w:rPr>
          <w:b/>
          <w:lang w:val="en-NZ" w:eastAsia="ko-KR"/>
        </w:rPr>
        <w:t xml:space="preserve">Position of International Organizations </w:t>
      </w:r>
      <w:r w:rsidRPr="00C44810">
        <w:rPr>
          <w:b/>
          <w:lang w:val="en-NZ" w:eastAsia="ko-KR"/>
        </w:rPr>
        <w:t>(if available)</w:t>
      </w:r>
    </w:p>
    <w:p w14:paraId="38747938" w14:textId="77777777" w:rsidR="004727C5" w:rsidRDefault="004727C5" w:rsidP="00FB61E5">
      <w:pPr>
        <w:pStyle w:val="ListParagraph"/>
        <w:widowControl w:val="0"/>
        <w:numPr>
          <w:ilvl w:val="0"/>
          <w:numId w:val="20"/>
        </w:numPr>
        <w:wordWrap w:val="0"/>
        <w:autoSpaceDE w:val="0"/>
        <w:autoSpaceDN w:val="0"/>
        <w:spacing w:after="80"/>
        <w:ind w:left="1123"/>
        <w:jc w:val="both"/>
      </w:pPr>
      <w:r w:rsidRPr="00C44810">
        <w:t xml:space="preserve">ICAO </w:t>
      </w:r>
      <w:r>
        <w:t>(</w:t>
      </w:r>
      <w:r w:rsidRPr="005369D0">
        <w:t>26 August, 2020</w:t>
      </w:r>
      <w:r w:rsidRPr="00BB7546">
        <w:t>)</w:t>
      </w:r>
      <w:r>
        <w:t xml:space="preserve"> [1]</w:t>
      </w:r>
    </w:p>
    <w:p w14:paraId="675B2ACA" w14:textId="77777777" w:rsidR="004727C5" w:rsidRPr="00BB7546" w:rsidRDefault="004727C5" w:rsidP="004727C5">
      <w:pPr>
        <w:pStyle w:val="ListParagraph"/>
        <w:widowControl w:val="0"/>
        <w:numPr>
          <w:ilvl w:val="1"/>
          <w:numId w:val="20"/>
        </w:numPr>
        <w:autoSpaceDE w:val="0"/>
        <w:autoSpaceDN w:val="0"/>
        <w:spacing w:after="120" w:line="259" w:lineRule="auto"/>
        <w:ind w:left="1569" w:hanging="403"/>
        <w:jc w:val="both"/>
        <w:rPr>
          <w:rFonts w:eastAsia="Batang"/>
          <w:color w:val="000000"/>
        </w:rPr>
      </w:pPr>
      <w:r w:rsidRPr="00CC2808">
        <w:t xml:space="preserve">To oppose any </w:t>
      </w:r>
      <w:r>
        <w:t>changes to existing regulatory provisions of the ITU Radio Regulations for the frequency bands 3 600 ‒ 3800 MHz that adversely affect the aeronautical use of systems operating in the FSS in Region 1.</w:t>
      </w:r>
    </w:p>
    <w:p w14:paraId="2F85723B" w14:textId="77777777" w:rsidR="004727C5" w:rsidRPr="00C44810" w:rsidRDefault="004727C5" w:rsidP="00FB61E5">
      <w:pPr>
        <w:pStyle w:val="ListParagraph"/>
        <w:widowControl w:val="0"/>
        <w:numPr>
          <w:ilvl w:val="0"/>
          <w:numId w:val="20"/>
        </w:numPr>
        <w:wordWrap w:val="0"/>
        <w:autoSpaceDE w:val="0"/>
        <w:autoSpaceDN w:val="0"/>
        <w:spacing w:after="80"/>
        <w:ind w:left="1123"/>
        <w:jc w:val="both"/>
      </w:pPr>
      <w:r w:rsidRPr="00C44810">
        <w:t xml:space="preserve">IMO </w:t>
      </w:r>
      <w:r>
        <w:t>(</w:t>
      </w:r>
      <w:r w:rsidRPr="00FB61E5">
        <w:t>6 October 2020</w:t>
      </w:r>
      <w:r>
        <w:t xml:space="preserve">) </w:t>
      </w:r>
      <w:r w:rsidRPr="00C44810">
        <w:t>[</w:t>
      </w:r>
      <w:r>
        <w:t>2</w:t>
      </w:r>
      <w:r w:rsidRPr="00C44810">
        <w:t>]</w:t>
      </w:r>
    </w:p>
    <w:p w14:paraId="2D7C1C06" w14:textId="77777777" w:rsidR="004727C5" w:rsidRPr="00C44810" w:rsidRDefault="004727C5" w:rsidP="00200718">
      <w:pPr>
        <w:pStyle w:val="ListParagraph"/>
        <w:widowControl w:val="0"/>
        <w:numPr>
          <w:ilvl w:val="1"/>
          <w:numId w:val="20"/>
        </w:numPr>
        <w:autoSpaceDE w:val="0"/>
        <w:autoSpaceDN w:val="0"/>
        <w:spacing w:after="80" w:line="259" w:lineRule="auto"/>
        <w:ind w:left="1569" w:hanging="403"/>
        <w:jc w:val="both"/>
        <w:rPr>
          <w:rFonts w:eastAsia="Batang"/>
          <w:color w:val="000000"/>
        </w:rPr>
      </w:pPr>
      <w:r w:rsidRPr="00C44810">
        <w:rPr>
          <w:rFonts w:eastAsia="Batang"/>
          <w:color w:val="000000"/>
        </w:rPr>
        <w:t xml:space="preserve">To ensure that any use of the frequency band 3 600-3 800 MHz by the mobile service in Region 1 would not affect land earth stations using the same band for the provision of mobile satellite service feeder links used by the GMDSS. </w:t>
      </w:r>
    </w:p>
    <w:p w14:paraId="0D4BDCD0" w14:textId="77777777" w:rsidR="004727C5" w:rsidRPr="00C44810" w:rsidRDefault="004727C5" w:rsidP="004727C5">
      <w:pPr>
        <w:pStyle w:val="ListParagraph"/>
        <w:widowControl w:val="0"/>
        <w:numPr>
          <w:ilvl w:val="1"/>
          <w:numId w:val="20"/>
        </w:numPr>
        <w:autoSpaceDE w:val="0"/>
        <w:autoSpaceDN w:val="0"/>
        <w:spacing w:after="160" w:line="259" w:lineRule="auto"/>
        <w:ind w:left="1565" w:hanging="403"/>
        <w:jc w:val="both"/>
      </w:pPr>
      <w:r w:rsidRPr="00C44810">
        <w:rPr>
          <w:rFonts w:eastAsia="Batang"/>
          <w:color w:val="000000"/>
        </w:rPr>
        <w:t>To ensure protection of those services within the frequency band 3 600-3 800 MHz to which the frequency band is allocated on a primary basis and not impose undue constraints on the existing services and their future development.</w:t>
      </w:r>
    </w:p>
    <w:p w14:paraId="759FAA50" w14:textId="3631B479" w:rsidR="000C39C6" w:rsidRPr="00C44810" w:rsidRDefault="000C39C6" w:rsidP="00200718">
      <w:pPr>
        <w:pStyle w:val="ListParagraph"/>
        <w:widowControl w:val="0"/>
        <w:numPr>
          <w:ilvl w:val="0"/>
          <w:numId w:val="20"/>
        </w:numPr>
        <w:wordWrap w:val="0"/>
        <w:autoSpaceDE w:val="0"/>
        <w:autoSpaceDN w:val="0"/>
        <w:spacing w:after="80"/>
        <w:ind w:left="1123"/>
        <w:jc w:val="both"/>
      </w:pPr>
      <w:r w:rsidRPr="00C44810">
        <w:t>WMO (</w:t>
      </w:r>
      <w:r w:rsidR="00BA1861">
        <w:t xml:space="preserve">September </w:t>
      </w:r>
      <w:r w:rsidRPr="00C44810">
        <w:t>2020)</w:t>
      </w:r>
      <w:r w:rsidR="00BA1855" w:rsidRPr="00BA1855">
        <w:t xml:space="preserve"> </w:t>
      </w:r>
      <w:r w:rsidR="00BA1855">
        <w:t>[3]</w:t>
      </w:r>
    </w:p>
    <w:p w14:paraId="565789EC" w14:textId="03934525" w:rsidR="000C39C6" w:rsidRPr="00DA5DE2" w:rsidRDefault="00F80577" w:rsidP="003E3439">
      <w:pPr>
        <w:pStyle w:val="ListParagraph"/>
        <w:widowControl w:val="0"/>
        <w:numPr>
          <w:ilvl w:val="1"/>
          <w:numId w:val="20"/>
        </w:numPr>
        <w:wordWrap w:val="0"/>
        <w:autoSpaceDE w:val="0"/>
        <w:autoSpaceDN w:val="0"/>
        <w:spacing w:after="160" w:line="259" w:lineRule="auto"/>
        <w:jc w:val="both"/>
      </w:pPr>
      <w:r w:rsidRPr="00F80577">
        <w:t>WMO is concerned regarding the possible impact on future usage of the band 3.8-4.2 GHz used for the distribution of meteorological data.</w:t>
      </w:r>
    </w:p>
    <w:p w14:paraId="75AB332E" w14:textId="598DA5E1" w:rsidR="00AD38CF" w:rsidRPr="005369D0" w:rsidRDefault="00AD38CF" w:rsidP="005369D0">
      <w:pPr>
        <w:pStyle w:val="Default"/>
        <w:ind w:left="450" w:hanging="450"/>
      </w:pPr>
      <w:r w:rsidRPr="005369D0">
        <w:t>[1]</w:t>
      </w:r>
      <w:r w:rsidR="00EE5B82" w:rsidRPr="005369D0">
        <w:tab/>
      </w:r>
      <w:hyperlink r:id="rId17" w:history="1">
        <w:r w:rsidR="005369D0" w:rsidRPr="005369D0">
          <w:rPr>
            <w:rStyle w:val="Hyperlink"/>
          </w:rPr>
          <w:t>FREQUENCY SPECTRUM MANAGEMENT PANEL (FSMP)</w:t>
        </w:r>
        <w:bookmarkStart w:id="2" w:name="city_from_to"/>
        <w:bookmarkEnd w:id="2"/>
        <w:r w:rsidR="005369D0" w:rsidRPr="005369D0">
          <w:rPr>
            <w:rStyle w:val="Hyperlink"/>
          </w:rPr>
          <w:t>, TENTH MEETING OF THE WORKING GROUP OF FSMP (FSMP-WG/10), Virtual, 17-26 August, 2020</w:t>
        </w:r>
      </w:hyperlink>
    </w:p>
    <w:p w14:paraId="27E35B2E" w14:textId="3CB5AE60" w:rsidR="00EE5B82" w:rsidRPr="00743BD0" w:rsidRDefault="00AD38CF" w:rsidP="00EE5B82">
      <w:pPr>
        <w:pStyle w:val="Default"/>
        <w:ind w:left="450" w:hanging="450"/>
        <w:rPr>
          <w:bCs/>
        </w:rPr>
      </w:pPr>
      <w:r w:rsidRPr="00743BD0">
        <w:rPr>
          <w:bCs/>
        </w:rPr>
        <w:t>[2]</w:t>
      </w:r>
      <w:r w:rsidRPr="00743BD0">
        <w:rPr>
          <w:bCs/>
        </w:rPr>
        <w:tab/>
      </w:r>
      <w:hyperlink r:id="rId18" w:history="1">
        <w:r w:rsidR="00CE5927" w:rsidRPr="00743BD0">
          <w:rPr>
            <w:rStyle w:val="Hyperlink"/>
            <w:bCs/>
          </w:rPr>
          <w:t>JOINT IMO/ITU EXPERTS GROUP ON MARITIME RADIOCOMMUNICATION MATTERS, 16th meeting</w:t>
        </w:r>
        <w:r w:rsidR="00EE5B82" w:rsidRPr="00743BD0">
          <w:rPr>
            <w:rStyle w:val="Hyperlink"/>
            <w:bCs/>
          </w:rPr>
          <w:t>, 6 October 2020</w:t>
        </w:r>
      </w:hyperlink>
    </w:p>
    <w:p w14:paraId="55117CFF" w14:textId="7388C9D8" w:rsidR="00CE5927" w:rsidRPr="002E0C7F" w:rsidRDefault="002E0C7F" w:rsidP="00B62DE3">
      <w:pPr>
        <w:pStyle w:val="Default"/>
        <w:ind w:left="450" w:hanging="450"/>
      </w:pPr>
      <w:r w:rsidRPr="002E0C7F">
        <w:t>[3]</w:t>
      </w:r>
      <w:r w:rsidRPr="002E0C7F">
        <w:tab/>
      </w:r>
      <w:r w:rsidR="00F80577">
        <w:rPr>
          <w:rStyle w:val="Hyperlink"/>
        </w:rPr>
        <w:t xml:space="preserve">Document </w:t>
      </w:r>
      <w:hyperlink r:id="rId19" w:history="1">
        <w:r w:rsidR="00BA1861" w:rsidRPr="00BA1861">
          <w:rPr>
            <w:rStyle w:val="Hyperlink"/>
          </w:rPr>
          <w:t>APG23-1/INF-05</w:t>
        </w:r>
      </w:hyperlink>
    </w:p>
    <w:p w14:paraId="19B217F3" w14:textId="1AC5A875" w:rsidR="00C06114" w:rsidRPr="00C06114" w:rsidRDefault="00C06114" w:rsidP="00C06114">
      <w:pPr>
        <w:pStyle w:val="Default"/>
        <w:ind w:left="450" w:hanging="450"/>
      </w:pPr>
    </w:p>
    <w:p w14:paraId="17021774" w14:textId="17B8701F" w:rsidR="0037421D" w:rsidRPr="00B62DE3" w:rsidRDefault="0037421D" w:rsidP="00C06114">
      <w:pPr>
        <w:pStyle w:val="Default"/>
        <w:ind w:left="450" w:hanging="450"/>
      </w:pPr>
    </w:p>
    <w:sectPr w:rsidR="0037421D" w:rsidRPr="00B62DE3" w:rsidSect="00FF72BB">
      <w:headerReference w:type="default" r:id="rId20"/>
      <w:footerReference w:type="even" r:id="rId21"/>
      <w:footerReference w:type="default" r:id="rId22"/>
      <w:footerReference w:type="first" r:id="rId2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9C182" w14:textId="77777777" w:rsidR="0062195D" w:rsidRDefault="0062195D">
      <w:r>
        <w:separator/>
      </w:r>
    </w:p>
  </w:endnote>
  <w:endnote w:type="continuationSeparator" w:id="0">
    <w:p w14:paraId="3752443A" w14:textId="77777777" w:rsidR="0062195D" w:rsidRDefault="0062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Malgun Gothic Semilight"/>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22CB8"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A54FB"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2807" w14:textId="65BAC3A9" w:rsidR="00051E1E" w:rsidRDefault="00051E1E">
    <w:pPr>
      <w:pStyle w:val="Footer"/>
    </w:pPr>
    <w:r>
      <w:t>A</w:t>
    </w:r>
    <w:r w:rsidR="001E1432">
      <w:t>PG23-</w:t>
    </w:r>
    <w:r w:rsidR="008624ED">
      <w:t>2</w:t>
    </w:r>
    <w:r>
      <w:t>/IN</w:t>
    </w:r>
    <w:r w:rsidR="00753159">
      <w:t>F</w:t>
    </w:r>
    <w:r>
      <w:t>-</w:t>
    </w:r>
    <w:r w:rsidR="00753159">
      <w:t>10</w:t>
    </w:r>
    <w:r>
      <w:tab/>
    </w:r>
    <w:r>
      <w:tab/>
      <w:t xml:space="preserve">Page </w:t>
    </w:r>
    <w:r>
      <w:rPr>
        <w:b/>
        <w:bCs/>
      </w:rPr>
      <w:fldChar w:fldCharType="begin"/>
    </w:r>
    <w:r>
      <w:rPr>
        <w:b/>
        <w:bCs/>
      </w:rPr>
      <w:instrText xml:space="preserve"> PAGE  \* Arabic  \* MERGEFORMAT </w:instrText>
    </w:r>
    <w:r>
      <w:rPr>
        <w:b/>
        <w:bCs/>
      </w:rPr>
      <w:fldChar w:fldCharType="separate"/>
    </w:r>
    <w:r w:rsidR="00BC1A1C">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C1A1C">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7EF20505" w14:textId="77777777" w:rsidTr="007E7497">
      <w:trPr>
        <w:cantSplit/>
        <w:trHeight w:val="204"/>
        <w:jc w:val="center"/>
      </w:trPr>
      <w:tc>
        <w:tcPr>
          <w:tcW w:w="1152" w:type="dxa"/>
        </w:tcPr>
        <w:p w14:paraId="7C14EC98" w14:textId="77777777" w:rsidR="00B54758" w:rsidRDefault="00B54758" w:rsidP="007E7497">
          <w:pPr>
            <w:rPr>
              <w:b/>
              <w:bCs/>
            </w:rPr>
          </w:pPr>
          <w:r>
            <w:rPr>
              <w:b/>
              <w:bCs/>
            </w:rPr>
            <w:t>Contact:</w:t>
          </w:r>
        </w:p>
      </w:tc>
      <w:tc>
        <w:tcPr>
          <w:tcW w:w="5040" w:type="dxa"/>
        </w:tcPr>
        <w:p w14:paraId="5804A667" w14:textId="77777777" w:rsidR="00EC249E" w:rsidRDefault="002A3AEC" w:rsidP="007E7497">
          <w:pPr>
            <w:pStyle w:val="Equation"/>
            <w:tabs>
              <w:tab w:val="clear" w:pos="794"/>
              <w:tab w:val="clear" w:pos="4820"/>
              <w:tab w:val="clear" w:pos="9639"/>
            </w:tabs>
            <w:spacing w:beforeLines="0"/>
          </w:pPr>
          <w:proofErr w:type="spellStart"/>
          <w:r>
            <w:t>Dr.</w:t>
          </w:r>
          <w:proofErr w:type="spellEnd"/>
          <w:r>
            <w:t xml:space="preserve"> Azim </w:t>
          </w:r>
          <w:proofErr w:type="spellStart"/>
          <w:r>
            <w:t>Fard</w:t>
          </w:r>
          <w:proofErr w:type="spellEnd"/>
        </w:p>
        <w:p w14:paraId="39C5729B" w14:textId="73A28F40" w:rsidR="002A3AEC" w:rsidRDefault="002A3AEC" w:rsidP="007E7497">
          <w:pPr>
            <w:pStyle w:val="Equation"/>
            <w:tabs>
              <w:tab w:val="clear" w:pos="794"/>
              <w:tab w:val="clear" w:pos="4820"/>
              <w:tab w:val="clear" w:pos="9639"/>
            </w:tabs>
            <w:spacing w:beforeLines="0"/>
            <w:rPr>
              <w:rFonts w:eastAsia="Batang"/>
            </w:rPr>
          </w:pPr>
          <w:r>
            <w:t>Chairman, DG AI1.3</w:t>
          </w:r>
        </w:p>
      </w:tc>
      <w:tc>
        <w:tcPr>
          <w:tcW w:w="3024" w:type="dxa"/>
        </w:tcPr>
        <w:p w14:paraId="66CA6E30" w14:textId="26724637" w:rsidR="00B54758" w:rsidRDefault="00B54758" w:rsidP="00E23D98">
          <w:pPr>
            <w:rPr>
              <w:lang w:eastAsia="ja-JP"/>
            </w:rPr>
          </w:pPr>
          <w:r>
            <w:t>Email</w:t>
          </w:r>
          <w:r>
            <w:rPr>
              <w:rFonts w:hint="eastAsia"/>
            </w:rPr>
            <w:t>:</w:t>
          </w:r>
          <w:r>
            <w:t xml:space="preserve"> </w:t>
          </w:r>
          <w:hyperlink r:id="rId1" w:history="1">
            <w:r w:rsidR="002A3AEC" w:rsidRPr="00805105">
              <w:rPr>
                <w:rStyle w:val="Hyperlink"/>
                <w:rFonts w:eastAsia="Batang"/>
                <w:lang w:bidi="th-TH"/>
              </w:rPr>
              <w:t>azimfard@cra.ir</w:t>
            </w:r>
          </w:hyperlink>
        </w:p>
      </w:tc>
    </w:tr>
  </w:tbl>
  <w:p w14:paraId="25B78C00"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759E6" w14:textId="77777777" w:rsidR="0062195D" w:rsidRDefault="0062195D">
      <w:r>
        <w:separator/>
      </w:r>
    </w:p>
  </w:footnote>
  <w:footnote w:type="continuationSeparator" w:id="0">
    <w:p w14:paraId="54B95817" w14:textId="77777777" w:rsidR="0062195D" w:rsidRDefault="0062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6AB3" w14:textId="77777777" w:rsidR="00B54758" w:rsidRDefault="00B54758" w:rsidP="008E3821">
    <w:pPr>
      <w:pStyle w:val="Header"/>
      <w:tabs>
        <w:tab w:val="clear" w:pos="4320"/>
        <w:tab w:val="clear" w:pos="8640"/>
      </w:tabs>
      <w:rPr>
        <w:lang w:eastAsia="ko-KR"/>
      </w:rPr>
    </w:pPr>
  </w:p>
  <w:p w14:paraId="122BFF37"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2497039"/>
    <w:multiLevelType w:val="hybridMultilevel"/>
    <w:tmpl w:val="0E728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70862"/>
    <w:multiLevelType w:val="hybridMultilevel"/>
    <w:tmpl w:val="9CE0D584"/>
    <w:lvl w:ilvl="0" w:tplc="81F6568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9801948"/>
    <w:multiLevelType w:val="hybridMultilevel"/>
    <w:tmpl w:val="1C1E2BEC"/>
    <w:lvl w:ilvl="0" w:tplc="B0426F7E">
      <w:start w:val="1"/>
      <w:numFmt w:val="bullet"/>
      <w:lvlText w:val="-"/>
      <w:lvlJc w:val="left"/>
      <w:pPr>
        <w:ind w:left="1120" w:hanging="360"/>
      </w:pPr>
      <w:rPr>
        <w:rFonts w:ascii="Calibri" w:eastAsiaTheme="minorEastAsia" w:hAnsi="Calibri" w:cs="Calibri" w:hint="default"/>
      </w:rPr>
    </w:lvl>
    <w:lvl w:ilvl="1" w:tplc="04090001">
      <w:start w:val="1"/>
      <w:numFmt w:val="bullet"/>
      <w:lvlText w:val=""/>
      <w:lvlJc w:val="left"/>
      <w:pPr>
        <w:ind w:left="1560" w:hanging="400"/>
      </w:pPr>
      <w:rPr>
        <w:rFonts w:ascii="Symbol" w:hAnsi="Symbol"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75DE5"/>
    <w:multiLevelType w:val="hybridMultilevel"/>
    <w:tmpl w:val="D1043BC4"/>
    <w:lvl w:ilvl="0" w:tplc="81F6568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F5C63"/>
    <w:multiLevelType w:val="hybridMultilevel"/>
    <w:tmpl w:val="0EA2BBFC"/>
    <w:lvl w:ilvl="0" w:tplc="722A45E8">
      <w:start w:val="2"/>
      <w:numFmt w:val="bullet"/>
      <w:lvlText w:val="-"/>
      <w:lvlJc w:val="left"/>
      <w:pPr>
        <w:ind w:left="1280" w:hanging="400"/>
      </w:pPr>
      <w:rPr>
        <w:rFonts w:ascii="Times New Roman" w:eastAsia="GulimChe" w:hAnsi="Times New Roman" w:cs="Times New Roman" w:hint="default"/>
      </w:rPr>
    </w:lvl>
    <w:lvl w:ilvl="1" w:tplc="04090003" w:tentative="1">
      <w:start w:val="1"/>
      <w:numFmt w:val="bullet"/>
      <w:lvlText w:val=""/>
      <w:lvlJc w:val="left"/>
      <w:pPr>
        <w:ind w:left="1680" w:hanging="400"/>
      </w:pPr>
      <w:rPr>
        <w:rFonts w:ascii="Wingdings" w:hAnsi="Wingdings" w:hint="default"/>
      </w:rPr>
    </w:lvl>
    <w:lvl w:ilvl="2" w:tplc="04090005" w:tentative="1">
      <w:start w:val="1"/>
      <w:numFmt w:val="bullet"/>
      <w:lvlText w:val=""/>
      <w:lvlJc w:val="left"/>
      <w:pPr>
        <w:ind w:left="2080" w:hanging="400"/>
      </w:pPr>
      <w:rPr>
        <w:rFonts w:ascii="Wingdings" w:hAnsi="Wingdings" w:hint="default"/>
      </w:rPr>
    </w:lvl>
    <w:lvl w:ilvl="3" w:tplc="04090001" w:tentative="1">
      <w:start w:val="1"/>
      <w:numFmt w:val="bullet"/>
      <w:lvlText w:val=""/>
      <w:lvlJc w:val="left"/>
      <w:pPr>
        <w:ind w:left="2480" w:hanging="400"/>
      </w:pPr>
      <w:rPr>
        <w:rFonts w:ascii="Wingdings" w:hAnsi="Wingdings" w:hint="default"/>
      </w:rPr>
    </w:lvl>
    <w:lvl w:ilvl="4" w:tplc="04090003" w:tentative="1">
      <w:start w:val="1"/>
      <w:numFmt w:val="bullet"/>
      <w:lvlText w:val=""/>
      <w:lvlJc w:val="left"/>
      <w:pPr>
        <w:ind w:left="2880" w:hanging="400"/>
      </w:pPr>
      <w:rPr>
        <w:rFonts w:ascii="Wingdings" w:hAnsi="Wingdings" w:hint="default"/>
      </w:rPr>
    </w:lvl>
    <w:lvl w:ilvl="5" w:tplc="04090005" w:tentative="1">
      <w:start w:val="1"/>
      <w:numFmt w:val="bullet"/>
      <w:lvlText w:val=""/>
      <w:lvlJc w:val="left"/>
      <w:pPr>
        <w:ind w:left="3280" w:hanging="400"/>
      </w:pPr>
      <w:rPr>
        <w:rFonts w:ascii="Wingdings" w:hAnsi="Wingdings" w:hint="default"/>
      </w:rPr>
    </w:lvl>
    <w:lvl w:ilvl="6" w:tplc="04090001" w:tentative="1">
      <w:start w:val="1"/>
      <w:numFmt w:val="bullet"/>
      <w:lvlText w:val=""/>
      <w:lvlJc w:val="left"/>
      <w:pPr>
        <w:ind w:left="3680" w:hanging="400"/>
      </w:pPr>
      <w:rPr>
        <w:rFonts w:ascii="Wingdings" w:hAnsi="Wingdings" w:hint="default"/>
      </w:rPr>
    </w:lvl>
    <w:lvl w:ilvl="7" w:tplc="04090003" w:tentative="1">
      <w:start w:val="1"/>
      <w:numFmt w:val="bullet"/>
      <w:lvlText w:val=""/>
      <w:lvlJc w:val="left"/>
      <w:pPr>
        <w:ind w:left="4080" w:hanging="400"/>
      </w:pPr>
      <w:rPr>
        <w:rFonts w:ascii="Wingdings" w:hAnsi="Wingdings" w:hint="default"/>
      </w:rPr>
    </w:lvl>
    <w:lvl w:ilvl="8" w:tplc="04090005" w:tentative="1">
      <w:start w:val="1"/>
      <w:numFmt w:val="bullet"/>
      <w:lvlText w:val=""/>
      <w:lvlJc w:val="left"/>
      <w:pPr>
        <w:ind w:left="4480" w:hanging="40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5"/>
  </w:num>
  <w:num w:numId="2">
    <w:abstractNumId w:val="9"/>
  </w:num>
  <w:num w:numId="3">
    <w:abstractNumId w:val="7"/>
  </w:num>
  <w:num w:numId="4">
    <w:abstractNumId w:val="22"/>
  </w:num>
  <w:num w:numId="5">
    <w:abstractNumId w:val="12"/>
  </w:num>
  <w:num w:numId="6">
    <w:abstractNumId w:val="16"/>
  </w:num>
  <w:num w:numId="7">
    <w:abstractNumId w:val="6"/>
  </w:num>
  <w:num w:numId="8">
    <w:abstractNumId w:val="1"/>
  </w:num>
  <w:num w:numId="9">
    <w:abstractNumId w:val="24"/>
  </w:num>
  <w:num w:numId="10">
    <w:abstractNumId w:val="0"/>
  </w:num>
  <w:num w:numId="11">
    <w:abstractNumId w:val="23"/>
  </w:num>
  <w:num w:numId="12">
    <w:abstractNumId w:val="13"/>
  </w:num>
  <w:num w:numId="13">
    <w:abstractNumId w:val="18"/>
  </w:num>
  <w:num w:numId="14">
    <w:abstractNumId w:val="10"/>
  </w:num>
  <w:num w:numId="15">
    <w:abstractNumId w:val="4"/>
  </w:num>
  <w:num w:numId="16">
    <w:abstractNumId w:val="3"/>
  </w:num>
  <w:num w:numId="17">
    <w:abstractNumId w:val="5"/>
  </w:num>
  <w:num w:numId="18">
    <w:abstractNumId w:val="14"/>
  </w:num>
  <w:num w:numId="19">
    <w:abstractNumId w:val="19"/>
  </w:num>
  <w:num w:numId="20">
    <w:abstractNumId w:val="17"/>
  </w:num>
  <w:num w:numId="21">
    <w:abstractNumId w:val="8"/>
  </w:num>
  <w:num w:numId="22">
    <w:abstractNumId w:val="11"/>
  </w:num>
  <w:num w:numId="23">
    <w:abstractNumId w:val="20"/>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2D"/>
    <w:rsid w:val="00000B9E"/>
    <w:rsid w:val="0003595B"/>
    <w:rsid w:val="00036385"/>
    <w:rsid w:val="00051E1E"/>
    <w:rsid w:val="00054C56"/>
    <w:rsid w:val="00063DF8"/>
    <w:rsid w:val="000713CF"/>
    <w:rsid w:val="00075C14"/>
    <w:rsid w:val="00094B87"/>
    <w:rsid w:val="000964D0"/>
    <w:rsid w:val="000A1F8C"/>
    <w:rsid w:val="000A5418"/>
    <w:rsid w:val="000A754D"/>
    <w:rsid w:val="000B1E8C"/>
    <w:rsid w:val="000B595C"/>
    <w:rsid w:val="000C39C6"/>
    <w:rsid w:val="000D7C75"/>
    <w:rsid w:val="000F517C"/>
    <w:rsid w:val="000F5540"/>
    <w:rsid w:val="00106B56"/>
    <w:rsid w:val="00122653"/>
    <w:rsid w:val="00125217"/>
    <w:rsid w:val="00130A94"/>
    <w:rsid w:val="00131727"/>
    <w:rsid w:val="00131FCA"/>
    <w:rsid w:val="00133947"/>
    <w:rsid w:val="00134CC7"/>
    <w:rsid w:val="00135C32"/>
    <w:rsid w:val="00142F9F"/>
    <w:rsid w:val="001433F1"/>
    <w:rsid w:val="001539DD"/>
    <w:rsid w:val="00164353"/>
    <w:rsid w:val="00175BD2"/>
    <w:rsid w:val="0018114D"/>
    <w:rsid w:val="001832C2"/>
    <w:rsid w:val="001856D9"/>
    <w:rsid w:val="001923E8"/>
    <w:rsid w:val="00196568"/>
    <w:rsid w:val="00197B92"/>
    <w:rsid w:val="001A2F16"/>
    <w:rsid w:val="001A34FF"/>
    <w:rsid w:val="001B18C2"/>
    <w:rsid w:val="001D5D7E"/>
    <w:rsid w:val="001E1432"/>
    <w:rsid w:val="001F5947"/>
    <w:rsid w:val="00200718"/>
    <w:rsid w:val="0021588B"/>
    <w:rsid w:val="00221226"/>
    <w:rsid w:val="002216AC"/>
    <w:rsid w:val="002219FD"/>
    <w:rsid w:val="00223583"/>
    <w:rsid w:val="0023010A"/>
    <w:rsid w:val="00230738"/>
    <w:rsid w:val="00234735"/>
    <w:rsid w:val="002363F4"/>
    <w:rsid w:val="00241BCF"/>
    <w:rsid w:val="00254A1B"/>
    <w:rsid w:val="0026045B"/>
    <w:rsid w:val="0026736F"/>
    <w:rsid w:val="00275ED2"/>
    <w:rsid w:val="0028454D"/>
    <w:rsid w:val="00286912"/>
    <w:rsid w:val="00287A2A"/>
    <w:rsid w:val="00291C9E"/>
    <w:rsid w:val="002926D4"/>
    <w:rsid w:val="002A3AEC"/>
    <w:rsid w:val="002C07DA"/>
    <w:rsid w:val="002C7EA9"/>
    <w:rsid w:val="002E0C7F"/>
    <w:rsid w:val="002F2F9A"/>
    <w:rsid w:val="003131A3"/>
    <w:rsid w:val="003319FE"/>
    <w:rsid w:val="00336A0D"/>
    <w:rsid w:val="00342F20"/>
    <w:rsid w:val="00343067"/>
    <w:rsid w:val="00350EC2"/>
    <w:rsid w:val="003540E0"/>
    <w:rsid w:val="003548C2"/>
    <w:rsid w:val="0037421D"/>
    <w:rsid w:val="003809C7"/>
    <w:rsid w:val="003829E0"/>
    <w:rsid w:val="003A3AE3"/>
    <w:rsid w:val="003B03B2"/>
    <w:rsid w:val="003B6263"/>
    <w:rsid w:val="003B6428"/>
    <w:rsid w:val="003C64A7"/>
    <w:rsid w:val="003D25E1"/>
    <w:rsid w:val="003D3FDA"/>
    <w:rsid w:val="003E3439"/>
    <w:rsid w:val="003F6D48"/>
    <w:rsid w:val="00403255"/>
    <w:rsid w:val="00403CE4"/>
    <w:rsid w:val="00420822"/>
    <w:rsid w:val="0042126E"/>
    <w:rsid w:val="004323BB"/>
    <w:rsid w:val="00433925"/>
    <w:rsid w:val="004404C0"/>
    <w:rsid w:val="00440BEE"/>
    <w:rsid w:val="00444170"/>
    <w:rsid w:val="0045458F"/>
    <w:rsid w:val="00455FD4"/>
    <w:rsid w:val="004633B4"/>
    <w:rsid w:val="00464CAB"/>
    <w:rsid w:val="004727C5"/>
    <w:rsid w:val="00483317"/>
    <w:rsid w:val="004854EE"/>
    <w:rsid w:val="004A3BA4"/>
    <w:rsid w:val="004A4DE4"/>
    <w:rsid w:val="004B3553"/>
    <w:rsid w:val="004B72F3"/>
    <w:rsid w:val="004E7492"/>
    <w:rsid w:val="004F733C"/>
    <w:rsid w:val="00515050"/>
    <w:rsid w:val="0051686D"/>
    <w:rsid w:val="005201CA"/>
    <w:rsid w:val="00521BF0"/>
    <w:rsid w:val="005263C8"/>
    <w:rsid w:val="00530E8C"/>
    <w:rsid w:val="005369D0"/>
    <w:rsid w:val="005442A4"/>
    <w:rsid w:val="00545933"/>
    <w:rsid w:val="0054610B"/>
    <w:rsid w:val="005549C9"/>
    <w:rsid w:val="00557544"/>
    <w:rsid w:val="005606F6"/>
    <w:rsid w:val="005614DC"/>
    <w:rsid w:val="00575CDC"/>
    <w:rsid w:val="00577C0A"/>
    <w:rsid w:val="00587875"/>
    <w:rsid w:val="005B1E77"/>
    <w:rsid w:val="005B244E"/>
    <w:rsid w:val="005C5EB6"/>
    <w:rsid w:val="005D3914"/>
    <w:rsid w:val="005D6B2F"/>
    <w:rsid w:val="005E3896"/>
    <w:rsid w:val="005E6C90"/>
    <w:rsid w:val="00607E2B"/>
    <w:rsid w:val="006139D6"/>
    <w:rsid w:val="00615999"/>
    <w:rsid w:val="0062195D"/>
    <w:rsid w:val="00623CE1"/>
    <w:rsid w:val="0063062B"/>
    <w:rsid w:val="006308B5"/>
    <w:rsid w:val="00636BAD"/>
    <w:rsid w:val="0066388B"/>
    <w:rsid w:val="00667229"/>
    <w:rsid w:val="00675C31"/>
    <w:rsid w:val="006769C2"/>
    <w:rsid w:val="00682BE5"/>
    <w:rsid w:val="006843DA"/>
    <w:rsid w:val="00690FED"/>
    <w:rsid w:val="006939A5"/>
    <w:rsid w:val="006A15A4"/>
    <w:rsid w:val="006B20C6"/>
    <w:rsid w:val="006B6778"/>
    <w:rsid w:val="006C2D39"/>
    <w:rsid w:val="006E0991"/>
    <w:rsid w:val="006E12FC"/>
    <w:rsid w:val="006F26C5"/>
    <w:rsid w:val="006F375E"/>
    <w:rsid w:val="00705C2D"/>
    <w:rsid w:val="00705E61"/>
    <w:rsid w:val="00712451"/>
    <w:rsid w:val="00730AE5"/>
    <w:rsid w:val="00731041"/>
    <w:rsid w:val="00732F08"/>
    <w:rsid w:val="007350E2"/>
    <w:rsid w:val="0074190C"/>
    <w:rsid w:val="00743BD0"/>
    <w:rsid w:val="00753159"/>
    <w:rsid w:val="00762576"/>
    <w:rsid w:val="00764D3C"/>
    <w:rsid w:val="00791060"/>
    <w:rsid w:val="007A1BDE"/>
    <w:rsid w:val="007A3E29"/>
    <w:rsid w:val="007B3299"/>
    <w:rsid w:val="007B3D18"/>
    <w:rsid w:val="007B5626"/>
    <w:rsid w:val="007B5E37"/>
    <w:rsid w:val="007D29E5"/>
    <w:rsid w:val="007E1FDD"/>
    <w:rsid w:val="007E7497"/>
    <w:rsid w:val="007F08FF"/>
    <w:rsid w:val="007F1651"/>
    <w:rsid w:val="00803C99"/>
    <w:rsid w:val="0080570B"/>
    <w:rsid w:val="008148E1"/>
    <w:rsid w:val="00816F4E"/>
    <w:rsid w:val="00831716"/>
    <w:rsid w:val="008319BF"/>
    <w:rsid w:val="008337EA"/>
    <w:rsid w:val="00837245"/>
    <w:rsid w:val="00850E1C"/>
    <w:rsid w:val="008624ED"/>
    <w:rsid w:val="00870944"/>
    <w:rsid w:val="008825FF"/>
    <w:rsid w:val="008826AE"/>
    <w:rsid w:val="008950FB"/>
    <w:rsid w:val="00897849"/>
    <w:rsid w:val="008A423E"/>
    <w:rsid w:val="008A73CD"/>
    <w:rsid w:val="008D084B"/>
    <w:rsid w:val="008D0E09"/>
    <w:rsid w:val="008E3821"/>
    <w:rsid w:val="008F2153"/>
    <w:rsid w:val="008F301D"/>
    <w:rsid w:val="00920087"/>
    <w:rsid w:val="00930053"/>
    <w:rsid w:val="009306C7"/>
    <w:rsid w:val="00953737"/>
    <w:rsid w:val="00953A5D"/>
    <w:rsid w:val="00957294"/>
    <w:rsid w:val="00972289"/>
    <w:rsid w:val="0097693B"/>
    <w:rsid w:val="009864A1"/>
    <w:rsid w:val="00993355"/>
    <w:rsid w:val="009A46BF"/>
    <w:rsid w:val="009A4A6D"/>
    <w:rsid w:val="009B74AC"/>
    <w:rsid w:val="009C0B35"/>
    <w:rsid w:val="009C361C"/>
    <w:rsid w:val="009D055C"/>
    <w:rsid w:val="009F2080"/>
    <w:rsid w:val="00A0503B"/>
    <w:rsid w:val="00A13265"/>
    <w:rsid w:val="00A20980"/>
    <w:rsid w:val="00A31185"/>
    <w:rsid w:val="00A32668"/>
    <w:rsid w:val="00A61885"/>
    <w:rsid w:val="00A631BD"/>
    <w:rsid w:val="00A71136"/>
    <w:rsid w:val="00AA2D8E"/>
    <w:rsid w:val="00AA474C"/>
    <w:rsid w:val="00AB0EAD"/>
    <w:rsid w:val="00AB2572"/>
    <w:rsid w:val="00AB2D93"/>
    <w:rsid w:val="00AC19BB"/>
    <w:rsid w:val="00AD38CF"/>
    <w:rsid w:val="00AD7E5F"/>
    <w:rsid w:val="00AE160B"/>
    <w:rsid w:val="00AF6E67"/>
    <w:rsid w:val="00B01AA1"/>
    <w:rsid w:val="00B24089"/>
    <w:rsid w:val="00B30C81"/>
    <w:rsid w:val="00B34275"/>
    <w:rsid w:val="00B3474C"/>
    <w:rsid w:val="00B4793B"/>
    <w:rsid w:val="00B54758"/>
    <w:rsid w:val="00B62DE3"/>
    <w:rsid w:val="00B66740"/>
    <w:rsid w:val="00B676EF"/>
    <w:rsid w:val="00B97AC9"/>
    <w:rsid w:val="00BA1855"/>
    <w:rsid w:val="00BA1861"/>
    <w:rsid w:val="00BB4AD0"/>
    <w:rsid w:val="00BB7546"/>
    <w:rsid w:val="00BB7E96"/>
    <w:rsid w:val="00BC1A1C"/>
    <w:rsid w:val="00BC7506"/>
    <w:rsid w:val="00C06114"/>
    <w:rsid w:val="00C15633"/>
    <w:rsid w:val="00C15799"/>
    <w:rsid w:val="00C20F4D"/>
    <w:rsid w:val="00C256E8"/>
    <w:rsid w:val="00C26745"/>
    <w:rsid w:val="00C34947"/>
    <w:rsid w:val="00C357AD"/>
    <w:rsid w:val="00C3644A"/>
    <w:rsid w:val="00C44810"/>
    <w:rsid w:val="00C54445"/>
    <w:rsid w:val="00C6069C"/>
    <w:rsid w:val="00C73F61"/>
    <w:rsid w:val="00C75805"/>
    <w:rsid w:val="00C85119"/>
    <w:rsid w:val="00CC56C6"/>
    <w:rsid w:val="00CD5431"/>
    <w:rsid w:val="00CE5927"/>
    <w:rsid w:val="00CE6DD9"/>
    <w:rsid w:val="00CF2491"/>
    <w:rsid w:val="00CF2CBA"/>
    <w:rsid w:val="00CF3030"/>
    <w:rsid w:val="00CF5DDC"/>
    <w:rsid w:val="00D06742"/>
    <w:rsid w:val="00D1252E"/>
    <w:rsid w:val="00D12CE1"/>
    <w:rsid w:val="00D2444D"/>
    <w:rsid w:val="00D31452"/>
    <w:rsid w:val="00D500B1"/>
    <w:rsid w:val="00D5307B"/>
    <w:rsid w:val="00D57772"/>
    <w:rsid w:val="00D651AB"/>
    <w:rsid w:val="00D72AE3"/>
    <w:rsid w:val="00D75A4D"/>
    <w:rsid w:val="00D8478B"/>
    <w:rsid w:val="00D84CEE"/>
    <w:rsid w:val="00D86151"/>
    <w:rsid w:val="00D91215"/>
    <w:rsid w:val="00DA3CC4"/>
    <w:rsid w:val="00DA5DE2"/>
    <w:rsid w:val="00DA645A"/>
    <w:rsid w:val="00DA7595"/>
    <w:rsid w:val="00DB0A68"/>
    <w:rsid w:val="00DB13B0"/>
    <w:rsid w:val="00DB28C8"/>
    <w:rsid w:val="00DB4A1C"/>
    <w:rsid w:val="00DC3557"/>
    <w:rsid w:val="00DC43A3"/>
    <w:rsid w:val="00DD7C09"/>
    <w:rsid w:val="00DE54CF"/>
    <w:rsid w:val="00DE7126"/>
    <w:rsid w:val="00DF791C"/>
    <w:rsid w:val="00E0124F"/>
    <w:rsid w:val="00E02E0D"/>
    <w:rsid w:val="00E06286"/>
    <w:rsid w:val="00E17376"/>
    <w:rsid w:val="00E23D98"/>
    <w:rsid w:val="00E403B9"/>
    <w:rsid w:val="00E41BE2"/>
    <w:rsid w:val="00E5341E"/>
    <w:rsid w:val="00E545D9"/>
    <w:rsid w:val="00E65FC2"/>
    <w:rsid w:val="00E674D3"/>
    <w:rsid w:val="00E706E8"/>
    <w:rsid w:val="00E70FD0"/>
    <w:rsid w:val="00E80263"/>
    <w:rsid w:val="00EA0BBD"/>
    <w:rsid w:val="00EA7027"/>
    <w:rsid w:val="00EA76B1"/>
    <w:rsid w:val="00EB2081"/>
    <w:rsid w:val="00EC249E"/>
    <w:rsid w:val="00EE3496"/>
    <w:rsid w:val="00EE5B82"/>
    <w:rsid w:val="00EF2406"/>
    <w:rsid w:val="00F00257"/>
    <w:rsid w:val="00F27A79"/>
    <w:rsid w:val="00F40B50"/>
    <w:rsid w:val="00F5332C"/>
    <w:rsid w:val="00F551FB"/>
    <w:rsid w:val="00F55E0A"/>
    <w:rsid w:val="00F626B7"/>
    <w:rsid w:val="00F650EB"/>
    <w:rsid w:val="00F80577"/>
    <w:rsid w:val="00F84067"/>
    <w:rsid w:val="00F871F5"/>
    <w:rsid w:val="00FA5C45"/>
    <w:rsid w:val="00FB61E5"/>
    <w:rsid w:val="00FC156A"/>
    <w:rsid w:val="00FC7A38"/>
    <w:rsid w:val="00FE3DE5"/>
    <w:rsid w:val="00FF4CD6"/>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92590F"/>
  <w15:docId w15:val="{89C1F0ED-BF91-4B70-983E-58AEFC26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C061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9306C7"/>
    <w:rPr>
      <w:color w:val="605E5C"/>
      <w:shd w:val="clear" w:color="auto" w:fill="E1DFDD"/>
    </w:rPr>
  </w:style>
  <w:style w:type="paragraph" w:customStyle="1" w:styleId="Tabletext">
    <w:name w:val="Table_text"/>
    <w:basedOn w:val="Normal"/>
    <w:link w:val="TabletextChar"/>
    <w:rsid w:val="00764D3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Batang" w:hAnsi="Calibri" w:cs="Calibri"/>
      <w:sz w:val="20"/>
      <w:szCs w:val="22"/>
      <w:lang w:eastAsia="nl-NL"/>
    </w:rPr>
  </w:style>
  <w:style w:type="character" w:customStyle="1" w:styleId="TabletextChar">
    <w:name w:val="Table_text Char"/>
    <w:basedOn w:val="DefaultParagraphFont"/>
    <w:link w:val="Tabletext"/>
    <w:locked/>
    <w:rsid w:val="00764D3C"/>
    <w:rPr>
      <w:rFonts w:ascii="Calibri" w:hAnsi="Calibri" w:cs="Calibri"/>
      <w:szCs w:val="22"/>
      <w:lang w:eastAsia="nl-NL"/>
    </w:rPr>
  </w:style>
  <w:style w:type="paragraph" w:customStyle="1" w:styleId="StyleCall10pt">
    <w:name w:val="Style Call + 10 pt"/>
    <w:basedOn w:val="Normal"/>
    <w:rsid w:val="00764D3C"/>
    <w:pPr>
      <w:keepNext/>
      <w:keepLines/>
      <w:tabs>
        <w:tab w:val="left" w:pos="794"/>
        <w:tab w:val="left" w:pos="1191"/>
        <w:tab w:val="left" w:pos="1588"/>
        <w:tab w:val="left" w:pos="1985"/>
      </w:tabs>
      <w:overflowPunct w:val="0"/>
      <w:autoSpaceDE w:val="0"/>
      <w:autoSpaceDN w:val="0"/>
      <w:adjustRightInd w:val="0"/>
      <w:spacing w:before="40" w:after="40" w:line="280" w:lineRule="exact"/>
      <w:ind w:left="794"/>
      <w:textAlignment w:val="baseline"/>
    </w:pPr>
    <w:rPr>
      <w:rFonts w:ascii="Calibri" w:eastAsia="Batang" w:hAnsi="Calibri" w:cs="Calibri"/>
      <w:i/>
      <w:iCs/>
      <w:sz w:val="20"/>
      <w:szCs w:val="22"/>
    </w:rPr>
  </w:style>
  <w:style w:type="paragraph" w:customStyle="1" w:styleId="ECCBulletsLv1">
    <w:name w:val="ECC Bullets Lv1"/>
    <w:basedOn w:val="Normal"/>
    <w:qFormat/>
    <w:rsid w:val="00764D3C"/>
    <w:pPr>
      <w:numPr>
        <w:numId w:val="24"/>
      </w:numPr>
      <w:tabs>
        <w:tab w:val="left" w:pos="340"/>
      </w:tabs>
      <w:spacing w:before="60"/>
      <w:jc w:val="both"/>
    </w:pPr>
    <w:rPr>
      <w:rFonts w:ascii="Arial" w:eastAsia="Calibri" w:hAnsi="Arial"/>
      <w:sz w:val="20"/>
      <w:szCs w:val="22"/>
      <w:lang w:val="en-GB"/>
    </w:rPr>
  </w:style>
  <w:style w:type="paragraph" w:customStyle="1" w:styleId="Call">
    <w:name w:val="Call"/>
    <w:basedOn w:val="Normal"/>
    <w:next w:val="Normal"/>
    <w:link w:val="CallChar"/>
    <w:rsid w:val="009D055C"/>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ascii="Calibri" w:eastAsia="Batang" w:hAnsi="Calibri" w:cs="Calibri"/>
      <w:i/>
      <w:szCs w:val="22"/>
    </w:rPr>
  </w:style>
  <w:style w:type="character" w:customStyle="1" w:styleId="CallChar">
    <w:name w:val="Call Char"/>
    <w:basedOn w:val="DefaultParagraphFont"/>
    <w:link w:val="Call"/>
    <w:locked/>
    <w:rsid w:val="009D055C"/>
    <w:rPr>
      <w:rFonts w:ascii="Calibri" w:hAnsi="Calibri" w:cs="Calibri"/>
      <w:i/>
      <w:sz w:val="24"/>
      <w:szCs w:val="22"/>
    </w:rPr>
  </w:style>
  <w:style w:type="character" w:styleId="FollowedHyperlink">
    <w:name w:val="FollowedHyperlink"/>
    <w:basedOn w:val="DefaultParagraphFont"/>
    <w:semiHidden/>
    <w:unhideWhenUsed/>
    <w:rsid w:val="00E706E8"/>
    <w:rPr>
      <w:color w:val="800080" w:themeColor="followedHyperlink"/>
      <w:u w:val="single"/>
    </w:rPr>
  </w:style>
  <w:style w:type="character" w:customStyle="1" w:styleId="Heading1Char5">
    <w:name w:val="Heading 1 Char5"/>
    <w:aliases w:val="H1-TS Char7,H1 Char7,h1 Char7,h11 Char7,título 1 Char7,NMP Heading 1 Char7,h12 Char7,h13 Char7,h14 Char7,h15 Char7,h16 Char7,h17 Char7,h111 Char7,h121 Char7,h131 Char7,h141 Char7,h151 Char7,h161 Char7,h18 Char7,h112 Char7,h122 Char7"/>
    <w:uiPriority w:val="99"/>
    <w:locked/>
    <w:rsid w:val="005369D0"/>
    <w:rPr>
      <w:rFonts w:ascii="Cambria" w:hAnsi="Cambria" w:cs="Times New Roman"/>
      <w:b/>
      <w:bCs/>
      <w:kern w:val="32"/>
      <w:sz w:val="32"/>
      <w:szCs w:val="32"/>
      <w:lang w:eastAsia="en-US"/>
    </w:rPr>
  </w:style>
  <w:style w:type="character" w:customStyle="1" w:styleId="Heading2Char">
    <w:name w:val="Heading 2 Char"/>
    <w:basedOn w:val="DefaultParagraphFont"/>
    <w:link w:val="Heading2"/>
    <w:semiHidden/>
    <w:rsid w:val="00C06114"/>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FF4CD6"/>
    <w:rPr>
      <w:sz w:val="18"/>
      <w:szCs w:val="18"/>
    </w:rPr>
  </w:style>
  <w:style w:type="paragraph" w:styleId="CommentText">
    <w:name w:val="annotation text"/>
    <w:basedOn w:val="Normal"/>
    <w:link w:val="CommentTextChar"/>
    <w:semiHidden/>
    <w:unhideWhenUsed/>
    <w:rsid w:val="00FF4CD6"/>
  </w:style>
  <w:style w:type="character" w:customStyle="1" w:styleId="CommentTextChar">
    <w:name w:val="Comment Text Char"/>
    <w:basedOn w:val="DefaultParagraphFont"/>
    <w:link w:val="CommentText"/>
    <w:semiHidden/>
    <w:rsid w:val="00FF4CD6"/>
    <w:rPr>
      <w:rFonts w:eastAsia="BatangChe"/>
      <w:sz w:val="24"/>
      <w:szCs w:val="24"/>
    </w:rPr>
  </w:style>
  <w:style w:type="paragraph" w:styleId="CommentSubject">
    <w:name w:val="annotation subject"/>
    <w:basedOn w:val="CommentText"/>
    <w:next w:val="CommentText"/>
    <w:link w:val="CommentSubjectChar"/>
    <w:semiHidden/>
    <w:unhideWhenUsed/>
    <w:rsid w:val="00FF4CD6"/>
    <w:rPr>
      <w:b/>
      <w:bCs/>
    </w:rPr>
  </w:style>
  <w:style w:type="character" w:customStyle="1" w:styleId="CommentSubjectChar">
    <w:name w:val="Comment Subject Char"/>
    <w:basedOn w:val="CommentTextChar"/>
    <w:link w:val="CommentSubject"/>
    <w:semiHidden/>
    <w:rsid w:val="00FF4CD6"/>
    <w:rPr>
      <w:rFonts w:eastAsia="BatangChe"/>
      <w:b/>
      <w:bCs/>
      <w:sz w:val="24"/>
      <w:szCs w:val="24"/>
    </w:rPr>
  </w:style>
  <w:style w:type="paragraph" w:styleId="Revision">
    <w:name w:val="Revision"/>
    <w:hidden/>
    <w:uiPriority w:val="99"/>
    <w:semiHidden/>
    <w:rsid w:val="00FF4CD6"/>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8988">
      <w:bodyDiv w:val="1"/>
      <w:marLeft w:val="0"/>
      <w:marRight w:val="0"/>
      <w:marTop w:val="0"/>
      <w:marBottom w:val="0"/>
      <w:divBdr>
        <w:top w:val="none" w:sz="0" w:space="0" w:color="auto"/>
        <w:left w:val="none" w:sz="0" w:space="0" w:color="auto"/>
        <w:bottom w:val="none" w:sz="0" w:space="0" w:color="auto"/>
        <w:right w:val="none" w:sz="0" w:space="0" w:color="auto"/>
      </w:divBdr>
    </w:div>
    <w:div w:id="7532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dms_pub/itu-r/md/19/wp5a/c/R19-WP5A-C-0221!N05!MSW-E.docx" TargetMode="External"/><Relationship Id="rId18" Type="http://schemas.openxmlformats.org/officeDocument/2006/relationships/hyperlink" Target="https://www.google.com/url?sa=t&amp;rct=j&amp;q=&amp;esrc=s&amp;source=web&amp;cd=&amp;ved=2ahUKEwi95IzEq_buAhXZShUIHWqBCkcQFjAAegQIARAD&amp;url=https%3A%2F%2Fwww.cept.org%2FDocuments%2Ffm-58%2F61774%2Ffm58-20-042_fm58-20-042_imo-itu-eg-16-9-add1-report-to-the-ncsr-sub-committee-and-itu&amp;usg=AOvVaw3cuLlDVXRbMLlm7Nt1Qk8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dms_pub/itu-r/md/19/wp5a/c/R19-WP5A-C-0221!N04!MSW-E.docx" TargetMode="External"/><Relationship Id="rId17" Type="http://schemas.openxmlformats.org/officeDocument/2006/relationships/hyperlink" Target="https://www.icao.int/safety/FSMP/MeetingDocs/FSMP%20WG10/Report/FSMP-WG10_Report.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R/study-groups/rcpm/Pages/wrc-23-studie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study-groups/rsg5/rwp5a/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R/study-groups/rcpm/Pages/wrc-23-studies.aspx" TargetMode="External"/><Relationship Id="rId23" Type="http://schemas.openxmlformats.org/officeDocument/2006/relationships/footer" Target="footer3.xml"/><Relationship Id="rId10" Type="http://schemas.openxmlformats.org/officeDocument/2006/relationships/hyperlink" Target="https://www.itu.int/md/R16-WRC19-C-0094/en" TargetMode="External"/><Relationship Id="rId19" Type="http://schemas.openxmlformats.org/officeDocument/2006/relationships/hyperlink" Target="https://www.apt.int/sites/default/files/2020/09/APG23-1-INF-05_Preliminary_WMO_Position_on_WRC-23.docx" TargetMode="External"/><Relationship Id="rId4" Type="http://schemas.openxmlformats.org/officeDocument/2006/relationships/settings" Target="settings.xml"/><Relationship Id="rId9" Type="http://schemas.openxmlformats.org/officeDocument/2006/relationships/hyperlink" Target="https://www.itu.int/md/R16-WRC19-C-0029/en" TargetMode="External"/><Relationship Id="rId14" Type="http://schemas.openxmlformats.org/officeDocument/2006/relationships/hyperlink" Target="https://www.itu.int/md/R19-WP5A-C-0221/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azimfard@cra.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2\APG23-2%20Document%20Template%20Ot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0C68-C0B8-4D19-8B63-C49440F7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APG23-2 Document Template Others</Template>
  <TotalTime>2</TotalTime>
  <Pages>3</Pages>
  <Words>1136</Words>
  <Characters>6476</Characters>
  <Application>Microsoft Office Word</Application>
  <DocSecurity>0</DocSecurity>
  <Lines>53</Lines>
  <Paragraphs>15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APT</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Forhadul Parvez</cp:lastModifiedBy>
  <cp:revision>3</cp:revision>
  <cp:lastPrinted>2004-07-28T02:14:00Z</cp:lastPrinted>
  <dcterms:created xsi:type="dcterms:W3CDTF">2021-03-23T01:54:00Z</dcterms:created>
  <dcterms:modified xsi:type="dcterms:W3CDTF">2021-03-23T01:55:00Z</dcterms:modified>
</cp:coreProperties>
</file>