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25B15063" w14:textId="77777777" w:rsidTr="007E1FDD">
        <w:trPr>
          <w:cantSplit/>
          <w:trHeight w:val="288"/>
        </w:trPr>
        <w:tc>
          <w:tcPr>
            <w:tcW w:w="1399" w:type="dxa"/>
            <w:vMerge w:val="restart"/>
          </w:tcPr>
          <w:p w14:paraId="35CB4FF6" w14:textId="104C3B98"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rPr>
              <w:drawing>
                <wp:inline distT="0" distB="0" distL="0" distR="0" wp14:anchorId="464A7590" wp14:editId="318CE689">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3C757C6"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217F24BE"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398213BF" w14:textId="77777777" w:rsidTr="007E7497">
        <w:trPr>
          <w:cantSplit/>
          <w:trHeight w:val="504"/>
        </w:trPr>
        <w:tc>
          <w:tcPr>
            <w:tcW w:w="1399" w:type="dxa"/>
            <w:vMerge/>
          </w:tcPr>
          <w:p w14:paraId="1E65A4C2" w14:textId="77777777" w:rsidR="003D25E1" w:rsidRPr="00891D0B" w:rsidRDefault="003D25E1" w:rsidP="000D7C75"/>
        </w:tc>
        <w:tc>
          <w:tcPr>
            <w:tcW w:w="5760" w:type="dxa"/>
            <w:vAlign w:val="center"/>
          </w:tcPr>
          <w:p w14:paraId="3C6E6232" w14:textId="77777777" w:rsidR="003D25E1" w:rsidRPr="00891D0B" w:rsidRDefault="00C73F61" w:rsidP="001E1432">
            <w:pPr>
              <w:spacing w:before="40"/>
            </w:pPr>
            <w:r>
              <w:rPr>
                <w:b/>
              </w:rPr>
              <w:t xml:space="preserve">The </w:t>
            </w:r>
            <w:r w:rsidR="008624ED">
              <w:rPr>
                <w:b/>
              </w:rPr>
              <w:t>2nd</w:t>
            </w:r>
            <w:r w:rsidR="001E1432">
              <w:rPr>
                <w:b/>
              </w:rPr>
              <w:t xml:space="preserve">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8624ED">
              <w:rPr>
                <w:b/>
              </w:rPr>
              <w:t>2</w:t>
            </w:r>
            <w:r w:rsidR="003D25E1">
              <w:rPr>
                <w:b/>
              </w:rPr>
              <w:t>)</w:t>
            </w:r>
          </w:p>
        </w:tc>
        <w:tc>
          <w:tcPr>
            <w:tcW w:w="2160" w:type="dxa"/>
          </w:tcPr>
          <w:p w14:paraId="71B9E915" w14:textId="71A1EE74" w:rsidR="007E1FDD" w:rsidRDefault="001E1432" w:rsidP="007E7497">
            <w:pPr>
              <w:spacing w:before="40"/>
              <w:rPr>
                <w:b/>
                <w:bCs/>
                <w:lang w:val="fr-FR"/>
              </w:rPr>
            </w:pPr>
            <w:r>
              <w:rPr>
                <w:b/>
                <w:bCs/>
                <w:lang w:val="fr-FR"/>
              </w:rPr>
              <w:t>APG23-</w:t>
            </w:r>
            <w:r w:rsidR="008624ED">
              <w:rPr>
                <w:b/>
                <w:bCs/>
                <w:lang w:val="fr-FR"/>
              </w:rPr>
              <w:t>2</w:t>
            </w:r>
            <w:r w:rsidR="007E1FDD">
              <w:rPr>
                <w:b/>
                <w:bCs/>
                <w:lang w:val="fr-FR"/>
              </w:rPr>
              <w:t>/</w:t>
            </w:r>
            <w:r w:rsidR="00164353">
              <w:rPr>
                <w:b/>
                <w:bCs/>
                <w:lang w:val="fr-FR"/>
              </w:rPr>
              <w:t>IN</w:t>
            </w:r>
            <w:r w:rsidR="00EA0BBD">
              <w:rPr>
                <w:b/>
                <w:bCs/>
                <w:lang w:val="fr-FR"/>
              </w:rPr>
              <w:t>F</w:t>
            </w:r>
            <w:r w:rsidR="007E1FDD">
              <w:rPr>
                <w:b/>
                <w:bCs/>
                <w:lang w:val="fr-FR"/>
              </w:rPr>
              <w:t>-</w:t>
            </w:r>
            <w:r w:rsidR="00F633A1">
              <w:rPr>
                <w:b/>
                <w:bCs/>
                <w:lang w:val="fr-FR"/>
              </w:rPr>
              <w:t>11</w:t>
            </w:r>
          </w:p>
          <w:p w14:paraId="042FD16E" w14:textId="77777777" w:rsidR="003D25E1" w:rsidRPr="007E1FDD" w:rsidRDefault="003D25E1" w:rsidP="007E1FDD">
            <w:pPr>
              <w:rPr>
                <w:b/>
                <w:bCs/>
                <w:lang w:val="en-GB"/>
              </w:rPr>
            </w:pPr>
          </w:p>
        </w:tc>
      </w:tr>
      <w:tr w:rsidR="007E1FDD" w:rsidRPr="00891D0B" w14:paraId="321CFF55" w14:textId="77777777" w:rsidTr="007E1FDD">
        <w:trPr>
          <w:cantSplit/>
          <w:trHeight w:val="288"/>
        </w:trPr>
        <w:tc>
          <w:tcPr>
            <w:tcW w:w="1399" w:type="dxa"/>
            <w:vMerge/>
          </w:tcPr>
          <w:p w14:paraId="4E3C555C" w14:textId="77777777" w:rsidR="007E1FDD" w:rsidRPr="007E1FDD" w:rsidRDefault="007E1FDD" w:rsidP="000D7C75">
            <w:pPr>
              <w:rPr>
                <w:lang w:val="en-GB"/>
              </w:rPr>
            </w:pPr>
          </w:p>
        </w:tc>
        <w:tc>
          <w:tcPr>
            <w:tcW w:w="5760" w:type="dxa"/>
            <w:vAlign w:val="bottom"/>
          </w:tcPr>
          <w:p w14:paraId="7BA3957E" w14:textId="77777777" w:rsidR="007E1FDD" w:rsidRPr="00712451" w:rsidRDefault="008624ED" w:rsidP="00C73F61">
            <w:pPr>
              <w:spacing w:before="40"/>
              <w:rPr>
                <w:b/>
              </w:rPr>
            </w:pPr>
            <w:r>
              <w:t>19</w:t>
            </w:r>
            <w:r w:rsidR="00C73F61">
              <w:t xml:space="preserve"> – </w:t>
            </w:r>
            <w:r w:rsidR="001E1432">
              <w:t>2</w:t>
            </w:r>
            <w:r>
              <w:t>3</w:t>
            </w:r>
            <w:r w:rsidR="007E1FDD">
              <w:t xml:space="preserve"> </w:t>
            </w:r>
            <w:r>
              <w:t>April</w:t>
            </w:r>
            <w:r w:rsidR="00EC249E">
              <w:t xml:space="preserve"> </w:t>
            </w:r>
            <w:r w:rsidR="007E1FDD">
              <w:t>20</w:t>
            </w:r>
            <w:r w:rsidR="00EC249E">
              <w:t>2</w:t>
            </w:r>
            <w:r>
              <w:t>1</w:t>
            </w:r>
            <w:r w:rsidR="007E1FDD" w:rsidRPr="00891D0B">
              <w:t xml:space="preserve">, </w:t>
            </w:r>
            <w:r w:rsidR="00EC249E" w:rsidRPr="00EC249E">
              <w:rPr>
                <w:bCs/>
              </w:rPr>
              <w:t>Virtual</w:t>
            </w:r>
            <w:r>
              <w:rPr>
                <w:bCs/>
              </w:rPr>
              <w:t>/Online</w:t>
            </w:r>
            <w:r w:rsidR="00EC249E" w:rsidRPr="00EC249E">
              <w:rPr>
                <w:bCs/>
              </w:rPr>
              <w:t xml:space="preserve"> Meeting</w:t>
            </w:r>
          </w:p>
        </w:tc>
        <w:tc>
          <w:tcPr>
            <w:tcW w:w="2160" w:type="dxa"/>
            <w:vAlign w:val="bottom"/>
          </w:tcPr>
          <w:p w14:paraId="4DAAF244" w14:textId="6E0C7589" w:rsidR="007E1FDD" w:rsidRPr="007E1FDD" w:rsidRDefault="00F633A1" w:rsidP="00C73F61">
            <w:pPr>
              <w:spacing w:before="40"/>
              <w:rPr>
                <w:bCs/>
              </w:rPr>
            </w:pPr>
            <w:r>
              <w:rPr>
                <w:bCs/>
              </w:rPr>
              <w:t>23</w:t>
            </w:r>
            <w:r w:rsidR="008624ED">
              <w:rPr>
                <w:bCs/>
              </w:rPr>
              <w:t xml:space="preserve"> </w:t>
            </w:r>
            <w:r w:rsidR="00EA0BBD">
              <w:rPr>
                <w:bCs/>
              </w:rPr>
              <w:t xml:space="preserve">March </w:t>
            </w:r>
            <w:r w:rsidR="007E1FDD" w:rsidRPr="007E1FDD">
              <w:rPr>
                <w:bCs/>
              </w:rPr>
              <w:t>20</w:t>
            </w:r>
            <w:r w:rsidR="00EC249E">
              <w:rPr>
                <w:bCs/>
              </w:rPr>
              <w:t>2</w:t>
            </w:r>
            <w:r w:rsidR="008624ED">
              <w:rPr>
                <w:bCs/>
              </w:rPr>
              <w:t>1</w:t>
            </w:r>
          </w:p>
        </w:tc>
      </w:tr>
    </w:tbl>
    <w:p w14:paraId="1D7C378C" w14:textId="77777777" w:rsidR="007E7497" w:rsidRPr="00051E1E" w:rsidRDefault="007E7497" w:rsidP="00DA7595">
      <w:pPr>
        <w:rPr>
          <w:lang w:eastAsia="ko-KR"/>
        </w:rPr>
      </w:pPr>
    </w:p>
    <w:p w14:paraId="416BBD44" w14:textId="77777777" w:rsidR="00FF72BB" w:rsidRDefault="00FF72BB" w:rsidP="00DA7595">
      <w:pPr>
        <w:jc w:val="center"/>
        <w:rPr>
          <w:lang w:eastAsia="ko-KR"/>
        </w:rPr>
      </w:pPr>
    </w:p>
    <w:p w14:paraId="5D48B783" w14:textId="7DF8BB9F" w:rsidR="00DA7595" w:rsidRPr="00051E1E" w:rsidRDefault="00EA0BBD" w:rsidP="00DA7595">
      <w:pPr>
        <w:jc w:val="center"/>
        <w:rPr>
          <w:lang w:eastAsia="ko-KR"/>
        </w:rPr>
      </w:pPr>
      <w:r>
        <w:rPr>
          <w:lang w:eastAsia="ko-KR"/>
        </w:rPr>
        <w:t>Chairman, DG on AI 1.</w:t>
      </w:r>
      <w:r w:rsidR="00231555">
        <w:rPr>
          <w:lang w:eastAsia="ko-KR"/>
        </w:rPr>
        <w:t>4</w:t>
      </w:r>
    </w:p>
    <w:p w14:paraId="49B50650" w14:textId="77777777" w:rsidR="007E7497" w:rsidRPr="00B355DB" w:rsidRDefault="007E7497" w:rsidP="007E7497">
      <w:pPr>
        <w:jc w:val="center"/>
        <w:rPr>
          <w:caps/>
        </w:rPr>
      </w:pPr>
    </w:p>
    <w:p w14:paraId="40C01037" w14:textId="0F9D17A1" w:rsidR="007E7497" w:rsidRPr="00F22892" w:rsidRDefault="00EA0BBD" w:rsidP="007E7497">
      <w:pPr>
        <w:jc w:val="center"/>
        <w:rPr>
          <w:b/>
          <w:bCs/>
          <w:caps/>
        </w:rPr>
      </w:pPr>
      <w:r>
        <w:rPr>
          <w:b/>
          <w:bCs/>
          <w:caps/>
        </w:rPr>
        <w:t xml:space="preserve">brief </w:t>
      </w:r>
      <w:r w:rsidR="00EC249E">
        <w:rPr>
          <w:b/>
          <w:bCs/>
          <w:caps/>
        </w:rPr>
        <w:t>o</w:t>
      </w:r>
      <w:r>
        <w:rPr>
          <w:b/>
          <w:bCs/>
          <w:caps/>
        </w:rPr>
        <w:t>n</w:t>
      </w:r>
      <w:r w:rsidR="00EC249E">
        <w:rPr>
          <w:b/>
          <w:bCs/>
          <w:caps/>
        </w:rPr>
        <w:t xml:space="preserve"> </w:t>
      </w:r>
      <w:r>
        <w:rPr>
          <w:b/>
          <w:bCs/>
          <w:caps/>
        </w:rPr>
        <w:t>wrc-23</w:t>
      </w:r>
      <w:r w:rsidR="00EC249E">
        <w:rPr>
          <w:b/>
          <w:bCs/>
          <w:caps/>
        </w:rPr>
        <w:t xml:space="preserve"> </w:t>
      </w:r>
      <w:r>
        <w:rPr>
          <w:b/>
          <w:bCs/>
          <w:caps/>
        </w:rPr>
        <w:t xml:space="preserve">agenda item </w:t>
      </w:r>
      <w:sdt>
        <w:sdtPr>
          <w:tag w:val="goog_rdk_1"/>
          <w:id w:val="-188377698"/>
        </w:sdtPr>
        <w:sdtEndPr/>
        <w:sdtContent/>
      </w:sdt>
      <w:r>
        <w:rPr>
          <w:b/>
          <w:bCs/>
          <w:caps/>
        </w:rPr>
        <w:t>1.</w:t>
      </w:r>
      <w:r w:rsidR="00603576">
        <w:rPr>
          <w:b/>
          <w:bCs/>
          <w:caps/>
        </w:rPr>
        <w:t>4</w:t>
      </w:r>
    </w:p>
    <w:p w14:paraId="233AF010" w14:textId="77777777" w:rsidR="007E7497" w:rsidRPr="005E3896" w:rsidRDefault="007E7497" w:rsidP="007E7497">
      <w:pPr>
        <w:jc w:val="both"/>
        <w:rPr>
          <w:bCs/>
          <w:sz w:val="6"/>
        </w:rPr>
      </w:pPr>
    </w:p>
    <w:p w14:paraId="271866BD" w14:textId="77777777" w:rsidR="00D84CEE" w:rsidRPr="00D84CEE" w:rsidRDefault="00D84CEE" w:rsidP="00D84CEE">
      <w:pPr>
        <w:jc w:val="both"/>
        <w:rPr>
          <w:sz w:val="10"/>
        </w:rPr>
      </w:pPr>
    </w:p>
    <w:p w14:paraId="6E2A1ABA" w14:textId="77777777" w:rsidR="00EC249E" w:rsidRDefault="00EC249E" w:rsidP="00E5341E">
      <w:pPr>
        <w:spacing w:after="120"/>
        <w:jc w:val="both"/>
        <w:rPr>
          <w:b/>
          <w:lang w:val="en-NZ"/>
        </w:rPr>
      </w:pPr>
    </w:p>
    <w:p w14:paraId="60504901" w14:textId="177A8D24" w:rsidR="00EC249E" w:rsidRPr="00C17F93" w:rsidRDefault="00EC249E" w:rsidP="00EC249E">
      <w:pPr>
        <w:jc w:val="both"/>
      </w:pPr>
      <w:r w:rsidRPr="00C17F93">
        <w:t>(</w:t>
      </w:r>
      <w:r w:rsidR="00615999">
        <w:t xml:space="preserve">Note: </w:t>
      </w:r>
      <w:r w:rsidR="00615999" w:rsidRPr="00615999">
        <w:rPr>
          <w:i/>
          <w:iCs/>
        </w:rPr>
        <w:t>This brief was developed for information purpose only. It does not necessarily express the view of APG-23</w:t>
      </w:r>
      <w:r w:rsidRPr="00C17F93">
        <w:t>)</w:t>
      </w:r>
    </w:p>
    <w:p w14:paraId="030D99E3" w14:textId="77777777" w:rsidR="00EC249E" w:rsidRDefault="00EC249E" w:rsidP="00E5341E">
      <w:pPr>
        <w:spacing w:after="120"/>
        <w:jc w:val="both"/>
        <w:rPr>
          <w:b/>
        </w:rPr>
      </w:pPr>
    </w:p>
    <w:p w14:paraId="4E1693DC" w14:textId="0FC1610B" w:rsidR="00615999" w:rsidRPr="00441526" w:rsidRDefault="00615999" w:rsidP="00615999">
      <w:pPr>
        <w:spacing w:after="120"/>
        <w:jc w:val="both"/>
        <w:rPr>
          <w:lang w:val="en-NZ"/>
        </w:rPr>
      </w:pPr>
      <w:r w:rsidRPr="00441526">
        <w:rPr>
          <w:b/>
          <w:lang w:val="en-NZ"/>
        </w:rPr>
        <w:t>Agenda Item 1.</w:t>
      </w:r>
      <w:r w:rsidR="003B518C">
        <w:rPr>
          <w:b/>
          <w:lang w:val="en-NZ"/>
        </w:rPr>
        <w:t>4</w:t>
      </w:r>
      <w:r w:rsidRPr="00441526">
        <w:rPr>
          <w:b/>
          <w:lang w:val="en-NZ"/>
        </w:rPr>
        <w:t xml:space="preserve">: </w:t>
      </w:r>
    </w:p>
    <w:p w14:paraId="5E037D1D" w14:textId="27EB9F99" w:rsidR="00ED6650" w:rsidRDefault="00ED6650" w:rsidP="00ED6650">
      <w:pPr>
        <w:spacing w:after="120"/>
        <w:jc w:val="both"/>
        <w:rPr>
          <w:i/>
          <w:lang w:val="en-NZ"/>
        </w:rPr>
      </w:pPr>
      <w:r w:rsidRPr="00ED6650">
        <w:rPr>
          <w:i/>
          <w:lang w:val="en-NZ"/>
        </w:rPr>
        <w:t xml:space="preserve">to consider, in accordance with Resolution </w:t>
      </w:r>
      <w:r w:rsidRPr="00ED6650">
        <w:rPr>
          <w:b/>
          <w:i/>
          <w:lang w:val="en-NZ"/>
        </w:rPr>
        <w:t>247 (WRC-19)</w:t>
      </w:r>
      <w:r w:rsidRPr="00ED6650">
        <w:rPr>
          <w:i/>
          <w:lang w:val="en-NZ"/>
        </w:rPr>
        <w:t>, the use of high-altitude platform stations as IMT base stations (HIBS) in the mobile service in certain</w:t>
      </w:r>
      <w:r>
        <w:rPr>
          <w:rFonts w:eastAsia="MS Mincho" w:hint="eastAsia"/>
          <w:i/>
          <w:lang w:val="en-NZ" w:eastAsia="ja-JP"/>
        </w:rPr>
        <w:t xml:space="preserve"> </w:t>
      </w:r>
      <w:r w:rsidRPr="00ED6650">
        <w:rPr>
          <w:i/>
          <w:lang w:val="en-NZ"/>
        </w:rPr>
        <w:t xml:space="preserve">frequency bands below 2.7 GHz already identified for IMT, on a global or regional </w:t>
      </w:r>
      <w:proofErr w:type="gramStart"/>
      <w:r w:rsidRPr="00ED6650">
        <w:rPr>
          <w:i/>
          <w:lang w:val="en-NZ"/>
        </w:rPr>
        <w:t>level;</w:t>
      </w:r>
      <w:proofErr w:type="gramEnd"/>
    </w:p>
    <w:p w14:paraId="3DA40495" w14:textId="1B62B0B6" w:rsidR="0037421D" w:rsidRPr="00ED6650" w:rsidRDefault="00615999" w:rsidP="00E5341E">
      <w:pPr>
        <w:spacing w:after="120"/>
        <w:jc w:val="both"/>
        <w:rPr>
          <w:b/>
          <w:lang w:val="en-NZ"/>
        </w:rPr>
      </w:pPr>
      <w:r>
        <w:rPr>
          <w:b/>
          <w:lang w:val="en-NZ"/>
        </w:rPr>
        <w:t>Relevant Resolutions and Responsible/Contributing ITU-R Groups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6922"/>
      </w:tblGrid>
      <w:tr w:rsidR="00D06742" w:rsidRPr="00D06742" w14:paraId="4A1CA755" w14:textId="77777777" w:rsidTr="00395A72">
        <w:trPr>
          <w:jc w:val="center"/>
        </w:trPr>
        <w:tc>
          <w:tcPr>
            <w:tcW w:w="2287" w:type="dxa"/>
          </w:tcPr>
          <w:p w14:paraId="4A95E835" w14:textId="77777777" w:rsidR="00D06C9B" w:rsidRPr="00D06C9B" w:rsidRDefault="00D06C9B" w:rsidP="00D06C9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b/>
                <w:sz w:val="20"/>
                <w:szCs w:val="20"/>
                <w:lang w:eastAsia="nl-NL"/>
              </w:rPr>
            </w:pPr>
            <w:r w:rsidRPr="00D06C9B">
              <w:rPr>
                <w:rFonts w:eastAsia="Batang"/>
                <w:sz w:val="20"/>
                <w:szCs w:val="20"/>
                <w:lang w:eastAsia="nl-NL"/>
              </w:rPr>
              <w:t xml:space="preserve">Resolution </w:t>
            </w:r>
            <w:r w:rsidRPr="00D06C9B">
              <w:rPr>
                <w:rFonts w:eastAsia="Batang"/>
                <w:b/>
                <w:sz w:val="20"/>
                <w:szCs w:val="20"/>
                <w:lang w:eastAsia="nl-NL"/>
              </w:rPr>
              <w:t>247 (WRC 19)</w:t>
            </w:r>
          </w:p>
          <w:p w14:paraId="17BFA2B7" w14:textId="73FA0CB9" w:rsidR="00615999" w:rsidRPr="00D06742" w:rsidRDefault="00D06C9B" w:rsidP="00D06C9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color w:val="FF0000"/>
                <w:lang w:eastAsia="nl-NL"/>
              </w:rPr>
            </w:pPr>
            <w:r w:rsidRPr="00D06C9B">
              <w:rPr>
                <w:rFonts w:eastAsia="Batang"/>
                <w:sz w:val="20"/>
                <w:szCs w:val="20"/>
                <w:lang w:eastAsia="nl-NL"/>
              </w:rPr>
              <w:t>Facilitating mobile connectivity in certain frequency bands below 2.7 GHz using high-altitude platform stations as International Mobile Telecommunications base stations</w:t>
            </w:r>
          </w:p>
        </w:tc>
        <w:tc>
          <w:tcPr>
            <w:tcW w:w="6922" w:type="dxa"/>
          </w:tcPr>
          <w:p w14:paraId="55ADDAA5" w14:textId="77777777" w:rsidR="00D06C9B" w:rsidRPr="00D06C9B" w:rsidRDefault="00D06C9B" w:rsidP="00D06C9B">
            <w:pPr>
              <w:pStyle w:val="StyleCall10pt"/>
              <w:rPr>
                <w:rFonts w:ascii="Times New Roman" w:hAnsi="Times New Roman" w:cs="Times New Roman"/>
              </w:rPr>
            </w:pPr>
            <w:r w:rsidRPr="00D06C9B">
              <w:rPr>
                <w:rFonts w:ascii="Times New Roman" w:hAnsi="Times New Roman" w:cs="Times New Roman"/>
              </w:rPr>
              <w:t>resolves to invite ITU-</w:t>
            </w:r>
            <w:proofErr w:type="gramStart"/>
            <w:r w:rsidRPr="00D06C9B">
              <w:rPr>
                <w:rFonts w:ascii="Times New Roman" w:hAnsi="Times New Roman" w:cs="Times New Roman"/>
              </w:rPr>
              <w:t>R</w:t>
            </w:r>
            <w:proofErr w:type="gramEnd"/>
          </w:p>
          <w:p w14:paraId="09A9BD9E" w14:textId="77777777" w:rsidR="00D06C9B" w:rsidRPr="00D06C9B" w:rsidRDefault="00D06C9B" w:rsidP="00D06C9B">
            <w:pPr>
              <w:pStyle w:val="Tabletext"/>
              <w:jc w:val="both"/>
              <w:rPr>
                <w:rFonts w:ascii="Times New Roman" w:eastAsia="Yu Mincho" w:hAnsi="Times New Roman" w:cs="Times New Roman"/>
              </w:rPr>
            </w:pPr>
            <w:r w:rsidRPr="00D06C9B">
              <w:rPr>
                <w:rFonts w:ascii="Times New Roman" w:eastAsia="Yu Mincho" w:hAnsi="Times New Roman" w:cs="Times New Roman"/>
              </w:rPr>
              <w:t>1</w:t>
            </w:r>
            <w:r w:rsidRPr="00D06C9B">
              <w:rPr>
                <w:rFonts w:ascii="Times New Roman" w:eastAsia="Yu Mincho" w:hAnsi="Times New Roman" w:cs="Times New Roman"/>
              </w:rPr>
              <w:tab/>
              <w:t xml:space="preserve">to study spectrum needs, as appropriate, for high-altitude platform stations as IMT base stations to provide mobile connectivity in the mobile service </w:t>
            </w:r>
            <w:proofErr w:type="gramStart"/>
            <w:r w:rsidRPr="00D06C9B">
              <w:rPr>
                <w:rFonts w:ascii="Times New Roman" w:eastAsia="Yu Mincho" w:hAnsi="Times New Roman" w:cs="Times New Roman"/>
              </w:rPr>
              <w:t>taking into account</w:t>
            </w:r>
            <w:proofErr w:type="gramEnd"/>
            <w:r w:rsidRPr="00D06C9B">
              <w:rPr>
                <w:rFonts w:ascii="Times New Roman" w:eastAsia="Yu Mincho" w:hAnsi="Times New Roman" w:cs="Times New Roman"/>
              </w:rPr>
              <w:t>:</w:t>
            </w:r>
          </w:p>
          <w:p w14:paraId="4FDC096D" w14:textId="77777777" w:rsidR="00D06C9B" w:rsidRPr="00D06C9B" w:rsidRDefault="00D06C9B" w:rsidP="00D06C9B">
            <w:pPr>
              <w:pStyle w:val="Tabletext"/>
              <w:jc w:val="both"/>
              <w:rPr>
                <w:rFonts w:ascii="Times New Roman" w:eastAsia="BatangChe" w:hAnsi="Times New Roman" w:cs="Times New Roman"/>
              </w:rPr>
            </w:pPr>
            <w:r w:rsidRPr="00D06C9B">
              <w:rPr>
                <w:rFonts w:ascii="Times New Roman" w:eastAsia="BatangChe" w:hAnsi="Times New Roman" w:cs="Times New Roman"/>
              </w:rPr>
              <w:t>–</w:t>
            </w:r>
            <w:r w:rsidRPr="00D06C9B">
              <w:rPr>
                <w:rFonts w:ascii="Times New Roman" w:eastAsia="BatangChe" w:hAnsi="Times New Roman" w:cs="Times New Roman"/>
              </w:rPr>
              <w:tab/>
              <w:t xml:space="preserve">the existing identification in </w:t>
            </w:r>
            <w:r w:rsidRPr="00D06C9B">
              <w:rPr>
                <w:rFonts w:ascii="Times New Roman" w:eastAsia="BatangChe" w:hAnsi="Times New Roman" w:cs="Times New Roman"/>
                <w:i/>
                <w:iCs/>
              </w:rPr>
              <w:t>recognizing b</w:t>
            </w:r>
            <w:proofErr w:type="gramStart"/>
            <w:r w:rsidRPr="00D06C9B">
              <w:rPr>
                <w:rFonts w:ascii="Times New Roman" w:eastAsia="BatangChe" w:hAnsi="Times New Roman" w:cs="Times New Roman"/>
                <w:i/>
                <w:iCs/>
              </w:rPr>
              <w:t>)</w:t>
            </w:r>
            <w:r w:rsidRPr="00D06C9B">
              <w:rPr>
                <w:rFonts w:ascii="Times New Roman" w:eastAsia="BatangChe" w:hAnsi="Times New Roman" w:cs="Times New Roman"/>
              </w:rPr>
              <w:t>;</w:t>
            </w:r>
            <w:proofErr w:type="gramEnd"/>
          </w:p>
          <w:p w14:paraId="476268D3" w14:textId="77777777" w:rsidR="00D06C9B" w:rsidRPr="00D06C9B" w:rsidRDefault="00D06C9B" w:rsidP="00D06C9B">
            <w:pPr>
              <w:pStyle w:val="Tabletext"/>
              <w:jc w:val="both"/>
              <w:rPr>
                <w:rFonts w:ascii="Times New Roman" w:eastAsia="BatangChe" w:hAnsi="Times New Roman" w:cs="Times New Roman"/>
              </w:rPr>
            </w:pPr>
            <w:r w:rsidRPr="00D06C9B">
              <w:rPr>
                <w:rFonts w:ascii="Times New Roman" w:eastAsia="BatangChe" w:hAnsi="Times New Roman" w:cs="Times New Roman"/>
              </w:rPr>
              <w:t>–</w:t>
            </w:r>
            <w:r w:rsidRPr="00D06C9B">
              <w:rPr>
                <w:rFonts w:ascii="Times New Roman" w:eastAsia="BatangChe" w:hAnsi="Times New Roman" w:cs="Times New Roman"/>
              </w:rPr>
              <w:tab/>
              <w:t xml:space="preserve">the usage and deployment scenario envisioned for high-altitude platform stations as IMT base stations as </w:t>
            </w:r>
            <w:r w:rsidRPr="00D06C9B">
              <w:rPr>
                <w:rFonts w:ascii="Times New Roman" w:hAnsi="Times New Roman" w:cs="Times New Roman"/>
              </w:rPr>
              <w:t xml:space="preserve">complementary for terrestrial IMT </w:t>
            </w:r>
            <w:proofErr w:type="gramStart"/>
            <w:r w:rsidRPr="00D06C9B">
              <w:rPr>
                <w:rFonts w:ascii="Times New Roman" w:hAnsi="Times New Roman" w:cs="Times New Roman"/>
              </w:rPr>
              <w:t>networks</w:t>
            </w:r>
            <w:r w:rsidRPr="00D06C9B">
              <w:rPr>
                <w:rFonts w:ascii="Times New Roman" w:eastAsia="BatangChe" w:hAnsi="Times New Roman" w:cs="Times New Roman"/>
              </w:rPr>
              <w:t>;</w:t>
            </w:r>
            <w:proofErr w:type="gramEnd"/>
          </w:p>
          <w:p w14:paraId="255C3268" w14:textId="77777777" w:rsidR="00D06C9B" w:rsidRPr="00D06C9B" w:rsidRDefault="00D06C9B" w:rsidP="00D06C9B">
            <w:pPr>
              <w:pStyle w:val="Tabletext"/>
              <w:jc w:val="both"/>
              <w:rPr>
                <w:rFonts w:ascii="Times New Roman" w:hAnsi="Times New Roman" w:cs="Times New Roman"/>
              </w:rPr>
            </w:pPr>
            <w:r w:rsidRPr="00D06C9B">
              <w:rPr>
                <w:rFonts w:ascii="Times New Roman" w:eastAsia="BatangChe" w:hAnsi="Times New Roman" w:cs="Times New Roman"/>
              </w:rPr>
              <w:t>–</w:t>
            </w:r>
            <w:r w:rsidRPr="00D06C9B">
              <w:rPr>
                <w:rFonts w:ascii="Times New Roman" w:eastAsia="BatangChe" w:hAnsi="Times New Roman" w:cs="Times New Roman"/>
              </w:rPr>
              <w:tab/>
              <w:t xml:space="preserve">the technical and operational characteristics and requirements of high-altitude platform stations as IMT base </w:t>
            </w:r>
            <w:proofErr w:type="gramStart"/>
            <w:r w:rsidRPr="00D06C9B">
              <w:rPr>
                <w:rFonts w:ascii="Times New Roman" w:eastAsia="BatangChe" w:hAnsi="Times New Roman" w:cs="Times New Roman"/>
              </w:rPr>
              <w:t>stations;</w:t>
            </w:r>
            <w:proofErr w:type="gramEnd"/>
          </w:p>
          <w:p w14:paraId="5D068BC2" w14:textId="77777777" w:rsidR="00D06C9B" w:rsidRPr="00D06C9B" w:rsidRDefault="00D06C9B" w:rsidP="00D06C9B">
            <w:pPr>
              <w:pStyle w:val="Tabletext"/>
              <w:jc w:val="both"/>
              <w:rPr>
                <w:rFonts w:ascii="Times New Roman" w:hAnsi="Times New Roman" w:cs="Times New Roman"/>
              </w:rPr>
            </w:pPr>
            <w:r w:rsidRPr="00D06C9B">
              <w:rPr>
                <w:rFonts w:ascii="Times New Roman" w:eastAsia="BatangChe" w:hAnsi="Times New Roman" w:cs="Times New Roman"/>
              </w:rPr>
              <w:t>2</w:t>
            </w:r>
            <w:r w:rsidRPr="00D06C9B">
              <w:rPr>
                <w:rFonts w:ascii="Times New Roman" w:hAnsi="Times New Roman" w:cs="Times New Roman"/>
              </w:rPr>
              <w:tab/>
              <w:t>to conduct and complete in time for WRC</w:t>
            </w:r>
            <w:r w:rsidRPr="00D06C9B">
              <w:rPr>
                <w:rFonts w:ascii="Times New Roman" w:hAnsi="Times New Roman" w:cs="Times New Roman"/>
              </w:rPr>
              <w:noBreakHyphen/>
              <w:t>23, taking into account the results of studies already performed and those in progress within ITU</w:t>
            </w:r>
            <w:r w:rsidRPr="00D06C9B">
              <w:rPr>
                <w:rFonts w:ascii="Times New Roman" w:hAnsi="Times New Roman" w:cs="Times New Roman"/>
              </w:rPr>
              <w:noBreakHyphen/>
              <w:t xml:space="preserve">R, sharing and compatibility studies to ensure the protection of services, without imposing any additional technical or regulatory constraints in their deployment, to which the frequency band is allocated on a primary basis, including other IMT uses, </w:t>
            </w:r>
            <w:r w:rsidRPr="00D06C9B">
              <w:rPr>
                <w:rFonts w:ascii="Times New Roman" w:eastAsia="BatangChe" w:hAnsi="Times New Roman" w:cs="Times New Roman"/>
              </w:rPr>
              <w:t>existing systems and the planned development of primary allocated services,</w:t>
            </w:r>
            <w:r w:rsidRPr="00D06C9B" w:rsidDel="009309D7">
              <w:rPr>
                <w:rFonts w:ascii="Times New Roman" w:eastAsia="BatangChe" w:hAnsi="Times New Roman" w:cs="Times New Roman"/>
              </w:rPr>
              <w:t xml:space="preserve"> </w:t>
            </w:r>
            <w:r w:rsidRPr="00D06C9B">
              <w:rPr>
                <w:rFonts w:ascii="Times New Roman" w:hAnsi="Times New Roman" w:cs="Times New Roman"/>
              </w:rPr>
              <w:t>and adjacent services, as appropriate, for certain frequency bands below 2.7 GHz, or portions thereof, globally or regionally harmonized for IMT, i.e.:</w:t>
            </w:r>
          </w:p>
          <w:p w14:paraId="5F2C725B" w14:textId="77777777" w:rsidR="00D06C9B" w:rsidRPr="00D06C9B" w:rsidRDefault="00D06C9B" w:rsidP="00D06C9B">
            <w:pPr>
              <w:pStyle w:val="Tabletext"/>
              <w:jc w:val="both"/>
              <w:rPr>
                <w:rFonts w:ascii="Times New Roman" w:hAnsi="Times New Roman" w:cs="Times New Roman"/>
              </w:rPr>
            </w:pPr>
            <w:r w:rsidRPr="00D06C9B">
              <w:rPr>
                <w:rFonts w:ascii="Times New Roman" w:hAnsi="Times New Roman" w:cs="Times New Roman"/>
              </w:rPr>
              <w:t>–</w:t>
            </w:r>
            <w:r w:rsidRPr="00D06C9B">
              <w:rPr>
                <w:rFonts w:ascii="Times New Roman" w:hAnsi="Times New Roman" w:cs="Times New Roman"/>
              </w:rPr>
              <w:tab/>
              <w:t xml:space="preserve">694-960 </w:t>
            </w:r>
            <w:proofErr w:type="gramStart"/>
            <w:r w:rsidRPr="00D06C9B">
              <w:rPr>
                <w:rFonts w:ascii="Times New Roman" w:hAnsi="Times New Roman" w:cs="Times New Roman"/>
              </w:rPr>
              <w:t>MHz;</w:t>
            </w:r>
            <w:proofErr w:type="gramEnd"/>
          </w:p>
          <w:p w14:paraId="472C07F1" w14:textId="77777777" w:rsidR="00D06C9B" w:rsidRPr="00D06C9B" w:rsidRDefault="00D06C9B" w:rsidP="00D06C9B">
            <w:pPr>
              <w:pStyle w:val="Tabletext"/>
              <w:rPr>
                <w:rFonts w:ascii="Times New Roman" w:eastAsia="BatangChe" w:hAnsi="Times New Roman" w:cs="Times New Roman"/>
              </w:rPr>
            </w:pPr>
            <w:r w:rsidRPr="00D06C9B">
              <w:rPr>
                <w:rFonts w:ascii="Times New Roman" w:hAnsi="Times New Roman" w:cs="Times New Roman"/>
              </w:rPr>
              <w:t>–</w:t>
            </w:r>
            <w:r w:rsidRPr="00D06C9B">
              <w:rPr>
                <w:rFonts w:ascii="Times New Roman" w:hAnsi="Times New Roman" w:cs="Times New Roman"/>
              </w:rPr>
              <w:tab/>
              <w:t>1 710-1 885 MHz (1 710-1 815 MHz to be used for uplink only in Region 3</w:t>
            </w:r>
            <w:proofErr w:type="gramStart"/>
            <w:r w:rsidRPr="00D06C9B">
              <w:rPr>
                <w:rFonts w:ascii="Times New Roman" w:hAnsi="Times New Roman" w:cs="Times New Roman"/>
              </w:rPr>
              <w:t>);</w:t>
            </w:r>
            <w:proofErr w:type="gramEnd"/>
          </w:p>
          <w:p w14:paraId="7F397E31" w14:textId="77777777" w:rsidR="00D06C9B" w:rsidRPr="00D06C9B" w:rsidRDefault="00D06C9B" w:rsidP="00D06C9B">
            <w:pPr>
              <w:pStyle w:val="Tabletext"/>
              <w:jc w:val="both"/>
              <w:rPr>
                <w:rFonts w:ascii="Times New Roman" w:hAnsi="Times New Roman" w:cs="Times New Roman"/>
              </w:rPr>
            </w:pPr>
            <w:r w:rsidRPr="00D06C9B">
              <w:rPr>
                <w:rFonts w:ascii="Times New Roman" w:hAnsi="Times New Roman" w:cs="Times New Roman"/>
              </w:rPr>
              <w:t>–</w:t>
            </w:r>
            <w:r w:rsidRPr="00D06C9B">
              <w:rPr>
                <w:rFonts w:ascii="Times New Roman" w:hAnsi="Times New Roman" w:cs="Times New Roman"/>
              </w:rPr>
              <w:tab/>
              <w:t>2 500-2 690 MHz (2 500-2 535 MHz to be used for uplink only in Region 3, except 2 655-2 690 MHz in Region 3</w:t>
            </w:r>
            <w:proofErr w:type="gramStart"/>
            <w:r w:rsidRPr="00D06C9B">
              <w:rPr>
                <w:rFonts w:ascii="Times New Roman" w:hAnsi="Times New Roman" w:cs="Times New Roman"/>
              </w:rPr>
              <w:t>);</w:t>
            </w:r>
            <w:proofErr w:type="gramEnd"/>
          </w:p>
          <w:p w14:paraId="5BAB0F3E" w14:textId="77777777" w:rsidR="00D06C9B" w:rsidRPr="00D06C9B" w:rsidRDefault="00D06C9B" w:rsidP="00D06C9B">
            <w:pPr>
              <w:pStyle w:val="Tabletext"/>
              <w:jc w:val="both"/>
              <w:rPr>
                <w:rFonts w:ascii="Times New Roman" w:eastAsia="BatangChe" w:hAnsi="Times New Roman" w:cs="Times New Roman"/>
              </w:rPr>
            </w:pPr>
            <w:r w:rsidRPr="00D06C9B">
              <w:rPr>
                <w:rFonts w:ascii="Times New Roman" w:eastAsia="BatangChe" w:hAnsi="Times New Roman" w:cs="Times New Roman"/>
              </w:rPr>
              <w:t>3</w:t>
            </w:r>
            <w:r w:rsidRPr="00D06C9B">
              <w:rPr>
                <w:rFonts w:ascii="Times New Roman" w:eastAsia="BatangChe" w:hAnsi="Times New Roman" w:cs="Times New Roman"/>
              </w:rPr>
              <w:tab/>
              <w:t xml:space="preserve">to study appropriate modifications to the existing footnote and associated resolution in the identification in </w:t>
            </w:r>
            <w:r w:rsidRPr="00D06C9B">
              <w:rPr>
                <w:rFonts w:ascii="Times New Roman" w:eastAsia="BatangChe" w:hAnsi="Times New Roman" w:cs="Times New Roman"/>
                <w:i/>
                <w:iCs/>
              </w:rPr>
              <w:t>recognizing b)</w:t>
            </w:r>
            <w:r w:rsidRPr="00D06C9B">
              <w:rPr>
                <w:rFonts w:ascii="Times New Roman" w:eastAsia="BatangChe" w:hAnsi="Times New Roman" w:cs="Times New Roman"/>
              </w:rPr>
              <w:t xml:space="preserve"> in order to facilitate the use of high-altitude platform stations as IMT base stations with the latest radio interface technologies of </w:t>
            </w:r>
            <w:proofErr w:type="gramStart"/>
            <w:r w:rsidRPr="00D06C9B">
              <w:rPr>
                <w:rFonts w:ascii="Times New Roman" w:eastAsia="BatangChe" w:hAnsi="Times New Roman" w:cs="Times New Roman"/>
              </w:rPr>
              <w:t>IMT;</w:t>
            </w:r>
            <w:proofErr w:type="gramEnd"/>
          </w:p>
          <w:p w14:paraId="4C7497A9" w14:textId="77777777" w:rsidR="00D06C9B" w:rsidRPr="00D06C9B" w:rsidRDefault="00D06C9B" w:rsidP="00D06C9B">
            <w:pPr>
              <w:pStyle w:val="Tabletext"/>
              <w:jc w:val="both"/>
              <w:rPr>
                <w:rFonts w:ascii="Times New Roman" w:eastAsia="BatangChe" w:hAnsi="Times New Roman" w:cs="Times New Roman"/>
              </w:rPr>
            </w:pPr>
            <w:r w:rsidRPr="00D06C9B">
              <w:rPr>
                <w:rFonts w:ascii="Times New Roman" w:eastAsia="BatangChe" w:hAnsi="Times New Roman" w:cs="Times New Roman"/>
              </w:rPr>
              <w:br w:type="page"/>
              <w:t>4</w:t>
            </w:r>
            <w:r w:rsidRPr="00D06C9B">
              <w:rPr>
                <w:rFonts w:ascii="Times New Roman" w:eastAsia="BatangChe" w:hAnsi="Times New Roman" w:cs="Times New Roman"/>
              </w:rPr>
              <w:tab/>
              <w:t xml:space="preserve">to study the definition of high-altitude platform stations as IMT base stations (HIBS) including possible modifications to the provisions of the Radio Regulations, as </w:t>
            </w:r>
            <w:proofErr w:type="gramStart"/>
            <w:r w:rsidRPr="00D06C9B">
              <w:rPr>
                <w:rFonts w:ascii="Times New Roman" w:eastAsia="BatangChe" w:hAnsi="Times New Roman" w:cs="Times New Roman"/>
              </w:rPr>
              <w:t>appropriate;</w:t>
            </w:r>
            <w:proofErr w:type="gramEnd"/>
          </w:p>
          <w:p w14:paraId="2FEB1BF1" w14:textId="77777777" w:rsidR="00D06C9B" w:rsidRPr="00D06C9B" w:rsidRDefault="00D06C9B" w:rsidP="00D06C9B">
            <w:pPr>
              <w:pStyle w:val="Tabletext"/>
              <w:jc w:val="both"/>
              <w:rPr>
                <w:rFonts w:ascii="Times New Roman" w:eastAsia="BatangChe" w:hAnsi="Times New Roman" w:cs="Times New Roman"/>
              </w:rPr>
            </w:pPr>
            <w:r w:rsidRPr="00D06C9B">
              <w:rPr>
                <w:rFonts w:ascii="Times New Roman" w:eastAsia="BatangChe" w:hAnsi="Times New Roman" w:cs="Times New Roman"/>
              </w:rPr>
              <w:t>5</w:t>
            </w:r>
            <w:r w:rsidRPr="00D06C9B">
              <w:rPr>
                <w:rFonts w:ascii="Times New Roman" w:eastAsia="BatangChe" w:hAnsi="Times New Roman" w:cs="Times New Roman"/>
              </w:rPr>
              <w:tab/>
              <w:t>to develop ITU</w:t>
            </w:r>
            <w:r w:rsidRPr="00D06C9B">
              <w:rPr>
                <w:rFonts w:ascii="Times New Roman" w:eastAsia="BatangChe" w:hAnsi="Times New Roman" w:cs="Times New Roman"/>
              </w:rPr>
              <w:noBreakHyphen/>
              <w:t xml:space="preserve">R Recommendations and Reports, as appropriate, </w:t>
            </w:r>
            <w:proofErr w:type="gramStart"/>
            <w:r w:rsidRPr="00D06C9B">
              <w:rPr>
                <w:rFonts w:ascii="Times New Roman" w:eastAsia="BatangChe" w:hAnsi="Times New Roman" w:cs="Times New Roman"/>
              </w:rPr>
              <w:t>taking into account</w:t>
            </w:r>
            <w:proofErr w:type="gramEnd"/>
            <w:r w:rsidRPr="00D06C9B">
              <w:rPr>
                <w:rFonts w:ascii="Times New Roman" w:eastAsia="BatangChe" w:hAnsi="Times New Roman" w:cs="Times New Roman"/>
              </w:rPr>
              <w:t xml:space="preserve"> </w:t>
            </w:r>
            <w:r w:rsidRPr="00D06C9B">
              <w:rPr>
                <w:rFonts w:ascii="Times New Roman" w:eastAsia="BatangChe" w:hAnsi="Times New Roman" w:cs="Times New Roman"/>
                <w:i/>
              </w:rPr>
              <w:t>resolves to invite ITU-R</w:t>
            </w:r>
            <w:r w:rsidRPr="00D06C9B">
              <w:rPr>
                <w:rFonts w:ascii="Times New Roman" w:eastAsia="BatangChe" w:hAnsi="Times New Roman" w:cs="Times New Roman"/>
              </w:rPr>
              <w:t> 1, 2, 3, and 4 above,</w:t>
            </w:r>
          </w:p>
          <w:p w14:paraId="699BB574" w14:textId="77777777" w:rsidR="00D06C9B" w:rsidRPr="00D06C9B" w:rsidRDefault="00D06C9B" w:rsidP="00D06C9B">
            <w:pPr>
              <w:pStyle w:val="StyleCall10pt"/>
              <w:jc w:val="both"/>
              <w:rPr>
                <w:rFonts w:ascii="Times New Roman" w:hAnsi="Times New Roman" w:cs="Times New Roman"/>
              </w:rPr>
            </w:pPr>
            <w:r w:rsidRPr="00D06C9B">
              <w:rPr>
                <w:rFonts w:ascii="Times New Roman" w:hAnsi="Times New Roman" w:cs="Times New Roman"/>
              </w:rPr>
              <w:lastRenderedPageBreak/>
              <w:t>further resolves to invite WRC-</w:t>
            </w:r>
            <w:proofErr w:type="gramStart"/>
            <w:r w:rsidRPr="00D06C9B">
              <w:rPr>
                <w:rFonts w:ascii="Times New Roman" w:hAnsi="Times New Roman" w:cs="Times New Roman"/>
              </w:rPr>
              <w:t>23</w:t>
            </w:r>
            <w:proofErr w:type="gramEnd"/>
          </w:p>
          <w:p w14:paraId="158D193B" w14:textId="77777777" w:rsidR="00D06C9B" w:rsidRPr="00D06C9B" w:rsidRDefault="00D06C9B" w:rsidP="00D06C9B">
            <w:pPr>
              <w:pStyle w:val="Tabletext"/>
              <w:jc w:val="both"/>
              <w:rPr>
                <w:rFonts w:ascii="Times New Roman" w:hAnsi="Times New Roman" w:cs="Times New Roman"/>
              </w:rPr>
            </w:pPr>
            <w:r w:rsidRPr="00D06C9B">
              <w:rPr>
                <w:rFonts w:ascii="Times New Roman" w:hAnsi="Times New Roman" w:cs="Times New Roman"/>
              </w:rPr>
              <w:t xml:space="preserve">to consider, based on the results of the above studies, the use of high altitude platform stations as IMT base stations in certain frequency bands below 2.7 GHz already identified for IMT, on a global or regional level, and take necessary regulatory actions, as appropriate, taking into account that changes to the footnotes in the </w:t>
            </w:r>
            <w:r w:rsidRPr="00D06C9B">
              <w:rPr>
                <w:rFonts w:ascii="Times New Roman" w:hAnsi="Times New Roman" w:cs="Times New Roman"/>
                <w:i/>
              </w:rPr>
              <w:t>recognizing d)</w:t>
            </w:r>
            <w:r w:rsidRPr="00D06C9B">
              <w:rPr>
                <w:rFonts w:ascii="Times New Roman" w:hAnsi="Times New Roman" w:cs="Times New Roman"/>
              </w:rPr>
              <w:t xml:space="preserve"> are outside the scope and there should be no additional regulatory or technical constraints imposed on the deployment of ground-based IMT systems in the frequency bands referred to in those footnotes,</w:t>
            </w:r>
          </w:p>
          <w:p w14:paraId="610DAA19" w14:textId="77777777" w:rsidR="00D06C9B" w:rsidRPr="00D06C9B" w:rsidRDefault="00D06C9B" w:rsidP="00D06C9B">
            <w:pPr>
              <w:pStyle w:val="StyleCall10pt"/>
              <w:jc w:val="both"/>
              <w:rPr>
                <w:rFonts w:ascii="Times New Roman" w:hAnsi="Times New Roman" w:cs="Times New Roman"/>
              </w:rPr>
            </w:pPr>
            <w:r w:rsidRPr="00D06C9B">
              <w:rPr>
                <w:rFonts w:ascii="Times New Roman" w:hAnsi="Times New Roman" w:cs="Times New Roman"/>
              </w:rPr>
              <w:t xml:space="preserve">invites </w:t>
            </w:r>
            <w:proofErr w:type="gramStart"/>
            <w:r w:rsidRPr="00D06C9B">
              <w:rPr>
                <w:rFonts w:ascii="Times New Roman" w:hAnsi="Times New Roman" w:cs="Times New Roman"/>
              </w:rPr>
              <w:t>administrations</w:t>
            </w:r>
            <w:proofErr w:type="gramEnd"/>
          </w:p>
          <w:p w14:paraId="065ECB11" w14:textId="26DD051B" w:rsidR="00D06C9B" w:rsidRPr="00D06C9B" w:rsidRDefault="00D06C9B" w:rsidP="00D06C9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color w:val="FF0000"/>
                <w:sz w:val="20"/>
                <w:szCs w:val="20"/>
                <w:lang w:eastAsia="nl-NL"/>
              </w:rPr>
            </w:pPr>
            <w:r w:rsidRPr="00D06C9B">
              <w:rPr>
                <w:rFonts w:eastAsia="MS Mincho"/>
                <w:sz w:val="20"/>
                <w:szCs w:val="20"/>
              </w:rPr>
              <w:t>to participate actively in these studies by submitting contributions to ITU</w:t>
            </w:r>
            <w:r w:rsidRPr="00D06C9B">
              <w:rPr>
                <w:rFonts w:eastAsia="MS Mincho"/>
                <w:sz w:val="20"/>
                <w:szCs w:val="20"/>
              </w:rPr>
              <w:noBreakHyphen/>
              <w:t>R.</w:t>
            </w:r>
          </w:p>
          <w:p w14:paraId="23E60363" w14:textId="09D560F3" w:rsidR="00615999" w:rsidRPr="00D06742" w:rsidRDefault="00615999" w:rsidP="00395A7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color w:val="FF0000"/>
                <w:lang w:eastAsia="nl-NL"/>
              </w:rPr>
            </w:pPr>
          </w:p>
        </w:tc>
      </w:tr>
    </w:tbl>
    <w:p w14:paraId="5850A44A" w14:textId="7DE88827" w:rsidR="0037421D" w:rsidRDefault="0037421D" w:rsidP="00E5341E">
      <w:pPr>
        <w:spacing w:after="120"/>
        <w:jc w:val="both"/>
        <w:rPr>
          <w:b/>
        </w:rPr>
      </w:pPr>
    </w:p>
    <w:tbl>
      <w:tblPr>
        <w:tblStyle w:val="TableGrid"/>
        <w:tblW w:w="0" w:type="auto"/>
        <w:tblInd w:w="-5" w:type="dxa"/>
        <w:tblLook w:val="04A0" w:firstRow="1" w:lastRow="0" w:firstColumn="1" w:lastColumn="0" w:noHBand="0" w:noVBand="1"/>
      </w:tblPr>
      <w:tblGrid>
        <w:gridCol w:w="2977"/>
        <w:gridCol w:w="6044"/>
      </w:tblGrid>
      <w:tr w:rsidR="00D06742" w:rsidRPr="00D06742" w14:paraId="201407FC" w14:textId="77777777" w:rsidTr="0044220E">
        <w:tc>
          <w:tcPr>
            <w:tcW w:w="2977" w:type="dxa"/>
          </w:tcPr>
          <w:p w14:paraId="49F372C5" w14:textId="77777777" w:rsidR="00615999" w:rsidRPr="00D06C9B" w:rsidRDefault="00615999" w:rsidP="00F41A07">
            <w:pPr>
              <w:jc w:val="center"/>
            </w:pPr>
            <w:r w:rsidRPr="00D06C9B">
              <w:rPr>
                <w:rFonts w:eastAsia="Batang"/>
                <w:b/>
              </w:rPr>
              <w:t>Responsible group</w:t>
            </w:r>
          </w:p>
        </w:tc>
        <w:tc>
          <w:tcPr>
            <w:tcW w:w="6044" w:type="dxa"/>
          </w:tcPr>
          <w:p w14:paraId="1B86DE8A" w14:textId="654264A2" w:rsidR="00615999" w:rsidRPr="00D06C9B" w:rsidRDefault="00615999" w:rsidP="00F41A07">
            <w:pPr>
              <w:jc w:val="center"/>
            </w:pPr>
            <w:r w:rsidRPr="00D06C9B">
              <w:rPr>
                <w:rFonts w:eastAsia="Batang"/>
                <w:b/>
              </w:rPr>
              <w:t>Contributing group</w:t>
            </w:r>
          </w:p>
        </w:tc>
      </w:tr>
      <w:tr w:rsidR="00D06742" w:rsidRPr="00D06742" w14:paraId="62627DE7" w14:textId="77777777" w:rsidTr="0044220E">
        <w:tc>
          <w:tcPr>
            <w:tcW w:w="2977" w:type="dxa"/>
          </w:tcPr>
          <w:p w14:paraId="2FF0C3D0" w14:textId="4A72D2DC" w:rsidR="00615999" w:rsidRPr="003865EF" w:rsidRDefault="0061599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pPr>
            <w:r w:rsidRPr="00F41A07">
              <w:rPr>
                <w:rFonts w:eastAsia="Batang"/>
                <w:lang w:eastAsia="nl-NL"/>
              </w:rPr>
              <w:t>WP 5D</w:t>
            </w:r>
          </w:p>
        </w:tc>
        <w:tc>
          <w:tcPr>
            <w:tcW w:w="6044" w:type="dxa"/>
          </w:tcPr>
          <w:p w14:paraId="4294D2A9" w14:textId="64729828" w:rsidR="00615999" w:rsidRPr="003865EF" w:rsidRDefault="00ED66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pPr>
            <w:r w:rsidRPr="00F41A07">
              <w:rPr>
                <w:rFonts w:eastAsia="Batang"/>
                <w:lang w:eastAsia="nl-NL"/>
              </w:rPr>
              <w:t>WP 3K, WP 3M, WP 4A, WP 4C, WP 5A, WP 5B, WP 5C, WP 6A, WP 7B, WP 7C, WP 7D</w:t>
            </w:r>
          </w:p>
        </w:tc>
      </w:tr>
    </w:tbl>
    <w:p w14:paraId="5CBC4012" w14:textId="77777777" w:rsidR="00615999" w:rsidRDefault="00615999" w:rsidP="00E5341E">
      <w:pPr>
        <w:spacing w:after="120"/>
        <w:jc w:val="both"/>
        <w:rPr>
          <w:b/>
        </w:rPr>
      </w:pPr>
    </w:p>
    <w:p w14:paraId="556060EE" w14:textId="5AC2718D" w:rsidR="00D06742" w:rsidRPr="00441526" w:rsidRDefault="00D06742" w:rsidP="00D06742">
      <w:pPr>
        <w:spacing w:after="120"/>
        <w:jc w:val="both"/>
        <w:rPr>
          <w:b/>
          <w:lang w:val="en-NZ" w:eastAsia="ko-KR"/>
        </w:rPr>
      </w:pPr>
      <w:r w:rsidRPr="00441526">
        <w:rPr>
          <w:b/>
          <w:lang w:val="en-NZ" w:eastAsia="ko-KR"/>
        </w:rPr>
        <w:t xml:space="preserve">1. </w:t>
      </w:r>
      <w:r w:rsidRPr="00441526">
        <w:rPr>
          <w:b/>
          <w:lang w:val="en-NZ" w:eastAsia="ko-KR"/>
        </w:rPr>
        <w:tab/>
        <w:t>Background</w:t>
      </w:r>
      <w:r>
        <w:rPr>
          <w:b/>
          <w:lang w:val="en-NZ" w:eastAsia="ko-KR"/>
        </w:rPr>
        <w:t xml:space="preserve"> Information</w:t>
      </w:r>
    </w:p>
    <w:p w14:paraId="630ADD9F" w14:textId="3AF63BAC" w:rsidR="0066158F" w:rsidRPr="0066158F" w:rsidRDefault="00967F6D" w:rsidP="0044220E">
      <w:pPr>
        <w:pStyle w:val="ListParagraph"/>
        <w:widowControl w:val="0"/>
        <w:numPr>
          <w:ilvl w:val="0"/>
          <w:numId w:val="22"/>
        </w:numPr>
        <w:wordWrap w:val="0"/>
        <w:autoSpaceDE w:val="0"/>
        <w:autoSpaceDN w:val="0"/>
        <w:spacing w:line="276" w:lineRule="auto"/>
        <w:jc w:val="both"/>
      </w:pPr>
      <w:r>
        <w:rPr>
          <w:rFonts w:eastAsia="MS Mincho" w:hint="eastAsia"/>
          <w:lang w:eastAsia="ja-JP"/>
        </w:rPr>
        <w:t>T</w:t>
      </w:r>
      <w:r>
        <w:rPr>
          <w:rFonts w:eastAsia="MS Mincho"/>
          <w:lang w:eastAsia="ja-JP"/>
        </w:rPr>
        <w:t xml:space="preserve">his </w:t>
      </w:r>
      <w:r w:rsidR="0066158F">
        <w:rPr>
          <w:rFonts w:eastAsia="MS Mincho"/>
          <w:lang w:eastAsia="ja-JP"/>
        </w:rPr>
        <w:t>Agenda Item was initiated by APT (</w:t>
      </w:r>
      <w:hyperlink r:id="rId9" w:history="1">
        <w:r w:rsidR="0066158F" w:rsidRPr="0066158F">
          <w:rPr>
            <w:rStyle w:val="Hyperlink"/>
            <w:rFonts w:eastAsia="MS Mincho"/>
            <w:lang w:eastAsia="ja-JP"/>
          </w:rPr>
          <w:t>24A24-A4</w:t>
        </w:r>
      </w:hyperlink>
      <w:r w:rsidR="0066158F">
        <w:rPr>
          <w:rFonts w:eastAsia="MS Mincho"/>
          <w:lang w:eastAsia="ja-JP"/>
        </w:rPr>
        <w:t>), ATU (</w:t>
      </w:r>
      <w:hyperlink r:id="rId10" w:history="1">
        <w:r w:rsidR="0066158F" w:rsidRPr="0066158F">
          <w:rPr>
            <w:rStyle w:val="Hyperlink"/>
            <w:rFonts w:eastAsia="MS Mincho"/>
            <w:lang w:eastAsia="ja-JP"/>
          </w:rPr>
          <w:t>46A24-A8</w:t>
        </w:r>
      </w:hyperlink>
      <w:r w:rsidR="0066158F">
        <w:rPr>
          <w:rFonts w:eastAsia="MS Mincho"/>
          <w:lang w:eastAsia="ja-JP"/>
        </w:rPr>
        <w:t>), CITEL (</w:t>
      </w:r>
      <w:hyperlink r:id="rId11" w:history="1">
        <w:r w:rsidR="0066158F" w:rsidRPr="0066158F">
          <w:rPr>
            <w:rStyle w:val="Hyperlink"/>
            <w:rFonts w:eastAsia="MS Mincho"/>
            <w:lang w:eastAsia="ja-JP"/>
          </w:rPr>
          <w:t>11A24-A2)</w:t>
        </w:r>
      </w:hyperlink>
      <w:r w:rsidR="0066158F">
        <w:rPr>
          <w:rFonts w:eastAsia="MS Mincho"/>
          <w:lang w:eastAsia="ja-JP"/>
        </w:rPr>
        <w:t xml:space="preserve"> and PNG (</w:t>
      </w:r>
      <w:hyperlink r:id="rId12" w:history="1">
        <w:r w:rsidR="0066158F" w:rsidRPr="0066158F">
          <w:rPr>
            <w:rStyle w:val="Hyperlink"/>
            <w:rFonts w:eastAsia="MS Mincho"/>
            <w:lang w:eastAsia="ja-JP"/>
          </w:rPr>
          <w:t>67A24</w:t>
        </w:r>
      </w:hyperlink>
      <w:r w:rsidR="0066158F">
        <w:rPr>
          <w:rFonts w:eastAsia="MS Mincho"/>
          <w:lang w:eastAsia="ja-JP"/>
        </w:rPr>
        <w:t>) in WRC-19.</w:t>
      </w:r>
    </w:p>
    <w:p w14:paraId="34412246" w14:textId="51BFE86D" w:rsidR="00114C38" w:rsidRDefault="00114C38" w:rsidP="0044220E">
      <w:pPr>
        <w:pStyle w:val="ListParagraph"/>
        <w:numPr>
          <w:ilvl w:val="0"/>
          <w:numId w:val="22"/>
        </w:numPr>
        <w:spacing w:line="276" w:lineRule="auto"/>
      </w:pPr>
      <w:r>
        <w:t xml:space="preserve">At WRC-2000, the bands 1 885-1 980 MHz, 2 010-2 025 </w:t>
      </w:r>
      <w:proofErr w:type="gramStart"/>
      <w:r>
        <w:t>MHz</w:t>
      </w:r>
      <w:proofErr w:type="gramEnd"/>
      <w:r>
        <w:t xml:space="preserve"> and 2 110-2 170 MHz in Regions 1 and 3 and the bands 1 885-1 980 MHz and 2 110-2 160 MHz in Region 2 were identified in the mobile service for HIBS in RR No. </w:t>
      </w:r>
      <w:r w:rsidRPr="00114C38">
        <w:rPr>
          <w:b/>
        </w:rPr>
        <w:t>5.388A</w:t>
      </w:r>
      <w:r>
        <w:t xml:space="preserve"> and Resolution </w:t>
      </w:r>
      <w:r w:rsidRPr="00114C38">
        <w:rPr>
          <w:b/>
        </w:rPr>
        <w:t>221</w:t>
      </w:r>
      <w:r>
        <w:t xml:space="preserve"> </w:t>
      </w:r>
      <w:r w:rsidRPr="00114C38">
        <w:rPr>
          <w:b/>
        </w:rPr>
        <w:t xml:space="preserve">(Rev.WRC-07) </w:t>
      </w:r>
      <w:r>
        <w:t xml:space="preserve">stipulates </w:t>
      </w:r>
      <w:r w:rsidR="00812C98">
        <w:t xml:space="preserve">to develop an ITU-R Recommendation providing technical guidance to </w:t>
      </w:r>
      <w:proofErr w:type="spellStart"/>
      <w:r w:rsidR="00812C98">
        <w:t>facicilate</w:t>
      </w:r>
      <w:proofErr w:type="spellEnd"/>
      <w:r w:rsidR="00812C98">
        <w:t xml:space="preserve"> consultations with </w:t>
      </w:r>
      <w:r w:rsidR="00014E19">
        <w:t>neighboring</w:t>
      </w:r>
      <w:r w:rsidR="00812C98">
        <w:t xml:space="preserve"> administrations</w:t>
      </w:r>
      <w:r>
        <w:t xml:space="preserve"> for HIBS. Since 2000, </w:t>
      </w:r>
      <w:r w:rsidRPr="00114C38">
        <w:t xml:space="preserve">IMT systems have evolved significantly in terms of spectrum identification, network deployment and radio access technology, with the standardization of </w:t>
      </w:r>
      <w:r w:rsidR="00014E19" w:rsidRPr="00114C38">
        <w:t>IMT</w:t>
      </w:r>
      <w:r w:rsidR="00014E19">
        <w:t>-</w:t>
      </w:r>
      <w:r w:rsidRPr="00114C38">
        <w:t xml:space="preserve">Advanced and </w:t>
      </w:r>
      <w:r w:rsidR="00014E19" w:rsidRPr="00114C38">
        <w:t>IMT</w:t>
      </w:r>
      <w:r w:rsidR="00014E19">
        <w:t>-</w:t>
      </w:r>
      <w:r w:rsidRPr="00114C38">
        <w:t>2020</w:t>
      </w:r>
      <w:r>
        <w:t xml:space="preserve">. </w:t>
      </w:r>
      <w:r w:rsidR="001E0BB1">
        <w:t>I</w:t>
      </w:r>
      <w:r w:rsidRPr="00114C38">
        <w:t xml:space="preserve">t is now timely to review the existing ITU Radio Regulations (RR) provisions </w:t>
      </w:r>
      <w:proofErr w:type="gramStart"/>
      <w:r w:rsidRPr="00114C38">
        <w:t>in order to</w:t>
      </w:r>
      <w:proofErr w:type="gramEnd"/>
      <w:r w:rsidRPr="00114C38">
        <w:t xml:space="preserve"> provide the same flexibility granted in No. </w:t>
      </w:r>
      <w:r w:rsidRPr="00114C38">
        <w:rPr>
          <w:b/>
        </w:rPr>
        <w:t xml:space="preserve">5.388A </w:t>
      </w:r>
      <w:r w:rsidRPr="00114C38">
        <w:t xml:space="preserve">to other bands below </w:t>
      </w:r>
      <w:r>
        <w:t>2.7</w:t>
      </w:r>
      <w:r w:rsidRPr="00114C38">
        <w:t xml:space="preserve"> GHz </w:t>
      </w:r>
      <w:r>
        <w:t xml:space="preserve">globally or </w:t>
      </w:r>
      <w:r w:rsidRPr="00114C38">
        <w:t>regionally harmonized for IMT</w:t>
      </w:r>
      <w:r>
        <w:t>.</w:t>
      </w:r>
    </w:p>
    <w:p w14:paraId="168ED2FF" w14:textId="3DC2FAF7" w:rsidR="00114C38" w:rsidRPr="00DD084B" w:rsidRDefault="00114C38" w:rsidP="0044220E">
      <w:pPr>
        <w:pStyle w:val="ListParagraph"/>
        <w:numPr>
          <w:ilvl w:val="0"/>
          <w:numId w:val="22"/>
        </w:numPr>
        <w:spacing w:line="276" w:lineRule="auto"/>
      </w:pPr>
      <w:r w:rsidRPr="00DD084B">
        <w:t>In addition,</w:t>
      </w:r>
      <w:r>
        <w:t xml:space="preserve"> HIBS </w:t>
      </w:r>
      <w:r w:rsidRPr="00114C38">
        <w:t>would be used as part of terrestrial IMT networks</w:t>
      </w:r>
      <w:r>
        <w:t xml:space="preserve"> </w:t>
      </w:r>
      <w:r w:rsidRPr="00114C38">
        <w:t xml:space="preserve">and may use the same frequency bands as </w:t>
      </w:r>
      <w:proofErr w:type="gramStart"/>
      <w:r w:rsidRPr="00114C38">
        <w:t>ground-based</w:t>
      </w:r>
      <w:proofErr w:type="gramEnd"/>
      <w:r w:rsidRPr="00114C38">
        <w:t xml:space="preserve"> IMT base stations</w:t>
      </w:r>
      <w:r>
        <w:t xml:space="preserve">. </w:t>
      </w:r>
      <w:r w:rsidRPr="00DD084B">
        <w:t xml:space="preserve">In this sense, the user equipment to be served, whether by the high-altitude or the </w:t>
      </w:r>
      <w:proofErr w:type="gramStart"/>
      <w:r w:rsidRPr="00DD084B">
        <w:t>ground-based</w:t>
      </w:r>
      <w:proofErr w:type="gramEnd"/>
      <w:r w:rsidRPr="00DD084B">
        <w:t xml:space="preserve"> IMT base stations, are the same</w:t>
      </w:r>
      <w:r>
        <w:t xml:space="preserve">. </w:t>
      </w:r>
      <w:r w:rsidRPr="00DD084B">
        <w:t xml:space="preserve">Currently user equipment already supports a variety of frequency bands identified for IMT, which is another reason to expand the use of </w:t>
      </w:r>
      <w:r>
        <w:t>HIBS</w:t>
      </w:r>
      <w:r w:rsidRPr="00DD084B">
        <w:t xml:space="preserve"> to other </w:t>
      </w:r>
      <w:r>
        <w:t xml:space="preserve">globally or </w:t>
      </w:r>
      <w:r w:rsidRPr="00DD084B">
        <w:t>regionally harmonized IMT bands below</w:t>
      </w:r>
      <w:r>
        <w:t xml:space="preserve"> 2.7</w:t>
      </w:r>
      <w:r w:rsidRPr="00DD084B">
        <w:t xml:space="preserve"> GHz.</w:t>
      </w:r>
    </w:p>
    <w:p w14:paraId="2445DBC0" w14:textId="240D5734" w:rsidR="00114C38" w:rsidRPr="001E0BB1" w:rsidRDefault="001E0BB1" w:rsidP="0044220E">
      <w:pPr>
        <w:pStyle w:val="ListParagraph"/>
        <w:numPr>
          <w:ilvl w:val="0"/>
          <w:numId w:val="22"/>
        </w:numPr>
        <w:spacing w:line="276" w:lineRule="auto"/>
      </w:pPr>
      <w:r w:rsidRPr="005263C8">
        <w:rPr>
          <w:lang w:val="en-NZ"/>
        </w:rPr>
        <w:t>List of relevant</w:t>
      </w:r>
      <w:r>
        <w:rPr>
          <w:lang w:val="en-NZ"/>
        </w:rPr>
        <w:t xml:space="preserve"> documents:</w:t>
      </w:r>
    </w:p>
    <w:p w14:paraId="378D604E" w14:textId="0B3F40B5" w:rsidR="001E0BB1" w:rsidRDefault="00FB065B" w:rsidP="0044220E">
      <w:pPr>
        <w:pStyle w:val="ListParagraph"/>
        <w:numPr>
          <w:ilvl w:val="0"/>
          <w:numId w:val="25"/>
        </w:numPr>
        <w:spacing w:line="276" w:lineRule="auto"/>
        <w:ind w:left="993" w:hanging="284"/>
      </w:pPr>
      <w:hyperlink r:id="rId13" w:history="1">
        <w:r w:rsidR="001E0BB1" w:rsidRPr="001E0BB1">
          <w:rPr>
            <w:rStyle w:val="Hyperlink"/>
          </w:rPr>
          <w:t>Recommendation ITU-R M.1456</w:t>
        </w:r>
      </w:hyperlink>
      <w:r w:rsidR="001E0BB1">
        <w:t xml:space="preserve"> “</w:t>
      </w:r>
      <w:r w:rsidR="001E0BB1" w:rsidRPr="001E0BB1">
        <w:t xml:space="preserve">Minimum performance characteristics and operational conditions for high altitude platform stations providing IMT-2000 in the bands 1 885-1 980 MHz, 2 010-2 025 MHz and 2 110-2 170 MHz in Regions 1 and 3 and 1 885-1 980 MHz and 2 110-2 160 MHz in Region </w:t>
      </w:r>
      <w:proofErr w:type="gramStart"/>
      <w:r w:rsidR="001E0BB1" w:rsidRPr="001E0BB1">
        <w:t>2</w:t>
      </w:r>
      <w:proofErr w:type="gramEnd"/>
      <w:r w:rsidR="001E0BB1">
        <w:t>”</w:t>
      </w:r>
    </w:p>
    <w:p w14:paraId="7592250E" w14:textId="6F160CD0" w:rsidR="00244116" w:rsidRDefault="00FB065B" w:rsidP="0044220E">
      <w:pPr>
        <w:pStyle w:val="ListParagraph"/>
        <w:numPr>
          <w:ilvl w:val="0"/>
          <w:numId w:val="25"/>
        </w:numPr>
        <w:spacing w:line="276" w:lineRule="auto"/>
        <w:ind w:left="993" w:hanging="284"/>
      </w:pPr>
      <w:hyperlink r:id="rId14" w:history="1">
        <w:r w:rsidR="001E0BB1" w:rsidRPr="001E0BB1">
          <w:rPr>
            <w:rStyle w:val="Hyperlink"/>
          </w:rPr>
          <w:t>Recommendation ITU-R M.1641</w:t>
        </w:r>
      </w:hyperlink>
      <w:r w:rsidR="001E0BB1">
        <w:t xml:space="preserve"> ”</w:t>
      </w:r>
      <w:r w:rsidR="001E0BB1" w:rsidRPr="001E0BB1">
        <w:t xml:space="preserve"> A methodology for co-channel interference evaluation to determine separation distance from a system using high-altitude platform stations to a cellular system to provide IMT-2000 </w:t>
      </w:r>
      <w:proofErr w:type="gramStart"/>
      <w:r w:rsidR="001E0BB1" w:rsidRPr="001E0BB1">
        <w:t xml:space="preserve">service </w:t>
      </w:r>
      <w:r w:rsidR="001E0BB1">
        <w:t>”</w:t>
      </w:r>
      <w:proofErr w:type="gramEnd"/>
    </w:p>
    <w:p w14:paraId="29984177" w14:textId="26E7AEAD" w:rsidR="001E0BB1" w:rsidRDefault="00FB065B" w:rsidP="0044220E">
      <w:pPr>
        <w:pStyle w:val="ListParagraph"/>
        <w:numPr>
          <w:ilvl w:val="0"/>
          <w:numId w:val="25"/>
        </w:numPr>
        <w:spacing w:line="276" w:lineRule="auto"/>
        <w:ind w:left="993" w:hanging="284"/>
      </w:pPr>
      <w:hyperlink r:id="rId15" w:history="1">
        <w:r w:rsidR="001E0BB1" w:rsidRPr="001E0BB1">
          <w:rPr>
            <w:rStyle w:val="Hyperlink"/>
          </w:rPr>
          <w:t>APT/AWG/REP-92</w:t>
        </w:r>
      </w:hyperlink>
      <w:r w:rsidR="001E0BB1">
        <w:t xml:space="preserve"> ”</w:t>
      </w:r>
      <w:r w:rsidR="001E0BB1" w:rsidRPr="001E0BB1">
        <w:t xml:space="preserve">APT Report on Technical and Operational Analysis for Using High Altitude Platform Station as IMT Base Stations (HIBS) in the Frequency Bands below 2.7 GHz identified for </w:t>
      </w:r>
      <w:proofErr w:type="gramStart"/>
      <w:r w:rsidR="001E0BB1" w:rsidRPr="001E0BB1">
        <w:t>IMT</w:t>
      </w:r>
      <w:proofErr w:type="gramEnd"/>
      <w:r w:rsidR="001E0BB1">
        <w:t>”</w:t>
      </w:r>
    </w:p>
    <w:p w14:paraId="28BBA039" w14:textId="6FADFF58" w:rsidR="0037421D" w:rsidRDefault="0037421D" w:rsidP="00E5341E">
      <w:pPr>
        <w:spacing w:after="120"/>
        <w:jc w:val="both"/>
        <w:rPr>
          <w:b/>
        </w:rPr>
      </w:pPr>
    </w:p>
    <w:p w14:paraId="38194476" w14:textId="6B09EB44" w:rsidR="00E41BE2" w:rsidRPr="00441526" w:rsidRDefault="00E41BE2" w:rsidP="00E41BE2">
      <w:pPr>
        <w:spacing w:after="120"/>
        <w:jc w:val="both"/>
        <w:rPr>
          <w:b/>
          <w:lang w:val="en-NZ" w:eastAsia="ko-KR"/>
        </w:rPr>
      </w:pPr>
      <w:r>
        <w:rPr>
          <w:b/>
          <w:lang w:val="en-NZ" w:eastAsia="ko-KR"/>
        </w:rPr>
        <w:t>2</w:t>
      </w:r>
      <w:r w:rsidRPr="00441526">
        <w:rPr>
          <w:b/>
          <w:lang w:val="en-NZ" w:eastAsia="ko-KR"/>
        </w:rPr>
        <w:t xml:space="preserve">. </w:t>
      </w:r>
      <w:r w:rsidRPr="00441526">
        <w:rPr>
          <w:b/>
          <w:lang w:val="en-NZ" w:eastAsia="ko-KR"/>
        </w:rPr>
        <w:tab/>
      </w:r>
      <w:r>
        <w:rPr>
          <w:b/>
          <w:lang w:val="en-NZ" w:eastAsia="ko-KR"/>
        </w:rPr>
        <w:t>Information on on-going ITU-R Study</w:t>
      </w:r>
    </w:p>
    <w:p w14:paraId="5155DFF2" w14:textId="0DF2418C" w:rsidR="00E8056C" w:rsidRPr="00F41A07" w:rsidRDefault="00E8056C" w:rsidP="0044220E">
      <w:pPr>
        <w:pStyle w:val="ListParagraph"/>
        <w:numPr>
          <w:ilvl w:val="0"/>
          <w:numId w:val="23"/>
        </w:numPr>
        <w:spacing w:line="276" w:lineRule="auto"/>
        <w:rPr>
          <w:rFonts w:eastAsia="MS Mincho"/>
          <w:lang w:eastAsia="ja-JP"/>
        </w:rPr>
      </w:pPr>
      <w:r w:rsidRPr="00E8056C">
        <w:rPr>
          <w:rFonts w:eastAsia="MS Mincho" w:hint="eastAsia"/>
          <w:lang w:eastAsia="ja-JP"/>
        </w:rPr>
        <w:t>I</w:t>
      </w:r>
      <w:r w:rsidRPr="00E8056C">
        <w:rPr>
          <w:rFonts w:eastAsia="MS Mincho"/>
          <w:lang w:eastAsia="ja-JP"/>
        </w:rPr>
        <w:t xml:space="preserve">TU-R WP 5D is developing </w:t>
      </w:r>
      <w:r w:rsidR="00014E19">
        <w:rPr>
          <w:rFonts w:eastAsia="MS Mincho"/>
          <w:lang w:eastAsia="ja-JP"/>
        </w:rPr>
        <w:t xml:space="preserve">WD towards </w:t>
      </w:r>
      <w:r w:rsidR="0017133F">
        <w:rPr>
          <w:rFonts w:eastAsia="MS Mincho"/>
          <w:lang w:eastAsia="ja-JP"/>
        </w:rPr>
        <w:t xml:space="preserve">preliminary draft </w:t>
      </w:r>
      <w:r w:rsidRPr="00E8056C">
        <w:rPr>
          <w:rFonts w:eastAsia="MS Mincho"/>
          <w:lang w:eastAsia="ja-JP"/>
        </w:rPr>
        <w:t>CPM text, WD towards PDN</w:t>
      </w:r>
      <w:r w:rsidR="0017133F">
        <w:rPr>
          <w:rFonts w:eastAsia="MS Mincho"/>
          <w:lang w:eastAsia="ja-JP"/>
        </w:rPr>
        <w:t xml:space="preserve"> </w:t>
      </w:r>
      <w:r w:rsidRPr="00E8056C">
        <w:rPr>
          <w:rFonts w:eastAsia="MS Mincho"/>
          <w:lang w:eastAsia="ja-JP"/>
        </w:rPr>
        <w:t>Report ITU-R M.[HIBS-CHARACTERISTICS]</w:t>
      </w:r>
      <w:r w:rsidR="002A65B6">
        <w:rPr>
          <w:rFonts w:eastAsia="MS Mincho"/>
          <w:lang w:eastAsia="ja-JP"/>
        </w:rPr>
        <w:t>/</w:t>
      </w:r>
      <w:r w:rsidR="00D33383">
        <w:rPr>
          <w:rFonts w:eastAsiaTheme="minorEastAsia"/>
          <w:lang w:val="en-GB" w:eastAsia="ja-JP"/>
        </w:rPr>
        <w:t>WD</w:t>
      </w:r>
      <w:r w:rsidR="002A65B6" w:rsidRPr="004E4CC9">
        <w:rPr>
          <w:rFonts w:eastAsiaTheme="minorEastAsia"/>
          <w:lang w:val="en-GB" w:eastAsia="ja-JP"/>
        </w:rPr>
        <w:t xml:space="preserve"> related to WRC-23 AI 1.4</w:t>
      </w:r>
      <w:r w:rsidR="0017133F">
        <w:rPr>
          <w:rFonts w:eastAsia="MS Mincho"/>
          <w:lang w:eastAsia="ja-JP"/>
        </w:rPr>
        <w:t xml:space="preserve"> </w:t>
      </w:r>
      <w:r w:rsidRPr="00E8056C">
        <w:rPr>
          <w:rFonts w:eastAsia="MS Mincho"/>
          <w:lang w:eastAsia="ja-JP"/>
        </w:rPr>
        <w:t xml:space="preserve">and WD towards </w:t>
      </w:r>
      <w:r w:rsidR="002A65B6" w:rsidRPr="00C03BF6">
        <w:rPr>
          <w:rFonts w:eastAsiaTheme="minorEastAsia"/>
          <w:lang w:val="en-GB" w:eastAsia="ja-JP"/>
        </w:rPr>
        <w:t>sharing and compatibility studies of HIBS under WRC-23 agenda item 1.4</w:t>
      </w:r>
      <w:r w:rsidR="00F41A07">
        <w:t xml:space="preserve"> (</w:t>
      </w:r>
      <w:r w:rsidRPr="00F41A07">
        <w:rPr>
          <w:highlight w:val="yellow"/>
        </w:rPr>
        <w:t xml:space="preserve">Attachments </w:t>
      </w:r>
      <w:sdt>
        <w:sdtPr>
          <w:tag w:val="goog_rdk_0"/>
          <w:id w:val="143475074"/>
        </w:sdtPr>
        <w:sdtEndPr/>
        <w:sdtContent/>
      </w:sdt>
      <w:r w:rsidRPr="00F41A07">
        <w:rPr>
          <w:highlight w:val="yellow"/>
        </w:rPr>
        <w:t>4.</w:t>
      </w:r>
      <w:r w:rsidR="002A65B6" w:rsidRPr="00F41A07">
        <w:rPr>
          <w:highlight w:val="yellow"/>
        </w:rPr>
        <w:t>xx</w:t>
      </w:r>
      <w:r w:rsidRPr="00F41A07">
        <w:rPr>
          <w:highlight w:val="yellow"/>
        </w:rPr>
        <w:t>, 4.</w:t>
      </w:r>
      <w:r w:rsidR="002A65B6" w:rsidRPr="00F41A07">
        <w:rPr>
          <w:highlight w:val="yellow"/>
        </w:rPr>
        <w:t>yy</w:t>
      </w:r>
      <w:r w:rsidRPr="00F41A07">
        <w:rPr>
          <w:highlight w:val="yellow"/>
        </w:rPr>
        <w:t xml:space="preserve"> and 4.</w:t>
      </w:r>
      <w:r w:rsidR="002A65B6" w:rsidRPr="00F41A07">
        <w:rPr>
          <w:highlight w:val="yellow"/>
        </w:rPr>
        <w:t>zz</w:t>
      </w:r>
      <w:r w:rsidRPr="00F41A07">
        <w:rPr>
          <w:highlight w:val="yellow"/>
        </w:rPr>
        <w:t xml:space="preserve"> to </w:t>
      </w:r>
      <w:r w:rsidR="002A65B6" w:rsidRPr="008E7BD5">
        <w:rPr>
          <w:rStyle w:val="Hyperlink"/>
          <w:highlight w:val="yellow"/>
          <w:u w:val="none"/>
        </w:rPr>
        <w:t>5D/545</w:t>
      </w:r>
      <w:commentRangeStart w:id="0"/>
      <w:commentRangeEnd w:id="0"/>
      <w:r w:rsidR="008E7BD5" w:rsidRPr="008E7BD5">
        <w:rPr>
          <w:rStyle w:val="CommentReference"/>
        </w:rPr>
        <w:commentReference w:id="0"/>
      </w:r>
      <w:r w:rsidR="008E7BD5" w:rsidRPr="008E7BD5">
        <w:rPr>
          <w:rStyle w:val="Hyperlink"/>
          <w:highlight w:val="yellow"/>
          <w:u w:val="none"/>
        </w:rPr>
        <w:t xml:space="preserve"> (=5</w:t>
      </w:r>
      <w:r w:rsidR="008E7BD5" w:rsidRPr="008E7BD5">
        <w:rPr>
          <w:rStyle w:val="Hyperlink"/>
          <w:rFonts w:hint="eastAsia"/>
          <w:highlight w:val="yellow"/>
          <w:u w:val="none"/>
          <w:lang w:eastAsia="ko-KR"/>
        </w:rPr>
        <w:t>D</w:t>
      </w:r>
      <w:r w:rsidR="008E7BD5" w:rsidRPr="008E7BD5">
        <w:rPr>
          <w:rStyle w:val="Hyperlink"/>
          <w:highlight w:val="yellow"/>
          <w:u w:val="none"/>
          <w:lang w:eastAsia="ko-KR"/>
        </w:rPr>
        <w:t>/</w:t>
      </w:r>
      <w:hyperlink r:id="rId19" w:history="1">
        <w:r w:rsidR="008E7BD5" w:rsidRPr="008E7BD5">
          <w:rPr>
            <w:rStyle w:val="Hyperlink"/>
            <w:highlight w:val="yellow"/>
            <w:u w:val="none"/>
            <w:lang w:eastAsia="ko-KR"/>
          </w:rPr>
          <w:t>TEMP/332</w:t>
        </w:r>
      </w:hyperlink>
      <w:r w:rsidR="008E7BD5" w:rsidRPr="008E7BD5">
        <w:rPr>
          <w:rStyle w:val="Hyperlink"/>
          <w:highlight w:val="yellow"/>
          <w:u w:val="none"/>
          <w:lang w:eastAsia="ko-KR"/>
        </w:rPr>
        <w:t>, TEMP/</w:t>
      </w:r>
      <w:hyperlink r:id="rId20" w:history="1">
        <w:r w:rsidR="008E7BD5" w:rsidRPr="008E7BD5">
          <w:rPr>
            <w:rStyle w:val="Hyperlink"/>
            <w:highlight w:val="yellow"/>
            <w:u w:val="none"/>
            <w:lang w:eastAsia="ko-KR"/>
          </w:rPr>
          <w:t>335</w:t>
        </w:r>
      </w:hyperlink>
      <w:r w:rsidRPr="008E7BD5">
        <w:rPr>
          <w:rFonts w:eastAsia="MS Mincho"/>
          <w:highlight w:val="yellow"/>
          <w:lang w:eastAsia="ja-JP"/>
        </w:rPr>
        <w:t>)</w:t>
      </w:r>
      <w:r w:rsidR="00395764" w:rsidRPr="008E7BD5">
        <w:rPr>
          <w:rFonts w:eastAsia="MS Mincho"/>
          <w:highlight w:val="yellow"/>
          <w:lang w:eastAsia="ja-JP"/>
        </w:rPr>
        <w:t>.</w:t>
      </w:r>
      <w:r w:rsidR="008E7BD5" w:rsidRPr="008E7BD5">
        <w:rPr>
          <w:rStyle w:val="CommentReference"/>
        </w:rPr>
        <w:t xml:space="preserve"> </w:t>
      </w:r>
    </w:p>
    <w:p w14:paraId="1628AA13" w14:textId="77B59A33" w:rsidR="00395764" w:rsidRPr="00B25CFE" w:rsidRDefault="00395764" w:rsidP="0044220E">
      <w:pPr>
        <w:pStyle w:val="ListParagraph"/>
        <w:numPr>
          <w:ilvl w:val="0"/>
          <w:numId w:val="23"/>
        </w:numPr>
        <w:autoSpaceDE w:val="0"/>
        <w:autoSpaceDN w:val="0"/>
        <w:spacing w:line="276" w:lineRule="auto"/>
        <w:rPr>
          <w:rFonts w:eastAsia="MS Mincho"/>
          <w:lang w:eastAsia="ja-JP"/>
        </w:rPr>
      </w:pPr>
      <w:r w:rsidRPr="00395764">
        <w:t xml:space="preserve">There are still some points </w:t>
      </w:r>
      <w:r w:rsidR="00B8419B" w:rsidRPr="00B8419B">
        <w:t>highlighted in the working documents for which different views were expressed. F</w:t>
      </w:r>
      <w:r w:rsidRPr="00395764">
        <w:t>urther discussion</w:t>
      </w:r>
      <w:r w:rsidR="0017133F">
        <w:t>s</w:t>
      </w:r>
      <w:r w:rsidRPr="00395764">
        <w:t xml:space="preserve"> </w:t>
      </w:r>
      <w:r w:rsidR="0017133F">
        <w:t>are</w:t>
      </w:r>
      <w:r w:rsidRPr="00395764">
        <w:t xml:space="preserve"> required on those topics in the future WP 5D meetings.</w:t>
      </w:r>
    </w:p>
    <w:p w14:paraId="69CB98DE" w14:textId="7E76BCDB" w:rsidR="00E8056C" w:rsidRPr="00220700" w:rsidRDefault="00220700" w:rsidP="0044220E">
      <w:pPr>
        <w:pStyle w:val="ListParagraph"/>
        <w:numPr>
          <w:ilvl w:val="0"/>
          <w:numId w:val="23"/>
        </w:numPr>
        <w:autoSpaceDE w:val="0"/>
        <w:autoSpaceDN w:val="0"/>
        <w:spacing w:line="276" w:lineRule="auto"/>
      </w:pPr>
      <w:r w:rsidRPr="00220700">
        <w:rPr>
          <w:rFonts w:eastAsia="MS Mincho"/>
          <w:lang w:eastAsia="ja-JP"/>
        </w:rPr>
        <w:t>WD towards PDN</w:t>
      </w:r>
      <w:r w:rsidR="0017133F">
        <w:rPr>
          <w:rFonts w:eastAsia="MS Mincho"/>
          <w:lang w:eastAsia="ja-JP"/>
        </w:rPr>
        <w:t xml:space="preserve"> </w:t>
      </w:r>
      <w:r w:rsidRPr="00220700">
        <w:rPr>
          <w:rFonts w:eastAsia="MS Mincho"/>
          <w:lang w:eastAsia="ja-JP"/>
        </w:rPr>
        <w:t xml:space="preserve">Report ITU-R </w:t>
      </w:r>
      <w:proofErr w:type="gramStart"/>
      <w:r w:rsidRPr="00220700">
        <w:rPr>
          <w:rFonts w:eastAsia="MS Mincho"/>
          <w:lang w:eastAsia="ja-JP"/>
        </w:rPr>
        <w:t>M.[</w:t>
      </w:r>
      <w:proofErr w:type="gramEnd"/>
      <w:r w:rsidRPr="00220700">
        <w:rPr>
          <w:rFonts w:eastAsia="MS Mincho"/>
          <w:lang w:eastAsia="ja-JP"/>
        </w:rPr>
        <w:t>HIBS-CHARACTERISTICS]</w:t>
      </w:r>
      <w:r w:rsidR="002A65B6">
        <w:rPr>
          <w:rFonts w:eastAsia="MS Mincho"/>
          <w:lang w:eastAsia="ja-JP"/>
        </w:rPr>
        <w:t>/</w:t>
      </w:r>
      <w:r w:rsidR="00D33383">
        <w:rPr>
          <w:rFonts w:eastAsiaTheme="minorEastAsia"/>
          <w:lang w:val="en-GB" w:eastAsia="ja-JP"/>
        </w:rPr>
        <w:t>WD</w:t>
      </w:r>
      <w:r w:rsidR="002A65B6" w:rsidRPr="004E4CC9">
        <w:rPr>
          <w:rFonts w:eastAsiaTheme="minorEastAsia"/>
          <w:lang w:val="en-GB" w:eastAsia="ja-JP"/>
        </w:rPr>
        <w:t xml:space="preserve"> related to WRC-23 AI 1.4</w:t>
      </w:r>
      <w:r>
        <w:rPr>
          <w:rFonts w:eastAsia="MS Mincho"/>
          <w:lang w:eastAsia="ja-JP"/>
        </w:rPr>
        <w:t xml:space="preserve"> consists of the following contents; basic concept, spectrum needs, usage and deployment scenarios and technical and operational characteristics. </w:t>
      </w:r>
      <w:r w:rsidRPr="00220700">
        <w:rPr>
          <w:rFonts w:eastAsia="MS Mincho"/>
          <w:lang w:eastAsia="ja-JP"/>
        </w:rPr>
        <w:t>Contentious issues</w:t>
      </w:r>
      <w:r>
        <w:rPr>
          <w:rFonts w:eastAsia="MS Mincho"/>
          <w:lang w:eastAsia="ja-JP"/>
        </w:rPr>
        <w:t xml:space="preserve"> under discussion in WP 5D are as follows:</w:t>
      </w:r>
    </w:p>
    <w:p w14:paraId="56A41A44" w14:textId="667F5F08" w:rsidR="00220700" w:rsidRPr="0058427E" w:rsidRDefault="00220700" w:rsidP="0044220E">
      <w:pPr>
        <w:pStyle w:val="ListParagraph"/>
        <w:numPr>
          <w:ilvl w:val="1"/>
          <w:numId w:val="24"/>
        </w:numPr>
        <w:autoSpaceDE w:val="0"/>
        <w:autoSpaceDN w:val="0"/>
        <w:spacing w:line="276" w:lineRule="auto"/>
        <w:ind w:left="1134" w:hanging="425"/>
      </w:pPr>
      <w:r>
        <w:rPr>
          <w:rFonts w:eastAsia="MS Mincho" w:hint="eastAsia"/>
          <w:lang w:eastAsia="ja-JP"/>
        </w:rPr>
        <w:t>S</w:t>
      </w:r>
      <w:r>
        <w:rPr>
          <w:rFonts w:eastAsia="MS Mincho"/>
          <w:lang w:eastAsia="ja-JP"/>
        </w:rPr>
        <w:t>pectrum needs</w:t>
      </w:r>
      <w:r w:rsidR="0058427E">
        <w:rPr>
          <w:rFonts w:eastAsia="MS Mincho"/>
          <w:lang w:eastAsia="ja-JP"/>
        </w:rPr>
        <w:br/>
      </w:r>
      <w:r w:rsidR="00395764">
        <w:rPr>
          <w:rFonts w:eastAsia="MS Mincho"/>
          <w:lang w:eastAsia="ja-JP"/>
        </w:rPr>
        <w:t>A n</w:t>
      </w:r>
      <w:r w:rsidR="00176C2C">
        <w:rPr>
          <w:rFonts w:eastAsia="MS Mincho"/>
          <w:lang w:eastAsia="ja-JP"/>
        </w:rPr>
        <w:t xml:space="preserve">ew section </w:t>
      </w:r>
      <w:r w:rsidR="00395764">
        <w:rPr>
          <w:rFonts w:eastAsia="MS Mincho"/>
          <w:lang w:eastAsia="ja-JP"/>
        </w:rPr>
        <w:t xml:space="preserve">was proposed to </w:t>
      </w:r>
      <w:r w:rsidR="00E85FC3" w:rsidRPr="00E85FC3">
        <w:rPr>
          <w:rFonts w:eastAsia="MS Mincho"/>
          <w:lang w:eastAsia="ja-JP"/>
        </w:rPr>
        <w:t>compile possible scenarios received from administrations regarding spectrum needs for HIBS by those administrations</w:t>
      </w:r>
      <w:r w:rsidR="00395764">
        <w:rPr>
          <w:rFonts w:eastAsia="MS Mincho"/>
          <w:lang w:eastAsia="ja-JP"/>
        </w:rPr>
        <w:t>, and one proposed study was included in this section</w:t>
      </w:r>
      <w:r w:rsidR="00176C2C">
        <w:rPr>
          <w:rFonts w:eastAsia="MS Mincho"/>
          <w:lang w:eastAsia="ja-JP"/>
        </w:rPr>
        <w:t xml:space="preserve">. However, discussions are still needed in which cases spectrum needs studies </w:t>
      </w:r>
      <w:r w:rsidR="00867926">
        <w:rPr>
          <w:rFonts w:eastAsia="MS Mincho"/>
          <w:lang w:eastAsia="ja-JP"/>
        </w:rPr>
        <w:t xml:space="preserve">specifically </w:t>
      </w:r>
      <w:r w:rsidR="00176C2C">
        <w:rPr>
          <w:rFonts w:eastAsia="MS Mincho"/>
          <w:lang w:eastAsia="ja-JP"/>
        </w:rPr>
        <w:t>for HIBS are required, considering</w:t>
      </w:r>
      <w:r w:rsidRPr="00220700">
        <w:rPr>
          <w:rFonts w:eastAsia="MS Mincho"/>
          <w:lang w:eastAsia="ja-JP"/>
        </w:rPr>
        <w:t xml:space="preserve"> HIBS is a part of terrestrial IMT and all frequency bands for this agenda item were already identified</w:t>
      </w:r>
      <w:r w:rsidR="00B55FF0">
        <w:rPr>
          <w:rFonts w:eastAsia="MS Mincho"/>
          <w:lang w:eastAsia="ja-JP"/>
        </w:rPr>
        <w:t xml:space="preserve"> for IMT</w:t>
      </w:r>
      <w:r>
        <w:rPr>
          <w:rFonts w:eastAsia="MS Mincho"/>
          <w:lang w:eastAsia="ja-JP"/>
        </w:rPr>
        <w:t>.</w:t>
      </w:r>
    </w:p>
    <w:p w14:paraId="23C3EA0F" w14:textId="3F6D9CDC" w:rsidR="0058427E" w:rsidRPr="0058427E" w:rsidRDefault="0058427E" w:rsidP="0044220E">
      <w:pPr>
        <w:pStyle w:val="ListParagraph"/>
        <w:numPr>
          <w:ilvl w:val="1"/>
          <w:numId w:val="24"/>
        </w:numPr>
        <w:autoSpaceDE w:val="0"/>
        <w:autoSpaceDN w:val="0"/>
        <w:spacing w:line="276" w:lineRule="auto"/>
        <w:ind w:left="1134" w:hanging="425"/>
      </w:pPr>
      <w:r>
        <w:rPr>
          <w:rFonts w:eastAsia="MS Mincho" w:hint="eastAsia"/>
          <w:lang w:eastAsia="ja-JP"/>
        </w:rPr>
        <w:t>O</w:t>
      </w:r>
      <w:r>
        <w:rPr>
          <w:rFonts w:eastAsia="MS Mincho"/>
          <w:lang w:eastAsia="ja-JP"/>
        </w:rPr>
        <w:t>perational altitude of HIBS</w:t>
      </w:r>
      <w:r>
        <w:rPr>
          <w:rFonts w:eastAsia="MS Mincho"/>
          <w:lang w:eastAsia="ja-JP"/>
        </w:rPr>
        <w:br/>
      </w:r>
      <w:r>
        <w:t xml:space="preserve">There was a proposal to consider 15 – 24 km of operational altitude for the worst-case scenario for sharing and compatibility studies considering the actual operation of HIBS, noting resolves 4 of Resolution 247 (WRC-19) to study the definition of HIBS.  Concerns were raised that the altitude lower than 20 km does not meet the definition of </w:t>
      </w:r>
      <w:r w:rsidRPr="0058427E">
        <w:rPr>
          <w:i/>
        </w:rPr>
        <w:t>high-altitude platform station</w:t>
      </w:r>
      <w:r>
        <w:t xml:space="preserve"> (RR </w:t>
      </w:r>
      <w:r w:rsidRPr="0058427E">
        <w:rPr>
          <w:b/>
        </w:rPr>
        <w:t>1.66A</w:t>
      </w:r>
      <w:r>
        <w:t xml:space="preserve">) and cannot be included in studies in this agenda. </w:t>
      </w:r>
      <w:r w:rsidR="00395764">
        <w:t>As a compromise, it was propose</w:t>
      </w:r>
      <w:r w:rsidR="00D93A07">
        <w:t>d</w:t>
      </w:r>
      <w:r w:rsidR="00395764">
        <w:t xml:space="preserve"> to study at 20 km as a baseline and at lower </w:t>
      </w:r>
      <w:r w:rsidR="0061780B">
        <w:t xml:space="preserve">than </w:t>
      </w:r>
      <w:r w:rsidR="00395764">
        <w:t xml:space="preserve">20 km as a sensitivity analysis, however views were still divided whether to include </w:t>
      </w:r>
      <w:r w:rsidR="0061780B">
        <w:t xml:space="preserve">an </w:t>
      </w:r>
      <w:r w:rsidR="00395764">
        <w:t>al</w:t>
      </w:r>
      <w:r w:rsidR="0061780B">
        <w:t>titude lower</w:t>
      </w:r>
      <w:r w:rsidR="00395764">
        <w:t xml:space="preserve"> </w:t>
      </w:r>
      <w:r w:rsidR="0061780B">
        <w:t>than 20 km or not.</w:t>
      </w:r>
    </w:p>
    <w:p w14:paraId="7A2E64C5" w14:textId="60DCC383" w:rsidR="00D93A07" w:rsidRPr="00D93A07" w:rsidRDefault="0058427E" w:rsidP="0044220E">
      <w:pPr>
        <w:pStyle w:val="ListParagraph"/>
        <w:numPr>
          <w:ilvl w:val="1"/>
          <w:numId w:val="24"/>
        </w:numPr>
        <w:spacing w:line="276" w:lineRule="auto"/>
        <w:ind w:left="1134" w:hanging="425"/>
        <w:rPr>
          <w:rFonts w:eastAsia="MS Mincho"/>
          <w:lang w:eastAsia="ja-JP"/>
        </w:rPr>
      </w:pPr>
      <w:r w:rsidRPr="00D93A07">
        <w:rPr>
          <w:rFonts w:eastAsia="MS Mincho"/>
          <w:lang w:eastAsia="ja-JP"/>
        </w:rPr>
        <w:t>Description of gateway links</w:t>
      </w:r>
      <w:r w:rsidRPr="00D93A07">
        <w:rPr>
          <w:rFonts w:eastAsia="MS Mincho"/>
          <w:lang w:eastAsia="ja-JP"/>
        </w:rPr>
        <w:br/>
      </w:r>
      <w:r>
        <w:t>There was a proposal to describe</w:t>
      </w:r>
      <w:r w:rsidRPr="00D93A07">
        <w:rPr>
          <w:rFonts w:eastAsia="MS Mincho"/>
          <w:lang w:eastAsia="ja-JP"/>
        </w:rPr>
        <w:t xml:space="preserve"> the possibility of providing a gateway link by Inter-HIBS or satellite backhaul in this report so that administrations can consider these links depending on the situation in their country.</w:t>
      </w:r>
      <w:r w:rsidR="00D93A07" w:rsidRPr="00D93A07">
        <w:t xml:space="preserve"> </w:t>
      </w:r>
      <w:r w:rsidR="00D93A07" w:rsidRPr="00D93A07">
        <w:rPr>
          <w:rFonts w:eastAsia="MS Mincho"/>
          <w:lang w:eastAsia="ja-JP"/>
        </w:rPr>
        <w:t>However, the proposed descriptions were deleted since HIBS gateway links were considered outside the scope of this agenda item in ITU-R.</w:t>
      </w:r>
    </w:p>
    <w:p w14:paraId="63900923" w14:textId="3286CA14" w:rsidR="0058427E" w:rsidRPr="00B25CFE" w:rsidRDefault="0058427E" w:rsidP="0044220E">
      <w:pPr>
        <w:pStyle w:val="ListParagraph"/>
        <w:numPr>
          <w:ilvl w:val="1"/>
          <w:numId w:val="24"/>
        </w:numPr>
        <w:autoSpaceDE w:val="0"/>
        <w:autoSpaceDN w:val="0"/>
        <w:spacing w:line="276" w:lineRule="auto"/>
        <w:ind w:left="1134" w:hanging="425"/>
        <w:rPr>
          <w:rFonts w:eastAsia="MS Mincho"/>
          <w:lang w:eastAsia="ja-JP"/>
        </w:rPr>
      </w:pPr>
      <w:r w:rsidRPr="00D93A07">
        <w:rPr>
          <w:rFonts w:eastAsia="MS Mincho" w:hint="eastAsia"/>
          <w:lang w:eastAsia="ja-JP"/>
        </w:rPr>
        <w:t>P</w:t>
      </w:r>
      <w:r w:rsidRPr="00D93A07">
        <w:rPr>
          <w:rFonts w:eastAsia="MS Mincho"/>
          <w:lang w:eastAsia="ja-JP"/>
        </w:rPr>
        <w:t>arameters of HIBS for sharing and compatibility studies</w:t>
      </w:r>
      <w:r w:rsidRPr="00D93A07">
        <w:rPr>
          <w:rFonts w:eastAsia="MS Mincho"/>
          <w:lang w:eastAsia="ja-JP"/>
        </w:rPr>
        <w:br/>
        <w:t xml:space="preserve">Further considerations are required for some </w:t>
      </w:r>
      <w:r w:rsidR="00231555" w:rsidRPr="00D93A07">
        <w:rPr>
          <w:rFonts w:eastAsia="MS Mincho"/>
          <w:lang w:eastAsia="ja-JP"/>
        </w:rPr>
        <w:t>parameters</w:t>
      </w:r>
      <w:r w:rsidRPr="00D93A07">
        <w:rPr>
          <w:rFonts w:eastAsia="MS Mincho"/>
          <w:lang w:eastAsia="ja-JP"/>
        </w:rPr>
        <w:t>.</w:t>
      </w:r>
    </w:p>
    <w:p w14:paraId="2B61B620" w14:textId="6E360BE9" w:rsidR="00D93A07" w:rsidRPr="00220700" w:rsidRDefault="00D93A07" w:rsidP="0044220E">
      <w:pPr>
        <w:pStyle w:val="ListParagraph"/>
        <w:numPr>
          <w:ilvl w:val="0"/>
          <w:numId w:val="24"/>
        </w:numPr>
        <w:autoSpaceDE w:val="0"/>
        <w:autoSpaceDN w:val="0"/>
        <w:spacing w:line="276" w:lineRule="auto"/>
      </w:pPr>
      <w:r w:rsidRPr="00220700">
        <w:rPr>
          <w:rFonts w:eastAsia="MS Mincho"/>
          <w:lang w:eastAsia="ja-JP"/>
        </w:rPr>
        <w:t xml:space="preserve">WD towards </w:t>
      </w:r>
      <w:r w:rsidR="00B25CFE" w:rsidRPr="00C03BF6">
        <w:rPr>
          <w:rFonts w:eastAsiaTheme="minorEastAsia"/>
          <w:lang w:val="en-GB" w:eastAsia="ja-JP"/>
        </w:rPr>
        <w:t xml:space="preserve">sharing and compatibility studies of HIBS under WRC-23 </w:t>
      </w:r>
      <w:r w:rsidR="00D33383">
        <w:rPr>
          <w:rFonts w:eastAsiaTheme="minorEastAsia"/>
          <w:lang w:val="en-GB" w:eastAsia="ja-JP"/>
        </w:rPr>
        <w:t>AI</w:t>
      </w:r>
      <w:r w:rsidR="00B25CFE" w:rsidRPr="00C03BF6">
        <w:rPr>
          <w:rFonts w:eastAsiaTheme="minorEastAsia"/>
          <w:lang w:val="en-GB" w:eastAsia="ja-JP"/>
        </w:rPr>
        <w:t xml:space="preserve"> 1.4</w:t>
      </w:r>
      <w:r>
        <w:rPr>
          <w:rFonts w:eastAsia="MS Mincho"/>
          <w:lang w:eastAsia="ja-JP"/>
        </w:rPr>
        <w:t xml:space="preserve"> </w:t>
      </w:r>
      <w:r w:rsidR="00C324D4">
        <w:rPr>
          <w:rFonts w:eastAsia="MS Mincho"/>
          <w:lang w:eastAsia="ja-JP"/>
        </w:rPr>
        <w:t>was initiated in 37</w:t>
      </w:r>
      <w:r w:rsidR="00C324D4" w:rsidRPr="00F41A07">
        <w:rPr>
          <w:rFonts w:eastAsia="MS Mincho"/>
          <w:vertAlign w:val="superscript"/>
          <w:lang w:eastAsia="ja-JP"/>
        </w:rPr>
        <w:t>th</w:t>
      </w:r>
      <w:r w:rsidR="00C324D4">
        <w:rPr>
          <w:rFonts w:eastAsia="MS Mincho"/>
          <w:lang w:eastAsia="ja-JP"/>
        </w:rPr>
        <w:t xml:space="preserve"> WP 5D meeting as an</w:t>
      </w:r>
      <w:r w:rsidR="00C324D4" w:rsidRPr="00C324D4">
        <w:rPr>
          <w:rFonts w:eastAsia="MS Mincho"/>
          <w:lang w:eastAsia="ja-JP"/>
        </w:rPr>
        <w:t xml:space="preserve"> initial framework to support the studies under WRC-23 agenda item 1.4</w:t>
      </w:r>
      <w:r w:rsidR="00C324D4">
        <w:rPr>
          <w:rFonts w:eastAsia="MS Mincho"/>
          <w:lang w:eastAsia="ja-JP"/>
        </w:rPr>
        <w:t xml:space="preserve"> in the </w:t>
      </w:r>
      <w:r w:rsidR="00C324D4" w:rsidRPr="00C324D4">
        <w:rPr>
          <w:rFonts w:eastAsia="MS Mincho"/>
          <w:lang w:eastAsia="ja-JP"/>
        </w:rPr>
        <w:t xml:space="preserve">frequency ranges of 694-960 MHz, 1 710-1 885 MHz, 1 885-1 980 MHz, 2 010-2 025 MHz, 2 110-2 170 MHz, 2 500-2 690 </w:t>
      </w:r>
      <w:proofErr w:type="spellStart"/>
      <w:r w:rsidR="00C324D4" w:rsidRPr="00C324D4">
        <w:rPr>
          <w:rFonts w:eastAsia="MS Mincho"/>
          <w:lang w:eastAsia="ja-JP"/>
        </w:rPr>
        <w:t>MHz</w:t>
      </w:r>
      <w:r w:rsidR="00C324D4">
        <w:rPr>
          <w:rFonts w:eastAsia="MS Mincho"/>
          <w:lang w:eastAsia="ja-JP"/>
        </w:rPr>
        <w:t>.</w:t>
      </w:r>
      <w:proofErr w:type="spellEnd"/>
      <w:r>
        <w:rPr>
          <w:rFonts w:eastAsia="MS Mincho"/>
          <w:lang w:eastAsia="ja-JP"/>
        </w:rPr>
        <w:t xml:space="preserve"> </w:t>
      </w:r>
      <w:r w:rsidR="002D7DF1">
        <w:rPr>
          <w:rFonts w:eastAsia="MS Mincho"/>
          <w:lang w:eastAsia="ja-JP"/>
        </w:rPr>
        <w:t xml:space="preserve"> </w:t>
      </w:r>
      <w:r w:rsidR="00C324D4" w:rsidRPr="00F41A07">
        <w:rPr>
          <w:rFonts w:eastAsia="MS Mincho"/>
          <w:lang w:eastAsia="ja-JP"/>
        </w:rPr>
        <w:t xml:space="preserve">It is noted </w:t>
      </w:r>
      <w:r w:rsidR="00C324D4" w:rsidRPr="00F41A07">
        <w:rPr>
          <w:rFonts w:eastAsia="MS Mincho"/>
          <w:lang w:eastAsia="ja-JP"/>
        </w:rPr>
        <w:lastRenderedPageBreak/>
        <w:t>that the list of services and applications that would need to be studie</w:t>
      </w:r>
      <w:r w:rsidR="00A22702">
        <w:rPr>
          <w:rFonts w:eastAsia="MS Mincho"/>
          <w:lang w:eastAsia="ja-JP"/>
        </w:rPr>
        <w:t>d</w:t>
      </w:r>
      <w:r w:rsidR="00C324D4" w:rsidRPr="00F41A07">
        <w:rPr>
          <w:rFonts w:eastAsia="MS Mincho"/>
          <w:lang w:eastAsia="ja-JP"/>
        </w:rPr>
        <w:t xml:space="preserve"> should consider further the information provided by the contributing Working Parties by the deadline of </w:t>
      </w:r>
      <w:proofErr w:type="gramStart"/>
      <w:r w:rsidR="00C324D4" w:rsidRPr="00F41A07">
        <w:rPr>
          <w:rFonts w:eastAsia="MS Mincho"/>
          <w:lang w:eastAsia="ja-JP"/>
        </w:rPr>
        <w:t>23 July 2021, and</w:t>
      </w:r>
      <w:proofErr w:type="gramEnd"/>
      <w:r w:rsidR="00C324D4" w:rsidRPr="00F41A07">
        <w:rPr>
          <w:rFonts w:eastAsia="MS Mincho"/>
          <w:lang w:eastAsia="ja-JP"/>
        </w:rPr>
        <w:t xml:space="preserve"> be adjusted as appropriate. Also note that the list of studies should be reviewed after the deadline of 23 July 2021 to check whether information for all the services/applications listed have been received from the responsible WP, and if the information has not been received by WP 5D, the study with such service should be excluded from the list.</w:t>
      </w:r>
      <w:r w:rsidR="002D7DF1">
        <w:rPr>
          <w:rFonts w:eastAsia="MS Mincho"/>
          <w:lang w:eastAsia="ja-JP"/>
        </w:rPr>
        <w:t xml:space="preserve"> Different views were raised for the f</w:t>
      </w:r>
      <w:r w:rsidR="00C324D4" w:rsidRPr="00F41A07">
        <w:rPr>
          <w:rFonts w:eastAsia="MS Mincho"/>
          <w:lang w:eastAsia="ja-JP"/>
        </w:rPr>
        <w:t xml:space="preserve">ollowing </w:t>
      </w:r>
      <w:r w:rsidR="002D7DF1" w:rsidRPr="00F41A07">
        <w:rPr>
          <w:rFonts w:eastAsia="MS Mincho"/>
          <w:lang w:eastAsia="ja-JP"/>
        </w:rPr>
        <w:t>studies</w:t>
      </w:r>
      <w:r w:rsidR="002D7DF1">
        <w:rPr>
          <w:rFonts w:eastAsia="MS Mincho"/>
          <w:lang w:eastAsia="ja-JP"/>
        </w:rPr>
        <w:t xml:space="preserve">: </w:t>
      </w:r>
    </w:p>
    <w:p w14:paraId="0E9A7B1E" w14:textId="77777777" w:rsidR="00C324D4" w:rsidRPr="00F41A07" w:rsidRDefault="00C324D4" w:rsidP="0044220E">
      <w:pPr>
        <w:pStyle w:val="ListParagraph"/>
        <w:numPr>
          <w:ilvl w:val="1"/>
          <w:numId w:val="24"/>
        </w:numPr>
        <w:autoSpaceDE w:val="0"/>
        <w:autoSpaceDN w:val="0"/>
        <w:spacing w:line="276" w:lineRule="auto"/>
        <w:ind w:left="1134" w:hanging="425"/>
      </w:pPr>
      <w:r w:rsidRPr="00C324D4">
        <w:rPr>
          <w:rFonts w:eastAsia="MS Mincho"/>
          <w:lang w:eastAsia="ja-JP"/>
        </w:rPr>
        <w:t xml:space="preserve">Compatibility studies between radio astronomy service in 1 400-1 427 MHz, 1 610.6-1 613.8 MHz and 1 660-1 670 MHz frequency bands and second harmonics of HIBS operating in the 694-960 MHz frequency </w:t>
      </w:r>
      <w:proofErr w:type="gramStart"/>
      <w:r w:rsidRPr="00C324D4">
        <w:rPr>
          <w:rFonts w:eastAsia="MS Mincho"/>
          <w:lang w:eastAsia="ja-JP"/>
        </w:rPr>
        <w:t>range</w:t>
      </w:r>
      <w:proofErr w:type="gramEnd"/>
    </w:p>
    <w:p w14:paraId="5E94B347" w14:textId="6EA3C510" w:rsidR="00D93A07" w:rsidRPr="0058427E" w:rsidRDefault="00C324D4" w:rsidP="0044220E">
      <w:pPr>
        <w:pStyle w:val="ListParagraph"/>
        <w:numPr>
          <w:ilvl w:val="2"/>
          <w:numId w:val="24"/>
        </w:numPr>
        <w:autoSpaceDE w:val="0"/>
        <w:autoSpaceDN w:val="0"/>
        <w:spacing w:line="276" w:lineRule="auto"/>
        <w:ind w:left="1560" w:hanging="284"/>
      </w:pPr>
      <w:r w:rsidRPr="00C324D4">
        <w:rPr>
          <w:rFonts w:eastAsia="MS Mincho"/>
          <w:lang w:eastAsia="ja-JP"/>
        </w:rPr>
        <w:t>Some views were expressed that studies on second harmonics of RAS should not be performed, as it is not included in Resolution 247 (WRC-19). Also, it would not be necessary considering the FDD arrangements of M.1036 (A4-A11), the possible harmonics listed for RAS would come from the HIBS uplink in the 700 MHz band, and no studies with UE are necessary. Other views were expressed that arrangement A3 (also known as 800 MHz band) is widely used. This arrangement uses a reverse duplexer (BS in the lower part, UE in the upper part). Therefore, in this case the BS’s 2nd harmonics of this arrangement would fall into the 1610.6-1613.8 MHz band.</w:t>
      </w:r>
    </w:p>
    <w:p w14:paraId="780322FA" w14:textId="7CF2DA11" w:rsidR="00D93A07" w:rsidRDefault="002D7DF1" w:rsidP="0044220E">
      <w:pPr>
        <w:pStyle w:val="ListParagraph"/>
        <w:numPr>
          <w:ilvl w:val="1"/>
          <w:numId w:val="24"/>
        </w:numPr>
        <w:autoSpaceDE w:val="0"/>
        <w:autoSpaceDN w:val="0"/>
        <w:spacing w:line="276" w:lineRule="auto"/>
        <w:ind w:left="1134" w:hanging="425"/>
      </w:pPr>
      <w:r w:rsidRPr="002D7DF1">
        <w:t>Sharing and compatibility studies between mobile satellite service (space-to-Earth and Earth-to-Space) in 2 500-2 535 MHz and 2 655-2 690 MHz and HIBS operating in the 2 500-2 690 MHz frequency range</w:t>
      </w:r>
    </w:p>
    <w:p w14:paraId="5A8FC755" w14:textId="4C0FA54E" w:rsidR="002D7DF1" w:rsidRPr="0058427E" w:rsidRDefault="002D7DF1" w:rsidP="0044220E">
      <w:pPr>
        <w:pStyle w:val="ListParagraph"/>
        <w:numPr>
          <w:ilvl w:val="2"/>
          <w:numId w:val="24"/>
        </w:numPr>
        <w:autoSpaceDE w:val="0"/>
        <w:autoSpaceDN w:val="0"/>
        <w:spacing w:line="276" w:lineRule="auto"/>
        <w:ind w:left="1560" w:hanging="284"/>
      </w:pPr>
      <w:r w:rsidRPr="002D7DF1">
        <w:t xml:space="preserve">A view was expressed that with regards to MSS(E-s) in 2655-2690 MHz, as invite ITU-R 2 in Res.247, HIBS in Region 3 will not use 2655-2690 </w:t>
      </w:r>
      <w:proofErr w:type="spellStart"/>
      <w:r w:rsidRPr="002D7DF1">
        <w:t>MHz.</w:t>
      </w:r>
      <w:proofErr w:type="spellEnd"/>
      <w:r w:rsidRPr="002D7DF1">
        <w:t xml:space="preserve"> Compatibility studies between MSS operating in 2500-2535 MHz (s-E) and 2655-2690 MHz (E-s) and HIBS operating in adjacent frequency bands in Region 3 may be undertaken and included. Regarding the interference from HIBS in Regions 1 and 2 to MSS(E-s) in Region 3, or part thereof as the case may be, sharing and compatibility studies may be undertaken and included. Other views were expressed that studies are not necessary with MSS bands that are not to be used by HIBS in Region 3.</w:t>
      </w:r>
    </w:p>
    <w:p w14:paraId="0129B534" w14:textId="77777777" w:rsidR="00E41BE2" w:rsidRDefault="00E41BE2" w:rsidP="00E5341E">
      <w:pPr>
        <w:spacing w:after="120"/>
        <w:jc w:val="both"/>
        <w:rPr>
          <w:b/>
        </w:rPr>
      </w:pPr>
    </w:p>
    <w:p w14:paraId="1A59F811" w14:textId="631F4F7D" w:rsidR="00957294" w:rsidRDefault="00957294" w:rsidP="00957294">
      <w:pPr>
        <w:spacing w:after="120"/>
        <w:jc w:val="both"/>
        <w:rPr>
          <w:b/>
          <w:lang w:val="en-NZ" w:eastAsia="ko-KR"/>
        </w:rPr>
      </w:pPr>
      <w:r>
        <w:rPr>
          <w:b/>
          <w:lang w:val="en-NZ" w:eastAsia="ko-KR"/>
        </w:rPr>
        <w:t>3</w:t>
      </w:r>
      <w:r w:rsidRPr="00441526">
        <w:rPr>
          <w:b/>
          <w:lang w:val="en-NZ" w:eastAsia="ko-KR"/>
        </w:rPr>
        <w:t xml:space="preserve">. </w:t>
      </w:r>
      <w:r w:rsidRPr="00441526">
        <w:rPr>
          <w:b/>
          <w:lang w:val="en-NZ" w:eastAsia="ko-KR"/>
        </w:rPr>
        <w:tab/>
      </w:r>
      <w:r>
        <w:rPr>
          <w:b/>
          <w:lang w:val="en-NZ" w:eastAsia="ko-KR"/>
        </w:rPr>
        <w:t>Position of the Regional Group (if available)</w:t>
      </w:r>
    </w:p>
    <w:p w14:paraId="433969AB" w14:textId="46A227CC" w:rsidR="00957294" w:rsidRDefault="005263C8" w:rsidP="005263C8">
      <w:pPr>
        <w:pStyle w:val="ListParagraph"/>
        <w:numPr>
          <w:ilvl w:val="0"/>
          <w:numId w:val="21"/>
        </w:numPr>
        <w:spacing w:after="120"/>
        <w:jc w:val="both"/>
        <w:rPr>
          <w:bCs/>
          <w:lang w:val="en-NZ" w:eastAsia="ko-KR"/>
        </w:rPr>
      </w:pPr>
      <w:r w:rsidRPr="005263C8">
        <w:rPr>
          <w:bCs/>
          <w:lang w:val="en-NZ" w:eastAsia="ko-KR"/>
        </w:rPr>
        <w:t>ATU</w:t>
      </w:r>
      <w:r w:rsidR="000553C0">
        <w:rPr>
          <w:bCs/>
          <w:lang w:val="en-NZ" w:eastAsia="ko-KR"/>
        </w:rPr>
        <w:t xml:space="preserve"> </w:t>
      </w:r>
    </w:p>
    <w:p w14:paraId="4FC81A00" w14:textId="27D77EA0" w:rsidR="00F33865" w:rsidRDefault="005263C8" w:rsidP="00F33865">
      <w:pPr>
        <w:pStyle w:val="ListParagraph"/>
        <w:numPr>
          <w:ilvl w:val="0"/>
          <w:numId w:val="21"/>
        </w:numPr>
        <w:spacing w:after="120"/>
        <w:jc w:val="both"/>
        <w:rPr>
          <w:bCs/>
          <w:lang w:val="en-NZ" w:eastAsia="ko-KR"/>
        </w:rPr>
      </w:pPr>
      <w:r w:rsidRPr="005263C8">
        <w:rPr>
          <w:bCs/>
          <w:lang w:val="en-NZ" w:eastAsia="ko-KR"/>
        </w:rPr>
        <w:t>ASMG</w:t>
      </w:r>
      <w:r w:rsidR="00F33865">
        <w:rPr>
          <w:bCs/>
          <w:lang w:val="en-NZ" w:eastAsia="ko-KR"/>
        </w:rPr>
        <w:t xml:space="preserve"> (July 2020)</w:t>
      </w:r>
    </w:p>
    <w:p w14:paraId="5D2AD8B2" w14:textId="492DCB5B" w:rsidR="00F33865" w:rsidRPr="00F33865" w:rsidRDefault="00F33865" w:rsidP="00F33865">
      <w:pPr>
        <w:pStyle w:val="ListParagraph"/>
        <w:numPr>
          <w:ilvl w:val="1"/>
          <w:numId w:val="21"/>
        </w:numPr>
        <w:spacing w:after="120"/>
        <w:jc w:val="both"/>
        <w:rPr>
          <w:bCs/>
          <w:lang w:val="en-NZ" w:eastAsia="ko-KR"/>
        </w:rPr>
      </w:pPr>
      <w:r w:rsidRPr="00F33865">
        <w:rPr>
          <w:bCs/>
          <w:lang w:val="en-NZ" w:eastAsia="ko-KR"/>
        </w:rPr>
        <w:t xml:space="preserve">Inviting ASMG administrations to determine the possibility of using HIBS in the bands mentioned in Resolution </w:t>
      </w:r>
      <w:r w:rsidRPr="00F33865">
        <w:rPr>
          <w:b/>
          <w:bCs/>
          <w:lang w:val="en-NZ" w:eastAsia="ko-KR"/>
        </w:rPr>
        <w:t>247 (WRC-19)</w:t>
      </w:r>
      <w:r w:rsidRPr="00F33865">
        <w:rPr>
          <w:bCs/>
          <w:lang w:val="en-NZ" w:eastAsia="ko-KR"/>
        </w:rPr>
        <w:t xml:space="preserve"> with consideration of sharing and compatibility studies </w:t>
      </w:r>
      <w:proofErr w:type="gramStart"/>
      <w:r w:rsidRPr="00F33865">
        <w:rPr>
          <w:bCs/>
          <w:lang w:val="en-NZ" w:eastAsia="ko-KR"/>
        </w:rPr>
        <w:t>in order to</w:t>
      </w:r>
      <w:proofErr w:type="gramEnd"/>
      <w:r w:rsidRPr="00F33865">
        <w:rPr>
          <w:bCs/>
          <w:lang w:val="en-NZ" w:eastAsia="ko-KR"/>
        </w:rPr>
        <w:t xml:space="preserve"> ensure protection of the</w:t>
      </w:r>
      <w:r>
        <w:rPr>
          <w:bCs/>
          <w:lang w:val="en-NZ" w:eastAsia="ko-KR"/>
        </w:rPr>
        <w:t xml:space="preserve"> </w:t>
      </w:r>
      <w:r w:rsidRPr="00F33865">
        <w:rPr>
          <w:bCs/>
          <w:lang w:val="en-NZ" w:eastAsia="ko-KR"/>
        </w:rPr>
        <w:t>existing services, including other uses of IMT, in these bans and adjacent bands.</w:t>
      </w:r>
    </w:p>
    <w:p w14:paraId="6F14C81D" w14:textId="095C957B" w:rsidR="005263C8" w:rsidRDefault="005263C8" w:rsidP="005263C8">
      <w:pPr>
        <w:pStyle w:val="ListParagraph"/>
        <w:numPr>
          <w:ilvl w:val="0"/>
          <w:numId w:val="21"/>
        </w:numPr>
        <w:spacing w:after="120"/>
        <w:jc w:val="both"/>
        <w:rPr>
          <w:bCs/>
          <w:lang w:val="en-NZ" w:eastAsia="ko-KR"/>
        </w:rPr>
      </w:pPr>
      <w:r w:rsidRPr="005263C8">
        <w:rPr>
          <w:bCs/>
          <w:lang w:val="en-NZ" w:eastAsia="ko-KR"/>
        </w:rPr>
        <w:t>CEPT</w:t>
      </w:r>
      <w:r w:rsidR="00F33865">
        <w:rPr>
          <w:bCs/>
          <w:lang w:val="en-NZ" w:eastAsia="ko-KR"/>
        </w:rPr>
        <w:t xml:space="preserve"> (December 2020) </w:t>
      </w:r>
    </w:p>
    <w:p w14:paraId="0337C6E8" w14:textId="0EF2EE4D" w:rsidR="00F33865" w:rsidRPr="005263C8" w:rsidRDefault="00F33865" w:rsidP="00F33865">
      <w:pPr>
        <w:pStyle w:val="ListParagraph"/>
        <w:numPr>
          <w:ilvl w:val="1"/>
          <w:numId w:val="21"/>
        </w:numPr>
        <w:spacing w:after="120"/>
        <w:jc w:val="both"/>
        <w:rPr>
          <w:bCs/>
          <w:lang w:val="en-NZ" w:eastAsia="ko-KR"/>
        </w:rPr>
      </w:pPr>
      <w:r>
        <w:rPr>
          <w:rFonts w:eastAsia="MS Mincho" w:hint="eastAsia"/>
          <w:bCs/>
          <w:lang w:val="en-NZ" w:eastAsia="ja-JP"/>
        </w:rPr>
        <w:t>T</w:t>
      </w:r>
      <w:r>
        <w:rPr>
          <w:rFonts w:eastAsia="MS Mincho"/>
          <w:bCs/>
          <w:lang w:val="en-NZ" w:eastAsia="ja-JP"/>
        </w:rPr>
        <w:t>BD</w:t>
      </w:r>
    </w:p>
    <w:p w14:paraId="3E39A585" w14:textId="3CE9F1D2" w:rsidR="005263C8" w:rsidRDefault="005263C8" w:rsidP="005263C8">
      <w:pPr>
        <w:pStyle w:val="ListParagraph"/>
        <w:numPr>
          <w:ilvl w:val="0"/>
          <w:numId w:val="21"/>
        </w:numPr>
        <w:spacing w:after="120"/>
        <w:jc w:val="both"/>
        <w:rPr>
          <w:bCs/>
          <w:lang w:val="en-NZ" w:eastAsia="ko-KR"/>
        </w:rPr>
      </w:pPr>
      <w:r w:rsidRPr="005263C8">
        <w:rPr>
          <w:bCs/>
          <w:lang w:val="en-NZ" w:eastAsia="ko-KR"/>
        </w:rPr>
        <w:t>CITEL</w:t>
      </w:r>
      <w:r w:rsidR="00F33865">
        <w:rPr>
          <w:bCs/>
          <w:lang w:val="en-NZ" w:eastAsia="ko-KR"/>
        </w:rPr>
        <w:t xml:space="preserve"> (December 2020)</w:t>
      </w:r>
    </w:p>
    <w:p w14:paraId="7A0031BF" w14:textId="77777777" w:rsidR="00F33865" w:rsidRPr="00F33865" w:rsidRDefault="00F33865" w:rsidP="00F33865">
      <w:pPr>
        <w:pStyle w:val="ListParagraph"/>
        <w:numPr>
          <w:ilvl w:val="1"/>
          <w:numId w:val="21"/>
        </w:numPr>
        <w:spacing w:after="120"/>
        <w:jc w:val="both"/>
        <w:rPr>
          <w:bCs/>
          <w:lang w:val="en-NZ" w:eastAsia="ko-KR"/>
        </w:rPr>
      </w:pPr>
      <w:r w:rsidRPr="00F33865">
        <w:rPr>
          <w:bCs/>
          <w:lang w:val="en-NZ" w:eastAsia="ko-KR"/>
        </w:rPr>
        <w:t>Preliminary Views</w:t>
      </w:r>
    </w:p>
    <w:p w14:paraId="748168C4" w14:textId="77777777" w:rsidR="00F33865" w:rsidRPr="00F33865" w:rsidRDefault="00F33865" w:rsidP="0044220E">
      <w:pPr>
        <w:pStyle w:val="ListParagraph"/>
        <w:numPr>
          <w:ilvl w:val="2"/>
          <w:numId w:val="21"/>
        </w:numPr>
        <w:spacing w:after="120"/>
        <w:ind w:left="2268" w:hanging="393"/>
        <w:jc w:val="both"/>
        <w:rPr>
          <w:bCs/>
          <w:lang w:val="en-NZ" w:eastAsia="ko-KR"/>
        </w:rPr>
      </w:pPr>
      <w:r w:rsidRPr="00F33865">
        <w:rPr>
          <w:bCs/>
          <w:lang w:val="en-NZ" w:eastAsia="ko-KR"/>
        </w:rPr>
        <w:lastRenderedPageBreak/>
        <w:t>Some administrations support studies on WRC-23 agenda item 1.4, in accordance with Resolution</w:t>
      </w:r>
      <w:r w:rsidRPr="00F33865">
        <w:rPr>
          <w:b/>
          <w:bCs/>
          <w:lang w:val="en-NZ" w:eastAsia="ko-KR"/>
        </w:rPr>
        <w:t xml:space="preserve"> 247 (WRC-19)</w:t>
      </w:r>
      <w:r w:rsidRPr="00F33865">
        <w:rPr>
          <w:bCs/>
          <w:lang w:val="en-NZ" w:eastAsia="ko-KR"/>
        </w:rPr>
        <w:t xml:space="preserve">. </w:t>
      </w:r>
    </w:p>
    <w:p w14:paraId="7DADBFF4" w14:textId="2453E1C2" w:rsidR="005263C8" w:rsidRPr="005263C8" w:rsidRDefault="00F33865" w:rsidP="0044220E">
      <w:pPr>
        <w:pStyle w:val="ListParagraph"/>
        <w:numPr>
          <w:ilvl w:val="2"/>
          <w:numId w:val="21"/>
        </w:numPr>
        <w:spacing w:after="120"/>
        <w:ind w:left="2268" w:hanging="393"/>
        <w:jc w:val="both"/>
        <w:rPr>
          <w:bCs/>
          <w:lang w:val="en-NZ" w:eastAsia="ko-KR"/>
        </w:rPr>
      </w:pPr>
      <w:r w:rsidRPr="00F33865">
        <w:rPr>
          <w:bCs/>
          <w:lang w:val="en-NZ" w:eastAsia="ko-KR"/>
        </w:rPr>
        <w:t>An Administration considers that modifications to the identifications to IMT (RR Nos.</w:t>
      </w:r>
      <w:r w:rsidRPr="00F33865">
        <w:rPr>
          <w:b/>
          <w:bCs/>
          <w:lang w:val="en-NZ" w:eastAsia="ko-KR"/>
        </w:rPr>
        <w:t xml:space="preserve"> 5.286AA, 5.317A, 5.341A, 5.341B, 5.341C, 5.346, 5.346A, 5.384A</w:t>
      </w:r>
      <w:r w:rsidRPr="00F33865">
        <w:rPr>
          <w:bCs/>
          <w:lang w:val="en-NZ" w:eastAsia="ko-KR"/>
        </w:rPr>
        <w:t xml:space="preserve"> and</w:t>
      </w:r>
      <w:r w:rsidRPr="00F33865">
        <w:rPr>
          <w:b/>
          <w:bCs/>
          <w:lang w:val="en-NZ" w:eastAsia="ko-KR"/>
        </w:rPr>
        <w:t xml:space="preserve"> 5.388</w:t>
      </w:r>
      <w:r w:rsidRPr="00F33865">
        <w:rPr>
          <w:bCs/>
          <w:lang w:val="en-NZ" w:eastAsia="ko-KR"/>
        </w:rPr>
        <w:t>) in the Radio Regulations are outside the scope of WRC-23 Agenda Item 1.4; there should be no additional regulatory or technical constraints imposed on the deployment of terrestrial IMT in the frequency bands referred to in those footnotes.</w:t>
      </w:r>
      <w:r w:rsidRPr="005263C8">
        <w:rPr>
          <w:bCs/>
          <w:lang w:val="en-NZ" w:eastAsia="ko-KR"/>
        </w:rPr>
        <w:t xml:space="preserve"> </w:t>
      </w:r>
    </w:p>
    <w:p w14:paraId="59ED3143" w14:textId="11217B65" w:rsidR="005263C8" w:rsidRDefault="005263C8" w:rsidP="005263C8">
      <w:pPr>
        <w:pStyle w:val="ListParagraph"/>
        <w:numPr>
          <w:ilvl w:val="0"/>
          <w:numId w:val="21"/>
        </w:numPr>
        <w:spacing w:after="120"/>
        <w:jc w:val="both"/>
        <w:rPr>
          <w:bCs/>
          <w:lang w:val="en-NZ" w:eastAsia="ko-KR"/>
        </w:rPr>
      </w:pPr>
      <w:proofErr w:type="gramStart"/>
      <w:r w:rsidRPr="005263C8">
        <w:rPr>
          <w:bCs/>
          <w:lang w:val="en-NZ" w:eastAsia="ko-KR"/>
        </w:rPr>
        <w:t>RCC</w:t>
      </w:r>
      <w:r w:rsidR="00F33865">
        <w:rPr>
          <w:bCs/>
          <w:lang w:val="en-NZ" w:eastAsia="ko-KR"/>
        </w:rPr>
        <w:t xml:space="preserve"> </w:t>
      </w:r>
      <w:r w:rsidR="00F33865" w:rsidRPr="00F33865">
        <w:rPr>
          <w:bCs/>
          <w:lang w:val="en-NZ" w:eastAsia="ko-KR"/>
        </w:rPr>
        <w:t xml:space="preserve"> (</w:t>
      </w:r>
      <w:proofErr w:type="gramEnd"/>
      <w:r w:rsidR="00F33865" w:rsidRPr="00F33865">
        <w:rPr>
          <w:bCs/>
          <w:lang w:val="en-NZ" w:eastAsia="ko-KR"/>
        </w:rPr>
        <w:t>September</w:t>
      </w:r>
      <w:r w:rsidR="00F33865">
        <w:rPr>
          <w:bCs/>
          <w:lang w:val="en-NZ" w:eastAsia="ko-KR"/>
        </w:rPr>
        <w:t xml:space="preserve"> </w:t>
      </w:r>
      <w:r w:rsidR="00F33865" w:rsidRPr="00F33865">
        <w:rPr>
          <w:bCs/>
          <w:lang w:val="en-NZ" w:eastAsia="ko-KR"/>
        </w:rPr>
        <w:t>2020)</w:t>
      </w:r>
    </w:p>
    <w:p w14:paraId="0F125C0C" w14:textId="7CDF2EB5" w:rsidR="00F33865" w:rsidRDefault="00F33865" w:rsidP="00F33865">
      <w:pPr>
        <w:pStyle w:val="ListParagraph"/>
        <w:numPr>
          <w:ilvl w:val="1"/>
          <w:numId w:val="21"/>
        </w:numPr>
        <w:spacing w:after="120"/>
        <w:jc w:val="both"/>
        <w:rPr>
          <w:bCs/>
          <w:lang w:val="en-NZ" w:eastAsia="ko-KR"/>
        </w:rPr>
      </w:pPr>
      <w:r w:rsidRPr="00F33865">
        <w:rPr>
          <w:bCs/>
          <w:lang w:val="en-NZ" w:eastAsia="ko-KR"/>
        </w:rPr>
        <w:t xml:space="preserve">The RCC Administrations consider it necessary to identify the possibility of using HIBS in the frequency bands referred to in Resolution </w:t>
      </w:r>
      <w:r w:rsidRPr="00F33865">
        <w:rPr>
          <w:b/>
          <w:bCs/>
          <w:lang w:val="en-NZ" w:eastAsia="ko-KR"/>
        </w:rPr>
        <w:t>247 (WRC-19)</w:t>
      </w:r>
      <w:r w:rsidRPr="00F33865">
        <w:rPr>
          <w:bCs/>
          <w:lang w:val="en-NZ" w:eastAsia="ko-KR"/>
        </w:rPr>
        <w:t xml:space="preserve">, </w:t>
      </w:r>
      <w:proofErr w:type="gramStart"/>
      <w:r w:rsidRPr="00F33865">
        <w:rPr>
          <w:bCs/>
          <w:lang w:val="en-NZ" w:eastAsia="ko-KR"/>
        </w:rPr>
        <w:t>taking into account</w:t>
      </w:r>
      <w:proofErr w:type="gramEnd"/>
      <w:r w:rsidRPr="00F33865">
        <w:rPr>
          <w:bCs/>
          <w:lang w:val="en-NZ" w:eastAsia="ko-KR"/>
        </w:rPr>
        <w:t xml:space="preserve"> the protection requirements for incumbent services, in these and adjacent frequency bands, based on the result of compatibility studies carried out by ITU-R.</w:t>
      </w:r>
    </w:p>
    <w:p w14:paraId="4A980740" w14:textId="77777777" w:rsidR="005263C8" w:rsidRPr="0044220E" w:rsidRDefault="005263C8" w:rsidP="0044220E">
      <w:pPr>
        <w:spacing w:after="120"/>
        <w:jc w:val="both"/>
        <w:rPr>
          <w:bCs/>
          <w:lang w:val="en-NZ" w:eastAsia="ko-KR"/>
        </w:rPr>
      </w:pPr>
    </w:p>
    <w:p w14:paraId="32715F49" w14:textId="744F53A8" w:rsidR="00957294" w:rsidRPr="00441526" w:rsidRDefault="00957294" w:rsidP="00957294">
      <w:pPr>
        <w:spacing w:after="120"/>
        <w:jc w:val="both"/>
        <w:rPr>
          <w:b/>
          <w:lang w:val="en-NZ" w:eastAsia="ko-KR"/>
        </w:rPr>
      </w:pPr>
      <w:r>
        <w:rPr>
          <w:b/>
          <w:lang w:val="en-NZ" w:eastAsia="ko-KR"/>
        </w:rPr>
        <w:t>4</w:t>
      </w:r>
      <w:r w:rsidRPr="00441526">
        <w:rPr>
          <w:b/>
          <w:lang w:val="en-NZ" w:eastAsia="ko-KR"/>
        </w:rPr>
        <w:t xml:space="preserve">. </w:t>
      </w:r>
      <w:r w:rsidRPr="00441526">
        <w:rPr>
          <w:b/>
          <w:lang w:val="en-NZ" w:eastAsia="ko-KR"/>
        </w:rPr>
        <w:tab/>
      </w:r>
      <w:r w:rsidR="005263C8">
        <w:rPr>
          <w:b/>
          <w:lang w:val="en-NZ" w:eastAsia="ko-KR"/>
        </w:rPr>
        <w:t xml:space="preserve">Position of International Organizations </w:t>
      </w:r>
      <w:r>
        <w:rPr>
          <w:b/>
          <w:lang w:val="en-NZ" w:eastAsia="ko-KR"/>
        </w:rPr>
        <w:t>(if available)</w:t>
      </w:r>
    </w:p>
    <w:p w14:paraId="18974646" w14:textId="09BE45A9" w:rsidR="005263C8" w:rsidRDefault="005263C8" w:rsidP="005263C8">
      <w:pPr>
        <w:pStyle w:val="ListParagraph"/>
        <w:numPr>
          <w:ilvl w:val="0"/>
          <w:numId w:val="21"/>
        </w:numPr>
        <w:spacing w:after="120"/>
        <w:jc w:val="both"/>
        <w:rPr>
          <w:bCs/>
          <w:lang w:val="en-NZ" w:eastAsia="ko-KR"/>
        </w:rPr>
      </w:pPr>
      <w:r>
        <w:rPr>
          <w:bCs/>
          <w:lang w:val="en-NZ" w:eastAsia="ko-KR"/>
        </w:rPr>
        <w:t>ICAO</w:t>
      </w:r>
    </w:p>
    <w:p w14:paraId="638325BC" w14:textId="77777777" w:rsidR="005263C8" w:rsidRDefault="005263C8" w:rsidP="005263C8">
      <w:pPr>
        <w:pStyle w:val="ListParagraph"/>
        <w:spacing w:after="120"/>
        <w:ind w:left="1080"/>
        <w:jc w:val="both"/>
        <w:rPr>
          <w:bCs/>
          <w:lang w:val="en-NZ" w:eastAsia="ko-KR"/>
        </w:rPr>
      </w:pPr>
    </w:p>
    <w:p w14:paraId="1A3BA6F3" w14:textId="394B76C1" w:rsidR="005263C8" w:rsidRDefault="005263C8" w:rsidP="005263C8">
      <w:pPr>
        <w:pStyle w:val="ListParagraph"/>
        <w:numPr>
          <w:ilvl w:val="0"/>
          <w:numId w:val="21"/>
        </w:numPr>
        <w:spacing w:after="120"/>
        <w:jc w:val="both"/>
        <w:rPr>
          <w:bCs/>
          <w:lang w:val="en-NZ" w:eastAsia="ko-KR"/>
        </w:rPr>
      </w:pPr>
      <w:r>
        <w:rPr>
          <w:bCs/>
          <w:lang w:val="en-NZ" w:eastAsia="ko-KR"/>
        </w:rPr>
        <w:t>IMO</w:t>
      </w:r>
    </w:p>
    <w:p w14:paraId="1F179006" w14:textId="77777777" w:rsidR="005263C8" w:rsidRPr="005263C8" w:rsidRDefault="005263C8" w:rsidP="005263C8">
      <w:pPr>
        <w:spacing w:after="120"/>
        <w:jc w:val="both"/>
        <w:rPr>
          <w:bCs/>
          <w:lang w:val="en-NZ" w:eastAsia="ko-KR"/>
        </w:rPr>
      </w:pPr>
    </w:p>
    <w:p w14:paraId="140C012D" w14:textId="395DD040" w:rsidR="005263C8" w:rsidRDefault="005263C8" w:rsidP="00F33865">
      <w:pPr>
        <w:pStyle w:val="ListParagraph"/>
        <w:numPr>
          <w:ilvl w:val="0"/>
          <w:numId w:val="21"/>
        </w:numPr>
        <w:spacing w:after="120"/>
        <w:jc w:val="both"/>
        <w:rPr>
          <w:bCs/>
          <w:lang w:val="en-NZ" w:eastAsia="ko-KR"/>
        </w:rPr>
      </w:pPr>
      <w:r>
        <w:rPr>
          <w:bCs/>
          <w:lang w:val="en-NZ" w:eastAsia="ko-KR"/>
        </w:rPr>
        <w:t>WMO</w:t>
      </w:r>
      <w:r w:rsidR="005A176A">
        <w:rPr>
          <w:bCs/>
          <w:lang w:val="en-NZ" w:eastAsia="ko-KR"/>
        </w:rPr>
        <w:t xml:space="preserve"> (February 2020)</w:t>
      </w:r>
    </w:p>
    <w:p w14:paraId="7115831A" w14:textId="77777777" w:rsidR="00F33865" w:rsidRPr="00F33865" w:rsidRDefault="00F33865" w:rsidP="00F33865">
      <w:pPr>
        <w:pStyle w:val="ListParagraph"/>
        <w:numPr>
          <w:ilvl w:val="1"/>
          <w:numId w:val="21"/>
        </w:numPr>
        <w:spacing w:after="120"/>
        <w:jc w:val="both"/>
        <w:rPr>
          <w:bCs/>
          <w:lang w:val="en-NZ" w:eastAsia="ko-KR"/>
        </w:rPr>
      </w:pPr>
      <w:r w:rsidRPr="00F33865">
        <w:rPr>
          <w:bCs/>
          <w:lang w:val="en-NZ" w:eastAsia="ko-KR"/>
        </w:rPr>
        <w:t>WMO is of the opinion that studies must be conducted to specify the HIBS out-of-band unwanted emissions to prevent interference:</w:t>
      </w:r>
    </w:p>
    <w:p w14:paraId="615382B7" w14:textId="77777777" w:rsidR="00F33865" w:rsidRPr="00F33865" w:rsidRDefault="00F33865" w:rsidP="0044220E">
      <w:pPr>
        <w:pStyle w:val="ListParagraph"/>
        <w:numPr>
          <w:ilvl w:val="2"/>
          <w:numId w:val="21"/>
        </w:numPr>
        <w:spacing w:after="120"/>
        <w:ind w:left="2268" w:hanging="425"/>
        <w:jc w:val="both"/>
        <w:rPr>
          <w:bCs/>
          <w:lang w:val="en-NZ" w:eastAsia="ko-KR"/>
        </w:rPr>
      </w:pPr>
      <w:r w:rsidRPr="00F33865">
        <w:rPr>
          <w:bCs/>
          <w:lang w:val="en-NZ" w:eastAsia="ko-KR"/>
        </w:rPr>
        <w:t>to meteorological radars in the 2700-2900 MHz band from HIBS operated in the 2500-2690 MHz band,</w:t>
      </w:r>
    </w:p>
    <w:p w14:paraId="3DC04141" w14:textId="31F4BDA4" w:rsidR="00F33865" w:rsidRPr="00F33865" w:rsidRDefault="00F33865" w:rsidP="0044220E">
      <w:pPr>
        <w:pStyle w:val="ListParagraph"/>
        <w:numPr>
          <w:ilvl w:val="2"/>
          <w:numId w:val="21"/>
        </w:numPr>
        <w:spacing w:after="120"/>
        <w:ind w:left="2268" w:hanging="425"/>
        <w:jc w:val="both"/>
        <w:rPr>
          <w:bCs/>
          <w:lang w:val="en-NZ" w:eastAsia="ko-KR"/>
        </w:rPr>
      </w:pPr>
      <w:r w:rsidRPr="00F33865">
        <w:rPr>
          <w:bCs/>
          <w:lang w:val="en-NZ" w:eastAsia="ko-KR"/>
        </w:rPr>
        <w:t xml:space="preserve">to </w:t>
      </w:r>
      <w:proofErr w:type="spellStart"/>
      <w:r w:rsidRPr="00F33865">
        <w:rPr>
          <w:bCs/>
          <w:lang w:val="en-NZ" w:eastAsia="ko-KR"/>
        </w:rPr>
        <w:t>MetSat</w:t>
      </w:r>
      <w:proofErr w:type="spellEnd"/>
      <w:r w:rsidRPr="00F33865">
        <w:rPr>
          <w:bCs/>
          <w:lang w:val="en-NZ" w:eastAsia="ko-KR"/>
        </w:rPr>
        <w:t xml:space="preserve"> service in the 1675-1710 MHz from HIBS operated in the 1710-1885 MHz band.</w:t>
      </w:r>
    </w:p>
    <w:p w14:paraId="588FA515" w14:textId="784D71C0" w:rsidR="005263C8" w:rsidRDefault="005263C8" w:rsidP="005263C8">
      <w:pPr>
        <w:pStyle w:val="ListParagraph"/>
        <w:numPr>
          <w:ilvl w:val="0"/>
          <w:numId w:val="21"/>
        </w:numPr>
        <w:spacing w:after="120"/>
        <w:jc w:val="both"/>
        <w:rPr>
          <w:bCs/>
          <w:lang w:val="en-NZ" w:eastAsia="ko-KR"/>
        </w:rPr>
      </w:pPr>
      <w:r>
        <w:rPr>
          <w:bCs/>
          <w:lang w:val="en-NZ" w:eastAsia="ko-KR"/>
        </w:rPr>
        <w:t>IARU R3</w:t>
      </w:r>
    </w:p>
    <w:p w14:paraId="2037A532" w14:textId="77777777" w:rsidR="00F33865" w:rsidRPr="005263C8" w:rsidRDefault="00F33865" w:rsidP="005263C8">
      <w:pPr>
        <w:pStyle w:val="ListParagraph"/>
        <w:rPr>
          <w:bCs/>
          <w:lang w:val="en-NZ" w:eastAsia="ko-KR"/>
        </w:rPr>
      </w:pPr>
    </w:p>
    <w:p w14:paraId="2006D93B" w14:textId="1A084465" w:rsidR="0037421D" w:rsidRPr="0044220E" w:rsidRDefault="005263C8" w:rsidP="00E5341E">
      <w:pPr>
        <w:pStyle w:val="ListParagraph"/>
        <w:numPr>
          <w:ilvl w:val="0"/>
          <w:numId w:val="21"/>
        </w:numPr>
        <w:spacing w:after="120"/>
        <w:jc w:val="both"/>
        <w:rPr>
          <w:bCs/>
          <w:lang w:val="en-NZ" w:eastAsia="ko-KR"/>
        </w:rPr>
      </w:pPr>
      <w:r>
        <w:rPr>
          <w:bCs/>
          <w:lang w:val="en-NZ" w:eastAsia="ko-KR"/>
        </w:rPr>
        <w:t>Etc…</w:t>
      </w:r>
    </w:p>
    <w:sectPr w:rsidR="0037421D" w:rsidRPr="0044220E" w:rsidSect="00FF72BB">
      <w:headerReference w:type="even" r:id="rId21"/>
      <w:headerReference w:type="default" r:id="rId22"/>
      <w:footerReference w:type="even" r:id="rId23"/>
      <w:footerReference w:type="default" r:id="rId24"/>
      <w:headerReference w:type="first" r:id="rId25"/>
      <w:footerReference w:type="first" r:id="rId26"/>
      <w:pgSz w:w="11909" w:h="16834" w:code="9"/>
      <w:pgMar w:top="1152" w:right="1296" w:bottom="1296"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iro Fukumoto" w:date="2021-03-15T04:27:00Z" w:initials="">
    <w:p w14:paraId="21C96018" w14:textId="77777777" w:rsidR="008E7BD5" w:rsidRDefault="008E7BD5" w:rsidP="008E7BD5">
      <w:pPr>
        <w:autoSpaceDE w:val="0"/>
        <w:autoSpaceDN w:val="0"/>
        <w:jc w:val="both"/>
        <w:rPr>
          <w:rFonts w:eastAsia="SimSun"/>
          <w:szCs w:val="20"/>
          <w:lang w:val="fr-FR"/>
        </w:rPr>
      </w:pPr>
      <w:r>
        <w:rPr>
          <w:rStyle w:val="CommentReference"/>
        </w:rPr>
        <w:annotationRef/>
      </w:r>
      <w:r>
        <w:rPr>
          <w:rFonts w:eastAsia="MS Mincho" w:hint="eastAsia"/>
          <w:szCs w:val="20"/>
          <w:lang w:val="fr-FR" w:eastAsia="ja-JP"/>
        </w:rPr>
        <w:t>Will</w:t>
      </w:r>
      <w:r w:rsidRPr="007B4563">
        <w:rPr>
          <w:rFonts w:eastAsia="SimSun"/>
          <w:szCs w:val="20"/>
          <w:lang w:val="fr-FR"/>
        </w:rPr>
        <w:t xml:space="preserve"> be replaced by </w:t>
      </w:r>
      <w:r>
        <w:rPr>
          <w:rFonts w:eastAsia="SimSun"/>
          <w:szCs w:val="20"/>
          <w:lang w:val="fr-FR"/>
        </w:rPr>
        <w:t>the corresponding Attachment in Chapter 4 of C</w:t>
      </w:r>
      <w:r w:rsidRPr="007B4563">
        <w:rPr>
          <w:rFonts w:eastAsia="SimSun"/>
          <w:szCs w:val="20"/>
          <w:lang w:val="fr-FR"/>
        </w:rPr>
        <w:t xml:space="preserve">hairman’s </w:t>
      </w:r>
      <w:r>
        <w:rPr>
          <w:rFonts w:eastAsia="SimSun"/>
          <w:szCs w:val="20"/>
          <w:lang w:val="fr-FR"/>
        </w:rPr>
        <w:t>R</w:t>
      </w:r>
      <w:r w:rsidRPr="007B4563">
        <w:rPr>
          <w:rFonts w:eastAsia="SimSun"/>
          <w:szCs w:val="20"/>
          <w:lang w:val="fr-FR"/>
        </w:rPr>
        <w:t>eport</w:t>
      </w:r>
      <w:r>
        <w:rPr>
          <w:rFonts w:eastAsia="SimSun"/>
          <w:szCs w:val="20"/>
          <w:lang w:val="fr-FR"/>
        </w:rPr>
        <w:t xml:space="preserve"> of WP 5D #37</w:t>
      </w:r>
      <w:r w:rsidRPr="007B4563">
        <w:rPr>
          <w:rFonts w:eastAsia="SimSun"/>
          <w:szCs w:val="20"/>
          <w:lang w:val="fr-FR"/>
        </w:rPr>
        <w:t>.</w:t>
      </w:r>
    </w:p>
    <w:p w14:paraId="45783017" w14:textId="77777777" w:rsidR="008E7BD5" w:rsidRPr="00DF39E9" w:rsidRDefault="008E7BD5" w:rsidP="008E7BD5">
      <w:pPr>
        <w:pStyle w:val="CommentText"/>
        <w:rPr>
          <w:lang w:val="fr-F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7830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83017" w16cid:durableId="24042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E008F" w14:textId="77777777" w:rsidR="00FB065B" w:rsidRDefault="00FB065B">
      <w:r>
        <w:separator/>
      </w:r>
    </w:p>
  </w:endnote>
  <w:endnote w:type="continuationSeparator" w:id="0">
    <w:p w14:paraId="22FC764A" w14:textId="77777777" w:rsidR="00FB065B" w:rsidRDefault="00FB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Semilight"/>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22CB8"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A54FB"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2807" w14:textId="6C3210BF" w:rsidR="00051E1E" w:rsidRDefault="00051E1E">
    <w:pPr>
      <w:pStyle w:val="Footer"/>
    </w:pPr>
    <w:r>
      <w:t>A</w:t>
    </w:r>
    <w:r w:rsidR="001E1432">
      <w:t>PG23-</w:t>
    </w:r>
    <w:r w:rsidR="008624ED">
      <w:t>2</w:t>
    </w:r>
    <w:r>
      <w:t>/IN</w:t>
    </w:r>
    <w:r w:rsidR="00F633A1">
      <w:t>F</w:t>
    </w:r>
    <w:r>
      <w:t>-</w:t>
    </w:r>
    <w:r w:rsidR="00F633A1">
      <w:t>11</w:t>
    </w:r>
    <w:r>
      <w:tab/>
    </w:r>
    <w:r>
      <w:tab/>
      <w:t xml:space="preserve">Page </w:t>
    </w:r>
    <w:r>
      <w:rPr>
        <w:b/>
        <w:bCs/>
      </w:rPr>
      <w:fldChar w:fldCharType="begin"/>
    </w:r>
    <w:r>
      <w:rPr>
        <w:b/>
        <w:bCs/>
      </w:rPr>
      <w:instrText xml:space="preserve"> PAGE  \* Arabic  \* MERGEFORMAT </w:instrText>
    </w:r>
    <w:r>
      <w:rPr>
        <w:b/>
        <w:bCs/>
      </w:rPr>
      <w:fldChar w:fldCharType="separate"/>
    </w:r>
    <w:r w:rsidR="008E7BD5">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E7BD5">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3798"/>
      <w:gridCol w:w="4266"/>
    </w:tblGrid>
    <w:tr w:rsidR="00B54758" w14:paraId="7EF20505" w14:textId="77777777" w:rsidTr="00F633A1">
      <w:trPr>
        <w:cantSplit/>
        <w:trHeight w:val="204"/>
        <w:jc w:val="center"/>
      </w:trPr>
      <w:tc>
        <w:tcPr>
          <w:tcW w:w="1152" w:type="dxa"/>
        </w:tcPr>
        <w:p w14:paraId="7C14EC98" w14:textId="77777777" w:rsidR="00B54758" w:rsidRDefault="00B54758" w:rsidP="007E7497">
          <w:pPr>
            <w:rPr>
              <w:b/>
              <w:bCs/>
            </w:rPr>
          </w:pPr>
          <w:r>
            <w:rPr>
              <w:b/>
              <w:bCs/>
            </w:rPr>
            <w:t>Contact:</w:t>
          </w:r>
        </w:p>
      </w:tc>
      <w:tc>
        <w:tcPr>
          <w:tcW w:w="3798" w:type="dxa"/>
        </w:tcPr>
        <w:p w14:paraId="2B32FF31" w14:textId="77777777" w:rsidR="00EC249E" w:rsidRDefault="00F633A1" w:rsidP="007E7497">
          <w:pPr>
            <w:pStyle w:val="Equation"/>
            <w:tabs>
              <w:tab w:val="clear" w:pos="794"/>
              <w:tab w:val="clear" w:pos="4820"/>
              <w:tab w:val="clear" w:pos="9639"/>
            </w:tabs>
            <w:spacing w:beforeLines="0"/>
          </w:pPr>
          <w:r w:rsidRPr="000F21F3">
            <w:rPr>
              <w:rFonts w:hint="eastAsia"/>
            </w:rPr>
            <w:t>Mr. Shiro Fukumoto</w:t>
          </w:r>
        </w:p>
        <w:p w14:paraId="39C5729B" w14:textId="593C6F70" w:rsidR="00F633A1" w:rsidRDefault="00F633A1" w:rsidP="007E7497">
          <w:pPr>
            <w:pStyle w:val="Equation"/>
            <w:tabs>
              <w:tab w:val="clear" w:pos="794"/>
              <w:tab w:val="clear" w:pos="4820"/>
              <w:tab w:val="clear" w:pos="9639"/>
            </w:tabs>
            <w:spacing w:beforeLines="0"/>
            <w:rPr>
              <w:rFonts w:eastAsia="Batang"/>
            </w:rPr>
          </w:pPr>
          <w:r>
            <w:t xml:space="preserve">Chairman, DG </w:t>
          </w:r>
          <w:r>
            <w:t>AI1.4</w:t>
          </w:r>
        </w:p>
      </w:tc>
      <w:tc>
        <w:tcPr>
          <w:tcW w:w="4266" w:type="dxa"/>
        </w:tcPr>
        <w:p w14:paraId="66CA6E30" w14:textId="496BCCA2" w:rsidR="00B54758" w:rsidRDefault="00B54758" w:rsidP="00E23D98">
          <w:pPr>
            <w:rPr>
              <w:lang w:eastAsia="ja-JP"/>
            </w:rPr>
          </w:pPr>
          <w:r>
            <w:t>Email</w:t>
          </w:r>
          <w:r>
            <w:rPr>
              <w:rFonts w:hint="eastAsia"/>
            </w:rPr>
            <w:t>:</w:t>
          </w:r>
          <w:r>
            <w:t xml:space="preserve"> </w:t>
          </w:r>
          <w:hyperlink r:id="rId1" w:history="1">
            <w:r w:rsidR="00F633A1" w:rsidRPr="00805105">
              <w:rPr>
                <w:rStyle w:val="Hyperlink"/>
                <w:rFonts w:eastAsia="Batang"/>
                <w:lang w:bidi="th-TH"/>
              </w:rPr>
              <w:t>shiro.fukumoto01@g.softbank.co.jp</w:t>
            </w:r>
          </w:hyperlink>
        </w:p>
      </w:tc>
    </w:tr>
  </w:tbl>
  <w:p w14:paraId="25B78C00"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170E1" w14:textId="77777777" w:rsidR="00FB065B" w:rsidRDefault="00FB065B">
      <w:r>
        <w:separator/>
      </w:r>
    </w:p>
  </w:footnote>
  <w:footnote w:type="continuationSeparator" w:id="0">
    <w:p w14:paraId="5F0CF155" w14:textId="77777777" w:rsidR="00FB065B" w:rsidRDefault="00FB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41F77" w14:textId="77777777" w:rsidR="00F633A1" w:rsidRDefault="00F6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6AB3" w14:textId="77777777" w:rsidR="00B54758" w:rsidRDefault="00B54758" w:rsidP="008E3821">
    <w:pPr>
      <w:pStyle w:val="Header"/>
      <w:tabs>
        <w:tab w:val="clear" w:pos="4320"/>
        <w:tab w:val="clear" w:pos="8640"/>
      </w:tabs>
      <w:rPr>
        <w:lang w:eastAsia="ko-KR"/>
      </w:rPr>
    </w:pPr>
  </w:p>
  <w:p w14:paraId="122BFF37" w14:textId="77777777" w:rsidR="00B54758" w:rsidRDefault="00B54758" w:rsidP="008E3821">
    <w:pPr>
      <w:pStyle w:val="Header"/>
      <w:tabs>
        <w:tab w:val="clear" w:pos="4320"/>
        <w:tab w:val="clear" w:pos="864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680E5" w14:textId="77777777" w:rsidR="00F633A1" w:rsidRDefault="00F63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2497039"/>
    <w:multiLevelType w:val="hybridMultilevel"/>
    <w:tmpl w:val="0E728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C3C9E"/>
    <w:multiLevelType w:val="hybridMultilevel"/>
    <w:tmpl w:val="7AD84A44"/>
    <w:lvl w:ilvl="0" w:tplc="81F65682">
      <w:start w:val="1"/>
      <w:numFmt w:val="bullet"/>
      <w:lvlText w:val=""/>
      <w:lvlJc w:val="left"/>
      <w:pPr>
        <w:ind w:left="720" w:hanging="360"/>
      </w:pPr>
      <w:rPr>
        <w:rFonts w:ascii="Symbol" w:hAnsi="Symbol" w:hint="default"/>
      </w:rPr>
    </w:lvl>
    <w:lvl w:ilvl="1" w:tplc="493284F4">
      <w:start w:val="1"/>
      <w:numFmt w:val="lowerLetter"/>
      <w:lvlText w:val="%2)"/>
      <w:lvlJc w:val="left"/>
      <w:pPr>
        <w:ind w:left="1440" w:hanging="360"/>
      </w:pPr>
      <w:rPr>
        <w:rFonts w:hint="default"/>
        <w:i/>
        <w:i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71C635B"/>
    <w:multiLevelType w:val="hybridMultilevel"/>
    <w:tmpl w:val="DAE4EE32"/>
    <w:lvl w:ilvl="0" w:tplc="04090001">
      <w:start w:val="1"/>
      <w:numFmt w:val="bullet"/>
      <w:lvlText w:val=""/>
      <w:lvlJc w:val="left"/>
      <w:pPr>
        <w:ind w:left="1880" w:hanging="400"/>
      </w:pPr>
      <w:rPr>
        <w:rFonts w:ascii="Symbol" w:hAnsi="Symbol" w:hint="default"/>
      </w:rPr>
    </w:lvl>
    <w:lvl w:ilvl="1" w:tplc="04090003" w:tentative="1">
      <w:start w:val="1"/>
      <w:numFmt w:val="bullet"/>
      <w:lvlText w:val=""/>
      <w:lvlJc w:val="left"/>
      <w:pPr>
        <w:ind w:left="2280" w:hanging="400"/>
      </w:pPr>
      <w:rPr>
        <w:rFonts w:ascii="Wingdings" w:hAnsi="Wingdings" w:hint="default"/>
      </w:rPr>
    </w:lvl>
    <w:lvl w:ilvl="2" w:tplc="04090005" w:tentative="1">
      <w:start w:val="1"/>
      <w:numFmt w:val="bullet"/>
      <w:lvlText w:val=""/>
      <w:lvlJc w:val="left"/>
      <w:pPr>
        <w:ind w:left="2680" w:hanging="400"/>
      </w:pPr>
      <w:rPr>
        <w:rFonts w:ascii="Wingdings" w:hAnsi="Wingdings" w:hint="default"/>
      </w:rPr>
    </w:lvl>
    <w:lvl w:ilvl="3" w:tplc="04090001" w:tentative="1">
      <w:start w:val="1"/>
      <w:numFmt w:val="bullet"/>
      <w:lvlText w:val=""/>
      <w:lvlJc w:val="left"/>
      <w:pPr>
        <w:ind w:left="3080" w:hanging="400"/>
      </w:pPr>
      <w:rPr>
        <w:rFonts w:ascii="Wingdings" w:hAnsi="Wingdings" w:hint="default"/>
      </w:rPr>
    </w:lvl>
    <w:lvl w:ilvl="4" w:tplc="04090003" w:tentative="1">
      <w:start w:val="1"/>
      <w:numFmt w:val="bullet"/>
      <w:lvlText w:val=""/>
      <w:lvlJc w:val="left"/>
      <w:pPr>
        <w:ind w:left="3480" w:hanging="400"/>
      </w:pPr>
      <w:rPr>
        <w:rFonts w:ascii="Wingdings" w:hAnsi="Wingdings" w:hint="default"/>
      </w:rPr>
    </w:lvl>
    <w:lvl w:ilvl="5" w:tplc="04090005" w:tentative="1">
      <w:start w:val="1"/>
      <w:numFmt w:val="bullet"/>
      <w:lvlText w:val=""/>
      <w:lvlJc w:val="left"/>
      <w:pPr>
        <w:ind w:left="3880" w:hanging="400"/>
      </w:pPr>
      <w:rPr>
        <w:rFonts w:ascii="Wingdings" w:hAnsi="Wingdings" w:hint="default"/>
      </w:rPr>
    </w:lvl>
    <w:lvl w:ilvl="6" w:tplc="04090001" w:tentative="1">
      <w:start w:val="1"/>
      <w:numFmt w:val="bullet"/>
      <w:lvlText w:val=""/>
      <w:lvlJc w:val="left"/>
      <w:pPr>
        <w:ind w:left="4280" w:hanging="400"/>
      </w:pPr>
      <w:rPr>
        <w:rFonts w:ascii="Wingdings" w:hAnsi="Wingdings" w:hint="default"/>
      </w:rPr>
    </w:lvl>
    <w:lvl w:ilvl="7" w:tplc="04090003" w:tentative="1">
      <w:start w:val="1"/>
      <w:numFmt w:val="bullet"/>
      <w:lvlText w:val=""/>
      <w:lvlJc w:val="left"/>
      <w:pPr>
        <w:ind w:left="4680" w:hanging="400"/>
      </w:pPr>
      <w:rPr>
        <w:rFonts w:ascii="Wingdings" w:hAnsi="Wingdings" w:hint="default"/>
      </w:rPr>
    </w:lvl>
    <w:lvl w:ilvl="8" w:tplc="04090005" w:tentative="1">
      <w:start w:val="1"/>
      <w:numFmt w:val="bullet"/>
      <w:lvlText w:val=""/>
      <w:lvlJc w:val="left"/>
      <w:pPr>
        <w:ind w:left="5080" w:hanging="400"/>
      </w:pPr>
      <w:rPr>
        <w:rFonts w:ascii="Wingdings" w:hAnsi="Wingdings" w:hint="default"/>
      </w:rPr>
    </w:lvl>
  </w:abstractNum>
  <w:abstractNum w:abstractNumId="18" w15:restartNumberingAfterBreak="0">
    <w:nsid w:val="39801948"/>
    <w:multiLevelType w:val="hybridMultilevel"/>
    <w:tmpl w:val="AB7681C2"/>
    <w:lvl w:ilvl="0" w:tplc="B0426F7E">
      <w:start w:val="1"/>
      <w:numFmt w:val="bullet"/>
      <w:lvlText w:val="-"/>
      <w:lvlJc w:val="left"/>
      <w:pPr>
        <w:ind w:left="1120" w:hanging="360"/>
      </w:pPr>
      <w:rPr>
        <w:rFonts w:ascii="Calibri" w:eastAsiaTheme="minorEastAsia" w:hAnsi="Calibri" w:cs="Calibr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5"/>
  </w:num>
  <w:num w:numId="2">
    <w:abstractNumId w:val="8"/>
  </w:num>
  <w:num w:numId="3">
    <w:abstractNumId w:val="6"/>
  </w:num>
  <w:num w:numId="4">
    <w:abstractNumId w:val="22"/>
  </w:num>
  <w:num w:numId="5">
    <w:abstractNumId w:val="12"/>
  </w:num>
  <w:num w:numId="6">
    <w:abstractNumId w:val="16"/>
  </w:num>
  <w:num w:numId="7">
    <w:abstractNumId w:val="5"/>
  </w:num>
  <w:num w:numId="8">
    <w:abstractNumId w:val="1"/>
  </w:num>
  <w:num w:numId="9">
    <w:abstractNumId w:val="24"/>
  </w:num>
  <w:num w:numId="10">
    <w:abstractNumId w:val="0"/>
  </w:num>
  <w:num w:numId="11">
    <w:abstractNumId w:val="23"/>
  </w:num>
  <w:num w:numId="12">
    <w:abstractNumId w:val="13"/>
  </w:num>
  <w:num w:numId="13">
    <w:abstractNumId w:val="19"/>
  </w:num>
  <w:num w:numId="14">
    <w:abstractNumId w:val="9"/>
  </w:num>
  <w:num w:numId="15">
    <w:abstractNumId w:val="3"/>
  </w:num>
  <w:num w:numId="16">
    <w:abstractNumId w:val="2"/>
  </w:num>
  <w:num w:numId="17">
    <w:abstractNumId w:val="4"/>
  </w:num>
  <w:num w:numId="18">
    <w:abstractNumId w:val="14"/>
  </w:num>
  <w:num w:numId="19">
    <w:abstractNumId w:val="20"/>
  </w:num>
  <w:num w:numId="20">
    <w:abstractNumId w:val="18"/>
  </w:num>
  <w:num w:numId="21">
    <w:abstractNumId w:val="7"/>
  </w:num>
  <w:num w:numId="22">
    <w:abstractNumId w:val="10"/>
  </w:num>
  <w:num w:numId="23">
    <w:abstractNumId w:val="21"/>
  </w:num>
  <w:num w:numId="24">
    <w:abstractNumId w:val="11"/>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ro Fukumoto">
    <w15:presenceInfo w15:providerId="None" w15:userId="Shiro Fukum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D"/>
    <w:rsid w:val="00000B9E"/>
    <w:rsid w:val="00014E19"/>
    <w:rsid w:val="0003595B"/>
    <w:rsid w:val="00036385"/>
    <w:rsid w:val="00051E1E"/>
    <w:rsid w:val="00054C56"/>
    <w:rsid w:val="000553C0"/>
    <w:rsid w:val="00063DF8"/>
    <w:rsid w:val="000713CF"/>
    <w:rsid w:val="00075C14"/>
    <w:rsid w:val="00094B87"/>
    <w:rsid w:val="000964D0"/>
    <w:rsid w:val="000A1F8C"/>
    <w:rsid w:val="000A5418"/>
    <w:rsid w:val="000A754D"/>
    <w:rsid w:val="000B1E8C"/>
    <w:rsid w:val="000B595C"/>
    <w:rsid w:val="000D7C75"/>
    <w:rsid w:val="000F517C"/>
    <w:rsid w:val="000F5540"/>
    <w:rsid w:val="00106B56"/>
    <w:rsid w:val="00114C38"/>
    <w:rsid w:val="00122653"/>
    <w:rsid w:val="00125217"/>
    <w:rsid w:val="00130A94"/>
    <w:rsid w:val="00131FCA"/>
    <w:rsid w:val="00133947"/>
    <w:rsid w:val="00134CC7"/>
    <w:rsid w:val="00135C32"/>
    <w:rsid w:val="001433F1"/>
    <w:rsid w:val="001539DD"/>
    <w:rsid w:val="00164353"/>
    <w:rsid w:val="0017133F"/>
    <w:rsid w:val="00171F95"/>
    <w:rsid w:val="00175BD2"/>
    <w:rsid w:val="00176C2C"/>
    <w:rsid w:val="0018114D"/>
    <w:rsid w:val="001832C2"/>
    <w:rsid w:val="001923E8"/>
    <w:rsid w:val="00196568"/>
    <w:rsid w:val="00197B92"/>
    <w:rsid w:val="001A2F16"/>
    <w:rsid w:val="001A34FF"/>
    <w:rsid w:val="001B18C2"/>
    <w:rsid w:val="001D5D7E"/>
    <w:rsid w:val="001E0BB1"/>
    <w:rsid w:val="001E1432"/>
    <w:rsid w:val="001F0302"/>
    <w:rsid w:val="001F5947"/>
    <w:rsid w:val="0021588B"/>
    <w:rsid w:val="00220700"/>
    <w:rsid w:val="002216AC"/>
    <w:rsid w:val="002219FD"/>
    <w:rsid w:val="0023010A"/>
    <w:rsid w:val="00230738"/>
    <w:rsid w:val="00231555"/>
    <w:rsid w:val="00234735"/>
    <w:rsid w:val="00241BCF"/>
    <w:rsid w:val="00244116"/>
    <w:rsid w:val="00254A1B"/>
    <w:rsid w:val="00263617"/>
    <w:rsid w:val="0026736F"/>
    <w:rsid w:val="00275ED2"/>
    <w:rsid w:val="0028454D"/>
    <w:rsid w:val="00286912"/>
    <w:rsid w:val="00287A2A"/>
    <w:rsid w:val="00291C9E"/>
    <w:rsid w:val="002926D4"/>
    <w:rsid w:val="002A65B6"/>
    <w:rsid w:val="002C07DA"/>
    <w:rsid w:val="002C7EA9"/>
    <w:rsid w:val="002D7DF1"/>
    <w:rsid w:val="002E6525"/>
    <w:rsid w:val="002E6905"/>
    <w:rsid w:val="002F2F9A"/>
    <w:rsid w:val="003131A3"/>
    <w:rsid w:val="003165EA"/>
    <w:rsid w:val="00336A0D"/>
    <w:rsid w:val="00342F20"/>
    <w:rsid w:val="00343067"/>
    <w:rsid w:val="00350EC2"/>
    <w:rsid w:val="003540E0"/>
    <w:rsid w:val="003548C2"/>
    <w:rsid w:val="0037421D"/>
    <w:rsid w:val="003809C7"/>
    <w:rsid w:val="003829E0"/>
    <w:rsid w:val="003865EF"/>
    <w:rsid w:val="00395764"/>
    <w:rsid w:val="003A3AE3"/>
    <w:rsid w:val="003B03B2"/>
    <w:rsid w:val="003B518C"/>
    <w:rsid w:val="003B6263"/>
    <w:rsid w:val="003B6428"/>
    <w:rsid w:val="003C5EA1"/>
    <w:rsid w:val="003C64A7"/>
    <w:rsid w:val="003D25E1"/>
    <w:rsid w:val="003D3FDA"/>
    <w:rsid w:val="003E0FFC"/>
    <w:rsid w:val="003E777C"/>
    <w:rsid w:val="003F6D48"/>
    <w:rsid w:val="00403CE4"/>
    <w:rsid w:val="00420822"/>
    <w:rsid w:val="0042126E"/>
    <w:rsid w:val="004323BB"/>
    <w:rsid w:val="00433925"/>
    <w:rsid w:val="004404C0"/>
    <w:rsid w:val="00440BEE"/>
    <w:rsid w:val="0044220E"/>
    <w:rsid w:val="00444170"/>
    <w:rsid w:val="0045458F"/>
    <w:rsid w:val="00455FD4"/>
    <w:rsid w:val="004618C4"/>
    <w:rsid w:val="004633B4"/>
    <w:rsid w:val="00483317"/>
    <w:rsid w:val="004854EE"/>
    <w:rsid w:val="00491BB1"/>
    <w:rsid w:val="004A4DE4"/>
    <w:rsid w:val="004B3553"/>
    <w:rsid w:val="004F733C"/>
    <w:rsid w:val="00515050"/>
    <w:rsid w:val="0051686D"/>
    <w:rsid w:val="005201CA"/>
    <w:rsid w:val="00521BF0"/>
    <w:rsid w:val="005263C8"/>
    <w:rsid w:val="00530E8C"/>
    <w:rsid w:val="005442A4"/>
    <w:rsid w:val="00545933"/>
    <w:rsid w:val="0054610B"/>
    <w:rsid w:val="005549C9"/>
    <w:rsid w:val="00557544"/>
    <w:rsid w:val="005606F6"/>
    <w:rsid w:val="005614DC"/>
    <w:rsid w:val="00575CDC"/>
    <w:rsid w:val="00577C0A"/>
    <w:rsid w:val="0058427E"/>
    <w:rsid w:val="00587875"/>
    <w:rsid w:val="005A176A"/>
    <w:rsid w:val="005B1E77"/>
    <w:rsid w:val="005B244E"/>
    <w:rsid w:val="005C5EB6"/>
    <w:rsid w:val="005D3914"/>
    <w:rsid w:val="005D6B2F"/>
    <w:rsid w:val="005E3896"/>
    <w:rsid w:val="005E6C90"/>
    <w:rsid w:val="00603576"/>
    <w:rsid w:val="00607E2B"/>
    <w:rsid w:val="006139D6"/>
    <w:rsid w:val="00615999"/>
    <w:rsid w:val="0061780B"/>
    <w:rsid w:val="00623CE1"/>
    <w:rsid w:val="0063062B"/>
    <w:rsid w:val="00636BAD"/>
    <w:rsid w:val="0066158F"/>
    <w:rsid w:val="0066388B"/>
    <w:rsid w:val="00667229"/>
    <w:rsid w:val="0067104A"/>
    <w:rsid w:val="00675C31"/>
    <w:rsid w:val="006769C2"/>
    <w:rsid w:val="00682BE5"/>
    <w:rsid w:val="006843DA"/>
    <w:rsid w:val="00690FED"/>
    <w:rsid w:val="006939A5"/>
    <w:rsid w:val="006A15A4"/>
    <w:rsid w:val="006B6778"/>
    <w:rsid w:val="006C2D39"/>
    <w:rsid w:val="006E12FC"/>
    <w:rsid w:val="006F375E"/>
    <w:rsid w:val="00705C2D"/>
    <w:rsid w:val="00705E61"/>
    <w:rsid w:val="00712451"/>
    <w:rsid w:val="00731041"/>
    <w:rsid w:val="00732F08"/>
    <w:rsid w:val="007350E2"/>
    <w:rsid w:val="0074190C"/>
    <w:rsid w:val="00762576"/>
    <w:rsid w:val="007815E9"/>
    <w:rsid w:val="00791060"/>
    <w:rsid w:val="007A1BDE"/>
    <w:rsid w:val="007A3E29"/>
    <w:rsid w:val="007B3299"/>
    <w:rsid w:val="007B3D18"/>
    <w:rsid w:val="007B5626"/>
    <w:rsid w:val="007B5E37"/>
    <w:rsid w:val="007D29E5"/>
    <w:rsid w:val="007E1FDD"/>
    <w:rsid w:val="007E7497"/>
    <w:rsid w:val="007F08FF"/>
    <w:rsid w:val="007F1651"/>
    <w:rsid w:val="00803C99"/>
    <w:rsid w:val="0080570B"/>
    <w:rsid w:val="00812C98"/>
    <w:rsid w:val="008148E1"/>
    <w:rsid w:val="00816F4E"/>
    <w:rsid w:val="00831716"/>
    <w:rsid w:val="008319BF"/>
    <w:rsid w:val="008337EA"/>
    <w:rsid w:val="00850E1C"/>
    <w:rsid w:val="008624ED"/>
    <w:rsid w:val="00867926"/>
    <w:rsid w:val="00870944"/>
    <w:rsid w:val="0087369A"/>
    <w:rsid w:val="008950FB"/>
    <w:rsid w:val="00897849"/>
    <w:rsid w:val="008A423E"/>
    <w:rsid w:val="008A73CD"/>
    <w:rsid w:val="008D084B"/>
    <w:rsid w:val="008D0E09"/>
    <w:rsid w:val="008E3821"/>
    <w:rsid w:val="008E7BD5"/>
    <w:rsid w:val="008F2153"/>
    <w:rsid w:val="008F301D"/>
    <w:rsid w:val="009306C7"/>
    <w:rsid w:val="00953737"/>
    <w:rsid w:val="00957294"/>
    <w:rsid w:val="00967F6D"/>
    <w:rsid w:val="00972289"/>
    <w:rsid w:val="0097693B"/>
    <w:rsid w:val="00993355"/>
    <w:rsid w:val="009A46BF"/>
    <w:rsid w:val="009A4A6D"/>
    <w:rsid w:val="009B74AC"/>
    <w:rsid w:val="009C0B35"/>
    <w:rsid w:val="009C361C"/>
    <w:rsid w:val="009C7507"/>
    <w:rsid w:val="009F1A34"/>
    <w:rsid w:val="00A0503B"/>
    <w:rsid w:val="00A127FC"/>
    <w:rsid w:val="00A13265"/>
    <w:rsid w:val="00A20980"/>
    <w:rsid w:val="00A22702"/>
    <w:rsid w:val="00A31185"/>
    <w:rsid w:val="00A6031E"/>
    <w:rsid w:val="00A61885"/>
    <w:rsid w:val="00A71136"/>
    <w:rsid w:val="00AA2D8E"/>
    <w:rsid w:val="00AA474C"/>
    <w:rsid w:val="00AB0EAD"/>
    <w:rsid w:val="00AB2572"/>
    <w:rsid w:val="00AC19BB"/>
    <w:rsid w:val="00AD1D39"/>
    <w:rsid w:val="00AD7E5F"/>
    <w:rsid w:val="00AF6E67"/>
    <w:rsid w:val="00B01AA1"/>
    <w:rsid w:val="00B23388"/>
    <w:rsid w:val="00B24089"/>
    <w:rsid w:val="00B25CFE"/>
    <w:rsid w:val="00B30C81"/>
    <w:rsid w:val="00B34275"/>
    <w:rsid w:val="00B3474C"/>
    <w:rsid w:val="00B4793B"/>
    <w:rsid w:val="00B54758"/>
    <w:rsid w:val="00B55FF0"/>
    <w:rsid w:val="00B61CEA"/>
    <w:rsid w:val="00B66740"/>
    <w:rsid w:val="00B676EF"/>
    <w:rsid w:val="00B8419B"/>
    <w:rsid w:val="00B97AC9"/>
    <w:rsid w:val="00BB7E96"/>
    <w:rsid w:val="00BC7506"/>
    <w:rsid w:val="00BF24A5"/>
    <w:rsid w:val="00C15633"/>
    <w:rsid w:val="00C15799"/>
    <w:rsid w:val="00C20F4D"/>
    <w:rsid w:val="00C256E8"/>
    <w:rsid w:val="00C26745"/>
    <w:rsid w:val="00C324D4"/>
    <w:rsid w:val="00C357AD"/>
    <w:rsid w:val="00C3644A"/>
    <w:rsid w:val="00C6069C"/>
    <w:rsid w:val="00C73F61"/>
    <w:rsid w:val="00C75805"/>
    <w:rsid w:val="00C85119"/>
    <w:rsid w:val="00CC56C6"/>
    <w:rsid w:val="00CD5431"/>
    <w:rsid w:val="00CE6DD9"/>
    <w:rsid w:val="00CF2491"/>
    <w:rsid w:val="00CF2CBA"/>
    <w:rsid w:val="00CF3030"/>
    <w:rsid w:val="00CF5DDC"/>
    <w:rsid w:val="00D06742"/>
    <w:rsid w:val="00D06C9B"/>
    <w:rsid w:val="00D1252E"/>
    <w:rsid w:val="00D12CE1"/>
    <w:rsid w:val="00D1716E"/>
    <w:rsid w:val="00D2444D"/>
    <w:rsid w:val="00D31452"/>
    <w:rsid w:val="00D33383"/>
    <w:rsid w:val="00D500B1"/>
    <w:rsid w:val="00D5307B"/>
    <w:rsid w:val="00D57772"/>
    <w:rsid w:val="00D651AB"/>
    <w:rsid w:val="00D72AE3"/>
    <w:rsid w:val="00D75A4D"/>
    <w:rsid w:val="00D8478B"/>
    <w:rsid w:val="00D84CEE"/>
    <w:rsid w:val="00D86151"/>
    <w:rsid w:val="00D91215"/>
    <w:rsid w:val="00D93A07"/>
    <w:rsid w:val="00DA3CC4"/>
    <w:rsid w:val="00DA7595"/>
    <w:rsid w:val="00DB0A68"/>
    <w:rsid w:val="00DB13B0"/>
    <w:rsid w:val="00DB28C8"/>
    <w:rsid w:val="00DB4A1C"/>
    <w:rsid w:val="00DC43A3"/>
    <w:rsid w:val="00DD7C09"/>
    <w:rsid w:val="00DE54CF"/>
    <w:rsid w:val="00DF39E9"/>
    <w:rsid w:val="00DF791C"/>
    <w:rsid w:val="00E0124F"/>
    <w:rsid w:val="00E02E0D"/>
    <w:rsid w:val="00E03881"/>
    <w:rsid w:val="00E06286"/>
    <w:rsid w:val="00E17376"/>
    <w:rsid w:val="00E23D98"/>
    <w:rsid w:val="00E403B9"/>
    <w:rsid w:val="00E41BE2"/>
    <w:rsid w:val="00E5341E"/>
    <w:rsid w:val="00E545D9"/>
    <w:rsid w:val="00E65FC2"/>
    <w:rsid w:val="00E674D3"/>
    <w:rsid w:val="00E70FD0"/>
    <w:rsid w:val="00E80263"/>
    <w:rsid w:val="00E8056C"/>
    <w:rsid w:val="00E85FC3"/>
    <w:rsid w:val="00E94C89"/>
    <w:rsid w:val="00EA0BBD"/>
    <w:rsid w:val="00EA7027"/>
    <w:rsid w:val="00EB2081"/>
    <w:rsid w:val="00EC249E"/>
    <w:rsid w:val="00ED6650"/>
    <w:rsid w:val="00EE3496"/>
    <w:rsid w:val="00EE4454"/>
    <w:rsid w:val="00EF2406"/>
    <w:rsid w:val="00F00257"/>
    <w:rsid w:val="00F27A79"/>
    <w:rsid w:val="00F33865"/>
    <w:rsid w:val="00F41A07"/>
    <w:rsid w:val="00F51291"/>
    <w:rsid w:val="00F5332C"/>
    <w:rsid w:val="00F55E0A"/>
    <w:rsid w:val="00F626B7"/>
    <w:rsid w:val="00F633A1"/>
    <w:rsid w:val="00F650EB"/>
    <w:rsid w:val="00F84067"/>
    <w:rsid w:val="00F871F5"/>
    <w:rsid w:val="00FB065B"/>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92590F"/>
  <w15:docId w15:val="{89C1F0ED-BF91-4B70-983E-58AEFC26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1">
    <w:name w:val="未解決のメンション1"/>
    <w:basedOn w:val="DefaultParagraphFont"/>
    <w:uiPriority w:val="99"/>
    <w:semiHidden/>
    <w:unhideWhenUsed/>
    <w:rsid w:val="009306C7"/>
    <w:rPr>
      <w:color w:val="605E5C"/>
      <w:shd w:val="clear" w:color="auto" w:fill="E1DFDD"/>
    </w:rPr>
  </w:style>
  <w:style w:type="paragraph" w:customStyle="1" w:styleId="Tabletext">
    <w:name w:val="Table_text"/>
    <w:basedOn w:val="Normal"/>
    <w:link w:val="TabletextChar"/>
    <w:rsid w:val="00D06C9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MS Mincho" w:hAnsi="Calibri" w:cs="Calibri"/>
      <w:sz w:val="20"/>
      <w:szCs w:val="22"/>
      <w:lang w:eastAsia="nl-NL"/>
    </w:rPr>
  </w:style>
  <w:style w:type="character" w:customStyle="1" w:styleId="TabletextChar">
    <w:name w:val="Table_text Char"/>
    <w:basedOn w:val="DefaultParagraphFont"/>
    <w:link w:val="Tabletext"/>
    <w:locked/>
    <w:rsid w:val="00D06C9B"/>
    <w:rPr>
      <w:rFonts w:ascii="Calibri" w:eastAsia="MS Mincho" w:hAnsi="Calibri" w:cs="Calibri"/>
      <w:szCs w:val="22"/>
      <w:lang w:eastAsia="nl-NL"/>
    </w:rPr>
  </w:style>
  <w:style w:type="paragraph" w:customStyle="1" w:styleId="StyleCall10pt">
    <w:name w:val="Style Call + 10 pt"/>
    <w:basedOn w:val="Normal"/>
    <w:rsid w:val="00D06C9B"/>
    <w:pPr>
      <w:keepNext/>
      <w:keepLines/>
      <w:tabs>
        <w:tab w:val="left" w:pos="794"/>
        <w:tab w:val="left" w:pos="1191"/>
        <w:tab w:val="left" w:pos="1588"/>
        <w:tab w:val="left" w:pos="1985"/>
      </w:tabs>
      <w:overflowPunct w:val="0"/>
      <w:autoSpaceDE w:val="0"/>
      <w:autoSpaceDN w:val="0"/>
      <w:adjustRightInd w:val="0"/>
      <w:spacing w:before="40" w:after="40" w:line="280" w:lineRule="exact"/>
      <w:ind w:left="794"/>
      <w:textAlignment w:val="baseline"/>
    </w:pPr>
    <w:rPr>
      <w:rFonts w:ascii="Calibri" w:eastAsia="MS Mincho" w:hAnsi="Calibri" w:cs="Calibri"/>
      <w:i/>
      <w:iCs/>
      <w:sz w:val="20"/>
      <w:szCs w:val="22"/>
    </w:rPr>
  </w:style>
  <w:style w:type="character" w:styleId="FollowedHyperlink">
    <w:name w:val="FollowedHyperlink"/>
    <w:basedOn w:val="DefaultParagraphFont"/>
    <w:semiHidden/>
    <w:unhideWhenUsed/>
    <w:rsid w:val="00967F6D"/>
    <w:rPr>
      <w:color w:val="800080" w:themeColor="followedHyperlink"/>
      <w:u w:val="single"/>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style>
  <w:style w:type="character" w:customStyle="1" w:styleId="a0">
    <w:name w:val="コメント文字列 (文字)"/>
    <w:basedOn w:val="DefaultParagraphFont"/>
    <w:semiHidden/>
    <w:rsid w:val="00E8056C"/>
    <w:rPr>
      <w:rFonts w:eastAsia="BatangChe"/>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a1">
    <w:name w:val="コメント内容 (文字)"/>
    <w:basedOn w:val="a0"/>
    <w:semiHidden/>
    <w:rsid w:val="00E8056C"/>
    <w:rPr>
      <w:rFonts w:eastAsia="BatangChe"/>
      <w:b/>
      <w:bCs/>
      <w:sz w:val="24"/>
      <w:szCs w:val="24"/>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rec/R-REC-M.1456/recommendation.asp?lang=en&amp;parent=R-REC-M.1456-0-200005-I" TargetMode="Externa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dms_pub/itu-r/md/16/wrc19/c/R16-WRC19-C-0067!A24!MSW-E.docx"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itu.int/md/R19-WP5D-210301-TD-0335/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md/16/wrc19/c/R16-WRC19-C-0011!A24-A2!MSW-E.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t.int/sites/default/files/2019/07/APT-AWG-REP-92_-_Report_on_HIBS.docx"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www.itu.int/dms_ties/itu-r/md/16/wrc19/c/R16-WRC19-C-0046!A24-A8!MSW-E.docx" TargetMode="External"/><Relationship Id="rId19" Type="http://schemas.openxmlformats.org/officeDocument/2006/relationships/hyperlink" Target="https://www.itu.int/md/R19-WP5D-210301-TD-0332/en" TargetMode="External"/><Relationship Id="rId4" Type="http://schemas.openxmlformats.org/officeDocument/2006/relationships/settings" Target="settings.xml"/><Relationship Id="rId9" Type="http://schemas.openxmlformats.org/officeDocument/2006/relationships/hyperlink" Target="https://www.itu.int/dms_pub/itu-r/md/16/wrc19/c/R16-WRC19-C-0024!A24-A4!MSW-E.docx" TargetMode="External"/><Relationship Id="rId14" Type="http://schemas.openxmlformats.org/officeDocument/2006/relationships/hyperlink" Target="https://www.itu.int/rec/R-REC-M.1641/recommendation.asp?lang=en&amp;parent=R-REC-M.1641-1-200603-I"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hiro.fukumoto01@g.softbank.c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2\APG23-2%20Document%20Template%20Ot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SW/T594RMEJvU7KJaMSxu0mjKLQ==">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APG23-2 Document Template Others</Template>
  <TotalTime>1</TotalTime>
  <Pages>5</Pages>
  <Words>1996</Words>
  <Characters>11382</Characters>
  <Application>Microsoft Office Word</Application>
  <DocSecurity>0</DocSecurity>
  <Lines>94</Lines>
  <Paragraphs>26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APT</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Forhadul Parvez</cp:lastModifiedBy>
  <cp:revision>2</cp:revision>
  <cp:lastPrinted>2004-07-28T02:14:00Z</cp:lastPrinted>
  <dcterms:created xsi:type="dcterms:W3CDTF">2021-03-23T01:58:00Z</dcterms:created>
  <dcterms:modified xsi:type="dcterms:W3CDTF">2021-03-23T01:58:00Z</dcterms:modified>
</cp:coreProperties>
</file>