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25B15063" w14:textId="77777777" w:rsidTr="007E1FDD">
        <w:trPr>
          <w:cantSplit/>
          <w:trHeight w:val="288"/>
        </w:trPr>
        <w:tc>
          <w:tcPr>
            <w:tcW w:w="1399" w:type="dxa"/>
            <w:vMerge w:val="restart"/>
          </w:tcPr>
          <w:p w14:paraId="35CB4FF6"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rPr>
              <w:drawing>
                <wp:inline distT="0" distB="0" distL="0" distR="0" wp14:anchorId="464A7590" wp14:editId="318CE689">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53C757C6"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217F24BE"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398213BF" w14:textId="77777777" w:rsidTr="007E7497">
        <w:trPr>
          <w:cantSplit/>
          <w:trHeight w:val="504"/>
        </w:trPr>
        <w:tc>
          <w:tcPr>
            <w:tcW w:w="1399" w:type="dxa"/>
            <w:vMerge/>
          </w:tcPr>
          <w:p w14:paraId="1E65A4C2" w14:textId="77777777" w:rsidR="003D25E1" w:rsidRPr="00891D0B" w:rsidRDefault="003D25E1" w:rsidP="000D7C75"/>
        </w:tc>
        <w:tc>
          <w:tcPr>
            <w:tcW w:w="5760" w:type="dxa"/>
            <w:vAlign w:val="center"/>
          </w:tcPr>
          <w:p w14:paraId="3C6E6232" w14:textId="77777777" w:rsidR="003D25E1" w:rsidRPr="00891D0B" w:rsidRDefault="00C73F61" w:rsidP="001E1432">
            <w:pPr>
              <w:spacing w:before="40"/>
            </w:pPr>
            <w:r>
              <w:rPr>
                <w:b/>
              </w:rPr>
              <w:t xml:space="preserve">The </w:t>
            </w:r>
            <w:r w:rsidR="008624ED">
              <w:rPr>
                <w:b/>
              </w:rPr>
              <w:t>2nd</w:t>
            </w:r>
            <w:r w:rsidR="001E1432">
              <w:rPr>
                <w:b/>
              </w:rPr>
              <w:t xml:space="preserve"> </w:t>
            </w:r>
            <w:r w:rsidR="003D25E1">
              <w:rPr>
                <w:b/>
              </w:rPr>
              <w:t xml:space="preserve">Meeting of the APT </w:t>
            </w:r>
            <w:r w:rsidR="001E1432">
              <w:rPr>
                <w:b/>
              </w:rPr>
              <w:t xml:space="preserve">Conference Preparatory Group for WRC-23 </w:t>
            </w:r>
            <w:r w:rsidR="00EC249E">
              <w:rPr>
                <w:b/>
              </w:rPr>
              <w:t>(A</w:t>
            </w:r>
            <w:r w:rsidR="001E1432">
              <w:rPr>
                <w:b/>
              </w:rPr>
              <w:t>PG</w:t>
            </w:r>
            <w:r w:rsidR="00EC249E">
              <w:rPr>
                <w:b/>
              </w:rPr>
              <w:t>2</w:t>
            </w:r>
            <w:r w:rsidR="001E1432">
              <w:rPr>
                <w:b/>
              </w:rPr>
              <w:t>3-</w:t>
            </w:r>
            <w:r w:rsidR="008624ED">
              <w:rPr>
                <w:b/>
              </w:rPr>
              <w:t>2</w:t>
            </w:r>
            <w:r w:rsidR="003D25E1">
              <w:rPr>
                <w:b/>
              </w:rPr>
              <w:t>)</w:t>
            </w:r>
          </w:p>
        </w:tc>
        <w:tc>
          <w:tcPr>
            <w:tcW w:w="2160" w:type="dxa"/>
          </w:tcPr>
          <w:p w14:paraId="71B9E915" w14:textId="24C5A534" w:rsidR="007E1FDD" w:rsidRDefault="001E1432" w:rsidP="007E7497">
            <w:pPr>
              <w:spacing w:before="40"/>
              <w:rPr>
                <w:b/>
                <w:bCs/>
                <w:lang w:val="fr-FR"/>
              </w:rPr>
            </w:pPr>
            <w:r>
              <w:rPr>
                <w:b/>
                <w:bCs/>
                <w:lang w:val="fr-FR"/>
              </w:rPr>
              <w:t>APG23-</w:t>
            </w:r>
            <w:r w:rsidR="008624ED">
              <w:rPr>
                <w:b/>
                <w:bCs/>
                <w:lang w:val="fr-FR"/>
              </w:rPr>
              <w:t>2</w:t>
            </w:r>
            <w:r w:rsidR="007E1FDD">
              <w:rPr>
                <w:b/>
                <w:bCs/>
                <w:lang w:val="fr-FR"/>
              </w:rPr>
              <w:t>/</w:t>
            </w:r>
            <w:r w:rsidR="00164353">
              <w:rPr>
                <w:b/>
                <w:bCs/>
                <w:lang w:val="fr-FR"/>
              </w:rPr>
              <w:t>IN</w:t>
            </w:r>
            <w:r w:rsidR="00EA0BBD">
              <w:rPr>
                <w:b/>
                <w:bCs/>
                <w:lang w:val="fr-FR"/>
              </w:rPr>
              <w:t>F</w:t>
            </w:r>
            <w:r w:rsidR="007E1FDD">
              <w:rPr>
                <w:b/>
                <w:bCs/>
                <w:lang w:val="fr-FR"/>
              </w:rPr>
              <w:t>-</w:t>
            </w:r>
            <w:r w:rsidR="00D5637E">
              <w:rPr>
                <w:b/>
                <w:bCs/>
                <w:lang w:val="fr-FR"/>
              </w:rPr>
              <w:t>12</w:t>
            </w:r>
          </w:p>
          <w:p w14:paraId="042FD16E" w14:textId="77777777" w:rsidR="003D25E1" w:rsidRPr="007E1FDD" w:rsidRDefault="003D25E1" w:rsidP="007E1FDD">
            <w:pPr>
              <w:rPr>
                <w:b/>
                <w:bCs/>
                <w:lang w:val="en-GB"/>
              </w:rPr>
            </w:pPr>
          </w:p>
        </w:tc>
      </w:tr>
      <w:tr w:rsidR="007E1FDD" w:rsidRPr="00891D0B" w14:paraId="321CFF55" w14:textId="77777777" w:rsidTr="007E1FDD">
        <w:trPr>
          <w:cantSplit/>
          <w:trHeight w:val="288"/>
        </w:trPr>
        <w:tc>
          <w:tcPr>
            <w:tcW w:w="1399" w:type="dxa"/>
            <w:vMerge/>
          </w:tcPr>
          <w:p w14:paraId="4E3C555C" w14:textId="77777777" w:rsidR="007E1FDD" w:rsidRPr="007E1FDD" w:rsidRDefault="007E1FDD" w:rsidP="000D7C75">
            <w:pPr>
              <w:rPr>
                <w:lang w:val="en-GB"/>
              </w:rPr>
            </w:pPr>
          </w:p>
        </w:tc>
        <w:tc>
          <w:tcPr>
            <w:tcW w:w="5760" w:type="dxa"/>
            <w:vAlign w:val="bottom"/>
          </w:tcPr>
          <w:p w14:paraId="7BA3957E" w14:textId="77777777" w:rsidR="007E1FDD" w:rsidRPr="00712451" w:rsidRDefault="008624ED" w:rsidP="00C73F61">
            <w:pPr>
              <w:spacing w:before="40"/>
              <w:rPr>
                <w:b/>
              </w:rPr>
            </w:pPr>
            <w:r>
              <w:t>19</w:t>
            </w:r>
            <w:r w:rsidR="00C73F61">
              <w:t xml:space="preserve"> – </w:t>
            </w:r>
            <w:r w:rsidR="001E1432">
              <w:t>2</w:t>
            </w:r>
            <w:r>
              <w:t>3</w:t>
            </w:r>
            <w:r w:rsidR="007E1FDD">
              <w:t xml:space="preserve"> </w:t>
            </w:r>
            <w:r>
              <w:t>April</w:t>
            </w:r>
            <w:r w:rsidR="00EC249E">
              <w:t xml:space="preserve"> </w:t>
            </w:r>
            <w:r w:rsidR="007E1FDD">
              <w:t>20</w:t>
            </w:r>
            <w:r w:rsidR="00EC249E">
              <w:t>2</w:t>
            </w:r>
            <w:r>
              <w:t>1</w:t>
            </w:r>
            <w:r w:rsidR="007E1FDD" w:rsidRPr="00891D0B">
              <w:t xml:space="preserve">, </w:t>
            </w:r>
            <w:r w:rsidR="00EC249E" w:rsidRPr="00EC249E">
              <w:rPr>
                <w:bCs/>
              </w:rPr>
              <w:t>Virtual</w:t>
            </w:r>
            <w:r>
              <w:rPr>
                <w:bCs/>
              </w:rPr>
              <w:t>/Online</w:t>
            </w:r>
            <w:r w:rsidR="00EC249E" w:rsidRPr="00EC249E">
              <w:rPr>
                <w:bCs/>
              </w:rPr>
              <w:t xml:space="preserve"> Meeting</w:t>
            </w:r>
          </w:p>
        </w:tc>
        <w:tc>
          <w:tcPr>
            <w:tcW w:w="2160" w:type="dxa"/>
            <w:vAlign w:val="bottom"/>
          </w:tcPr>
          <w:p w14:paraId="4DAAF244" w14:textId="1739883C" w:rsidR="007E1FDD" w:rsidRPr="007E1FDD" w:rsidRDefault="00D5637E" w:rsidP="00C73F61">
            <w:pPr>
              <w:spacing w:before="40"/>
              <w:rPr>
                <w:bCs/>
              </w:rPr>
            </w:pPr>
            <w:r>
              <w:rPr>
                <w:bCs/>
              </w:rPr>
              <w:t>23</w:t>
            </w:r>
            <w:r w:rsidR="008624ED">
              <w:rPr>
                <w:bCs/>
              </w:rPr>
              <w:t xml:space="preserve"> </w:t>
            </w:r>
            <w:r w:rsidR="00EA0BBD">
              <w:rPr>
                <w:bCs/>
              </w:rPr>
              <w:t xml:space="preserve">March </w:t>
            </w:r>
            <w:r w:rsidR="007E1FDD" w:rsidRPr="007E1FDD">
              <w:rPr>
                <w:bCs/>
              </w:rPr>
              <w:t>20</w:t>
            </w:r>
            <w:r w:rsidR="00EC249E">
              <w:rPr>
                <w:bCs/>
              </w:rPr>
              <w:t>2</w:t>
            </w:r>
            <w:r w:rsidR="008624ED">
              <w:rPr>
                <w:bCs/>
              </w:rPr>
              <w:t>1</w:t>
            </w:r>
          </w:p>
        </w:tc>
      </w:tr>
    </w:tbl>
    <w:p w14:paraId="1D7C378C" w14:textId="77777777" w:rsidR="007E7497" w:rsidRPr="00051E1E" w:rsidRDefault="007E7497" w:rsidP="00DA7595">
      <w:pPr>
        <w:rPr>
          <w:lang w:eastAsia="ko-KR"/>
        </w:rPr>
      </w:pPr>
    </w:p>
    <w:p w14:paraId="416BBD44" w14:textId="77777777" w:rsidR="00FF72BB" w:rsidRDefault="00FF72BB" w:rsidP="00DA7595">
      <w:pPr>
        <w:jc w:val="center"/>
        <w:rPr>
          <w:lang w:eastAsia="ko-KR"/>
        </w:rPr>
      </w:pPr>
    </w:p>
    <w:p w14:paraId="5D48B783" w14:textId="5879D54F" w:rsidR="00DA7595" w:rsidRPr="00051E1E" w:rsidRDefault="009D055C" w:rsidP="00DA7595">
      <w:pPr>
        <w:jc w:val="center"/>
        <w:rPr>
          <w:lang w:eastAsia="ko-KR"/>
        </w:rPr>
      </w:pPr>
      <w:r>
        <w:rPr>
          <w:lang w:eastAsia="ko-KR"/>
        </w:rPr>
        <w:t>Chairman, DG on AI 1.5</w:t>
      </w:r>
    </w:p>
    <w:p w14:paraId="49B50650" w14:textId="77777777" w:rsidR="007E7497" w:rsidRPr="00B355DB" w:rsidRDefault="007E7497" w:rsidP="007E7497">
      <w:pPr>
        <w:jc w:val="center"/>
        <w:rPr>
          <w:caps/>
        </w:rPr>
      </w:pPr>
    </w:p>
    <w:p w14:paraId="40C01037" w14:textId="7694F997" w:rsidR="007E7497" w:rsidRPr="00F22892" w:rsidRDefault="00EA0BBD" w:rsidP="007E7497">
      <w:pPr>
        <w:jc w:val="center"/>
        <w:rPr>
          <w:b/>
          <w:bCs/>
          <w:caps/>
        </w:rPr>
      </w:pPr>
      <w:r>
        <w:rPr>
          <w:b/>
          <w:bCs/>
          <w:caps/>
        </w:rPr>
        <w:t xml:space="preserve">brief </w:t>
      </w:r>
      <w:r w:rsidR="00EC249E">
        <w:rPr>
          <w:b/>
          <w:bCs/>
          <w:caps/>
        </w:rPr>
        <w:t>o</w:t>
      </w:r>
      <w:r>
        <w:rPr>
          <w:b/>
          <w:bCs/>
          <w:caps/>
        </w:rPr>
        <w:t>n</w:t>
      </w:r>
      <w:r w:rsidR="00EC249E">
        <w:rPr>
          <w:b/>
          <w:bCs/>
          <w:caps/>
        </w:rPr>
        <w:t xml:space="preserve"> </w:t>
      </w:r>
      <w:r>
        <w:rPr>
          <w:b/>
          <w:bCs/>
          <w:caps/>
        </w:rPr>
        <w:t>wrc-23</w:t>
      </w:r>
      <w:r w:rsidR="00EC249E">
        <w:rPr>
          <w:b/>
          <w:bCs/>
          <w:caps/>
        </w:rPr>
        <w:t xml:space="preserve"> </w:t>
      </w:r>
      <w:r w:rsidR="009D055C">
        <w:rPr>
          <w:b/>
          <w:bCs/>
          <w:caps/>
        </w:rPr>
        <w:t>agenda item 1.5</w:t>
      </w:r>
    </w:p>
    <w:p w14:paraId="233AF010" w14:textId="77777777" w:rsidR="007E7497" w:rsidRPr="005E3896" w:rsidRDefault="007E7497" w:rsidP="007E7497">
      <w:pPr>
        <w:jc w:val="both"/>
        <w:rPr>
          <w:bCs/>
          <w:sz w:val="6"/>
        </w:rPr>
      </w:pPr>
    </w:p>
    <w:p w14:paraId="271866BD" w14:textId="77777777" w:rsidR="00D84CEE" w:rsidRPr="00D84CEE" w:rsidRDefault="00D84CEE" w:rsidP="00D84CEE">
      <w:pPr>
        <w:jc w:val="both"/>
        <w:rPr>
          <w:sz w:val="10"/>
        </w:rPr>
      </w:pPr>
    </w:p>
    <w:p w14:paraId="6E2A1ABA" w14:textId="77777777" w:rsidR="00EC249E" w:rsidRDefault="00EC249E" w:rsidP="00E5341E">
      <w:pPr>
        <w:spacing w:after="120"/>
        <w:jc w:val="both"/>
        <w:rPr>
          <w:b/>
          <w:lang w:val="en-NZ"/>
        </w:rPr>
      </w:pPr>
    </w:p>
    <w:p w14:paraId="60504901" w14:textId="177A8D24" w:rsidR="00EC249E" w:rsidRPr="00C17F93" w:rsidRDefault="00EC249E" w:rsidP="009F09B8">
      <w:pPr>
        <w:jc w:val="both"/>
      </w:pPr>
      <w:r w:rsidRPr="00C17F93">
        <w:t>(</w:t>
      </w:r>
      <w:r w:rsidR="00615999">
        <w:t xml:space="preserve">Note: </w:t>
      </w:r>
      <w:r w:rsidR="00615999" w:rsidRPr="00615999">
        <w:rPr>
          <w:i/>
          <w:iCs/>
        </w:rPr>
        <w:t>This brief was developed for information purpose only. It does not necessarily express the view of APG-23</w:t>
      </w:r>
      <w:r w:rsidRPr="00C17F93">
        <w:t>)</w:t>
      </w:r>
    </w:p>
    <w:p w14:paraId="030D99E3" w14:textId="77777777" w:rsidR="00EC249E" w:rsidRDefault="00EC249E" w:rsidP="009F09B8">
      <w:pPr>
        <w:spacing w:after="120"/>
        <w:jc w:val="both"/>
        <w:rPr>
          <w:b/>
        </w:rPr>
      </w:pPr>
    </w:p>
    <w:p w14:paraId="4E1693DC" w14:textId="37C1D5B2" w:rsidR="00615999" w:rsidRPr="00441526" w:rsidRDefault="00464CAB" w:rsidP="009F09B8">
      <w:pPr>
        <w:spacing w:after="120"/>
        <w:jc w:val="both"/>
        <w:rPr>
          <w:lang w:val="en-NZ"/>
        </w:rPr>
      </w:pPr>
      <w:r>
        <w:rPr>
          <w:b/>
          <w:lang w:val="en-NZ"/>
        </w:rPr>
        <w:t>Agenda Item 1.</w:t>
      </w:r>
      <w:r w:rsidR="00A6615F">
        <w:rPr>
          <w:b/>
          <w:lang w:val="en-NZ"/>
        </w:rPr>
        <w:t>5</w:t>
      </w:r>
      <w:r w:rsidR="00615999" w:rsidRPr="00441526">
        <w:rPr>
          <w:b/>
          <w:lang w:val="en-NZ"/>
        </w:rPr>
        <w:t xml:space="preserve">: </w:t>
      </w:r>
    </w:p>
    <w:p w14:paraId="5CCA2C5A" w14:textId="4C8EF70F" w:rsidR="009D055C" w:rsidRPr="003E0AFE" w:rsidRDefault="009D055C" w:rsidP="009F09B8">
      <w:pPr>
        <w:pStyle w:val="ListParagraph"/>
        <w:ind w:left="0"/>
        <w:rPr>
          <w:rFonts w:ascii="Calibri" w:eastAsia="Batang" w:hAnsi="Calibri" w:cs="Calibri"/>
          <w:lang w:eastAsia="nl-NL"/>
        </w:rPr>
      </w:pPr>
      <w:r w:rsidRPr="009D055C">
        <w:rPr>
          <w:i/>
          <w:lang w:val="en-NZ"/>
        </w:rPr>
        <w:t>to review the spectrum use and spectrum needs of existing services in the frequency band 470-960 MHz in Region 1 and consider possible regulatory actions in the frequency band 470</w:t>
      </w:r>
      <w:r w:rsidRPr="009D055C">
        <w:rPr>
          <w:i/>
          <w:lang w:val="en-NZ"/>
        </w:rPr>
        <w:noBreakHyphen/>
        <w:t xml:space="preserve">694 MHz in Region 1 on the basis of the review in accordance with Resolution </w:t>
      </w:r>
      <w:r w:rsidRPr="00A767AF">
        <w:rPr>
          <w:b/>
          <w:i/>
          <w:lang w:val="en-NZ"/>
        </w:rPr>
        <w:t>235 (WRC</w:t>
      </w:r>
      <w:r w:rsidRPr="00A767AF">
        <w:rPr>
          <w:b/>
          <w:i/>
          <w:lang w:val="en-NZ"/>
        </w:rPr>
        <w:noBreakHyphen/>
        <w:t>15)</w:t>
      </w:r>
      <w:r w:rsidRPr="009D055C">
        <w:rPr>
          <w:i/>
          <w:lang w:val="en-NZ"/>
        </w:rPr>
        <w:t>;</w:t>
      </w:r>
    </w:p>
    <w:p w14:paraId="53333B28" w14:textId="78D89299" w:rsidR="00615999" w:rsidRPr="00441526" w:rsidRDefault="00615999" w:rsidP="009F09B8">
      <w:pPr>
        <w:spacing w:after="120"/>
        <w:jc w:val="both"/>
        <w:rPr>
          <w:i/>
          <w:lang w:val="en-NZ"/>
        </w:rPr>
      </w:pPr>
    </w:p>
    <w:p w14:paraId="3DA40495" w14:textId="0156CF15" w:rsidR="0037421D" w:rsidRPr="009D055C" w:rsidRDefault="00615999" w:rsidP="00A767AF">
      <w:pPr>
        <w:spacing w:after="120"/>
        <w:jc w:val="both"/>
      </w:pPr>
      <w:r>
        <w:rPr>
          <w:b/>
          <w:lang w:val="en-NZ"/>
        </w:rPr>
        <w:t>Relevant Resolutions and Responsible/Contributing ITU-R Groups</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7"/>
        <w:gridCol w:w="6922"/>
      </w:tblGrid>
      <w:tr w:rsidR="009D055C" w:rsidRPr="00D06742" w14:paraId="4A1CA755" w14:textId="77777777" w:rsidTr="00113916">
        <w:trPr>
          <w:cantSplit/>
          <w:jc w:val="center"/>
        </w:trPr>
        <w:tc>
          <w:tcPr>
            <w:tcW w:w="2287" w:type="dxa"/>
          </w:tcPr>
          <w:p w14:paraId="26690509" w14:textId="77777777" w:rsidR="009D055C" w:rsidRPr="00A767AF" w:rsidRDefault="009D055C" w:rsidP="00113916">
            <w:pPr>
              <w:pStyle w:val="Tabletext"/>
              <w:keepNext/>
              <w:keepLines/>
              <w:rPr>
                <w:rFonts w:ascii="Times New Roman" w:hAnsi="Times New Roman" w:cs="Times New Roman"/>
                <w:sz w:val="23"/>
                <w:szCs w:val="23"/>
              </w:rPr>
            </w:pPr>
            <w:r w:rsidRPr="00A767AF">
              <w:rPr>
                <w:rFonts w:ascii="Times New Roman" w:hAnsi="Times New Roman" w:cs="Times New Roman"/>
                <w:sz w:val="23"/>
                <w:szCs w:val="23"/>
              </w:rPr>
              <w:t>Resolution </w:t>
            </w:r>
            <w:r w:rsidRPr="00A767AF">
              <w:rPr>
                <w:rFonts w:ascii="Times New Roman" w:hAnsi="Times New Roman" w:cs="Times New Roman"/>
                <w:b/>
                <w:bCs/>
                <w:sz w:val="23"/>
                <w:szCs w:val="23"/>
              </w:rPr>
              <w:t>235 (WRC</w:t>
            </w:r>
            <w:r w:rsidRPr="00A767AF">
              <w:rPr>
                <w:rFonts w:ascii="Times New Roman" w:hAnsi="Times New Roman" w:cs="Times New Roman"/>
                <w:b/>
                <w:bCs/>
                <w:sz w:val="23"/>
                <w:szCs w:val="23"/>
              </w:rPr>
              <w:noBreakHyphen/>
              <w:t>15)</w:t>
            </w:r>
          </w:p>
          <w:p w14:paraId="17BFA2B7" w14:textId="25F2E1B8" w:rsidR="009D055C" w:rsidRPr="00A767AF" w:rsidRDefault="009D055C" w:rsidP="00113916">
            <w:pPr>
              <w:pStyle w:val="Tabletext"/>
              <w:keepNext/>
              <w:keepLines/>
              <w:rPr>
                <w:rFonts w:ascii="Times New Roman" w:hAnsi="Times New Roman" w:cs="Times New Roman"/>
                <w:sz w:val="23"/>
                <w:szCs w:val="23"/>
              </w:rPr>
            </w:pPr>
            <w:r w:rsidRPr="00A767AF">
              <w:rPr>
                <w:rFonts w:ascii="Times New Roman" w:hAnsi="Times New Roman" w:cs="Times New Roman"/>
                <w:sz w:val="23"/>
                <w:szCs w:val="23"/>
              </w:rPr>
              <w:t>Review of the spectrum use of the frequency band 470-960 MHz in Region 1</w:t>
            </w:r>
          </w:p>
        </w:tc>
        <w:tc>
          <w:tcPr>
            <w:tcW w:w="6922" w:type="dxa"/>
          </w:tcPr>
          <w:p w14:paraId="704F970B" w14:textId="77777777" w:rsidR="009D055C" w:rsidRPr="00A767AF" w:rsidRDefault="009D055C" w:rsidP="009F09B8">
            <w:pPr>
              <w:pStyle w:val="Tabletext"/>
              <w:keepNext/>
              <w:keepLines/>
              <w:jc w:val="both"/>
              <w:rPr>
                <w:rFonts w:ascii="Times New Roman" w:hAnsi="Times New Roman" w:cs="Times New Roman"/>
                <w:sz w:val="23"/>
                <w:szCs w:val="23"/>
              </w:rPr>
            </w:pPr>
            <w:r w:rsidRPr="00A767AF">
              <w:rPr>
                <w:rFonts w:ascii="Times New Roman" w:hAnsi="Times New Roman" w:cs="Times New Roman"/>
                <w:sz w:val="23"/>
                <w:szCs w:val="23"/>
              </w:rPr>
              <w:t>resolves to invite ITU</w:t>
            </w:r>
            <w:r w:rsidRPr="00A767AF">
              <w:rPr>
                <w:rFonts w:ascii="Times New Roman" w:hAnsi="Times New Roman" w:cs="Times New Roman"/>
                <w:sz w:val="23"/>
                <w:szCs w:val="23"/>
              </w:rPr>
              <w:noBreakHyphen/>
              <w:t>R, after the 2019 World Radiocommunication Conference and in time for the 2023 World Radiocommunication Conference</w:t>
            </w:r>
          </w:p>
          <w:p w14:paraId="3862633A" w14:textId="77777777" w:rsidR="009D055C" w:rsidRPr="00A767AF" w:rsidRDefault="009D055C" w:rsidP="009F09B8">
            <w:pPr>
              <w:pStyle w:val="Tabletext"/>
              <w:keepNext/>
              <w:keepLines/>
              <w:jc w:val="both"/>
              <w:rPr>
                <w:rFonts w:ascii="Times New Roman" w:hAnsi="Times New Roman" w:cs="Times New Roman"/>
                <w:sz w:val="23"/>
                <w:szCs w:val="23"/>
              </w:rPr>
            </w:pPr>
            <w:r w:rsidRPr="00A767AF">
              <w:rPr>
                <w:rFonts w:ascii="Times New Roman" w:hAnsi="Times New Roman" w:cs="Times New Roman"/>
                <w:sz w:val="23"/>
                <w:szCs w:val="23"/>
              </w:rPr>
              <w:t>1</w:t>
            </w:r>
            <w:r w:rsidRPr="00A767AF">
              <w:rPr>
                <w:rFonts w:ascii="Times New Roman" w:hAnsi="Times New Roman" w:cs="Times New Roman"/>
                <w:sz w:val="23"/>
                <w:szCs w:val="23"/>
              </w:rPr>
              <w:tab/>
              <w:t>to review the spectrum use and study the spectrum needs of existing services within the frequency band 470-960 MHz in Region 1, in particular the spectrum requirements of the broadcasting and mobile, except aeronautical mobile, services, taking into account the relevant ITU Radiocommunication Sector (ITU</w:t>
            </w:r>
            <w:r w:rsidRPr="00A767AF">
              <w:rPr>
                <w:rFonts w:ascii="Times New Roman" w:hAnsi="Times New Roman" w:cs="Times New Roman"/>
                <w:sz w:val="23"/>
                <w:szCs w:val="23"/>
              </w:rPr>
              <w:noBreakHyphen/>
              <w:t>R) studies, Recommendations and Reports;</w:t>
            </w:r>
          </w:p>
          <w:p w14:paraId="31858701" w14:textId="77777777" w:rsidR="009D055C" w:rsidRPr="00A767AF" w:rsidRDefault="009D055C" w:rsidP="009F09B8">
            <w:pPr>
              <w:pStyle w:val="Tabletext"/>
              <w:keepNext/>
              <w:keepLines/>
              <w:jc w:val="both"/>
              <w:rPr>
                <w:rFonts w:ascii="Times New Roman" w:hAnsi="Times New Roman" w:cs="Times New Roman"/>
                <w:sz w:val="23"/>
                <w:szCs w:val="23"/>
              </w:rPr>
            </w:pPr>
            <w:r w:rsidRPr="00A767AF">
              <w:rPr>
                <w:rFonts w:ascii="Times New Roman" w:hAnsi="Times New Roman" w:cs="Times New Roman"/>
                <w:sz w:val="23"/>
                <w:szCs w:val="23"/>
              </w:rPr>
              <w:t>2</w:t>
            </w:r>
            <w:r w:rsidRPr="00A767AF">
              <w:rPr>
                <w:rFonts w:ascii="Times New Roman" w:hAnsi="Times New Roman" w:cs="Times New Roman"/>
                <w:sz w:val="23"/>
                <w:szCs w:val="23"/>
              </w:rPr>
              <w:tab/>
              <w:t>to carry out sharing and compatibility studies, as appropriate, in the frequency band 470</w:t>
            </w:r>
            <w:r w:rsidRPr="00A767AF">
              <w:rPr>
                <w:rFonts w:ascii="Times New Roman" w:hAnsi="Times New Roman" w:cs="Times New Roman"/>
                <w:sz w:val="23"/>
                <w:szCs w:val="23"/>
              </w:rPr>
              <w:noBreakHyphen/>
              <w:t>694 MHz in Region 1 between the broadcasting and mobile, except aeronautical mobile, services, taking into account relevant ITU</w:t>
            </w:r>
            <w:r w:rsidRPr="00A767AF">
              <w:rPr>
                <w:rFonts w:ascii="Times New Roman" w:hAnsi="Times New Roman" w:cs="Times New Roman"/>
                <w:sz w:val="23"/>
                <w:szCs w:val="23"/>
              </w:rPr>
              <w:noBreakHyphen/>
              <w:t>R studies, Recommendations and Reports;</w:t>
            </w:r>
          </w:p>
          <w:p w14:paraId="6A991085" w14:textId="77777777" w:rsidR="009D055C" w:rsidRPr="00A767AF" w:rsidRDefault="009D055C" w:rsidP="009F09B8">
            <w:pPr>
              <w:pStyle w:val="Tabletext"/>
              <w:keepNext/>
              <w:keepLines/>
              <w:jc w:val="both"/>
              <w:rPr>
                <w:rFonts w:ascii="Times New Roman" w:hAnsi="Times New Roman" w:cs="Times New Roman"/>
                <w:sz w:val="23"/>
                <w:szCs w:val="23"/>
              </w:rPr>
            </w:pPr>
            <w:r w:rsidRPr="00A767AF">
              <w:rPr>
                <w:rFonts w:ascii="Times New Roman" w:hAnsi="Times New Roman" w:cs="Times New Roman"/>
                <w:sz w:val="23"/>
                <w:szCs w:val="23"/>
              </w:rPr>
              <w:t>3</w:t>
            </w:r>
            <w:r w:rsidRPr="00A767AF">
              <w:rPr>
                <w:rFonts w:ascii="Times New Roman" w:hAnsi="Times New Roman" w:cs="Times New Roman"/>
                <w:sz w:val="23"/>
                <w:szCs w:val="23"/>
              </w:rPr>
              <w:tab/>
              <w:t xml:space="preserve">to conduct sharing </w:t>
            </w:r>
          </w:p>
          <w:p w14:paraId="0D1BB262" w14:textId="77777777" w:rsidR="009D055C" w:rsidRPr="00A767AF" w:rsidRDefault="009D055C" w:rsidP="009F09B8">
            <w:pPr>
              <w:pStyle w:val="Tabletext"/>
              <w:keepNext/>
              <w:keepLines/>
              <w:jc w:val="both"/>
              <w:rPr>
                <w:rFonts w:ascii="Times New Roman" w:hAnsi="Times New Roman" w:cs="Times New Roman"/>
                <w:sz w:val="23"/>
                <w:szCs w:val="23"/>
              </w:rPr>
            </w:pPr>
            <w:r w:rsidRPr="00A767AF">
              <w:rPr>
                <w:rFonts w:ascii="Times New Roman" w:hAnsi="Times New Roman" w:cs="Times New Roman"/>
                <w:sz w:val="23"/>
                <w:szCs w:val="23"/>
              </w:rPr>
              <w:t>and compatibility studies, as appropriate, in order to provide relevant protection of systems of other existing services,</w:t>
            </w:r>
          </w:p>
          <w:p w14:paraId="7A971AF0" w14:textId="77777777" w:rsidR="009D055C" w:rsidRPr="00A767AF" w:rsidRDefault="009D055C" w:rsidP="009F09B8">
            <w:pPr>
              <w:pStyle w:val="Tabletext"/>
              <w:keepNext/>
              <w:keepLines/>
              <w:jc w:val="both"/>
              <w:rPr>
                <w:rFonts w:ascii="Times New Roman" w:hAnsi="Times New Roman" w:cs="Times New Roman"/>
                <w:sz w:val="23"/>
                <w:szCs w:val="23"/>
              </w:rPr>
            </w:pPr>
            <w:r w:rsidRPr="00A767AF">
              <w:rPr>
                <w:rFonts w:ascii="Times New Roman" w:hAnsi="Times New Roman" w:cs="Times New Roman"/>
                <w:sz w:val="23"/>
                <w:szCs w:val="23"/>
              </w:rPr>
              <w:t>invites administrations</w:t>
            </w:r>
          </w:p>
          <w:p w14:paraId="11F15204" w14:textId="77777777" w:rsidR="009D055C" w:rsidRPr="00A767AF" w:rsidRDefault="009D055C" w:rsidP="009F09B8">
            <w:pPr>
              <w:pStyle w:val="Tabletext"/>
              <w:keepNext/>
              <w:keepLines/>
              <w:jc w:val="both"/>
              <w:rPr>
                <w:rFonts w:ascii="Times New Roman" w:hAnsi="Times New Roman" w:cs="Times New Roman"/>
                <w:sz w:val="23"/>
                <w:szCs w:val="23"/>
              </w:rPr>
            </w:pPr>
            <w:r w:rsidRPr="00A767AF">
              <w:rPr>
                <w:rFonts w:ascii="Times New Roman" w:hAnsi="Times New Roman" w:cs="Times New Roman"/>
                <w:sz w:val="23"/>
                <w:szCs w:val="23"/>
              </w:rPr>
              <w:t>to participate actively in the studies by submitting contributions to ITU</w:t>
            </w:r>
            <w:r w:rsidRPr="00A767AF">
              <w:rPr>
                <w:rFonts w:ascii="Times New Roman" w:hAnsi="Times New Roman" w:cs="Times New Roman"/>
                <w:sz w:val="23"/>
                <w:szCs w:val="23"/>
              </w:rPr>
              <w:noBreakHyphen/>
              <w:t>R,</w:t>
            </w:r>
          </w:p>
          <w:p w14:paraId="71E41B6C" w14:textId="77777777" w:rsidR="009D055C" w:rsidRPr="00A767AF" w:rsidRDefault="009D055C" w:rsidP="009F09B8">
            <w:pPr>
              <w:pStyle w:val="Tabletext"/>
              <w:keepNext/>
              <w:keepLines/>
              <w:jc w:val="both"/>
              <w:rPr>
                <w:rFonts w:ascii="Times New Roman" w:hAnsi="Times New Roman" w:cs="Times New Roman"/>
                <w:sz w:val="23"/>
                <w:szCs w:val="23"/>
              </w:rPr>
            </w:pPr>
            <w:r w:rsidRPr="00A767AF">
              <w:rPr>
                <w:rFonts w:ascii="Times New Roman" w:hAnsi="Times New Roman" w:cs="Times New Roman"/>
                <w:sz w:val="23"/>
                <w:szCs w:val="23"/>
              </w:rPr>
              <w:t>resolves to invite the 2023 World Radiocommunication Conference</w:t>
            </w:r>
          </w:p>
          <w:p w14:paraId="56FCF25F" w14:textId="77777777" w:rsidR="009D055C" w:rsidRPr="00A767AF" w:rsidRDefault="009D055C" w:rsidP="009F09B8">
            <w:pPr>
              <w:pStyle w:val="Tabletext"/>
              <w:keepNext/>
              <w:keepLines/>
              <w:jc w:val="both"/>
              <w:rPr>
                <w:rFonts w:ascii="Times New Roman" w:hAnsi="Times New Roman" w:cs="Times New Roman"/>
                <w:sz w:val="23"/>
                <w:szCs w:val="23"/>
              </w:rPr>
            </w:pPr>
            <w:r w:rsidRPr="00A767AF">
              <w:rPr>
                <w:rFonts w:ascii="Times New Roman" w:hAnsi="Times New Roman" w:cs="Times New Roman"/>
                <w:sz w:val="23"/>
                <w:szCs w:val="23"/>
              </w:rPr>
              <w:t>to consider, based on the results of studies above, provided that these studies are completed and approved by ITU</w:t>
            </w:r>
            <w:r w:rsidRPr="00A767AF">
              <w:rPr>
                <w:rFonts w:ascii="Times New Roman" w:hAnsi="Times New Roman" w:cs="Times New Roman"/>
                <w:sz w:val="23"/>
                <w:szCs w:val="23"/>
              </w:rPr>
              <w:noBreakHyphen/>
              <w:t>R, possible regulatory actions in the frequency band 470-694 MHz in Region 1, as appropriate,</w:t>
            </w:r>
          </w:p>
          <w:p w14:paraId="40EB1555" w14:textId="77777777" w:rsidR="009D055C" w:rsidRPr="00A767AF" w:rsidRDefault="009D055C" w:rsidP="009F09B8">
            <w:pPr>
              <w:pStyle w:val="Tabletext"/>
              <w:keepNext/>
              <w:keepLines/>
              <w:jc w:val="both"/>
              <w:rPr>
                <w:rFonts w:ascii="Times New Roman" w:hAnsi="Times New Roman" w:cs="Times New Roman"/>
                <w:sz w:val="23"/>
                <w:szCs w:val="23"/>
              </w:rPr>
            </w:pPr>
            <w:r w:rsidRPr="00A767AF">
              <w:rPr>
                <w:rFonts w:ascii="Times New Roman" w:hAnsi="Times New Roman" w:cs="Times New Roman"/>
                <w:sz w:val="23"/>
                <w:szCs w:val="23"/>
              </w:rPr>
              <w:t>further invites ITU</w:t>
            </w:r>
            <w:r w:rsidRPr="00A767AF">
              <w:rPr>
                <w:rFonts w:ascii="Times New Roman" w:hAnsi="Times New Roman" w:cs="Times New Roman"/>
                <w:sz w:val="23"/>
                <w:szCs w:val="23"/>
              </w:rPr>
              <w:noBreakHyphen/>
              <w:t>R</w:t>
            </w:r>
          </w:p>
          <w:p w14:paraId="23E60363" w14:textId="159E2A29" w:rsidR="009D055C" w:rsidRPr="00A767AF" w:rsidRDefault="009D055C" w:rsidP="009F09B8">
            <w:pPr>
              <w:pStyle w:val="Tabletext"/>
              <w:keepNext/>
              <w:keepLines/>
              <w:jc w:val="both"/>
              <w:rPr>
                <w:rFonts w:ascii="Times New Roman" w:hAnsi="Times New Roman" w:cs="Times New Roman"/>
                <w:sz w:val="23"/>
                <w:szCs w:val="23"/>
              </w:rPr>
            </w:pPr>
            <w:r w:rsidRPr="00A767AF">
              <w:rPr>
                <w:rFonts w:ascii="Times New Roman" w:hAnsi="Times New Roman" w:cs="Times New Roman"/>
                <w:sz w:val="23"/>
                <w:szCs w:val="23"/>
              </w:rPr>
              <w:t>to ensure intersectoral collaboration with the ITU Telecommunication Development Sector (ITU</w:t>
            </w:r>
            <w:r w:rsidRPr="00A767AF">
              <w:rPr>
                <w:rFonts w:ascii="Times New Roman" w:hAnsi="Times New Roman" w:cs="Times New Roman"/>
                <w:sz w:val="23"/>
                <w:szCs w:val="23"/>
              </w:rPr>
              <w:noBreakHyphen/>
              <w:t>D) in the implementation of this Resolution.</w:t>
            </w:r>
          </w:p>
        </w:tc>
      </w:tr>
    </w:tbl>
    <w:p w14:paraId="5850A44A" w14:textId="7DE88827" w:rsidR="0037421D" w:rsidRDefault="0037421D" w:rsidP="009F09B8">
      <w:pPr>
        <w:spacing w:after="120"/>
        <w:jc w:val="both"/>
        <w:rPr>
          <w:b/>
        </w:rPr>
      </w:pPr>
    </w:p>
    <w:tbl>
      <w:tblPr>
        <w:tblStyle w:val="TableGrid"/>
        <w:tblW w:w="9214" w:type="dxa"/>
        <w:tblInd w:w="-5" w:type="dxa"/>
        <w:tblLook w:val="04A0" w:firstRow="1" w:lastRow="0" w:firstColumn="1" w:lastColumn="0" w:noHBand="0" w:noVBand="1"/>
      </w:tblPr>
      <w:tblGrid>
        <w:gridCol w:w="2694"/>
        <w:gridCol w:w="6520"/>
      </w:tblGrid>
      <w:tr w:rsidR="009D055C" w:rsidRPr="00D06742" w14:paraId="201407FC" w14:textId="77777777" w:rsidTr="009D055C">
        <w:tc>
          <w:tcPr>
            <w:tcW w:w="2694" w:type="dxa"/>
          </w:tcPr>
          <w:p w14:paraId="49F372C5" w14:textId="5D7474A6" w:rsidR="009D055C" w:rsidRPr="00CA25D1" w:rsidRDefault="009D055C" w:rsidP="009F09B8">
            <w:pPr>
              <w:jc w:val="center"/>
              <w:rPr>
                <w:color w:val="FF0000"/>
              </w:rPr>
            </w:pPr>
            <w:r w:rsidRPr="00113916">
              <w:rPr>
                <w:rFonts w:eastAsia="Batang"/>
                <w:b/>
              </w:rPr>
              <w:lastRenderedPageBreak/>
              <w:t>Responsible group</w:t>
            </w:r>
          </w:p>
        </w:tc>
        <w:tc>
          <w:tcPr>
            <w:tcW w:w="6520" w:type="dxa"/>
          </w:tcPr>
          <w:p w14:paraId="1B86DE8A" w14:textId="044D2E4A" w:rsidR="009D055C" w:rsidRPr="00CA25D1" w:rsidRDefault="009D055C" w:rsidP="009F09B8">
            <w:pPr>
              <w:jc w:val="center"/>
              <w:rPr>
                <w:color w:val="FF0000"/>
              </w:rPr>
            </w:pPr>
            <w:r w:rsidRPr="00113916">
              <w:rPr>
                <w:rFonts w:eastAsia="Batang"/>
                <w:b/>
              </w:rPr>
              <w:t>Contributing group</w:t>
            </w:r>
            <w:r w:rsidR="00926F21">
              <w:rPr>
                <w:rFonts w:eastAsia="Batang"/>
                <w:b/>
              </w:rPr>
              <w:t>*</w:t>
            </w:r>
          </w:p>
        </w:tc>
      </w:tr>
      <w:tr w:rsidR="009D055C" w:rsidRPr="00D06742" w14:paraId="62627DE7" w14:textId="77777777" w:rsidTr="009D055C">
        <w:tc>
          <w:tcPr>
            <w:tcW w:w="2694" w:type="dxa"/>
          </w:tcPr>
          <w:p w14:paraId="2FF0C3D0" w14:textId="0E12A094" w:rsidR="009D055C" w:rsidRPr="00F40B50" w:rsidRDefault="009D055C" w:rsidP="009F09B8">
            <w:pPr>
              <w:jc w:val="center"/>
              <w:rPr>
                <w:color w:val="FF0000"/>
              </w:rPr>
            </w:pPr>
            <w:r w:rsidRPr="00F40B50">
              <w:t>TG 6/1</w:t>
            </w:r>
          </w:p>
        </w:tc>
        <w:tc>
          <w:tcPr>
            <w:tcW w:w="6520" w:type="dxa"/>
          </w:tcPr>
          <w:p w14:paraId="4294D2A9" w14:textId="3FE800FB" w:rsidR="009D055C" w:rsidRPr="00F40B50" w:rsidRDefault="009D055C" w:rsidP="009F09B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color w:val="FF0000"/>
              </w:rPr>
            </w:pPr>
            <w:r w:rsidRPr="00F40B50">
              <w:t>WP 3K, WP 3M, WP 5A, WP 5B, WP 5C, WP 5D, WP 6A</w:t>
            </w:r>
            <w:r w:rsidR="00CA25D1">
              <w:t>, WP 7D</w:t>
            </w:r>
          </w:p>
        </w:tc>
      </w:tr>
    </w:tbl>
    <w:p w14:paraId="27E85F7E" w14:textId="77777777" w:rsidR="00926F21" w:rsidRDefault="00926F21" w:rsidP="00926F21">
      <w:pPr>
        <w:spacing w:after="120"/>
        <w:jc w:val="both"/>
        <w:rPr>
          <w:rFonts w:eastAsia="SimSun"/>
          <w:b/>
          <w:lang w:eastAsia="zh-CN"/>
        </w:rPr>
      </w:pPr>
      <w:r>
        <w:rPr>
          <w:rFonts w:eastAsia="SimSun" w:hint="eastAsia"/>
          <w:b/>
          <w:lang w:eastAsia="zh-CN"/>
        </w:rPr>
        <w:t>*</w:t>
      </w:r>
      <w:r w:rsidRPr="00D2473C">
        <w:rPr>
          <w:rFonts w:eastAsia="SimSun" w:hint="eastAsia"/>
          <w:lang w:val="en-GB" w:eastAsia="zh-CN"/>
        </w:rPr>
        <w:t xml:space="preserve"> </w:t>
      </w:r>
      <w:r>
        <w:rPr>
          <w:rFonts w:eastAsia="SimSun" w:hint="eastAsia"/>
          <w:lang w:val="en-GB" w:eastAsia="zh-CN"/>
        </w:rPr>
        <w:t>The</w:t>
      </w:r>
      <w:r>
        <w:rPr>
          <w:rFonts w:eastAsia="SimSun"/>
          <w:lang w:val="en-GB"/>
        </w:rPr>
        <w:t xml:space="preserve"> list of c</w:t>
      </w:r>
      <w:r w:rsidRPr="00D2473C">
        <w:rPr>
          <w:rFonts w:eastAsia="SimSun"/>
          <w:lang w:val="en-GB"/>
        </w:rPr>
        <w:t xml:space="preserve">ontributing group </w:t>
      </w:r>
      <w:r>
        <w:rPr>
          <w:rFonts w:eastAsia="SimSun"/>
          <w:lang w:val="en-GB"/>
        </w:rPr>
        <w:t>has been updated according to</w:t>
      </w:r>
      <w:r w:rsidRPr="00974826">
        <w:t xml:space="preserve"> </w:t>
      </w:r>
      <w:r w:rsidRPr="00974826">
        <w:rPr>
          <w:rFonts w:eastAsia="SimSun"/>
          <w:lang w:val="en-GB"/>
        </w:rPr>
        <w:t>Corrigendum 1 to Addendum 1 of</w:t>
      </w:r>
      <w:r>
        <w:rPr>
          <w:rFonts w:eastAsia="SimSun"/>
          <w:lang w:val="en-GB"/>
        </w:rPr>
        <w:t xml:space="preserve"> </w:t>
      </w:r>
      <w:r w:rsidRPr="00974826">
        <w:rPr>
          <w:rFonts w:eastAsia="SimSun"/>
          <w:lang w:val="en-GB"/>
        </w:rPr>
        <w:t>Administrative Circular</w:t>
      </w:r>
      <w:r>
        <w:rPr>
          <w:rFonts w:eastAsia="SimSun"/>
          <w:lang w:val="en-GB"/>
        </w:rPr>
        <w:t xml:space="preserve"> </w:t>
      </w:r>
      <w:r w:rsidRPr="00974826">
        <w:rPr>
          <w:rFonts w:eastAsia="SimSun"/>
          <w:lang w:val="en-GB"/>
        </w:rPr>
        <w:t>CA/</w:t>
      </w:r>
      <w:hyperlink r:id="rId9" w:history="1">
        <w:r w:rsidRPr="00974826">
          <w:rPr>
            <w:rStyle w:val="Hyperlink"/>
            <w:rFonts w:eastAsia="SimSun"/>
            <w:lang w:val="en-GB"/>
          </w:rPr>
          <w:t>251</w:t>
        </w:r>
      </w:hyperlink>
      <w:r>
        <w:rPr>
          <w:rFonts w:eastAsia="SimSun"/>
          <w:lang w:val="en-GB"/>
        </w:rPr>
        <w:t>.</w:t>
      </w:r>
    </w:p>
    <w:p w14:paraId="5CBC4012" w14:textId="77777777" w:rsidR="00615999" w:rsidRDefault="00615999" w:rsidP="009F09B8">
      <w:pPr>
        <w:spacing w:after="120"/>
        <w:jc w:val="both"/>
        <w:rPr>
          <w:b/>
        </w:rPr>
      </w:pPr>
    </w:p>
    <w:p w14:paraId="556060EE" w14:textId="5AC2718D" w:rsidR="00D06742" w:rsidRPr="00441526" w:rsidRDefault="00D06742" w:rsidP="009F09B8">
      <w:pPr>
        <w:spacing w:after="120"/>
        <w:jc w:val="both"/>
        <w:rPr>
          <w:b/>
          <w:lang w:val="en-NZ" w:eastAsia="ko-KR"/>
        </w:rPr>
      </w:pPr>
      <w:r w:rsidRPr="00441526">
        <w:rPr>
          <w:b/>
          <w:lang w:val="en-NZ" w:eastAsia="ko-KR"/>
        </w:rPr>
        <w:t xml:space="preserve">1. </w:t>
      </w:r>
      <w:r w:rsidRPr="00441526">
        <w:rPr>
          <w:b/>
          <w:lang w:val="en-NZ" w:eastAsia="ko-KR"/>
        </w:rPr>
        <w:tab/>
        <w:t>Background</w:t>
      </w:r>
      <w:r>
        <w:rPr>
          <w:b/>
          <w:lang w:val="en-NZ" w:eastAsia="ko-KR"/>
        </w:rPr>
        <w:t xml:space="preserve"> Information</w:t>
      </w:r>
    </w:p>
    <w:p w14:paraId="5ED006A7" w14:textId="501ABBA8" w:rsidR="003E0724" w:rsidRDefault="003E0724" w:rsidP="00070A5D">
      <w:pPr>
        <w:pStyle w:val="ListParagraph"/>
        <w:widowControl w:val="0"/>
        <w:numPr>
          <w:ilvl w:val="0"/>
          <w:numId w:val="22"/>
        </w:numPr>
        <w:autoSpaceDE w:val="0"/>
        <w:autoSpaceDN w:val="0"/>
        <w:jc w:val="both"/>
      </w:pPr>
      <w:r>
        <w:t xml:space="preserve">During </w:t>
      </w:r>
      <w:r w:rsidRPr="00113916">
        <w:rPr>
          <w:bCs/>
        </w:rPr>
        <w:t>WRC-15</w:t>
      </w:r>
      <w:r>
        <w:t xml:space="preserve">, after proposal of </w:t>
      </w:r>
      <w:r w:rsidRPr="00113916">
        <w:rPr>
          <w:bCs/>
        </w:rPr>
        <w:t>WRC-19</w:t>
      </w:r>
      <w:r>
        <w:t xml:space="preserve"> agenda item by multiple Region 1 administrations for studying Region 1 identification of 470-694/698 MHz for IMT and consequent Plenary-session </w:t>
      </w:r>
      <w:r w:rsidRPr="003E0724">
        <w:rPr>
          <w:lang w:val="en-NZ"/>
        </w:rPr>
        <w:t>discussions</w:t>
      </w:r>
      <w:r>
        <w:t xml:space="preserve">, an agenda item was proposed for </w:t>
      </w:r>
      <w:r w:rsidRPr="00113916">
        <w:rPr>
          <w:bCs/>
        </w:rPr>
        <w:t>WRC-23</w:t>
      </w:r>
      <w:r w:rsidRPr="00730AE5">
        <w:t>,</w:t>
      </w:r>
      <w:r>
        <w:rPr>
          <w:b/>
          <w:bCs/>
        </w:rPr>
        <w:t xml:space="preserve"> </w:t>
      </w:r>
      <w:r>
        <w:t xml:space="preserve">as item </w:t>
      </w:r>
      <w:r w:rsidRPr="00113916">
        <w:rPr>
          <w:bCs/>
        </w:rPr>
        <w:t>2.5</w:t>
      </w:r>
      <w:r>
        <w:t xml:space="preserve"> in the Resolution </w:t>
      </w:r>
      <w:r w:rsidRPr="00F551FB">
        <w:rPr>
          <w:b/>
          <w:bCs/>
        </w:rPr>
        <w:t>810 (WRC-15)</w:t>
      </w:r>
      <w:r>
        <w:t xml:space="preserve">. This proposal was approved in </w:t>
      </w:r>
      <w:r w:rsidRPr="00113916">
        <w:rPr>
          <w:bCs/>
        </w:rPr>
        <w:t>WRC-19</w:t>
      </w:r>
      <w:r>
        <w:t xml:space="preserve"> as agenda item </w:t>
      </w:r>
      <w:r w:rsidR="00CA25D1">
        <w:rPr>
          <w:bCs/>
        </w:rPr>
        <w:t>1.5</w:t>
      </w:r>
      <w:r>
        <w:t xml:space="preserve"> and the relevant Resolution </w:t>
      </w:r>
      <w:r w:rsidRPr="00A631BD">
        <w:rPr>
          <w:b/>
          <w:bCs/>
        </w:rPr>
        <w:t>235</w:t>
      </w:r>
      <w:r>
        <w:t xml:space="preserve"> </w:t>
      </w:r>
      <w:r w:rsidRPr="00A32668">
        <w:rPr>
          <w:b/>
          <w:bCs/>
        </w:rPr>
        <w:t>(WRC-15)</w:t>
      </w:r>
      <w:r>
        <w:t xml:space="preserve"> kept intact.</w:t>
      </w:r>
    </w:p>
    <w:p w14:paraId="009E1B60" w14:textId="45556202" w:rsidR="00CB376C" w:rsidRDefault="00CB376C" w:rsidP="00113916"/>
    <w:p w14:paraId="38194476" w14:textId="779DC090" w:rsidR="00E41BE2" w:rsidRPr="00441526" w:rsidRDefault="00E41BE2" w:rsidP="009F09B8">
      <w:pPr>
        <w:spacing w:after="120"/>
        <w:jc w:val="both"/>
        <w:rPr>
          <w:b/>
          <w:lang w:val="en-NZ" w:eastAsia="ko-KR"/>
        </w:rPr>
      </w:pPr>
      <w:r>
        <w:rPr>
          <w:b/>
          <w:lang w:val="en-NZ" w:eastAsia="ko-KR"/>
        </w:rPr>
        <w:t>2</w:t>
      </w:r>
      <w:r w:rsidRPr="00441526">
        <w:rPr>
          <w:b/>
          <w:lang w:val="en-NZ" w:eastAsia="ko-KR"/>
        </w:rPr>
        <w:t xml:space="preserve">. </w:t>
      </w:r>
      <w:r w:rsidRPr="00441526">
        <w:rPr>
          <w:b/>
          <w:lang w:val="en-NZ" w:eastAsia="ko-KR"/>
        </w:rPr>
        <w:tab/>
      </w:r>
      <w:r>
        <w:rPr>
          <w:b/>
          <w:lang w:val="en-NZ" w:eastAsia="ko-KR"/>
        </w:rPr>
        <w:t>Information on on-going ITU-R Study</w:t>
      </w:r>
    </w:p>
    <w:p w14:paraId="438C4A32" w14:textId="275E8C89" w:rsidR="005A2C15" w:rsidRPr="00F067E1" w:rsidRDefault="00E71404" w:rsidP="00A70619">
      <w:pPr>
        <w:pStyle w:val="ListParagraph"/>
        <w:numPr>
          <w:ilvl w:val="0"/>
          <w:numId w:val="23"/>
        </w:numPr>
        <w:autoSpaceDE w:val="0"/>
        <w:autoSpaceDN w:val="0"/>
        <w:jc w:val="both"/>
      </w:pPr>
      <w:r>
        <w:t>T</w:t>
      </w:r>
      <w:r w:rsidRPr="00E71404">
        <w:t xml:space="preserve">he terms of reference </w:t>
      </w:r>
      <w:r>
        <w:t xml:space="preserve">of </w:t>
      </w:r>
      <w:r w:rsidRPr="00E71404">
        <w:t>TG 6/1</w:t>
      </w:r>
      <w:r w:rsidR="00CA25D1">
        <w:t xml:space="preserve"> is </w:t>
      </w:r>
      <w:r>
        <w:t xml:space="preserve">given in </w:t>
      </w:r>
      <w:r w:rsidRPr="005B42E7">
        <w:t>Annex</w:t>
      </w:r>
      <w:r w:rsidRPr="005B42E7">
        <w:rPr>
          <w:b/>
          <w:bCs/>
        </w:rPr>
        <w:t xml:space="preserve"> </w:t>
      </w:r>
      <w:r w:rsidRPr="005B42E7">
        <w:t>9</w:t>
      </w:r>
      <w:r>
        <w:t xml:space="preserve"> to </w:t>
      </w:r>
      <w:hyperlink r:id="rId10" w:history="1">
        <w:r w:rsidRPr="002702B1">
          <w:rPr>
            <w:rStyle w:val="Hyperlink"/>
          </w:rPr>
          <w:t xml:space="preserve">the report of </w:t>
        </w:r>
        <w:r w:rsidRPr="005B42E7">
          <w:rPr>
            <w:rStyle w:val="Hyperlink"/>
            <w:rFonts w:eastAsia="MS Mincho"/>
          </w:rPr>
          <w:t>first session of the CPM23</w:t>
        </w:r>
        <w:r w:rsidRPr="005B42E7">
          <w:rPr>
            <w:rStyle w:val="Hyperlink"/>
            <w:rFonts w:eastAsia="MS Mincho"/>
          </w:rPr>
          <w:noBreakHyphen/>
          <w:t>1</w:t>
        </w:r>
      </w:hyperlink>
      <w:r w:rsidRPr="005B42E7">
        <w:rPr>
          <w:rFonts w:eastAsia="MS Mincho"/>
        </w:rPr>
        <w:t xml:space="preserve">. </w:t>
      </w:r>
      <w:r w:rsidRPr="00E71404">
        <w:t>Accordingly</w:t>
      </w:r>
      <w:r w:rsidRPr="005B42E7">
        <w:rPr>
          <w:rFonts w:eastAsia="MS Mincho"/>
        </w:rPr>
        <w:t>, TG</w:t>
      </w:r>
      <w:r w:rsidR="0003569F">
        <w:rPr>
          <w:rFonts w:eastAsia="MS Mincho"/>
        </w:rPr>
        <w:t xml:space="preserve"> </w:t>
      </w:r>
      <w:r w:rsidRPr="005B42E7">
        <w:rPr>
          <w:rFonts w:eastAsia="MS Mincho"/>
        </w:rPr>
        <w:t>6/1 at</w:t>
      </w:r>
      <w:r w:rsidRPr="00F067E1">
        <w:t xml:space="preserve"> </w:t>
      </w:r>
      <w:r w:rsidR="00CA25D1">
        <w:t xml:space="preserve">its </w:t>
      </w:r>
      <w:r w:rsidRPr="00F067E1">
        <w:t>first meeting</w:t>
      </w:r>
      <w:r>
        <w:t xml:space="preserve">, </w:t>
      </w:r>
      <w:r w:rsidRPr="00F067E1">
        <w:t>19-23 October 2020</w:t>
      </w:r>
      <w:r>
        <w:t>,</w:t>
      </w:r>
      <w:r w:rsidRPr="00F067E1">
        <w:t xml:space="preserve"> were met, and </w:t>
      </w:r>
      <w:hyperlink r:id="rId11" w:history="1">
        <w:r w:rsidRPr="005A2C15">
          <w:rPr>
            <w:rStyle w:val="Hyperlink"/>
          </w:rPr>
          <w:t>its outputs</w:t>
        </w:r>
      </w:hyperlink>
      <w:r w:rsidRPr="00F067E1">
        <w:t xml:space="preserve"> include decisions on the structure, management team, workplan as well as terms of references of 3 established working group. TG 6/1 also approved 3 Liaison Statements to the contributing groups and developed structure for the working documents dealing with the spectrum use and needs of all existing services in the band 470</w:t>
      </w:r>
      <w:r w:rsidRPr="00F067E1">
        <w:noBreakHyphen/>
        <w:t>960 MHz, sharing and compatibility studies in the band 470-694 MHz and draft CPM text for WRC-23 agenda item 1.5.</w:t>
      </w:r>
      <w:r w:rsidR="005B42E7">
        <w:t xml:space="preserve"> </w:t>
      </w:r>
      <w:r w:rsidR="005A2C15">
        <w:t xml:space="preserve">The </w:t>
      </w:r>
      <w:r w:rsidR="005A2C15" w:rsidRPr="00F067E1">
        <w:t>three Working Groups (WGs)</w:t>
      </w:r>
      <w:r w:rsidR="005A2C15">
        <w:t xml:space="preserve"> of TG</w:t>
      </w:r>
      <w:r w:rsidR="0003569F">
        <w:t xml:space="preserve"> </w:t>
      </w:r>
      <w:r w:rsidR="005A2C15">
        <w:t>6/1 are</w:t>
      </w:r>
      <w:r w:rsidR="005A2C15" w:rsidRPr="00F067E1">
        <w:t>:</w:t>
      </w:r>
    </w:p>
    <w:p w14:paraId="780745D7" w14:textId="77777777" w:rsidR="005A2C15" w:rsidRPr="00F067E1" w:rsidRDefault="005A2C15" w:rsidP="00970367">
      <w:pPr>
        <w:pStyle w:val="enumlev1"/>
        <w:tabs>
          <w:tab w:val="clear" w:pos="1134"/>
          <w:tab w:val="clear" w:pos="1871"/>
        </w:tabs>
        <w:ind w:left="1170" w:hanging="414"/>
      </w:pPr>
      <w:r w:rsidRPr="00F067E1">
        <w:t>–</w:t>
      </w:r>
      <w:r w:rsidRPr="00F067E1">
        <w:tab/>
        <w:t xml:space="preserve">WG 1 – Spectrum use and needs of all existing services in the band 470-960 MHz;  </w:t>
      </w:r>
    </w:p>
    <w:p w14:paraId="4A0F359A" w14:textId="77777777" w:rsidR="005A2C15" w:rsidRPr="00F067E1" w:rsidRDefault="005A2C15" w:rsidP="00970367">
      <w:pPr>
        <w:pStyle w:val="enumlev1"/>
        <w:tabs>
          <w:tab w:val="clear" w:pos="1134"/>
          <w:tab w:val="clear" w:pos="1871"/>
          <w:tab w:val="clear" w:pos="2608"/>
          <w:tab w:val="left" w:pos="1170"/>
        </w:tabs>
        <w:ind w:left="1170" w:hanging="414"/>
      </w:pPr>
      <w:r w:rsidRPr="00F067E1">
        <w:t>–</w:t>
      </w:r>
      <w:r w:rsidRPr="00F067E1">
        <w:tab/>
        <w:t>WG 2 – Sharing and compatibility studies in the band 470-694 MHz;</w:t>
      </w:r>
    </w:p>
    <w:p w14:paraId="44882F62" w14:textId="77777777" w:rsidR="005A2C15" w:rsidRPr="00F067E1" w:rsidRDefault="005A2C15" w:rsidP="00970367">
      <w:pPr>
        <w:pStyle w:val="enumlev1"/>
        <w:tabs>
          <w:tab w:val="clear" w:pos="1134"/>
          <w:tab w:val="clear" w:pos="1871"/>
        </w:tabs>
        <w:ind w:left="1170" w:hanging="414"/>
      </w:pPr>
      <w:r w:rsidRPr="00F067E1">
        <w:t>–</w:t>
      </w:r>
      <w:r w:rsidRPr="00F067E1">
        <w:tab/>
        <w:t>WG 3 – Development of draft CPM text including regulatory aspects.</w:t>
      </w:r>
    </w:p>
    <w:p w14:paraId="378EA5A8" w14:textId="7ECCED28" w:rsidR="005A2C15" w:rsidRPr="00B173FF" w:rsidRDefault="005A2C15" w:rsidP="005B42E7">
      <w:pPr>
        <w:pStyle w:val="ListParagraph"/>
        <w:autoSpaceDE w:val="0"/>
        <w:autoSpaceDN w:val="0"/>
        <w:spacing w:before="120"/>
        <w:jc w:val="both"/>
      </w:pPr>
      <w:r w:rsidRPr="00F067E1">
        <w:t xml:space="preserve">In addition, an Ad-Hoc Group of Plenary to be established at the time it is considered appropriate by the TG 6/1 to deal with the various aspects of GE06 Agreement in relation </w:t>
      </w:r>
      <w:r w:rsidRPr="00B173FF">
        <w:t xml:space="preserve">to the WRC-23 agenda item 1.5 (see </w:t>
      </w:r>
      <w:r w:rsidRPr="00B173FF">
        <w:rPr>
          <w:i/>
          <w:iCs/>
        </w:rPr>
        <w:t>recognizing</w:t>
      </w:r>
      <w:r w:rsidRPr="00B173FF">
        <w:t xml:space="preserve"> part of Resolution </w:t>
      </w:r>
      <w:r w:rsidRPr="00B173FF">
        <w:rPr>
          <w:b/>
          <w:bCs/>
        </w:rPr>
        <w:t>235 (WRC-15)</w:t>
      </w:r>
      <w:r w:rsidRPr="00B173FF">
        <w:t>).</w:t>
      </w:r>
    </w:p>
    <w:p w14:paraId="61736DBB" w14:textId="690066DE" w:rsidR="00C3799D" w:rsidRPr="00B173FF" w:rsidRDefault="00153D73" w:rsidP="00153D73">
      <w:pPr>
        <w:pStyle w:val="ListParagraph"/>
        <w:numPr>
          <w:ilvl w:val="0"/>
          <w:numId w:val="23"/>
        </w:numPr>
        <w:autoSpaceDE w:val="0"/>
        <w:autoSpaceDN w:val="0"/>
        <w:jc w:val="both"/>
      </w:pPr>
      <w:r w:rsidRPr="00B173FF">
        <w:t>Five to s</w:t>
      </w:r>
      <w:r w:rsidR="0005171C" w:rsidRPr="00B173FF">
        <w:t xml:space="preserve">ix meeting proposed for TG 6/1 </w:t>
      </w:r>
      <w:r w:rsidRPr="00B173FF">
        <w:t xml:space="preserve">by item 9 Annex 9 </w:t>
      </w:r>
      <w:hyperlink r:id="rId12" w:history="1">
        <w:r w:rsidRPr="00B173FF">
          <w:rPr>
            <w:rStyle w:val="Hyperlink"/>
          </w:rPr>
          <w:t>CPM23-1 Report</w:t>
        </w:r>
      </w:hyperlink>
      <w:r w:rsidRPr="00B173FF">
        <w:t xml:space="preserve">, </w:t>
      </w:r>
      <w:r w:rsidR="0005171C" w:rsidRPr="00B173FF">
        <w:t>where the next</w:t>
      </w:r>
      <w:r w:rsidR="00C3799D" w:rsidRPr="00B173FF">
        <w:t xml:space="preserve"> </w:t>
      </w:r>
      <w:r w:rsidR="0005171C" w:rsidRPr="00B173FF">
        <w:t>(2</w:t>
      </w:r>
      <w:r w:rsidR="0005171C" w:rsidRPr="00B173FF">
        <w:rPr>
          <w:vertAlign w:val="superscript"/>
        </w:rPr>
        <w:t>nd</w:t>
      </w:r>
      <w:r w:rsidR="0005171C" w:rsidRPr="00B173FF">
        <w:t xml:space="preserve">) </w:t>
      </w:r>
      <w:r w:rsidR="00C3799D" w:rsidRPr="00B173FF">
        <w:t>meeting of TG 6/1 in scheduled from 28 June to 7 July 2021.</w:t>
      </w:r>
    </w:p>
    <w:p w14:paraId="336A8A87" w14:textId="24CC35E9" w:rsidR="00E41BE2" w:rsidRPr="00B173FF" w:rsidRDefault="00E41BE2" w:rsidP="009F09B8">
      <w:pPr>
        <w:pStyle w:val="ListParagraph"/>
        <w:numPr>
          <w:ilvl w:val="0"/>
          <w:numId w:val="23"/>
        </w:numPr>
        <w:autoSpaceDE w:val="0"/>
        <w:autoSpaceDN w:val="0"/>
        <w:jc w:val="both"/>
      </w:pPr>
      <w:r w:rsidRPr="00B173FF">
        <w:t xml:space="preserve">Hyperlink </w:t>
      </w:r>
      <w:r w:rsidR="005E6C90" w:rsidRPr="00B173FF">
        <w:t xml:space="preserve">to </w:t>
      </w:r>
      <w:r w:rsidR="009306C7" w:rsidRPr="00B173FF">
        <w:t xml:space="preserve">the relevant part of the webpage of </w:t>
      </w:r>
      <w:hyperlink r:id="rId13" w:history="1">
        <w:r w:rsidR="009306C7" w:rsidRPr="00B173FF">
          <w:rPr>
            <w:rStyle w:val="Hyperlink"/>
          </w:rPr>
          <w:t>ITU-R Preparatory Studies for WRC-23</w:t>
        </w:r>
      </w:hyperlink>
      <w:r w:rsidR="009306C7" w:rsidRPr="00B173FF">
        <w:t xml:space="preserve"> </w:t>
      </w:r>
      <w:r w:rsidRPr="00B173FF">
        <w:t xml:space="preserve"> </w:t>
      </w:r>
    </w:p>
    <w:p w14:paraId="70918B03" w14:textId="49D50E82" w:rsidR="00764D3C" w:rsidRPr="00E53E83" w:rsidRDefault="006E6E76" w:rsidP="009F09B8">
      <w:pPr>
        <w:pStyle w:val="ListParagraph"/>
        <w:widowControl w:val="0"/>
        <w:numPr>
          <w:ilvl w:val="1"/>
          <w:numId w:val="23"/>
        </w:numPr>
        <w:autoSpaceDE w:val="0"/>
        <w:autoSpaceDN w:val="0"/>
        <w:spacing w:after="160" w:line="259" w:lineRule="auto"/>
        <w:jc w:val="both"/>
        <w:rPr>
          <w:rStyle w:val="Hyperlink"/>
          <w:color w:val="auto"/>
          <w:u w:val="none"/>
        </w:rPr>
      </w:pPr>
      <w:hyperlink r:id="rId14" w:history="1">
        <w:r w:rsidR="00764D3C" w:rsidRPr="00B173FF">
          <w:rPr>
            <w:rStyle w:val="Hyperlink"/>
          </w:rPr>
          <w:t>https://www.itu.int/en/ITU-R/study-groups/rcpm/Pages/wrc-23-studies.aspx</w:t>
        </w:r>
      </w:hyperlink>
    </w:p>
    <w:p w14:paraId="0D9A65C0" w14:textId="26B1A56E" w:rsidR="00E53E83" w:rsidRDefault="00E53E83" w:rsidP="00E53E83">
      <w:pPr>
        <w:pStyle w:val="ListParagraph"/>
        <w:numPr>
          <w:ilvl w:val="0"/>
          <w:numId w:val="23"/>
        </w:numPr>
        <w:autoSpaceDE w:val="0"/>
        <w:autoSpaceDN w:val="0"/>
        <w:jc w:val="both"/>
      </w:pPr>
      <w:r>
        <w:rPr>
          <w:rFonts w:eastAsia="MS Mincho" w:hint="eastAsia"/>
          <w:lang w:eastAsia="ja-JP"/>
        </w:rPr>
        <w:t>With respect to the</w:t>
      </w:r>
      <w:r w:rsidRPr="00E53E83">
        <w:rPr>
          <w:rFonts w:eastAsia="MS Mincho"/>
          <w:lang w:eastAsia="ja-JP"/>
        </w:rPr>
        <w:t xml:space="preserve"> work on sharing and compatibility studies in the band 470-960 MHz</w:t>
      </w:r>
      <w:r>
        <w:rPr>
          <w:rFonts w:eastAsia="MS Mincho"/>
          <w:lang w:eastAsia="ja-JP"/>
        </w:rPr>
        <w:t xml:space="preserve">, the following </w:t>
      </w:r>
      <w:r>
        <w:rPr>
          <w:lang w:val="en-NZ"/>
        </w:rPr>
        <w:t xml:space="preserve">ITU-R Reports are relevant, as stated in </w:t>
      </w:r>
      <w:hyperlink r:id="rId15" w:history="1">
        <w:r w:rsidRPr="00CB376C">
          <w:rPr>
            <w:rStyle w:val="Hyperlink"/>
            <w:lang w:eastAsia="zh-CN"/>
          </w:rPr>
          <w:t>Annex 6</w:t>
        </w:r>
      </w:hyperlink>
      <w:r>
        <w:rPr>
          <w:lang w:eastAsia="zh-CN"/>
        </w:rPr>
        <w:t xml:space="preserve"> to Document 6-1/24 </w:t>
      </w:r>
      <w:r>
        <w:rPr>
          <w:rStyle w:val="Hyperlink"/>
          <w:lang w:eastAsia="zh-CN"/>
        </w:rPr>
        <w:t>for</w:t>
      </w:r>
      <w:r>
        <w:rPr>
          <w:lang w:eastAsia="zh-CN"/>
        </w:rPr>
        <w:t xml:space="preserve"> the </w:t>
      </w:r>
      <w:hyperlink r:id="rId16" w:history="1">
        <w:r w:rsidRPr="00B173FF">
          <w:rPr>
            <w:rStyle w:val="Hyperlink"/>
            <w:lang w:eastAsia="zh-CN"/>
          </w:rPr>
          <w:t>TG 6/1</w:t>
        </w:r>
      </w:hyperlink>
      <w:r>
        <w:rPr>
          <w:lang w:eastAsia="zh-CN"/>
        </w:rPr>
        <w:t xml:space="preserve"> Chairman’s Report:</w:t>
      </w:r>
    </w:p>
    <w:p w14:paraId="7EAFCCB8" w14:textId="7A73A682" w:rsidR="00E53E83" w:rsidRDefault="00E53E83" w:rsidP="00113916">
      <w:pPr>
        <w:pStyle w:val="enumlev1"/>
        <w:tabs>
          <w:tab w:val="clear" w:pos="1134"/>
          <w:tab w:val="clear" w:pos="1871"/>
        </w:tabs>
        <w:ind w:left="1170" w:hanging="414"/>
      </w:pPr>
      <w:r w:rsidRPr="00F067E1">
        <w:t>–</w:t>
      </w:r>
      <w:r w:rsidRPr="00F067E1">
        <w:tab/>
      </w:r>
      <w:hyperlink r:id="rId17" w:history="1">
        <w:r w:rsidRPr="00CB376C">
          <w:rPr>
            <w:rStyle w:val="Hyperlink"/>
            <w:lang w:eastAsia="zh-CN"/>
          </w:rPr>
          <w:t>BT.2301-2</w:t>
        </w:r>
      </w:hyperlink>
      <w:r>
        <w:rPr>
          <w:rStyle w:val="Hyperlink"/>
          <w:lang w:eastAsia="zh-CN"/>
        </w:rPr>
        <w:t>:</w:t>
      </w:r>
      <w:r>
        <w:rPr>
          <w:lang w:eastAsia="zh-CN"/>
        </w:rPr>
        <w:t xml:space="preserve"> </w:t>
      </w:r>
      <w:r>
        <w:t>National field reports on the introduction of IMT in the bands with co-primary allocation to the broadcasting and the mobile services</w:t>
      </w:r>
    </w:p>
    <w:p w14:paraId="394DB3B1" w14:textId="177C910B" w:rsidR="00E53E83" w:rsidRPr="00113916" w:rsidRDefault="00E53E83" w:rsidP="00113916">
      <w:pPr>
        <w:pStyle w:val="enumlev1"/>
        <w:tabs>
          <w:tab w:val="clear" w:pos="1134"/>
          <w:tab w:val="clear" w:pos="1871"/>
        </w:tabs>
        <w:ind w:left="1170" w:hanging="414"/>
        <w:rPr>
          <w:rStyle w:val="Hyperlink"/>
        </w:rPr>
      </w:pPr>
      <w:r w:rsidRPr="00F067E1">
        <w:t>–</w:t>
      </w:r>
      <w:r w:rsidRPr="00F067E1">
        <w:tab/>
      </w:r>
      <w:hyperlink r:id="rId18" w:history="1">
        <w:r w:rsidRPr="00CB376C">
          <w:rPr>
            <w:rStyle w:val="Hyperlink"/>
            <w:lang w:eastAsia="zh-CN"/>
          </w:rPr>
          <w:t>BT.2337-1</w:t>
        </w:r>
      </w:hyperlink>
      <w:r>
        <w:rPr>
          <w:rStyle w:val="Hyperlink"/>
          <w:lang w:eastAsia="zh-CN"/>
        </w:rPr>
        <w:t xml:space="preserve">: </w:t>
      </w:r>
      <w:r>
        <w:t>Sharing and compatibility studies between digital terrestrial television broadcasting and terrestrial mobile broadband applications, including IMT, in the frequency band 470-694/698 MHz</w:t>
      </w:r>
    </w:p>
    <w:p w14:paraId="08243139" w14:textId="4E77A165" w:rsidR="00E53E83" w:rsidRDefault="00E53E83" w:rsidP="00113916">
      <w:pPr>
        <w:pStyle w:val="enumlev1"/>
        <w:tabs>
          <w:tab w:val="clear" w:pos="1134"/>
          <w:tab w:val="clear" w:pos="1871"/>
        </w:tabs>
        <w:ind w:left="1170" w:hanging="414"/>
        <w:rPr>
          <w:lang w:eastAsia="zh-CN"/>
        </w:rPr>
      </w:pPr>
      <w:r w:rsidRPr="00F067E1">
        <w:t>–</w:t>
      </w:r>
      <w:r w:rsidRPr="00F067E1">
        <w:tab/>
      </w:r>
      <w:hyperlink r:id="rId19" w:history="1">
        <w:r w:rsidRPr="00360853">
          <w:rPr>
            <w:rStyle w:val="Hyperlink"/>
          </w:rPr>
          <w:t>BT.</w:t>
        </w:r>
        <w:r w:rsidRPr="00360853">
          <w:rPr>
            <w:rStyle w:val="Hyperlink"/>
            <w:lang w:eastAsia="zh-CN"/>
          </w:rPr>
          <w:t>2339</w:t>
        </w:r>
        <w:r w:rsidRPr="00360853">
          <w:rPr>
            <w:rStyle w:val="Hyperlink"/>
          </w:rPr>
          <w:t>-0</w:t>
        </w:r>
      </w:hyperlink>
      <w:r>
        <w:t xml:space="preserve">: </w:t>
      </w:r>
      <w:r w:rsidRPr="00FF4BA8">
        <w:rPr>
          <w:lang w:eastAsia="zh-CN"/>
        </w:rPr>
        <w:t>Co-channel sharing and compatibility studies between digital terrestrial television broadcasting and international mobile telecommunication in the frequency band 694-790 MHz in the GE06 planning area</w:t>
      </w:r>
      <w:r>
        <w:rPr>
          <w:lang w:eastAsia="zh-CN"/>
        </w:rPr>
        <w:t>.</w:t>
      </w:r>
    </w:p>
    <w:p w14:paraId="5E77721C" w14:textId="77777777" w:rsidR="00E53E83" w:rsidRPr="00B173FF" w:rsidRDefault="00E53E83" w:rsidP="00113916">
      <w:pPr>
        <w:pStyle w:val="enumlev1"/>
        <w:tabs>
          <w:tab w:val="clear" w:pos="1134"/>
          <w:tab w:val="clear" w:pos="1871"/>
        </w:tabs>
        <w:ind w:left="1170" w:hanging="414"/>
      </w:pPr>
    </w:p>
    <w:p w14:paraId="1A59F811" w14:textId="631F4F7D" w:rsidR="00957294" w:rsidRPr="00B173FF" w:rsidRDefault="00957294" w:rsidP="009F09B8">
      <w:pPr>
        <w:spacing w:after="120"/>
        <w:jc w:val="both"/>
        <w:rPr>
          <w:b/>
          <w:lang w:val="en-NZ" w:eastAsia="ko-KR"/>
        </w:rPr>
      </w:pPr>
      <w:r w:rsidRPr="00B173FF">
        <w:rPr>
          <w:b/>
          <w:lang w:val="en-NZ" w:eastAsia="ko-KR"/>
        </w:rPr>
        <w:t xml:space="preserve">3. </w:t>
      </w:r>
      <w:r w:rsidRPr="00B173FF">
        <w:rPr>
          <w:b/>
          <w:lang w:val="en-NZ" w:eastAsia="ko-KR"/>
        </w:rPr>
        <w:tab/>
        <w:t>Position of the Regional Group (if available)</w:t>
      </w:r>
    </w:p>
    <w:p w14:paraId="3C380EC6" w14:textId="77777777" w:rsidR="009D055C" w:rsidRPr="00B173FF" w:rsidRDefault="009D055C" w:rsidP="00A13063">
      <w:pPr>
        <w:pStyle w:val="ListParagraph"/>
        <w:widowControl w:val="0"/>
        <w:numPr>
          <w:ilvl w:val="0"/>
          <w:numId w:val="20"/>
        </w:numPr>
        <w:autoSpaceDE w:val="0"/>
        <w:autoSpaceDN w:val="0"/>
        <w:spacing w:after="80" w:line="259" w:lineRule="auto"/>
        <w:ind w:left="1123"/>
        <w:jc w:val="both"/>
      </w:pPr>
      <w:r w:rsidRPr="00B173FF">
        <w:lastRenderedPageBreak/>
        <w:t>ATU</w:t>
      </w:r>
    </w:p>
    <w:p w14:paraId="5A041E5C" w14:textId="1B9EB1BE" w:rsidR="006714AF" w:rsidRPr="00B173FF" w:rsidRDefault="006714AF" w:rsidP="00ED3705">
      <w:pPr>
        <w:pStyle w:val="ListParagraph"/>
        <w:widowControl w:val="0"/>
        <w:numPr>
          <w:ilvl w:val="1"/>
          <w:numId w:val="20"/>
        </w:numPr>
        <w:autoSpaceDE w:val="0"/>
        <w:autoSpaceDN w:val="0"/>
        <w:spacing w:after="160" w:line="259" w:lineRule="auto"/>
        <w:ind w:left="1418" w:hanging="256"/>
        <w:jc w:val="both"/>
      </w:pPr>
      <w:r w:rsidRPr="00B173FF">
        <w:t>To be developed</w:t>
      </w:r>
      <w:r w:rsidR="00A13063" w:rsidRPr="00B173FF">
        <w:t>.</w:t>
      </w:r>
    </w:p>
    <w:p w14:paraId="4D9B84C4" w14:textId="59DECF80" w:rsidR="009D055C" w:rsidRPr="00B173FF" w:rsidRDefault="009D055C" w:rsidP="00434F44">
      <w:pPr>
        <w:pStyle w:val="ListParagraph"/>
        <w:widowControl w:val="0"/>
        <w:numPr>
          <w:ilvl w:val="0"/>
          <w:numId w:val="20"/>
        </w:numPr>
        <w:autoSpaceDE w:val="0"/>
        <w:autoSpaceDN w:val="0"/>
        <w:spacing w:after="80" w:line="259" w:lineRule="auto"/>
        <w:ind w:left="1123"/>
        <w:jc w:val="both"/>
        <w:rPr>
          <w:lang w:val="en-GB"/>
        </w:rPr>
      </w:pPr>
      <w:r w:rsidRPr="00B173FF">
        <w:t>ASMG</w:t>
      </w:r>
      <w:r w:rsidRPr="00B173FF">
        <w:rPr>
          <w:lang w:val="en-GB"/>
        </w:rPr>
        <w:t xml:space="preserve"> (</w:t>
      </w:r>
      <w:r w:rsidRPr="00B173FF">
        <w:t>July 2020</w:t>
      </w:r>
      <w:r w:rsidRPr="00B173FF">
        <w:rPr>
          <w:lang w:val="en-GB"/>
        </w:rPr>
        <w:t>)</w:t>
      </w:r>
      <w:r w:rsidR="00CB6318" w:rsidRPr="00B173FF">
        <w:rPr>
          <w:lang w:val="en-GB"/>
        </w:rPr>
        <w:t xml:space="preserve"> </w:t>
      </w:r>
    </w:p>
    <w:p w14:paraId="62412DF1" w14:textId="77777777" w:rsidR="009D055C" w:rsidRPr="00B173FF" w:rsidRDefault="009D055C" w:rsidP="00ED3705">
      <w:pPr>
        <w:pStyle w:val="ListParagraph"/>
        <w:widowControl w:val="0"/>
        <w:numPr>
          <w:ilvl w:val="1"/>
          <w:numId w:val="23"/>
        </w:numPr>
        <w:autoSpaceDE w:val="0"/>
        <w:autoSpaceDN w:val="0"/>
        <w:spacing w:after="80" w:line="259" w:lineRule="auto"/>
        <w:ind w:left="1426" w:hanging="292"/>
        <w:jc w:val="both"/>
      </w:pPr>
      <w:r w:rsidRPr="00B173FF">
        <w:t>Supports studies to review the current uses and define the spectrum requirements for existing services in the frequency band 470-960 MHz in Region 1.</w:t>
      </w:r>
    </w:p>
    <w:p w14:paraId="798C4F1D" w14:textId="77777777" w:rsidR="009D055C" w:rsidRPr="00B173FF" w:rsidRDefault="009D055C" w:rsidP="00ED3705">
      <w:pPr>
        <w:pStyle w:val="ListParagraph"/>
        <w:widowControl w:val="0"/>
        <w:numPr>
          <w:ilvl w:val="1"/>
          <w:numId w:val="23"/>
        </w:numPr>
        <w:autoSpaceDE w:val="0"/>
        <w:autoSpaceDN w:val="0"/>
        <w:spacing w:after="80" w:line="259" w:lineRule="auto"/>
        <w:ind w:left="1426" w:hanging="292"/>
        <w:jc w:val="both"/>
      </w:pPr>
      <w:r w:rsidRPr="00B173FF">
        <w:t>Studying the possibility of allocating part of the band for IMT applications by interested administrations, while providing appropriate protection for existing services.</w:t>
      </w:r>
    </w:p>
    <w:p w14:paraId="78487752" w14:textId="11143D15" w:rsidR="009D055C" w:rsidRPr="00B173FF" w:rsidRDefault="009D055C" w:rsidP="00ED3705">
      <w:pPr>
        <w:pStyle w:val="ListParagraph"/>
        <w:widowControl w:val="0"/>
        <w:numPr>
          <w:ilvl w:val="1"/>
          <w:numId w:val="23"/>
        </w:numPr>
        <w:autoSpaceDE w:val="0"/>
        <w:autoSpaceDN w:val="0"/>
        <w:spacing w:after="80" w:line="259" w:lineRule="auto"/>
        <w:ind w:left="1426" w:hanging="292"/>
        <w:jc w:val="both"/>
      </w:pPr>
      <w:r w:rsidRPr="00B173FF">
        <w:t>Inviting ASMG administrations to study their actual uses in this band and determine their priorities in the next meeting.</w:t>
      </w:r>
    </w:p>
    <w:p w14:paraId="0F1679FB" w14:textId="6288A48F" w:rsidR="009D055C" w:rsidRPr="00B173FF" w:rsidRDefault="009D055C" w:rsidP="00A13063">
      <w:pPr>
        <w:pStyle w:val="ListParagraph"/>
        <w:widowControl w:val="0"/>
        <w:numPr>
          <w:ilvl w:val="0"/>
          <w:numId w:val="20"/>
        </w:numPr>
        <w:autoSpaceDE w:val="0"/>
        <w:autoSpaceDN w:val="0"/>
        <w:spacing w:after="80" w:line="259" w:lineRule="auto"/>
        <w:ind w:left="1123"/>
        <w:jc w:val="both"/>
      </w:pPr>
      <w:r w:rsidRPr="00B173FF">
        <w:t>CEPT</w:t>
      </w:r>
      <w:r w:rsidR="00E53E83">
        <w:t xml:space="preserve"> (December 2020)</w:t>
      </w:r>
    </w:p>
    <w:p w14:paraId="052F1896" w14:textId="26D384E9" w:rsidR="00A13063" w:rsidRPr="00B173FF" w:rsidRDefault="00A13063" w:rsidP="00ED3705">
      <w:pPr>
        <w:pStyle w:val="ListParagraph"/>
        <w:widowControl w:val="0"/>
        <w:numPr>
          <w:ilvl w:val="1"/>
          <w:numId w:val="20"/>
        </w:numPr>
        <w:autoSpaceDE w:val="0"/>
        <w:autoSpaceDN w:val="0"/>
        <w:spacing w:after="160" w:line="259" w:lineRule="auto"/>
        <w:ind w:left="1418" w:hanging="284"/>
        <w:jc w:val="both"/>
      </w:pPr>
      <w:r w:rsidRPr="00B173FF">
        <w:t>To be developed.</w:t>
      </w:r>
    </w:p>
    <w:p w14:paraId="6C5248F4" w14:textId="77777777" w:rsidR="009D055C" w:rsidRPr="00B173FF" w:rsidRDefault="009D055C" w:rsidP="00A13063">
      <w:pPr>
        <w:pStyle w:val="ListParagraph"/>
        <w:widowControl w:val="0"/>
        <w:numPr>
          <w:ilvl w:val="0"/>
          <w:numId w:val="20"/>
        </w:numPr>
        <w:autoSpaceDE w:val="0"/>
        <w:autoSpaceDN w:val="0"/>
        <w:spacing w:after="80" w:line="259" w:lineRule="auto"/>
        <w:ind w:left="1123"/>
        <w:jc w:val="both"/>
        <w:rPr>
          <w:lang w:val="en-GB"/>
        </w:rPr>
      </w:pPr>
      <w:r w:rsidRPr="00B173FF">
        <w:t xml:space="preserve">CITEL </w:t>
      </w:r>
      <w:r w:rsidRPr="00B173FF">
        <w:rPr>
          <w:lang w:val="en-GB"/>
        </w:rPr>
        <w:t>(</w:t>
      </w:r>
      <w:r w:rsidRPr="00B173FF">
        <w:t>December 2020</w:t>
      </w:r>
      <w:r w:rsidRPr="00B173FF">
        <w:rPr>
          <w:lang w:val="en-GB"/>
        </w:rPr>
        <w:t>)</w:t>
      </w:r>
    </w:p>
    <w:p w14:paraId="2BC5B061" w14:textId="77777777" w:rsidR="009D055C" w:rsidRPr="00B173FF" w:rsidRDefault="009D055C" w:rsidP="00ED3705">
      <w:pPr>
        <w:pStyle w:val="ListParagraph"/>
        <w:widowControl w:val="0"/>
        <w:numPr>
          <w:ilvl w:val="1"/>
          <w:numId w:val="23"/>
        </w:numPr>
        <w:autoSpaceDE w:val="0"/>
        <w:autoSpaceDN w:val="0"/>
        <w:spacing w:after="80" w:line="259" w:lineRule="auto"/>
        <w:ind w:left="1426" w:hanging="292"/>
        <w:jc w:val="both"/>
      </w:pPr>
      <w:r w:rsidRPr="00B173FF">
        <w:t>An Administration supports studies for additional allocations to the mobile service in Region 1, including potential identifications to IMT as long as studies indicate that such use would not impose undue constraints on the existing services and their future development in Region 2.</w:t>
      </w:r>
    </w:p>
    <w:p w14:paraId="21A32891" w14:textId="0B6C9FA2" w:rsidR="009D055C" w:rsidRPr="00B173FF" w:rsidRDefault="009D055C" w:rsidP="00ED3705">
      <w:pPr>
        <w:pStyle w:val="ListParagraph"/>
        <w:widowControl w:val="0"/>
        <w:numPr>
          <w:ilvl w:val="1"/>
          <w:numId w:val="23"/>
        </w:numPr>
        <w:autoSpaceDE w:val="0"/>
        <w:autoSpaceDN w:val="0"/>
        <w:spacing w:after="80" w:line="259" w:lineRule="auto"/>
        <w:ind w:left="1426" w:hanging="292"/>
        <w:jc w:val="both"/>
      </w:pPr>
      <w:r w:rsidRPr="00B173FF">
        <w:t>An Administration considers that any eventual changes to the Radio Regulations under WRC-23 agenda item 1.5 must not impact Region 2 services (and applications thereof) nor subject Region 2 to any changed procedural or regulatory provisions.</w:t>
      </w:r>
    </w:p>
    <w:p w14:paraId="0B5804B1" w14:textId="77777777" w:rsidR="009D055C" w:rsidRPr="00B173FF" w:rsidRDefault="009D055C" w:rsidP="00564B36">
      <w:pPr>
        <w:pStyle w:val="ListParagraph"/>
        <w:widowControl w:val="0"/>
        <w:numPr>
          <w:ilvl w:val="0"/>
          <w:numId w:val="20"/>
        </w:numPr>
        <w:autoSpaceDE w:val="0"/>
        <w:autoSpaceDN w:val="0"/>
        <w:spacing w:after="80" w:line="259" w:lineRule="auto"/>
        <w:ind w:left="1123"/>
        <w:jc w:val="both"/>
        <w:rPr>
          <w:lang w:val="en-GB"/>
        </w:rPr>
      </w:pPr>
      <w:r w:rsidRPr="00B173FF">
        <w:t>RCC</w:t>
      </w:r>
      <w:r w:rsidRPr="00B173FF">
        <w:rPr>
          <w:lang w:val="en-GB"/>
        </w:rPr>
        <w:t xml:space="preserve"> (</w:t>
      </w:r>
      <w:r w:rsidRPr="00B173FF">
        <w:t>December 2020</w:t>
      </w:r>
      <w:r w:rsidRPr="00B173FF">
        <w:rPr>
          <w:lang w:val="en-GB"/>
        </w:rPr>
        <w:t>)</w:t>
      </w:r>
    </w:p>
    <w:p w14:paraId="4A980740" w14:textId="3CC325F2" w:rsidR="005263C8" w:rsidRPr="00B173FF" w:rsidRDefault="00564B36" w:rsidP="00ED3705">
      <w:pPr>
        <w:pStyle w:val="ListParagraph"/>
        <w:widowControl w:val="0"/>
        <w:numPr>
          <w:ilvl w:val="1"/>
          <w:numId w:val="23"/>
        </w:numPr>
        <w:autoSpaceDE w:val="0"/>
        <w:autoSpaceDN w:val="0"/>
        <w:spacing w:after="80" w:line="259" w:lineRule="auto"/>
        <w:ind w:left="1426" w:hanging="292"/>
        <w:jc w:val="both"/>
      </w:pPr>
      <w:r w:rsidRPr="00B173FF">
        <w:t>The position is under development.</w:t>
      </w:r>
    </w:p>
    <w:p w14:paraId="32715F49" w14:textId="744F53A8" w:rsidR="00957294" w:rsidRPr="00B173FF" w:rsidRDefault="00957294" w:rsidP="009F09B8">
      <w:pPr>
        <w:spacing w:after="120"/>
        <w:jc w:val="both"/>
        <w:rPr>
          <w:b/>
          <w:lang w:val="en-NZ" w:eastAsia="ko-KR"/>
        </w:rPr>
      </w:pPr>
      <w:r w:rsidRPr="00B173FF">
        <w:rPr>
          <w:b/>
          <w:lang w:val="en-NZ" w:eastAsia="ko-KR"/>
        </w:rPr>
        <w:t xml:space="preserve">4. </w:t>
      </w:r>
      <w:r w:rsidRPr="00B173FF">
        <w:rPr>
          <w:b/>
          <w:lang w:val="en-NZ" w:eastAsia="ko-KR"/>
        </w:rPr>
        <w:tab/>
      </w:r>
      <w:r w:rsidR="005263C8" w:rsidRPr="00B173FF">
        <w:rPr>
          <w:b/>
          <w:lang w:val="en-NZ" w:eastAsia="ko-KR"/>
        </w:rPr>
        <w:t xml:space="preserve">Position of International Organizations </w:t>
      </w:r>
      <w:r w:rsidRPr="00B173FF">
        <w:rPr>
          <w:b/>
          <w:lang w:val="en-NZ" w:eastAsia="ko-KR"/>
        </w:rPr>
        <w:t>(if available)</w:t>
      </w:r>
    </w:p>
    <w:p w14:paraId="55AF66D1" w14:textId="2D51B082" w:rsidR="002114C5" w:rsidRPr="00B173FF" w:rsidRDefault="002114C5" w:rsidP="003F2F91">
      <w:pPr>
        <w:pStyle w:val="ListParagraph"/>
        <w:widowControl w:val="0"/>
        <w:numPr>
          <w:ilvl w:val="0"/>
          <w:numId w:val="20"/>
        </w:numPr>
        <w:autoSpaceDE w:val="0"/>
        <w:autoSpaceDN w:val="0"/>
        <w:spacing w:after="80" w:line="259" w:lineRule="auto"/>
        <w:ind w:left="1123"/>
        <w:jc w:val="both"/>
      </w:pPr>
      <w:r w:rsidRPr="00B173FF">
        <w:t xml:space="preserve">ICAO </w:t>
      </w:r>
      <w:r w:rsidR="005F7B56" w:rsidRPr="00B173FF">
        <w:t>(26 August, 2020) [1]</w:t>
      </w:r>
    </w:p>
    <w:p w14:paraId="3881EEF8" w14:textId="7DE60A3F" w:rsidR="00426497" w:rsidRPr="00B173FF" w:rsidRDefault="00426497" w:rsidP="00ED3705">
      <w:pPr>
        <w:pStyle w:val="ListParagraph"/>
        <w:widowControl w:val="0"/>
        <w:numPr>
          <w:ilvl w:val="1"/>
          <w:numId w:val="20"/>
        </w:numPr>
        <w:autoSpaceDE w:val="0"/>
        <w:autoSpaceDN w:val="0"/>
        <w:spacing w:after="160" w:line="259" w:lineRule="auto"/>
        <w:ind w:left="1418" w:hanging="284"/>
        <w:jc w:val="both"/>
      </w:pPr>
      <w:r w:rsidRPr="00B173FF">
        <w:t>No impact on aeronautical services has been identified from WRC-23 Agenda Items 1.5 which are therefore no position addressed.</w:t>
      </w:r>
    </w:p>
    <w:p w14:paraId="65E01AD4" w14:textId="4BDB9DC5" w:rsidR="002114C5" w:rsidRPr="00B173FF" w:rsidRDefault="002114C5" w:rsidP="003F2F91">
      <w:pPr>
        <w:pStyle w:val="ListParagraph"/>
        <w:widowControl w:val="0"/>
        <w:numPr>
          <w:ilvl w:val="0"/>
          <w:numId w:val="20"/>
        </w:numPr>
        <w:autoSpaceDE w:val="0"/>
        <w:autoSpaceDN w:val="0"/>
        <w:spacing w:after="80" w:line="259" w:lineRule="auto"/>
        <w:ind w:left="1123"/>
        <w:jc w:val="both"/>
      </w:pPr>
      <w:r w:rsidRPr="00B173FF">
        <w:t xml:space="preserve">IMO </w:t>
      </w:r>
      <w:r w:rsidR="00FA721D" w:rsidRPr="00B173FF">
        <w:t>(6 October 2020) [2]</w:t>
      </w:r>
    </w:p>
    <w:p w14:paraId="1368AD19" w14:textId="54EAB982" w:rsidR="00FA721D" w:rsidRPr="00B173FF" w:rsidRDefault="003F2F91" w:rsidP="00ED3705">
      <w:pPr>
        <w:pStyle w:val="ListParagraph"/>
        <w:widowControl w:val="0"/>
        <w:numPr>
          <w:ilvl w:val="1"/>
          <w:numId w:val="20"/>
        </w:numPr>
        <w:autoSpaceDE w:val="0"/>
        <w:autoSpaceDN w:val="0"/>
        <w:spacing w:after="160" w:line="259" w:lineRule="auto"/>
        <w:ind w:left="1418" w:hanging="284"/>
        <w:jc w:val="both"/>
      </w:pPr>
      <w:r w:rsidRPr="00B173FF">
        <w:t>To be developed</w:t>
      </w:r>
    </w:p>
    <w:p w14:paraId="7B693FE3" w14:textId="71422BC6" w:rsidR="009D055C" w:rsidRPr="00B173FF" w:rsidRDefault="009D055C" w:rsidP="003F2F91">
      <w:pPr>
        <w:pStyle w:val="ListParagraph"/>
        <w:widowControl w:val="0"/>
        <w:numPr>
          <w:ilvl w:val="0"/>
          <w:numId w:val="20"/>
        </w:numPr>
        <w:autoSpaceDE w:val="0"/>
        <w:autoSpaceDN w:val="0"/>
        <w:spacing w:after="80" w:line="259" w:lineRule="auto"/>
        <w:ind w:left="1123"/>
        <w:jc w:val="both"/>
      </w:pPr>
      <w:r w:rsidRPr="00B173FF">
        <w:t>WMO</w:t>
      </w:r>
      <w:r w:rsidR="003F2F91" w:rsidRPr="00B173FF">
        <w:t xml:space="preserve"> (</w:t>
      </w:r>
      <w:r w:rsidR="00E53E83">
        <w:t xml:space="preserve">September </w:t>
      </w:r>
      <w:r w:rsidR="003F2F91" w:rsidRPr="00B173FF">
        <w:t>2020) [3]</w:t>
      </w:r>
    </w:p>
    <w:p w14:paraId="5A9BFF23" w14:textId="2D97BC88" w:rsidR="003F2F91" w:rsidRPr="00B173FF" w:rsidRDefault="003F2F91" w:rsidP="00ED3705">
      <w:pPr>
        <w:pStyle w:val="ListParagraph"/>
        <w:widowControl w:val="0"/>
        <w:numPr>
          <w:ilvl w:val="1"/>
          <w:numId w:val="20"/>
        </w:numPr>
        <w:autoSpaceDE w:val="0"/>
        <w:autoSpaceDN w:val="0"/>
        <w:spacing w:after="160" w:line="259" w:lineRule="auto"/>
        <w:ind w:left="1418" w:hanging="284"/>
        <w:jc w:val="both"/>
      </w:pPr>
      <w:r w:rsidRPr="00B173FF">
        <w:t>No position.</w:t>
      </w:r>
    </w:p>
    <w:p w14:paraId="17021774" w14:textId="77777777" w:rsidR="0037421D" w:rsidRPr="00B173FF" w:rsidRDefault="0037421D" w:rsidP="00E5341E">
      <w:pPr>
        <w:spacing w:after="120"/>
        <w:jc w:val="both"/>
        <w:rPr>
          <w:b/>
          <w:rtl/>
        </w:rPr>
      </w:pPr>
    </w:p>
    <w:p w14:paraId="0D0FDB2E" w14:textId="77777777" w:rsidR="00FA721D" w:rsidRPr="00B173FF" w:rsidRDefault="00FA721D" w:rsidP="00FA721D">
      <w:pPr>
        <w:pStyle w:val="Default"/>
        <w:ind w:left="450" w:hanging="450"/>
      </w:pPr>
      <w:r w:rsidRPr="00B173FF">
        <w:t>[1]</w:t>
      </w:r>
      <w:r w:rsidRPr="00B173FF">
        <w:tab/>
      </w:r>
      <w:hyperlink r:id="rId20" w:history="1">
        <w:r w:rsidRPr="00B173FF">
          <w:rPr>
            <w:rStyle w:val="Hyperlink"/>
          </w:rPr>
          <w:t>FREQUENCY SPECTRUM MANAGEMENT PANEL (FSMP)</w:t>
        </w:r>
        <w:bookmarkStart w:id="0" w:name="city_from_to"/>
        <w:bookmarkEnd w:id="0"/>
        <w:r w:rsidRPr="00B173FF">
          <w:rPr>
            <w:rStyle w:val="Hyperlink"/>
          </w:rPr>
          <w:t>, TENTH MEETING OF THE WORKING GROUP OF FSMP (FSMP-WG/10), Virtual, 17-26 August, 2020</w:t>
        </w:r>
      </w:hyperlink>
    </w:p>
    <w:p w14:paraId="34583DE4" w14:textId="77777777" w:rsidR="00FA721D" w:rsidRPr="00B173FF" w:rsidRDefault="00FA721D" w:rsidP="00FA721D">
      <w:pPr>
        <w:pStyle w:val="Default"/>
        <w:ind w:left="450" w:hanging="450"/>
        <w:rPr>
          <w:bCs/>
        </w:rPr>
      </w:pPr>
      <w:r w:rsidRPr="00B173FF">
        <w:rPr>
          <w:bCs/>
        </w:rPr>
        <w:t>[2]</w:t>
      </w:r>
      <w:r w:rsidRPr="00B173FF">
        <w:rPr>
          <w:bCs/>
        </w:rPr>
        <w:tab/>
      </w:r>
      <w:hyperlink r:id="rId21" w:history="1">
        <w:r w:rsidRPr="00B173FF">
          <w:rPr>
            <w:rStyle w:val="Hyperlink"/>
            <w:bCs/>
          </w:rPr>
          <w:t>JOINT IMO/ITU EXPERTS GROUP ON MARITIME RADIOCOMMUNICATION MATTERS, 16th meeting, 6 October 2020</w:t>
        </w:r>
      </w:hyperlink>
    </w:p>
    <w:p w14:paraId="384B26ED" w14:textId="12963A20" w:rsidR="00FA721D" w:rsidRPr="00B173FF" w:rsidRDefault="00FA721D" w:rsidP="00FA721D">
      <w:pPr>
        <w:pStyle w:val="Default"/>
        <w:ind w:left="450" w:hanging="450"/>
      </w:pPr>
      <w:r w:rsidRPr="00B173FF">
        <w:t>[3]</w:t>
      </w:r>
      <w:r w:rsidRPr="00B173FF">
        <w:tab/>
      </w:r>
      <w:r w:rsidR="00E53E83">
        <w:rPr>
          <w:rStyle w:val="Hyperlink"/>
        </w:rPr>
        <w:t xml:space="preserve">Document </w:t>
      </w:r>
      <w:hyperlink r:id="rId22" w:history="1">
        <w:r w:rsidR="00E53E83" w:rsidRPr="00BA1861">
          <w:rPr>
            <w:rStyle w:val="Hyperlink"/>
          </w:rPr>
          <w:t>APG23-1/INF-05</w:t>
        </w:r>
      </w:hyperlink>
    </w:p>
    <w:p w14:paraId="3621166F" w14:textId="26BE63DF" w:rsidR="00FA721D" w:rsidRPr="00B173FF" w:rsidRDefault="00FA721D" w:rsidP="00FA721D">
      <w:pPr>
        <w:pStyle w:val="Default"/>
        <w:ind w:left="450" w:hanging="450"/>
      </w:pPr>
    </w:p>
    <w:p w14:paraId="123BEC9D" w14:textId="77777777" w:rsidR="00FA721D" w:rsidRPr="00B173FF" w:rsidRDefault="00FA721D" w:rsidP="00E5341E">
      <w:pPr>
        <w:spacing w:after="120"/>
        <w:jc w:val="both"/>
        <w:rPr>
          <w:b/>
        </w:rPr>
      </w:pPr>
    </w:p>
    <w:sectPr w:rsidR="00FA721D" w:rsidRPr="00B173FF" w:rsidSect="00FF72BB">
      <w:headerReference w:type="default" r:id="rId23"/>
      <w:footerReference w:type="even" r:id="rId24"/>
      <w:footerReference w:type="default" r:id="rId25"/>
      <w:footerReference w:type="first" r:id="rId26"/>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7D705" w14:textId="77777777" w:rsidR="006E6E76" w:rsidRDefault="006E6E76">
      <w:r>
        <w:separator/>
      </w:r>
    </w:p>
  </w:endnote>
  <w:endnote w:type="continuationSeparator" w:id="0">
    <w:p w14:paraId="4BC39CC1" w14:textId="77777777" w:rsidR="006E6E76" w:rsidRDefault="006E6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Che">
    <w:altName w:val="Malgun Gothic Semilight"/>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22CB8"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A54FB"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42807" w14:textId="73106D26" w:rsidR="00051E1E" w:rsidRDefault="00051E1E">
    <w:pPr>
      <w:pStyle w:val="Footer"/>
    </w:pPr>
    <w:r>
      <w:t>A</w:t>
    </w:r>
    <w:r w:rsidR="001E1432">
      <w:t>PG23-</w:t>
    </w:r>
    <w:r w:rsidR="008624ED">
      <w:t>2</w:t>
    </w:r>
    <w:r>
      <w:t>/IN</w:t>
    </w:r>
    <w:r w:rsidR="00D5637E">
      <w:t>F</w:t>
    </w:r>
    <w:r>
      <w:t>-</w:t>
    </w:r>
    <w:r w:rsidR="00D5637E">
      <w:t>12</w:t>
    </w:r>
    <w:r>
      <w:tab/>
    </w:r>
    <w:r>
      <w:tab/>
      <w:t xml:space="preserve">Page </w:t>
    </w:r>
    <w:r>
      <w:rPr>
        <w:b/>
        <w:bCs/>
      </w:rPr>
      <w:fldChar w:fldCharType="begin"/>
    </w:r>
    <w:r>
      <w:rPr>
        <w:b/>
        <w:bCs/>
      </w:rPr>
      <w:instrText xml:space="preserve"> PAGE  \* Arabic  \* MERGEFORMAT </w:instrText>
    </w:r>
    <w:r>
      <w:rPr>
        <w:b/>
        <w:bCs/>
      </w:rPr>
      <w:fldChar w:fldCharType="separate"/>
    </w:r>
    <w:r w:rsidR="00ED3705">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D3705">
      <w:rPr>
        <w:b/>
        <w:bCs/>
        <w:noProof/>
      </w:rPr>
      <w:t>3</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B54758" w14:paraId="7EF20505" w14:textId="77777777" w:rsidTr="007E7497">
      <w:trPr>
        <w:cantSplit/>
        <w:trHeight w:val="204"/>
        <w:jc w:val="center"/>
      </w:trPr>
      <w:tc>
        <w:tcPr>
          <w:tcW w:w="1152" w:type="dxa"/>
        </w:tcPr>
        <w:p w14:paraId="7C14EC98" w14:textId="77777777" w:rsidR="00B54758" w:rsidRDefault="00B54758" w:rsidP="007E7497">
          <w:pPr>
            <w:rPr>
              <w:b/>
              <w:bCs/>
            </w:rPr>
          </w:pPr>
          <w:r>
            <w:rPr>
              <w:b/>
              <w:bCs/>
            </w:rPr>
            <w:t>Contact:</w:t>
          </w:r>
        </w:p>
      </w:tc>
      <w:tc>
        <w:tcPr>
          <w:tcW w:w="5040" w:type="dxa"/>
        </w:tcPr>
        <w:p w14:paraId="5BFA35A6" w14:textId="77777777" w:rsidR="00EC249E" w:rsidRDefault="00D5637E" w:rsidP="007E7497">
          <w:pPr>
            <w:pStyle w:val="Equation"/>
            <w:tabs>
              <w:tab w:val="clear" w:pos="794"/>
              <w:tab w:val="clear" w:pos="4820"/>
              <w:tab w:val="clear" w:pos="9639"/>
            </w:tabs>
            <w:spacing w:beforeLines="0"/>
          </w:pPr>
          <w:proofErr w:type="spellStart"/>
          <w:r>
            <w:t>Dr.</w:t>
          </w:r>
          <w:proofErr w:type="spellEnd"/>
          <w:r>
            <w:t xml:space="preserve"> Azim </w:t>
          </w:r>
          <w:proofErr w:type="spellStart"/>
          <w:r>
            <w:t>Fard</w:t>
          </w:r>
          <w:proofErr w:type="spellEnd"/>
        </w:p>
        <w:p w14:paraId="39C5729B" w14:textId="18BAED5F" w:rsidR="00D5637E" w:rsidRDefault="00D5637E" w:rsidP="007E7497">
          <w:pPr>
            <w:pStyle w:val="Equation"/>
            <w:tabs>
              <w:tab w:val="clear" w:pos="794"/>
              <w:tab w:val="clear" w:pos="4820"/>
              <w:tab w:val="clear" w:pos="9639"/>
            </w:tabs>
            <w:spacing w:beforeLines="0"/>
            <w:rPr>
              <w:rFonts w:eastAsia="Batang"/>
            </w:rPr>
          </w:pPr>
          <w:r>
            <w:t xml:space="preserve">Chairman, DG AI1.5 </w:t>
          </w:r>
        </w:p>
      </w:tc>
      <w:tc>
        <w:tcPr>
          <w:tcW w:w="3024" w:type="dxa"/>
        </w:tcPr>
        <w:p w14:paraId="66CA6E30" w14:textId="1EEBE52D" w:rsidR="00B54758" w:rsidRDefault="00B54758" w:rsidP="00E23D98">
          <w:pPr>
            <w:rPr>
              <w:lang w:eastAsia="ja-JP"/>
            </w:rPr>
          </w:pPr>
          <w:r>
            <w:t>Email</w:t>
          </w:r>
          <w:r>
            <w:rPr>
              <w:rFonts w:hint="eastAsia"/>
            </w:rPr>
            <w:t>:</w:t>
          </w:r>
          <w:r>
            <w:t xml:space="preserve"> </w:t>
          </w:r>
          <w:hyperlink r:id="rId1" w:history="1">
            <w:r w:rsidR="00D5637E" w:rsidRPr="00805105">
              <w:rPr>
                <w:rStyle w:val="Hyperlink"/>
                <w:rFonts w:eastAsia="Batang"/>
                <w:lang w:bidi="th-TH"/>
              </w:rPr>
              <w:t>azimfard@cra.ir</w:t>
            </w:r>
          </w:hyperlink>
        </w:p>
      </w:tc>
    </w:tr>
  </w:tbl>
  <w:p w14:paraId="25B78C00"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2EDE6" w14:textId="77777777" w:rsidR="006E6E76" w:rsidRDefault="006E6E76">
      <w:r>
        <w:separator/>
      </w:r>
    </w:p>
  </w:footnote>
  <w:footnote w:type="continuationSeparator" w:id="0">
    <w:p w14:paraId="15143953" w14:textId="77777777" w:rsidR="006E6E76" w:rsidRDefault="006E6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A6AB3" w14:textId="77777777" w:rsidR="00B54758" w:rsidRDefault="00B54758" w:rsidP="008E3821">
    <w:pPr>
      <w:pStyle w:val="Header"/>
      <w:tabs>
        <w:tab w:val="clear" w:pos="4320"/>
        <w:tab w:val="clear" w:pos="8640"/>
      </w:tabs>
      <w:rPr>
        <w:lang w:eastAsia="ko-KR"/>
      </w:rPr>
    </w:pPr>
  </w:p>
  <w:p w14:paraId="122BFF37" w14:textId="77777777"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44837"/>
    <w:multiLevelType w:val="hybridMultilevel"/>
    <w:tmpl w:val="38E2C060"/>
    <w:lvl w:ilvl="0" w:tplc="856286C2">
      <w:start w:val="5"/>
      <w:numFmt w:val="bullet"/>
      <w:lvlText w:val="-"/>
      <w:lvlJc w:val="left"/>
      <w:pPr>
        <w:ind w:left="2520" w:hanging="360"/>
      </w:pPr>
      <w:rPr>
        <w:rFonts w:ascii="Times New Roman" w:eastAsia="BatangChe"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22497039"/>
    <w:multiLevelType w:val="hybridMultilevel"/>
    <w:tmpl w:val="0E728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70862"/>
    <w:multiLevelType w:val="hybridMultilevel"/>
    <w:tmpl w:val="9CE0D584"/>
    <w:lvl w:ilvl="0" w:tplc="81F6568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4"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39801948"/>
    <w:multiLevelType w:val="hybridMultilevel"/>
    <w:tmpl w:val="1C1E2BEC"/>
    <w:lvl w:ilvl="0" w:tplc="B0426F7E">
      <w:start w:val="1"/>
      <w:numFmt w:val="bullet"/>
      <w:lvlText w:val="-"/>
      <w:lvlJc w:val="left"/>
      <w:pPr>
        <w:ind w:left="1120" w:hanging="360"/>
      </w:pPr>
      <w:rPr>
        <w:rFonts w:ascii="Calibri" w:eastAsiaTheme="minorEastAsia" w:hAnsi="Calibri" w:cs="Calibri" w:hint="default"/>
      </w:rPr>
    </w:lvl>
    <w:lvl w:ilvl="1" w:tplc="04090001">
      <w:start w:val="1"/>
      <w:numFmt w:val="bullet"/>
      <w:lvlText w:val=""/>
      <w:lvlJc w:val="left"/>
      <w:pPr>
        <w:ind w:left="1560" w:hanging="400"/>
      </w:pPr>
      <w:rPr>
        <w:rFonts w:ascii="Symbol" w:hAnsi="Symbol"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9"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275DE5"/>
    <w:multiLevelType w:val="hybridMultilevel"/>
    <w:tmpl w:val="D1043BC4"/>
    <w:lvl w:ilvl="0" w:tplc="81F6568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9F5C63"/>
    <w:multiLevelType w:val="hybridMultilevel"/>
    <w:tmpl w:val="0EA2BBFC"/>
    <w:lvl w:ilvl="0" w:tplc="722A45E8">
      <w:start w:val="2"/>
      <w:numFmt w:val="bullet"/>
      <w:lvlText w:val="-"/>
      <w:lvlJc w:val="left"/>
      <w:pPr>
        <w:ind w:left="1280" w:hanging="400"/>
      </w:pPr>
      <w:rPr>
        <w:rFonts w:ascii="Times New Roman" w:eastAsia="GulimChe" w:hAnsi="Times New Roman" w:cs="Times New Roman" w:hint="default"/>
      </w:rPr>
    </w:lvl>
    <w:lvl w:ilvl="1" w:tplc="04090003" w:tentative="1">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abstractNum w:abstractNumId="23"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4"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16"/>
  </w:num>
  <w:num w:numId="2">
    <w:abstractNumId w:val="10"/>
  </w:num>
  <w:num w:numId="3">
    <w:abstractNumId w:val="8"/>
  </w:num>
  <w:num w:numId="4">
    <w:abstractNumId w:val="23"/>
  </w:num>
  <w:num w:numId="5">
    <w:abstractNumId w:val="13"/>
  </w:num>
  <w:num w:numId="6">
    <w:abstractNumId w:val="17"/>
  </w:num>
  <w:num w:numId="7">
    <w:abstractNumId w:val="7"/>
  </w:num>
  <w:num w:numId="8">
    <w:abstractNumId w:val="2"/>
  </w:num>
  <w:num w:numId="9">
    <w:abstractNumId w:val="25"/>
  </w:num>
  <w:num w:numId="10">
    <w:abstractNumId w:val="0"/>
  </w:num>
  <w:num w:numId="11">
    <w:abstractNumId w:val="24"/>
  </w:num>
  <w:num w:numId="12">
    <w:abstractNumId w:val="14"/>
  </w:num>
  <w:num w:numId="13">
    <w:abstractNumId w:val="19"/>
  </w:num>
  <w:num w:numId="14">
    <w:abstractNumId w:val="11"/>
  </w:num>
  <w:num w:numId="15">
    <w:abstractNumId w:val="5"/>
  </w:num>
  <w:num w:numId="16">
    <w:abstractNumId w:val="4"/>
  </w:num>
  <w:num w:numId="17">
    <w:abstractNumId w:val="6"/>
  </w:num>
  <w:num w:numId="18">
    <w:abstractNumId w:val="15"/>
  </w:num>
  <w:num w:numId="19">
    <w:abstractNumId w:val="20"/>
  </w:num>
  <w:num w:numId="20">
    <w:abstractNumId w:val="18"/>
  </w:num>
  <w:num w:numId="21">
    <w:abstractNumId w:val="9"/>
  </w:num>
  <w:num w:numId="22">
    <w:abstractNumId w:val="12"/>
  </w:num>
  <w:num w:numId="23">
    <w:abstractNumId w:val="21"/>
  </w:num>
  <w:num w:numId="24">
    <w:abstractNumId w:val="3"/>
  </w:num>
  <w:num w:numId="25">
    <w:abstractNumId w:val="2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2D"/>
    <w:rsid w:val="00000B9E"/>
    <w:rsid w:val="0003569F"/>
    <w:rsid w:val="0003595B"/>
    <w:rsid w:val="00036292"/>
    <w:rsid w:val="00036385"/>
    <w:rsid w:val="0005171C"/>
    <w:rsid w:val="00051E1E"/>
    <w:rsid w:val="00054C56"/>
    <w:rsid w:val="00063DF8"/>
    <w:rsid w:val="00070A5D"/>
    <w:rsid w:val="000713CF"/>
    <w:rsid w:val="00075C14"/>
    <w:rsid w:val="00094B87"/>
    <w:rsid w:val="000964D0"/>
    <w:rsid w:val="000A1F8C"/>
    <w:rsid w:val="000A5418"/>
    <w:rsid w:val="000A754D"/>
    <w:rsid w:val="000B1E8C"/>
    <w:rsid w:val="000B595C"/>
    <w:rsid w:val="000D7C75"/>
    <w:rsid w:val="000F517C"/>
    <w:rsid w:val="000F5540"/>
    <w:rsid w:val="00106B56"/>
    <w:rsid w:val="00113916"/>
    <w:rsid w:val="00122653"/>
    <w:rsid w:val="00125217"/>
    <w:rsid w:val="00130A94"/>
    <w:rsid w:val="00131FCA"/>
    <w:rsid w:val="00133947"/>
    <w:rsid w:val="0013394A"/>
    <w:rsid w:val="00134CC7"/>
    <w:rsid w:val="00135C32"/>
    <w:rsid w:val="001433F1"/>
    <w:rsid w:val="001539DD"/>
    <w:rsid w:val="00153D73"/>
    <w:rsid w:val="00164353"/>
    <w:rsid w:val="00175BD2"/>
    <w:rsid w:val="0018114D"/>
    <w:rsid w:val="001832C2"/>
    <w:rsid w:val="001923E8"/>
    <w:rsid w:val="00196568"/>
    <w:rsid w:val="00197B92"/>
    <w:rsid w:val="001A2F16"/>
    <w:rsid w:val="001A34FF"/>
    <w:rsid w:val="001B18C2"/>
    <w:rsid w:val="001D5D7E"/>
    <w:rsid w:val="001E1432"/>
    <w:rsid w:val="001F5947"/>
    <w:rsid w:val="002114C5"/>
    <w:rsid w:val="0021588B"/>
    <w:rsid w:val="00221226"/>
    <w:rsid w:val="002216AC"/>
    <w:rsid w:val="002219FD"/>
    <w:rsid w:val="0023010A"/>
    <w:rsid w:val="00230738"/>
    <w:rsid w:val="00234735"/>
    <w:rsid w:val="00241BCF"/>
    <w:rsid w:val="00254A1B"/>
    <w:rsid w:val="0026736F"/>
    <w:rsid w:val="002702B1"/>
    <w:rsid w:val="00275ED2"/>
    <w:rsid w:val="0028454D"/>
    <w:rsid w:val="00286912"/>
    <w:rsid w:val="00287A2A"/>
    <w:rsid w:val="00291C9E"/>
    <w:rsid w:val="002926D4"/>
    <w:rsid w:val="00295BAD"/>
    <w:rsid w:val="002C07DA"/>
    <w:rsid w:val="002C7EA9"/>
    <w:rsid w:val="002F2F9A"/>
    <w:rsid w:val="003131A3"/>
    <w:rsid w:val="00330703"/>
    <w:rsid w:val="00336A0D"/>
    <w:rsid w:val="00342F20"/>
    <w:rsid w:val="00343067"/>
    <w:rsid w:val="00350EC2"/>
    <w:rsid w:val="003540E0"/>
    <w:rsid w:val="003548C2"/>
    <w:rsid w:val="00360853"/>
    <w:rsid w:val="0037421D"/>
    <w:rsid w:val="00374D1D"/>
    <w:rsid w:val="003809C7"/>
    <w:rsid w:val="003829E0"/>
    <w:rsid w:val="003A3AE3"/>
    <w:rsid w:val="003B03B2"/>
    <w:rsid w:val="003B6263"/>
    <w:rsid w:val="003B6428"/>
    <w:rsid w:val="003C64A7"/>
    <w:rsid w:val="003D25E1"/>
    <w:rsid w:val="003D3FDA"/>
    <w:rsid w:val="003E0724"/>
    <w:rsid w:val="003F2F91"/>
    <w:rsid w:val="003F6D48"/>
    <w:rsid w:val="00403CE4"/>
    <w:rsid w:val="00420822"/>
    <w:rsid w:val="0042126E"/>
    <w:rsid w:val="00426497"/>
    <w:rsid w:val="004323BB"/>
    <w:rsid w:val="00433925"/>
    <w:rsid w:val="00434F44"/>
    <w:rsid w:val="004404C0"/>
    <w:rsid w:val="00440BEE"/>
    <w:rsid w:val="00444170"/>
    <w:rsid w:val="0045458F"/>
    <w:rsid w:val="00455FD4"/>
    <w:rsid w:val="004633B4"/>
    <w:rsid w:val="00464CAB"/>
    <w:rsid w:val="00483317"/>
    <w:rsid w:val="004854EE"/>
    <w:rsid w:val="004A4DE4"/>
    <w:rsid w:val="004B3553"/>
    <w:rsid w:val="004F733C"/>
    <w:rsid w:val="00515050"/>
    <w:rsid w:val="0051686D"/>
    <w:rsid w:val="005201CA"/>
    <w:rsid w:val="00521BF0"/>
    <w:rsid w:val="005263C8"/>
    <w:rsid w:val="00530E8C"/>
    <w:rsid w:val="005442A4"/>
    <w:rsid w:val="00545933"/>
    <w:rsid w:val="0054610B"/>
    <w:rsid w:val="005549C9"/>
    <w:rsid w:val="00557544"/>
    <w:rsid w:val="005606F6"/>
    <w:rsid w:val="005614DC"/>
    <w:rsid w:val="00564B36"/>
    <w:rsid w:val="00575CDC"/>
    <w:rsid w:val="00577C0A"/>
    <w:rsid w:val="00587875"/>
    <w:rsid w:val="005A2C15"/>
    <w:rsid w:val="005B1E77"/>
    <w:rsid w:val="005B244E"/>
    <w:rsid w:val="005B41D4"/>
    <w:rsid w:val="005B42E7"/>
    <w:rsid w:val="005C5EB6"/>
    <w:rsid w:val="005D3914"/>
    <w:rsid w:val="005D6B2F"/>
    <w:rsid w:val="005E3896"/>
    <w:rsid w:val="005E6C90"/>
    <w:rsid w:val="005F6F2F"/>
    <w:rsid w:val="005F7B56"/>
    <w:rsid w:val="00607E2B"/>
    <w:rsid w:val="006139D6"/>
    <w:rsid w:val="00615999"/>
    <w:rsid w:val="00623CE1"/>
    <w:rsid w:val="0063062B"/>
    <w:rsid w:val="00636BAD"/>
    <w:rsid w:val="0066388B"/>
    <w:rsid w:val="00667229"/>
    <w:rsid w:val="006714AF"/>
    <w:rsid w:val="00675C31"/>
    <w:rsid w:val="006769C2"/>
    <w:rsid w:val="00682BE5"/>
    <w:rsid w:val="006843DA"/>
    <w:rsid w:val="00690FED"/>
    <w:rsid w:val="006939A5"/>
    <w:rsid w:val="006A15A4"/>
    <w:rsid w:val="006B6778"/>
    <w:rsid w:val="006C2D39"/>
    <w:rsid w:val="006E12FC"/>
    <w:rsid w:val="006E6E76"/>
    <w:rsid w:val="006F375E"/>
    <w:rsid w:val="00705C2D"/>
    <w:rsid w:val="00705E61"/>
    <w:rsid w:val="00711E8C"/>
    <w:rsid w:val="00712451"/>
    <w:rsid w:val="00731041"/>
    <w:rsid w:val="00732F08"/>
    <w:rsid w:val="007350E2"/>
    <w:rsid w:val="0074190C"/>
    <w:rsid w:val="00762576"/>
    <w:rsid w:val="00764D3C"/>
    <w:rsid w:val="00791060"/>
    <w:rsid w:val="007A1BDE"/>
    <w:rsid w:val="007A3E29"/>
    <w:rsid w:val="007B3299"/>
    <w:rsid w:val="007B3D18"/>
    <w:rsid w:val="007B5626"/>
    <w:rsid w:val="007B5E37"/>
    <w:rsid w:val="007C3D6F"/>
    <w:rsid w:val="007D29E5"/>
    <w:rsid w:val="007E1FDD"/>
    <w:rsid w:val="007E7497"/>
    <w:rsid w:val="007F08FF"/>
    <w:rsid w:val="007F1651"/>
    <w:rsid w:val="00800D82"/>
    <w:rsid w:val="00803C99"/>
    <w:rsid w:val="0080570B"/>
    <w:rsid w:val="008148E1"/>
    <w:rsid w:val="00816F4E"/>
    <w:rsid w:val="00831716"/>
    <w:rsid w:val="008319BF"/>
    <w:rsid w:val="008337EA"/>
    <w:rsid w:val="00850E1C"/>
    <w:rsid w:val="008545AA"/>
    <w:rsid w:val="008624ED"/>
    <w:rsid w:val="00870944"/>
    <w:rsid w:val="008950FB"/>
    <w:rsid w:val="00897849"/>
    <w:rsid w:val="008A423E"/>
    <w:rsid w:val="008A73CD"/>
    <w:rsid w:val="008D084B"/>
    <w:rsid w:val="008D0E09"/>
    <w:rsid w:val="008E3821"/>
    <w:rsid w:val="008F2153"/>
    <w:rsid w:val="008F301D"/>
    <w:rsid w:val="00926F21"/>
    <w:rsid w:val="009306C7"/>
    <w:rsid w:val="00953737"/>
    <w:rsid w:val="00957294"/>
    <w:rsid w:val="009632DB"/>
    <w:rsid w:val="00970367"/>
    <w:rsid w:val="00972289"/>
    <w:rsid w:val="0097693B"/>
    <w:rsid w:val="00993355"/>
    <w:rsid w:val="009A46BF"/>
    <w:rsid w:val="009A4A6D"/>
    <w:rsid w:val="009B74AC"/>
    <w:rsid w:val="009C0B35"/>
    <w:rsid w:val="009C361C"/>
    <w:rsid w:val="009D055C"/>
    <w:rsid w:val="009F09B8"/>
    <w:rsid w:val="00A0503B"/>
    <w:rsid w:val="00A13063"/>
    <w:rsid w:val="00A13265"/>
    <w:rsid w:val="00A20980"/>
    <w:rsid w:val="00A31185"/>
    <w:rsid w:val="00A61885"/>
    <w:rsid w:val="00A6615F"/>
    <w:rsid w:val="00A71136"/>
    <w:rsid w:val="00A767AF"/>
    <w:rsid w:val="00AA2D8E"/>
    <w:rsid w:val="00AA474C"/>
    <w:rsid w:val="00AB0EAD"/>
    <w:rsid w:val="00AB2572"/>
    <w:rsid w:val="00AC19BB"/>
    <w:rsid w:val="00AD7E5F"/>
    <w:rsid w:val="00AF6E67"/>
    <w:rsid w:val="00B01AA1"/>
    <w:rsid w:val="00B173FF"/>
    <w:rsid w:val="00B24089"/>
    <w:rsid w:val="00B30C81"/>
    <w:rsid w:val="00B34275"/>
    <w:rsid w:val="00B3474C"/>
    <w:rsid w:val="00B4793B"/>
    <w:rsid w:val="00B54758"/>
    <w:rsid w:val="00B66740"/>
    <w:rsid w:val="00B676EF"/>
    <w:rsid w:val="00B77545"/>
    <w:rsid w:val="00B97AC9"/>
    <w:rsid w:val="00BB7E96"/>
    <w:rsid w:val="00BC7506"/>
    <w:rsid w:val="00C05CBC"/>
    <w:rsid w:val="00C15633"/>
    <w:rsid w:val="00C15799"/>
    <w:rsid w:val="00C20F4D"/>
    <w:rsid w:val="00C256E8"/>
    <w:rsid w:val="00C26745"/>
    <w:rsid w:val="00C357AD"/>
    <w:rsid w:val="00C3644A"/>
    <w:rsid w:val="00C3799D"/>
    <w:rsid w:val="00C6069C"/>
    <w:rsid w:val="00C72EE0"/>
    <w:rsid w:val="00C73F61"/>
    <w:rsid w:val="00C75805"/>
    <w:rsid w:val="00C85119"/>
    <w:rsid w:val="00CA0060"/>
    <w:rsid w:val="00CA25D1"/>
    <w:rsid w:val="00CB376C"/>
    <w:rsid w:val="00CB6318"/>
    <w:rsid w:val="00CC56C6"/>
    <w:rsid w:val="00CD5431"/>
    <w:rsid w:val="00CE6DD9"/>
    <w:rsid w:val="00CF2491"/>
    <w:rsid w:val="00CF2CBA"/>
    <w:rsid w:val="00CF3030"/>
    <w:rsid w:val="00CF5DDC"/>
    <w:rsid w:val="00D06742"/>
    <w:rsid w:val="00D1252E"/>
    <w:rsid w:val="00D12CE1"/>
    <w:rsid w:val="00D14C3F"/>
    <w:rsid w:val="00D2444D"/>
    <w:rsid w:val="00D31452"/>
    <w:rsid w:val="00D500B1"/>
    <w:rsid w:val="00D5307B"/>
    <w:rsid w:val="00D5637E"/>
    <w:rsid w:val="00D57772"/>
    <w:rsid w:val="00D651AB"/>
    <w:rsid w:val="00D72AE3"/>
    <w:rsid w:val="00D75A4D"/>
    <w:rsid w:val="00D8478B"/>
    <w:rsid w:val="00D84CEE"/>
    <w:rsid w:val="00D86151"/>
    <w:rsid w:val="00D91215"/>
    <w:rsid w:val="00DA3CC4"/>
    <w:rsid w:val="00DA7595"/>
    <w:rsid w:val="00DB0A68"/>
    <w:rsid w:val="00DB13B0"/>
    <w:rsid w:val="00DB28C8"/>
    <w:rsid w:val="00DB4A1C"/>
    <w:rsid w:val="00DC43A3"/>
    <w:rsid w:val="00DD7C09"/>
    <w:rsid w:val="00DE54CF"/>
    <w:rsid w:val="00DF791C"/>
    <w:rsid w:val="00E0124F"/>
    <w:rsid w:val="00E02E0D"/>
    <w:rsid w:val="00E06286"/>
    <w:rsid w:val="00E17376"/>
    <w:rsid w:val="00E23D98"/>
    <w:rsid w:val="00E403B9"/>
    <w:rsid w:val="00E41BE2"/>
    <w:rsid w:val="00E5341E"/>
    <w:rsid w:val="00E53E83"/>
    <w:rsid w:val="00E545D9"/>
    <w:rsid w:val="00E65FC2"/>
    <w:rsid w:val="00E674D3"/>
    <w:rsid w:val="00E70FD0"/>
    <w:rsid w:val="00E71404"/>
    <w:rsid w:val="00E80263"/>
    <w:rsid w:val="00EA0BBD"/>
    <w:rsid w:val="00EA7027"/>
    <w:rsid w:val="00EB2081"/>
    <w:rsid w:val="00EB33CE"/>
    <w:rsid w:val="00EC249E"/>
    <w:rsid w:val="00ED3705"/>
    <w:rsid w:val="00EE3496"/>
    <w:rsid w:val="00EF2406"/>
    <w:rsid w:val="00F00257"/>
    <w:rsid w:val="00F043C2"/>
    <w:rsid w:val="00F27A79"/>
    <w:rsid w:val="00F40B50"/>
    <w:rsid w:val="00F5332C"/>
    <w:rsid w:val="00F55E0A"/>
    <w:rsid w:val="00F626B7"/>
    <w:rsid w:val="00F650EB"/>
    <w:rsid w:val="00F84067"/>
    <w:rsid w:val="00F871F5"/>
    <w:rsid w:val="00FA721D"/>
    <w:rsid w:val="00FC156A"/>
    <w:rsid w:val="00FC7A38"/>
    <w:rsid w:val="00FE3DE5"/>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92590F"/>
  <w15:docId w15:val="{89C1F0ED-BF91-4B70-983E-58AEFC26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ECC Hyperlink,CEO_Hyperlink,超级链接"/>
    <w:basedOn w:val="DefaultParagraphFont"/>
    <w:uiPriority w:val="99"/>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iPriority w:val="99"/>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uiPriority w:val="99"/>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character" w:customStyle="1" w:styleId="UnresolvedMention1">
    <w:name w:val="Unresolved Mention1"/>
    <w:basedOn w:val="DefaultParagraphFont"/>
    <w:uiPriority w:val="99"/>
    <w:semiHidden/>
    <w:unhideWhenUsed/>
    <w:rsid w:val="009306C7"/>
    <w:rPr>
      <w:color w:val="605E5C"/>
      <w:shd w:val="clear" w:color="auto" w:fill="E1DFDD"/>
    </w:rPr>
  </w:style>
  <w:style w:type="paragraph" w:customStyle="1" w:styleId="Tabletext">
    <w:name w:val="Table_text"/>
    <w:basedOn w:val="Normal"/>
    <w:link w:val="TabletextChar"/>
    <w:rsid w:val="00764D3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Calibri" w:eastAsia="Batang" w:hAnsi="Calibri" w:cs="Calibri"/>
      <w:sz w:val="20"/>
      <w:szCs w:val="22"/>
      <w:lang w:eastAsia="nl-NL"/>
    </w:rPr>
  </w:style>
  <w:style w:type="character" w:customStyle="1" w:styleId="TabletextChar">
    <w:name w:val="Table_text Char"/>
    <w:basedOn w:val="DefaultParagraphFont"/>
    <w:link w:val="Tabletext"/>
    <w:locked/>
    <w:rsid w:val="00764D3C"/>
    <w:rPr>
      <w:rFonts w:ascii="Calibri" w:hAnsi="Calibri" w:cs="Calibri"/>
      <w:szCs w:val="22"/>
      <w:lang w:eastAsia="nl-NL"/>
    </w:rPr>
  </w:style>
  <w:style w:type="paragraph" w:customStyle="1" w:styleId="StyleCall10pt">
    <w:name w:val="Style Call + 10 pt"/>
    <w:basedOn w:val="Normal"/>
    <w:rsid w:val="00764D3C"/>
    <w:pPr>
      <w:keepNext/>
      <w:keepLines/>
      <w:tabs>
        <w:tab w:val="left" w:pos="794"/>
        <w:tab w:val="left" w:pos="1191"/>
        <w:tab w:val="left" w:pos="1588"/>
        <w:tab w:val="left" w:pos="1985"/>
      </w:tabs>
      <w:overflowPunct w:val="0"/>
      <w:autoSpaceDE w:val="0"/>
      <w:autoSpaceDN w:val="0"/>
      <w:adjustRightInd w:val="0"/>
      <w:spacing w:before="40" w:after="40" w:line="280" w:lineRule="exact"/>
      <w:ind w:left="794"/>
      <w:textAlignment w:val="baseline"/>
    </w:pPr>
    <w:rPr>
      <w:rFonts w:ascii="Calibri" w:eastAsia="Batang" w:hAnsi="Calibri" w:cs="Calibri"/>
      <w:i/>
      <w:iCs/>
      <w:sz w:val="20"/>
      <w:szCs w:val="22"/>
    </w:rPr>
  </w:style>
  <w:style w:type="paragraph" w:customStyle="1" w:styleId="ECCBulletsLv1">
    <w:name w:val="ECC Bullets Lv1"/>
    <w:basedOn w:val="Normal"/>
    <w:qFormat/>
    <w:rsid w:val="00764D3C"/>
    <w:pPr>
      <w:numPr>
        <w:numId w:val="24"/>
      </w:numPr>
      <w:tabs>
        <w:tab w:val="left" w:pos="340"/>
      </w:tabs>
      <w:spacing w:before="60"/>
      <w:jc w:val="both"/>
    </w:pPr>
    <w:rPr>
      <w:rFonts w:ascii="Arial" w:eastAsia="Calibri" w:hAnsi="Arial"/>
      <w:sz w:val="20"/>
      <w:szCs w:val="22"/>
      <w:lang w:val="en-GB"/>
    </w:rPr>
  </w:style>
  <w:style w:type="paragraph" w:customStyle="1" w:styleId="Call">
    <w:name w:val="Call"/>
    <w:basedOn w:val="Normal"/>
    <w:next w:val="Normal"/>
    <w:link w:val="CallChar"/>
    <w:rsid w:val="009D055C"/>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pPr>
    <w:rPr>
      <w:rFonts w:ascii="Calibri" w:eastAsia="Batang" w:hAnsi="Calibri" w:cs="Calibri"/>
      <w:i/>
      <w:szCs w:val="22"/>
    </w:rPr>
  </w:style>
  <w:style w:type="character" w:customStyle="1" w:styleId="CallChar">
    <w:name w:val="Call Char"/>
    <w:basedOn w:val="DefaultParagraphFont"/>
    <w:link w:val="Call"/>
    <w:locked/>
    <w:rsid w:val="009D055C"/>
    <w:rPr>
      <w:rFonts w:ascii="Calibri" w:hAnsi="Calibri" w:cs="Calibri"/>
      <w:i/>
      <w:sz w:val="24"/>
      <w:szCs w:val="22"/>
    </w:rPr>
  </w:style>
  <w:style w:type="character" w:styleId="FollowedHyperlink">
    <w:name w:val="FollowedHyperlink"/>
    <w:basedOn w:val="DefaultParagraphFont"/>
    <w:semiHidden/>
    <w:unhideWhenUsed/>
    <w:rsid w:val="00C72EE0"/>
    <w:rPr>
      <w:color w:val="800080" w:themeColor="followedHyperlink"/>
      <w:u w:val="single"/>
    </w:rPr>
  </w:style>
  <w:style w:type="character" w:styleId="CommentReference">
    <w:name w:val="annotation reference"/>
    <w:basedOn w:val="DefaultParagraphFont"/>
    <w:semiHidden/>
    <w:unhideWhenUsed/>
    <w:rsid w:val="007C3D6F"/>
    <w:rPr>
      <w:sz w:val="18"/>
      <w:szCs w:val="18"/>
    </w:rPr>
  </w:style>
  <w:style w:type="paragraph" w:styleId="CommentText">
    <w:name w:val="annotation text"/>
    <w:basedOn w:val="Normal"/>
    <w:link w:val="CommentTextChar"/>
    <w:semiHidden/>
    <w:unhideWhenUsed/>
    <w:rsid w:val="007C3D6F"/>
  </w:style>
  <w:style w:type="character" w:customStyle="1" w:styleId="CommentTextChar">
    <w:name w:val="Comment Text Char"/>
    <w:basedOn w:val="DefaultParagraphFont"/>
    <w:link w:val="CommentText"/>
    <w:semiHidden/>
    <w:rsid w:val="007C3D6F"/>
    <w:rPr>
      <w:rFonts w:eastAsia="BatangChe"/>
      <w:sz w:val="24"/>
      <w:szCs w:val="24"/>
    </w:rPr>
  </w:style>
  <w:style w:type="paragraph" w:styleId="CommentSubject">
    <w:name w:val="annotation subject"/>
    <w:basedOn w:val="CommentText"/>
    <w:next w:val="CommentText"/>
    <w:link w:val="CommentSubjectChar"/>
    <w:semiHidden/>
    <w:unhideWhenUsed/>
    <w:rsid w:val="007C3D6F"/>
    <w:rPr>
      <w:b/>
      <w:bCs/>
    </w:rPr>
  </w:style>
  <w:style w:type="character" w:customStyle="1" w:styleId="CommentSubjectChar">
    <w:name w:val="Comment Subject Char"/>
    <w:basedOn w:val="CommentTextChar"/>
    <w:link w:val="CommentSubject"/>
    <w:semiHidden/>
    <w:rsid w:val="007C3D6F"/>
    <w:rPr>
      <w:rFonts w:eastAsia="BatangChe"/>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en/ITU-R/study-groups/rcpm/Pages/wrc-23-studies.aspx" TargetMode="External"/><Relationship Id="rId18" Type="http://schemas.openxmlformats.org/officeDocument/2006/relationships/hyperlink" Target="https://www.itu.int/pub/R-REP-BT.2337"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google.com/url?sa=t&amp;rct=j&amp;q=&amp;esrc=s&amp;source=web&amp;cd=&amp;ved=2ahUKEwi95IzEq_buAhXZShUIHWqBCkcQFjAAegQIARAD&amp;url=https%3A%2F%2Fwww.cept.org%2FDocuments%2Ffm-58%2F61774%2Ffm58-20-042_fm58-20-042_imo-itu-eg-16-9-add1-report-to-the-ncsr-sub-committee-and-itu&amp;usg=AOvVaw3cuLlDVXRbMLlm7Nt1Qk8i" TargetMode="External"/><Relationship Id="rId7" Type="http://schemas.openxmlformats.org/officeDocument/2006/relationships/endnotes" Target="endnotes.xml"/><Relationship Id="rId12" Type="http://schemas.openxmlformats.org/officeDocument/2006/relationships/hyperlink" Target="https://www.itu.int/dms_pub/itu-r/md/00/ca/cir/R00-CA-CIR-0251!!MSW-E.docx" TargetMode="External"/><Relationship Id="rId17" Type="http://schemas.openxmlformats.org/officeDocument/2006/relationships/hyperlink" Target="https://www.itu.int/pub/R-REP-BT.230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itu.int/en/ITU-R/study-groups/rsg6/tg6-1/Pages/default.aspx" TargetMode="External"/><Relationship Id="rId20" Type="http://schemas.openxmlformats.org/officeDocument/2006/relationships/hyperlink" Target="https://www.icao.int/safety/FSMP/MeetingDocs/FSMP%20WG10/Report/FSMP-WG10_Report.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9-TG6.1-C-0024/e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tu.int/dms_ties/itu-r/md/19/tg6.1/c/R19-TG6.1-C-0024!N01-R1!MSW-E.docx"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itu.int/dms_pub/itu-r/md/00/ca/cir/R00-CA-CIR-0251!!MSW-E.docx" TargetMode="External"/><Relationship Id="rId19" Type="http://schemas.openxmlformats.org/officeDocument/2006/relationships/hyperlink" Target="http://www.itu.int/pub/R-REP-BT/publications.aspx?lang=en&amp;parent=R-REP-BT.2339" TargetMode="External"/><Relationship Id="rId4" Type="http://schemas.openxmlformats.org/officeDocument/2006/relationships/settings" Target="settings.xml"/><Relationship Id="rId9" Type="http://schemas.openxmlformats.org/officeDocument/2006/relationships/hyperlink" Target="https://www.itu.int/md/R00-CA-CIR-0251/en" TargetMode="External"/><Relationship Id="rId14" Type="http://schemas.openxmlformats.org/officeDocument/2006/relationships/hyperlink" Target="https://www.itu.int/en/ITU-R/study-groups/rcpm/Pages/wrc-23-studies.aspx" TargetMode="External"/><Relationship Id="rId22" Type="http://schemas.openxmlformats.org/officeDocument/2006/relationships/hyperlink" Target="https://www.apt.int/sites/default/files/2020/09/APG23-1-INF-05_Preliminary_WMO_Position_on_WRC-23.docx"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azimfard@cra.i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23\APG23-2\APG23-2%20Document%20Template%20Oth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7794C-541F-4475-81BF-078E7D0BE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APG23-2 Document Template Others</Template>
  <TotalTime>1</TotalTime>
  <Pages>3</Pages>
  <Words>1238</Words>
  <Characters>7057</Characters>
  <Application>Microsoft Office Word</Application>
  <DocSecurity>0</DocSecurity>
  <Lines>58</Lines>
  <Paragraphs>16</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APT</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Forhadul Parvez</dc:creator>
  <cp:keywords/>
  <dc:description/>
  <cp:lastModifiedBy>Forhadul Parvez</cp:lastModifiedBy>
  <cp:revision>2</cp:revision>
  <cp:lastPrinted>2004-07-28T02:14:00Z</cp:lastPrinted>
  <dcterms:created xsi:type="dcterms:W3CDTF">2021-03-23T02:01:00Z</dcterms:created>
  <dcterms:modified xsi:type="dcterms:W3CDTF">2021-03-23T02:01:00Z</dcterms:modified>
</cp:coreProperties>
</file>