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297B5B" w:rsidRPr="00297B5B" w14:paraId="23D70812" w14:textId="77777777" w:rsidTr="00A34819">
        <w:trPr>
          <w:cantSplit/>
          <w:trHeight w:val="288"/>
        </w:trPr>
        <w:tc>
          <w:tcPr>
            <w:tcW w:w="1399" w:type="dxa"/>
            <w:vMerge w:val="restart"/>
          </w:tcPr>
          <w:p w14:paraId="7C8089E0" w14:textId="77777777" w:rsidR="00297B5B" w:rsidRPr="00297B5B" w:rsidRDefault="00297B5B" w:rsidP="00297B5B">
            <w:pPr>
              <w:widowControl w:val="0"/>
              <w:wordWrap w:val="0"/>
              <w:spacing w:after="0"/>
              <w:rPr>
                <w:kern w:val="2"/>
                <w:lang w:eastAsia="ko-KR"/>
              </w:rPr>
            </w:pPr>
            <w:r w:rsidRPr="00297B5B">
              <w:rPr>
                <w:noProof/>
                <w:kern w:val="2"/>
              </w:rPr>
              <w:drawing>
                <wp:inline distT="0" distB="0" distL="0" distR="0" wp14:anchorId="4A2F2468" wp14:editId="0D948DBD">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6A364D95" w14:textId="77777777" w:rsidR="00297B5B" w:rsidRPr="00297B5B" w:rsidRDefault="00297B5B" w:rsidP="00297B5B">
            <w:pPr>
              <w:spacing w:before="40" w:after="0"/>
              <w:jc w:val="left"/>
              <w:rPr>
                <w:sz w:val="22"/>
                <w:szCs w:val="22"/>
              </w:rPr>
            </w:pPr>
            <w:r w:rsidRPr="00297B5B">
              <w:rPr>
                <w:sz w:val="22"/>
                <w:szCs w:val="22"/>
              </w:rPr>
              <w:t>ASIA-PACIFIC TELECOMMUNITY</w:t>
            </w:r>
          </w:p>
        </w:tc>
        <w:tc>
          <w:tcPr>
            <w:tcW w:w="2160" w:type="dxa"/>
          </w:tcPr>
          <w:p w14:paraId="404B4D08" w14:textId="77777777" w:rsidR="00297B5B" w:rsidRPr="00297B5B" w:rsidRDefault="00297B5B" w:rsidP="00297B5B">
            <w:pPr>
              <w:keepNext/>
              <w:widowControl w:val="0"/>
              <w:wordWrap w:val="0"/>
              <w:spacing w:before="40" w:after="0"/>
              <w:outlineLvl w:val="7"/>
              <w:rPr>
                <w:b/>
                <w:bCs/>
                <w:kern w:val="2"/>
                <w:lang w:eastAsia="ko-KR"/>
              </w:rPr>
            </w:pPr>
            <w:r w:rsidRPr="00297B5B">
              <w:rPr>
                <w:b/>
                <w:bCs/>
                <w:kern w:val="2"/>
                <w:lang w:eastAsia="ko-KR"/>
              </w:rPr>
              <w:t>Document No:</w:t>
            </w:r>
          </w:p>
        </w:tc>
      </w:tr>
      <w:tr w:rsidR="00297B5B" w:rsidRPr="00297B5B" w14:paraId="1ED8A4EE" w14:textId="77777777" w:rsidTr="00A34819">
        <w:trPr>
          <w:cantSplit/>
          <w:trHeight w:val="504"/>
        </w:trPr>
        <w:tc>
          <w:tcPr>
            <w:tcW w:w="1399" w:type="dxa"/>
            <w:vMerge/>
          </w:tcPr>
          <w:p w14:paraId="0B5D5E0E" w14:textId="77777777" w:rsidR="00297B5B" w:rsidRPr="00297B5B" w:rsidRDefault="00297B5B" w:rsidP="00297B5B">
            <w:pPr>
              <w:spacing w:after="0"/>
              <w:jc w:val="left"/>
            </w:pPr>
          </w:p>
        </w:tc>
        <w:tc>
          <w:tcPr>
            <w:tcW w:w="5760" w:type="dxa"/>
            <w:vAlign w:val="center"/>
          </w:tcPr>
          <w:p w14:paraId="17EDE574" w14:textId="77777777" w:rsidR="00297B5B" w:rsidRPr="00297B5B" w:rsidRDefault="00297B5B" w:rsidP="00297B5B">
            <w:pPr>
              <w:spacing w:before="40" w:after="0"/>
              <w:jc w:val="left"/>
            </w:pPr>
            <w:r w:rsidRPr="00297B5B">
              <w:rPr>
                <w:b/>
              </w:rPr>
              <w:t>The 2nd Meeting of the APT Conference Preparatory Group for WRC-23 (APG23-2)</w:t>
            </w:r>
          </w:p>
        </w:tc>
        <w:tc>
          <w:tcPr>
            <w:tcW w:w="2160" w:type="dxa"/>
          </w:tcPr>
          <w:p w14:paraId="1C88469E" w14:textId="69961922" w:rsidR="00297B5B" w:rsidRPr="00297B5B" w:rsidRDefault="00297B5B" w:rsidP="00297B5B">
            <w:pPr>
              <w:spacing w:before="40" w:after="0"/>
              <w:jc w:val="left"/>
              <w:rPr>
                <w:b/>
                <w:bCs/>
                <w:lang w:val="fr-FR"/>
              </w:rPr>
            </w:pPr>
            <w:r w:rsidRPr="00297B5B">
              <w:rPr>
                <w:b/>
                <w:bCs/>
                <w:lang w:val="fr-FR"/>
              </w:rPr>
              <w:t>APG23-2/INF-</w:t>
            </w:r>
            <w:r>
              <w:rPr>
                <w:b/>
                <w:lang w:val="fr-FR"/>
              </w:rPr>
              <w:t>13</w:t>
            </w:r>
          </w:p>
          <w:p w14:paraId="3309ED12" w14:textId="77777777" w:rsidR="00297B5B" w:rsidRPr="00297B5B" w:rsidRDefault="00297B5B" w:rsidP="00297B5B">
            <w:pPr>
              <w:spacing w:after="0"/>
              <w:jc w:val="left"/>
              <w:rPr>
                <w:b/>
                <w:bCs/>
                <w:lang w:val="en-GB"/>
              </w:rPr>
            </w:pPr>
          </w:p>
        </w:tc>
      </w:tr>
      <w:tr w:rsidR="00297B5B" w:rsidRPr="00297B5B" w14:paraId="469B2D8C" w14:textId="77777777" w:rsidTr="00A34819">
        <w:trPr>
          <w:cantSplit/>
          <w:trHeight w:val="288"/>
        </w:trPr>
        <w:tc>
          <w:tcPr>
            <w:tcW w:w="1399" w:type="dxa"/>
            <w:vMerge/>
          </w:tcPr>
          <w:p w14:paraId="783C0CAF" w14:textId="77777777" w:rsidR="00297B5B" w:rsidRPr="00297B5B" w:rsidRDefault="00297B5B" w:rsidP="00297B5B">
            <w:pPr>
              <w:spacing w:after="0"/>
              <w:jc w:val="left"/>
              <w:rPr>
                <w:lang w:val="en-GB"/>
              </w:rPr>
            </w:pPr>
          </w:p>
        </w:tc>
        <w:tc>
          <w:tcPr>
            <w:tcW w:w="5760" w:type="dxa"/>
            <w:vAlign w:val="bottom"/>
          </w:tcPr>
          <w:p w14:paraId="32BF87B1" w14:textId="77777777" w:rsidR="00297B5B" w:rsidRPr="00297B5B" w:rsidRDefault="00297B5B" w:rsidP="00297B5B">
            <w:pPr>
              <w:spacing w:before="40" w:after="0"/>
              <w:jc w:val="left"/>
              <w:rPr>
                <w:b/>
              </w:rPr>
            </w:pPr>
            <w:r w:rsidRPr="00297B5B">
              <w:t xml:space="preserve">19 – 23 April 2021, </w:t>
            </w:r>
            <w:r w:rsidRPr="00297B5B">
              <w:rPr>
                <w:bCs/>
              </w:rPr>
              <w:t>Virtual/Online Meeting</w:t>
            </w:r>
          </w:p>
        </w:tc>
        <w:tc>
          <w:tcPr>
            <w:tcW w:w="2160" w:type="dxa"/>
            <w:vAlign w:val="bottom"/>
          </w:tcPr>
          <w:p w14:paraId="78C55D5A" w14:textId="1EC5B7EE" w:rsidR="00297B5B" w:rsidRPr="00297B5B" w:rsidRDefault="00297B5B" w:rsidP="00297B5B">
            <w:pPr>
              <w:spacing w:before="40" w:after="0"/>
              <w:jc w:val="left"/>
              <w:rPr>
                <w:bCs/>
              </w:rPr>
            </w:pPr>
            <w:r>
              <w:t>23</w:t>
            </w:r>
            <w:r w:rsidRPr="00297B5B">
              <w:rPr>
                <w:bCs/>
              </w:rPr>
              <w:t xml:space="preserve"> March 2021</w:t>
            </w:r>
          </w:p>
        </w:tc>
      </w:tr>
    </w:tbl>
    <w:p w14:paraId="124349B3" w14:textId="77777777" w:rsidR="00FF72BB" w:rsidRDefault="00FF72BB" w:rsidP="00297B5B">
      <w:pPr>
        <w:rPr>
          <w:lang w:eastAsia="ko-KR"/>
        </w:rPr>
      </w:pPr>
    </w:p>
    <w:p w14:paraId="3A6F0A3B" w14:textId="77777777" w:rsidR="00DA7595" w:rsidRPr="00051E1E" w:rsidRDefault="00EA0BBD" w:rsidP="00DA7595">
      <w:pPr>
        <w:jc w:val="center"/>
        <w:rPr>
          <w:lang w:eastAsia="ko-KR"/>
        </w:rPr>
      </w:pPr>
      <w:r>
        <w:rPr>
          <w:lang w:eastAsia="ko-KR"/>
        </w:rPr>
        <w:t xml:space="preserve">Chairman, DG on </w:t>
      </w:r>
      <w:r w:rsidR="00B476CD">
        <w:rPr>
          <w:lang w:eastAsia="ko-KR"/>
        </w:rPr>
        <w:t>Article No. 21.5</w:t>
      </w:r>
    </w:p>
    <w:p w14:paraId="7A14CA04" w14:textId="77777777" w:rsidR="007E7497" w:rsidRPr="00F22892" w:rsidRDefault="00B476CD" w:rsidP="007E7497">
      <w:pPr>
        <w:jc w:val="center"/>
        <w:rPr>
          <w:b/>
          <w:bCs/>
          <w:caps/>
        </w:rPr>
      </w:pPr>
      <w:r>
        <w:rPr>
          <w:b/>
          <w:bCs/>
        </w:rPr>
        <w:t xml:space="preserve">BRIEF ON </w:t>
      </w:r>
      <w:r w:rsidR="00457E6C" w:rsidRPr="00457E6C">
        <w:rPr>
          <w:b/>
          <w:bCs/>
          <w:caps/>
        </w:rPr>
        <w:t xml:space="preserve">Studies on </w:t>
      </w:r>
      <w:r>
        <w:rPr>
          <w:b/>
          <w:bCs/>
        </w:rPr>
        <w:t>ARTICLE NO. 21.5</w:t>
      </w:r>
      <w:r w:rsidR="00457E6C" w:rsidRPr="00457E6C">
        <w:rPr>
          <w:b/>
          <w:bCs/>
          <w:caps/>
        </w:rPr>
        <w:t xml:space="preserve"> requested by WRC-19</w:t>
      </w:r>
    </w:p>
    <w:p w14:paraId="0A96E9AD" w14:textId="77777777" w:rsidR="007E7497" w:rsidRPr="005E3896" w:rsidRDefault="007E7497" w:rsidP="007E7497">
      <w:pPr>
        <w:rPr>
          <w:bCs/>
          <w:sz w:val="6"/>
        </w:rPr>
      </w:pPr>
    </w:p>
    <w:p w14:paraId="5A8F4CD1" w14:textId="77777777" w:rsidR="00D84CEE" w:rsidRPr="00D84CEE" w:rsidRDefault="00D84CEE" w:rsidP="00D84CEE">
      <w:pPr>
        <w:rPr>
          <w:sz w:val="10"/>
        </w:rPr>
      </w:pPr>
    </w:p>
    <w:p w14:paraId="21EE9F1C" w14:textId="77777777" w:rsidR="00EC249E" w:rsidRPr="00C17F93" w:rsidRDefault="00EC249E" w:rsidP="00EC249E">
      <w:r w:rsidRPr="00C17F93">
        <w:t>(</w:t>
      </w:r>
      <w:r w:rsidR="00615999">
        <w:t xml:space="preserve">Note: </w:t>
      </w:r>
      <w:r w:rsidR="00615999" w:rsidRPr="00615999">
        <w:rPr>
          <w:i/>
          <w:iCs/>
        </w:rPr>
        <w:t>This brief was developed for information purpose only. It does not necessarily express the view of APG-23</w:t>
      </w:r>
      <w:r w:rsidRPr="00C17F93">
        <w:t>)</w:t>
      </w:r>
    </w:p>
    <w:p w14:paraId="5A5AC27F" w14:textId="77777777" w:rsidR="00EC249E" w:rsidRDefault="00EC249E" w:rsidP="00E5341E">
      <w:pPr>
        <w:rPr>
          <w:b/>
        </w:rPr>
      </w:pPr>
    </w:p>
    <w:p w14:paraId="66E46D5B" w14:textId="77777777" w:rsidR="00615999" w:rsidRPr="00441526" w:rsidRDefault="00B476CD" w:rsidP="00615999">
      <w:pPr>
        <w:rPr>
          <w:lang w:val="en-NZ"/>
        </w:rPr>
      </w:pPr>
      <w:r>
        <w:rPr>
          <w:b/>
          <w:lang w:val="en-NZ"/>
        </w:rPr>
        <w:t xml:space="preserve">Article </w:t>
      </w:r>
      <w:r w:rsidRPr="00B476CD">
        <w:rPr>
          <w:b/>
          <w:lang w:val="en-NZ"/>
        </w:rPr>
        <w:t>No. 2</w:t>
      </w:r>
      <w:r>
        <w:rPr>
          <w:b/>
          <w:lang w:val="en-NZ"/>
        </w:rPr>
        <w:t>1.5</w:t>
      </w:r>
      <w:r w:rsidR="00615999" w:rsidRPr="00B476CD">
        <w:rPr>
          <w:b/>
          <w:lang w:val="en-NZ"/>
        </w:rPr>
        <w:t>:</w:t>
      </w:r>
      <w:r w:rsidR="00615999" w:rsidRPr="00441526">
        <w:rPr>
          <w:b/>
          <w:lang w:val="en-NZ"/>
        </w:rPr>
        <w:t xml:space="preserve"> </w:t>
      </w:r>
    </w:p>
    <w:p w14:paraId="6444397D" w14:textId="77777777" w:rsidR="0037421D" w:rsidRPr="00615999" w:rsidRDefault="00615999" w:rsidP="00E5341E">
      <w:pPr>
        <w:rPr>
          <w:b/>
          <w:lang w:val="en-NZ"/>
        </w:rPr>
      </w:pPr>
      <w:r>
        <w:rPr>
          <w:b/>
          <w:lang w:val="en-NZ"/>
        </w:rPr>
        <w:t>Relevant Resolutions and Responsible/Contributing ITU-R Groups</w:t>
      </w:r>
    </w:p>
    <w:p w14:paraId="285E4CCC" w14:textId="77777777" w:rsidR="0037421D" w:rsidRPr="009B125F" w:rsidRDefault="001F6017" w:rsidP="00E5341E">
      <w:pPr>
        <w:rPr>
          <w:rFonts w:eastAsia="MS Mincho"/>
          <w:bCs/>
          <w:lang w:eastAsia="ja-JP"/>
        </w:rPr>
      </w:pPr>
      <w:r>
        <w:rPr>
          <w:rFonts w:eastAsia="MS Mincho" w:hint="eastAsia"/>
          <w:bCs/>
          <w:lang w:eastAsia="ja-JP"/>
        </w:rPr>
        <w:t>A</w:t>
      </w:r>
      <w:r>
        <w:rPr>
          <w:rFonts w:eastAsia="MS Mincho"/>
          <w:bCs/>
          <w:lang w:eastAsia="ja-JP"/>
        </w:rPr>
        <w:t xml:space="preserve">dministrative Circular </w:t>
      </w:r>
      <w:hyperlink r:id="rId9" w:history="1">
        <w:r w:rsidRPr="001F6017">
          <w:rPr>
            <w:rStyle w:val="Hyperlink"/>
            <w:rFonts w:eastAsia="MS Mincho"/>
            <w:bCs/>
            <w:lang w:eastAsia="ja-JP"/>
          </w:rPr>
          <w:t>CA/251</w:t>
        </w:r>
      </w:hyperlink>
      <w:r>
        <w:rPr>
          <w:rFonts w:eastAsia="MS Mincho"/>
          <w:bCs/>
          <w:lang w:eastAsia="ja-JP"/>
        </w:rPr>
        <w:t xml:space="preserve"> on “</w:t>
      </w:r>
      <w:r w:rsidRPr="001F6017">
        <w:rPr>
          <w:rFonts w:eastAsia="MS Mincho"/>
          <w:bCs/>
          <w:lang w:eastAsia="ja-JP"/>
        </w:rPr>
        <w:t>Results of the first session of the Conference Preparatory Meeting for WRC-23 (CPM23-1)</w:t>
      </w:r>
      <w:r>
        <w:rPr>
          <w:rFonts w:eastAsia="MS Mincho"/>
          <w:bCs/>
          <w:lang w:eastAsia="ja-JP"/>
        </w:rPr>
        <w:t>” explains as follows:</w:t>
      </w:r>
    </w:p>
    <w:p w14:paraId="44B50686" w14:textId="77777777" w:rsidR="0037421D" w:rsidRDefault="00A47589" w:rsidP="00A47589">
      <w:pPr>
        <w:pStyle w:val="enumlev1"/>
        <w:rPr>
          <w:b/>
        </w:rPr>
      </w:pPr>
      <w:r w:rsidRPr="0081131A">
        <w:t>–</w:t>
      </w:r>
      <w:r w:rsidRPr="0081131A">
        <w:tab/>
        <w:t xml:space="preserve">From </w:t>
      </w:r>
      <w:hyperlink r:id="rId10" w:history="1">
        <w:r w:rsidRPr="0081131A">
          <w:rPr>
            <w:color w:val="0000FF"/>
            <w:szCs w:val="24"/>
            <w:u w:val="single"/>
          </w:rPr>
          <w:t>WRC-19 Document 550</w:t>
        </w:r>
      </w:hyperlink>
      <w:r w:rsidRPr="0081131A">
        <w:rPr>
          <w:color w:val="0000FF"/>
          <w:szCs w:val="24"/>
          <w:u w:val="single"/>
        </w:rPr>
        <w:t xml:space="preserve"> </w:t>
      </w:r>
      <w:r w:rsidRPr="0081131A">
        <w:t>– “ITU</w:t>
      </w:r>
      <w:r w:rsidRPr="0081131A">
        <w:noBreakHyphen/>
        <w:t>R is invited to study, as a matter of urgency, the applicability of the limit specified in No. </w:t>
      </w:r>
      <w:r w:rsidRPr="0081131A">
        <w:rPr>
          <w:b/>
        </w:rPr>
        <w:t>21.5</w:t>
      </w:r>
      <w:r w:rsidRPr="0081131A">
        <w:t xml:space="preserve"> of the Radio Regulations to IMT stations, that use an antenna that consists of an array of active elements, with a view to recommend ways for its possible replacement or revision for such stations, as well as any necessary updates to Table </w:t>
      </w:r>
      <w:r w:rsidRPr="0081131A">
        <w:rPr>
          <w:b/>
        </w:rPr>
        <w:t>21-2</w:t>
      </w:r>
      <w:r w:rsidRPr="0081131A">
        <w:t xml:space="preserve"> related to terrestrial and space services sharing frequency bands. Furthermore, the ITU-R is invited to study, as a matter of urgency, verification of No. </w:t>
      </w:r>
      <w:r w:rsidRPr="0081131A">
        <w:rPr>
          <w:b/>
        </w:rPr>
        <w:t xml:space="preserve">21.5 </w:t>
      </w:r>
      <w:r w:rsidRPr="0081131A">
        <w:t>regarding the notification of IMT stations that use an antenna that consists of an array of active elements, as appropriate.” (Responsible Group: WP 5D)</w:t>
      </w:r>
    </w:p>
    <w:p w14:paraId="6FC82967" w14:textId="77777777" w:rsidR="00A47589" w:rsidRDefault="00A47589" w:rsidP="00A47589">
      <w:pPr>
        <w:pStyle w:val="enumlev1"/>
      </w:pPr>
    </w:p>
    <w:p w14:paraId="6CE955BE" w14:textId="77777777" w:rsidR="00D06742" w:rsidRPr="00441526" w:rsidRDefault="00D06742" w:rsidP="00762B25">
      <w:pPr>
        <w:spacing w:after="160"/>
        <w:outlineLvl w:val="0"/>
        <w:rPr>
          <w:b/>
          <w:lang w:val="en-NZ" w:eastAsia="ko-KR"/>
        </w:rPr>
      </w:pPr>
      <w:r w:rsidRPr="00441526">
        <w:rPr>
          <w:b/>
          <w:lang w:val="en-NZ" w:eastAsia="ko-KR"/>
        </w:rPr>
        <w:t xml:space="preserve">1. </w:t>
      </w:r>
      <w:r w:rsidRPr="00441526">
        <w:rPr>
          <w:b/>
          <w:lang w:val="en-NZ" w:eastAsia="ko-KR"/>
        </w:rPr>
        <w:tab/>
        <w:t>Background</w:t>
      </w:r>
      <w:r>
        <w:rPr>
          <w:b/>
          <w:lang w:val="en-NZ" w:eastAsia="ko-KR"/>
        </w:rPr>
        <w:t xml:space="preserve"> Information</w:t>
      </w:r>
    </w:p>
    <w:p w14:paraId="4E8B47A5" w14:textId="77777777" w:rsidR="00A47589" w:rsidRPr="00A47589" w:rsidRDefault="00A47589" w:rsidP="00762B25">
      <w:pPr>
        <w:spacing w:after="160"/>
        <w:outlineLvl w:val="1"/>
        <w:rPr>
          <w:rFonts w:eastAsiaTheme="minorEastAsia"/>
          <w:b/>
        </w:rPr>
      </w:pPr>
      <w:r w:rsidRPr="00A47589">
        <w:rPr>
          <w:b/>
          <w:lang w:eastAsia="zh-CN"/>
        </w:rPr>
        <w:t xml:space="preserve">1.1 </w:t>
      </w:r>
      <w:r w:rsidRPr="00A47589">
        <w:rPr>
          <w:b/>
          <w:lang w:val="en-NZ" w:eastAsia="zh-CN"/>
        </w:rPr>
        <w:tab/>
      </w:r>
      <w:r w:rsidRPr="00A47589">
        <w:rPr>
          <w:b/>
          <w:lang w:eastAsia="zh-CN"/>
        </w:rPr>
        <w:t>Background</w:t>
      </w:r>
    </w:p>
    <w:p w14:paraId="504854E4" w14:textId="77777777" w:rsidR="00F01631" w:rsidRDefault="00A47589" w:rsidP="00A47589">
      <w:pPr>
        <w:rPr>
          <w:rFonts w:eastAsia="DengXian"/>
          <w:lang w:eastAsia="zh-CN"/>
        </w:rPr>
      </w:pPr>
      <w:r>
        <w:rPr>
          <w:rFonts w:eastAsia="DengXian"/>
          <w:lang w:eastAsia="zh-CN"/>
        </w:rPr>
        <w:t>At CPM19-2, s</w:t>
      </w:r>
      <w:r w:rsidRPr="001A4011">
        <w:rPr>
          <w:rFonts w:eastAsia="DengXian"/>
          <w:lang w:eastAsia="zh-CN"/>
        </w:rPr>
        <w:t xml:space="preserve">ome issues </w:t>
      </w:r>
      <w:r w:rsidR="00F01631">
        <w:rPr>
          <w:rFonts w:eastAsia="DengXian"/>
          <w:lang w:eastAsia="zh-CN"/>
        </w:rPr>
        <w:t>on application of</w:t>
      </w:r>
      <w:r w:rsidR="00F01631" w:rsidRPr="001A4011">
        <w:rPr>
          <w:rFonts w:eastAsia="DengXian"/>
          <w:lang w:eastAsia="zh-CN"/>
        </w:rPr>
        <w:t xml:space="preserve"> </w:t>
      </w:r>
      <w:r w:rsidRPr="002C5396">
        <w:rPr>
          <w:rFonts w:eastAsia="DengXian"/>
          <w:lang w:eastAsia="zh-CN"/>
        </w:rPr>
        <w:t xml:space="preserve">No. </w:t>
      </w:r>
      <w:r w:rsidRPr="00DC1350">
        <w:rPr>
          <w:rFonts w:eastAsia="DengXian"/>
          <w:b/>
          <w:lang w:eastAsia="zh-CN"/>
        </w:rPr>
        <w:t>21.5</w:t>
      </w:r>
      <w:r w:rsidRPr="002C5396">
        <w:rPr>
          <w:rFonts w:eastAsia="DengXian"/>
          <w:lang w:eastAsia="zh-CN"/>
        </w:rPr>
        <w:t xml:space="preserve"> of the </w:t>
      </w:r>
      <w:r w:rsidR="001F6017">
        <w:rPr>
          <w:rFonts w:eastAsia="DengXian"/>
          <w:lang w:eastAsia="zh-CN"/>
        </w:rPr>
        <w:t xml:space="preserve">ITU </w:t>
      </w:r>
      <w:r w:rsidRPr="002C5396">
        <w:rPr>
          <w:rFonts w:eastAsia="DengXian"/>
          <w:lang w:eastAsia="zh-CN"/>
        </w:rPr>
        <w:t xml:space="preserve">Radio Regulations (RR No. </w:t>
      </w:r>
      <w:r w:rsidRPr="00DC1350">
        <w:rPr>
          <w:rFonts w:eastAsia="DengXian"/>
          <w:b/>
          <w:lang w:eastAsia="zh-CN"/>
        </w:rPr>
        <w:t>21.5</w:t>
      </w:r>
      <w:r w:rsidRPr="002C5396">
        <w:rPr>
          <w:rFonts w:eastAsia="DengXian"/>
          <w:lang w:eastAsia="zh-CN"/>
        </w:rPr>
        <w:t>)</w:t>
      </w:r>
      <w:r w:rsidRPr="001A4011">
        <w:rPr>
          <w:rFonts w:eastAsia="DengXian"/>
          <w:lang w:eastAsia="zh-CN"/>
        </w:rPr>
        <w:t xml:space="preserve"> to terrestrial stations with active antenna systems were raised by an </w:t>
      </w:r>
      <w:r>
        <w:rPr>
          <w:rFonts w:eastAsia="DengXian"/>
          <w:lang w:eastAsia="zh-CN"/>
        </w:rPr>
        <w:t>a</w:t>
      </w:r>
      <w:r w:rsidRPr="001A4011">
        <w:rPr>
          <w:rFonts w:eastAsia="DengXian"/>
          <w:lang w:eastAsia="zh-CN"/>
        </w:rPr>
        <w:t>dministration in</w:t>
      </w:r>
      <w:r w:rsidR="001F6017">
        <w:rPr>
          <w:rFonts w:eastAsia="DengXian"/>
          <w:lang w:eastAsia="zh-CN"/>
        </w:rPr>
        <w:t xml:space="preserve"> Document</w:t>
      </w:r>
      <w:r w:rsidRPr="001A4011">
        <w:rPr>
          <w:rFonts w:eastAsia="DengXian"/>
          <w:lang w:eastAsia="zh-CN"/>
        </w:rPr>
        <w:t xml:space="preserve"> </w:t>
      </w:r>
      <w:hyperlink r:id="rId11" w:history="1">
        <w:r w:rsidRPr="001A4011">
          <w:rPr>
            <w:rStyle w:val="Hyperlink"/>
            <w:rFonts w:eastAsia="DengXian"/>
            <w:lang w:eastAsia="zh-CN"/>
          </w:rPr>
          <w:t>CPM19-2/72</w:t>
        </w:r>
      </w:hyperlink>
      <w:r w:rsidRPr="001A4011">
        <w:rPr>
          <w:rFonts w:eastAsia="DengXian"/>
          <w:lang w:eastAsia="zh-CN"/>
        </w:rPr>
        <w:t>.</w:t>
      </w:r>
      <w:r>
        <w:rPr>
          <w:rFonts w:eastAsia="DengXian"/>
          <w:lang w:eastAsia="zh-CN"/>
        </w:rPr>
        <w:t xml:space="preserve"> </w:t>
      </w:r>
      <w:r w:rsidR="00F01631">
        <w:rPr>
          <w:rFonts w:eastAsia="DengXian"/>
          <w:lang w:eastAsia="zh-CN"/>
        </w:rPr>
        <w:t>This is because</w:t>
      </w:r>
      <w:r w:rsidR="00F01631" w:rsidRPr="00F01631">
        <w:rPr>
          <w:rFonts w:eastAsia="DengXian"/>
          <w:lang w:eastAsia="zh-CN"/>
        </w:rPr>
        <w:t xml:space="preserve"> “the power delivered by a transmitter to the antenna of a station” </w:t>
      </w:r>
      <w:r w:rsidR="00F01631">
        <w:rPr>
          <w:rFonts w:eastAsia="DengXian"/>
          <w:lang w:eastAsia="zh-CN"/>
        </w:rPr>
        <w:t xml:space="preserve">mentioned in RR No. </w:t>
      </w:r>
      <w:r w:rsidR="00F01631" w:rsidRPr="00F01631">
        <w:rPr>
          <w:rFonts w:eastAsia="DengXian"/>
          <w:b/>
          <w:lang w:eastAsia="zh-CN"/>
        </w:rPr>
        <w:t xml:space="preserve">21.5 </w:t>
      </w:r>
      <w:r w:rsidR="00F01631">
        <w:rPr>
          <w:rFonts w:eastAsia="DengXian"/>
          <w:lang w:eastAsia="zh-CN"/>
        </w:rPr>
        <w:t xml:space="preserve">may </w:t>
      </w:r>
      <w:r w:rsidR="00F01631" w:rsidRPr="00F01631">
        <w:rPr>
          <w:rFonts w:eastAsia="DengXian"/>
          <w:lang w:eastAsia="zh-CN"/>
        </w:rPr>
        <w:t xml:space="preserve">not </w:t>
      </w:r>
      <w:r w:rsidR="00F01631">
        <w:rPr>
          <w:rFonts w:eastAsia="DengXian"/>
          <w:lang w:eastAsia="zh-CN"/>
        </w:rPr>
        <w:t xml:space="preserve">be directly </w:t>
      </w:r>
      <w:r w:rsidR="00F01631" w:rsidRPr="00F01631">
        <w:rPr>
          <w:rFonts w:eastAsia="DengXian"/>
          <w:lang w:eastAsia="zh-CN"/>
        </w:rPr>
        <w:t xml:space="preserve">available using an </w:t>
      </w:r>
      <w:r w:rsidR="00F01631">
        <w:rPr>
          <w:rFonts w:eastAsia="DengXian"/>
          <w:lang w:eastAsia="zh-CN"/>
        </w:rPr>
        <w:t xml:space="preserve">advanced </w:t>
      </w:r>
      <w:r w:rsidR="00F01631" w:rsidRPr="00F01631">
        <w:rPr>
          <w:rFonts w:eastAsia="DengXian"/>
          <w:lang w:eastAsia="zh-CN"/>
        </w:rPr>
        <w:t>antenna that consist of an array of active elements.</w:t>
      </w:r>
    </w:p>
    <w:p w14:paraId="01ED8167" w14:textId="77777777" w:rsidR="00A47589" w:rsidRDefault="00A47589" w:rsidP="00A47589">
      <w:r w:rsidRPr="00F70C7E">
        <w:rPr>
          <w:rFonts w:eastAsia="DengXian"/>
          <w:lang w:eastAsia="zh-CN"/>
        </w:rPr>
        <w:t xml:space="preserve">Different views were expressed and included in the </w:t>
      </w:r>
      <w:hyperlink r:id="rId12" w:history="1">
        <w:r w:rsidRPr="00F70C7E">
          <w:rPr>
            <w:rStyle w:val="Hyperlink"/>
            <w:rFonts w:eastAsia="DengXian"/>
            <w:lang w:eastAsia="zh-CN"/>
          </w:rPr>
          <w:t>CPM19-2 Report</w:t>
        </w:r>
      </w:hyperlink>
      <w:r w:rsidRPr="00F70C7E">
        <w:rPr>
          <w:rFonts w:eastAsia="DengXian"/>
          <w:lang w:eastAsia="zh-CN"/>
        </w:rPr>
        <w:t xml:space="preserve"> as a preparatory work for WRC-19 AI 1.13</w:t>
      </w:r>
      <w:r>
        <w:rPr>
          <w:rFonts w:eastAsia="DengXian"/>
          <w:lang w:eastAsia="zh-CN"/>
        </w:rPr>
        <w:t>.</w:t>
      </w:r>
      <w:r>
        <w:t xml:space="preserve"> </w:t>
      </w:r>
    </w:p>
    <w:p w14:paraId="0F8A0657" w14:textId="77777777" w:rsidR="00A47589" w:rsidRPr="00BB3F25" w:rsidRDefault="00A47589" w:rsidP="00A47589">
      <w:pPr>
        <w:rPr>
          <w:rFonts w:eastAsiaTheme="minorEastAsia"/>
        </w:rPr>
      </w:pPr>
      <w:r>
        <w:t>At WRC-19, two contributions (</w:t>
      </w:r>
      <w:hyperlink r:id="rId13" w:history="1">
        <w:r w:rsidRPr="00EE258D">
          <w:t xml:space="preserve">WRC-19 Documents </w:t>
        </w:r>
        <w:r w:rsidRPr="00A46F2F">
          <w:rPr>
            <w:rStyle w:val="Hyperlink"/>
          </w:rPr>
          <w:t>12!A13</w:t>
        </w:r>
      </w:hyperlink>
      <w:r>
        <w:t xml:space="preserve">, </w:t>
      </w:r>
      <w:hyperlink r:id="rId14" w:history="1">
        <w:r w:rsidRPr="005135B2">
          <w:rPr>
            <w:rStyle w:val="Hyperlink"/>
          </w:rPr>
          <w:t>128</w:t>
        </w:r>
      </w:hyperlink>
      <w:r>
        <w:t xml:space="preserve">) </w:t>
      </w:r>
      <w:r w:rsidRPr="002A71D1">
        <w:t xml:space="preserve">in relation to </w:t>
      </w:r>
      <w:r w:rsidRPr="002C5396">
        <w:t xml:space="preserve">RR No. </w:t>
      </w:r>
      <w:r w:rsidRPr="00DC1350">
        <w:rPr>
          <w:b/>
        </w:rPr>
        <w:t>21.5</w:t>
      </w:r>
      <w:r>
        <w:rPr>
          <w:b/>
        </w:rPr>
        <w:t xml:space="preserve"> </w:t>
      </w:r>
      <w:r>
        <w:t xml:space="preserve">were submitted. </w:t>
      </w:r>
      <w:r w:rsidRPr="00BB3F25">
        <w:t>This topic was exte</w:t>
      </w:r>
      <w:r>
        <w:t>n</w:t>
      </w:r>
      <w:r w:rsidRPr="00BB3F25">
        <w:t xml:space="preserve">sively discussed and its outcome was included in WRC-19 </w:t>
      </w:r>
      <w:hyperlink r:id="rId15" w:history="1">
        <w:r w:rsidRPr="00A46F2F">
          <w:t xml:space="preserve">Document </w:t>
        </w:r>
        <w:r w:rsidRPr="00A46F2F">
          <w:rPr>
            <w:rStyle w:val="Hyperlink"/>
          </w:rPr>
          <w:t>550</w:t>
        </w:r>
      </w:hyperlink>
      <w:r w:rsidRPr="00BB3F25">
        <w:t xml:space="preserve"> on agenda item 1.13, </w:t>
      </w:r>
      <w:r w:rsidR="001F6017">
        <w:t xml:space="preserve">and </w:t>
      </w:r>
      <w:r w:rsidRPr="00BB3F25">
        <w:t xml:space="preserve">the text set out in the annex to the </w:t>
      </w:r>
      <w:hyperlink r:id="rId16" w:history="1">
        <w:r w:rsidRPr="00A46F2F">
          <w:t xml:space="preserve">Document </w:t>
        </w:r>
        <w:r w:rsidRPr="00A46F2F">
          <w:rPr>
            <w:rStyle w:val="Hyperlink"/>
          </w:rPr>
          <w:t>550</w:t>
        </w:r>
      </w:hyperlink>
      <w:r w:rsidRPr="00BB3F25">
        <w:t xml:space="preserve"> was approved and included in the </w:t>
      </w:r>
      <w:r w:rsidRPr="00A46F2F">
        <w:t>minutes</w:t>
      </w:r>
      <w:r w:rsidRPr="00BB3F25">
        <w:t xml:space="preserve"> </w:t>
      </w:r>
      <w:r>
        <w:t xml:space="preserve">(WRC-19 Document </w:t>
      </w:r>
      <w:hyperlink r:id="rId17" w:history="1">
        <w:r w:rsidRPr="00A46F2F">
          <w:rPr>
            <w:rStyle w:val="Hyperlink"/>
          </w:rPr>
          <w:t>573</w:t>
        </w:r>
      </w:hyperlink>
      <w:r>
        <w:t xml:space="preserve">) </w:t>
      </w:r>
      <w:r w:rsidRPr="00BB3F25">
        <w:t>of the meeting as a decision of the conference</w:t>
      </w:r>
      <w:r>
        <w:rPr>
          <w:rFonts w:ascii="DengXian" w:eastAsia="DengXian" w:hAnsi="DengXian" w:hint="eastAsia"/>
          <w:lang w:eastAsia="zh-CN"/>
        </w:rPr>
        <w:t>.</w:t>
      </w:r>
    </w:p>
    <w:p w14:paraId="3D21FABE" w14:textId="77777777" w:rsidR="00A47589" w:rsidRDefault="00A47589" w:rsidP="00A47589">
      <w:pPr>
        <w:rPr>
          <w:rFonts w:eastAsia="DengXian"/>
          <w:lang w:eastAsia="zh-CN"/>
        </w:rPr>
      </w:pPr>
      <w:r w:rsidRPr="00DE5C63">
        <w:rPr>
          <w:rFonts w:eastAsia="DengXian"/>
          <w:lang w:eastAsia="zh-CN"/>
        </w:rPr>
        <w:t xml:space="preserve">The topic of </w:t>
      </w:r>
      <w:r w:rsidRPr="002C5396">
        <w:rPr>
          <w:rFonts w:eastAsia="DengXian"/>
          <w:lang w:eastAsia="zh-CN"/>
        </w:rPr>
        <w:t xml:space="preserve">RR No. </w:t>
      </w:r>
      <w:r w:rsidRPr="00DC1350">
        <w:rPr>
          <w:rFonts w:eastAsia="DengXian"/>
          <w:b/>
          <w:lang w:eastAsia="zh-CN"/>
        </w:rPr>
        <w:t>21.5</w:t>
      </w:r>
      <w:r w:rsidRPr="00DE5C63">
        <w:rPr>
          <w:rFonts w:eastAsia="DengXian"/>
          <w:lang w:eastAsia="zh-CN"/>
        </w:rPr>
        <w:t xml:space="preserve"> was brought to the attention of CPM23-1 that request</w:t>
      </w:r>
      <w:r>
        <w:rPr>
          <w:rFonts w:eastAsia="DengXian"/>
          <w:lang w:eastAsia="zh-CN"/>
        </w:rPr>
        <w:t>s</w:t>
      </w:r>
      <w:r w:rsidRPr="00DE5C63">
        <w:rPr>
          <w:rFonts w:eastAsia="DengXian"/>
          <w:lang w:eastAsia="zh-CN"/>
        </w:rPr>
        <w:t xml:space="preserve"> study be performed in ITU-R. This does not specifically request action or reporting to WRC-23 so is </w:t>
      </w:r>
      <w:r w:rsidRPr="00DE5C63">
        <w:rPr>
          <w:rFonts w:eastAsia="DengXian"/>
          <w:lang w:eastAsia="zh-CN"/>
        </w:rPr>
        <w:lastRenderedPageBreak/>
        <w:t xml:space="preserve">not included in the topics under </w:t>
      </w:r>
      <w:r w:rsidR="001F6017">
        <w:rPr>
          <w:rFonts w:eastAsia="DengXian"/>
          <w:lang w:eastAsia="zh-CN"/>
        </w:rPr>
        <w:t xml:space="preserve">WRC-23 </w:t>
      </w:r>
      <w:r w:rsidRPr="00DE5C63">
        <w:rPr>
          <w:rFonts w:eastAsia="DengXian"/>
          <w:lang w:eastAsia="zh-CN"/>
        </w:rPr>
        <w:t xml:space="preserve">agenda item 9.1 in Annex 7 to </w:t>
      </w:r>
      <w:hyperlink r:id="rId18" w:history="1">
        <w:r w:rsidRPr="00A46F2F">
          <w:rPr>
            <w:rStyle w:val="Hyperlink"/>
            <w:rFonts w:eastAsia="DengXian"/>
            <w:lang w:eastAsia="zh-CN"/>
          </w:rPr>
          <w:t>CA/251</w:t>
        </w:r>
      </w:hyperlink>
      <w:r w:rsidRPr="00DE5C63">
        <w:rPr>
          <w:rFonts w:eastAsia="DengXian"/>
          <w:lang w:eastAsia="zh-CN"/>
        </w:rPr>
        <w:t xml:space="preserve">. However, ITU-R </w:t>
      </w:r>
      <w:r w:rsidR="001F6017">
        <w:rPr>
          <w:rFonts w:eastAsia="DengXian"/>
          <w:lang w:eastAsia="zh-CN"/>
        </w:rPr>
        <w:t>WP </w:t>
      </w:r>
      <w:r w:rsidRPr="00DE5C63">
        <w:rPr>
          <w:rFonts w:eastAsia="DengXian"/>
          <w:lang w:eastAsia="zh-CN"/>
        </w:rPr>
        <w:t>5D, as the responsible group, is invited to carry out the requested study as a matter of urgency and to report the results of the study to the Director of the Radiocommunication Bureau to be considered as the Director deems appropriate.</w:t>
      </w:r>
    </w:p>
    <w:p w14:paraId="5B9D3246" w14:textId="77777777" w:rsidR="00A47589" w:rsidRDefault="00A47589" w:rsidP="00762B25"/>
    <w:p w14:paraId="389E8CCF" w14:textId="77777777" w:rsidR="00762B25" w:rsidRPr="00762B25" w:rsidRDefault="00762B25" w:rsidP="00762B25">
      <w:pPr>
        <w:spacing w:after="160"/>
        <w:outlineLvl w:val="1"/>
        <w:rPr>
          <w:b/>
        </w:rPr>
      </w:pPr>
      <w:r w:rsidRPr="00762B25">
        <w:rPr>
          <w:b/>
        </w:rPr>
        <w:t xml:space="preserve">1.2 </w:t>
      </w:r>
      <w:r w:rsidRPr="00762B25">
        <w:rPr>
          <w:b/>
          <w:lang w:val="en-NZ"/>
        </w:rPr>
        <w:tab/>
      </w:r>
      <w:r w:rsidRPr="00762B25">
        <w:rPr>
          <w:rFonts w:hint="eastAsia"/>
          <w:b/>
        </w:rPr>
        <w:t>R</w:t>
      </w:r>
      <w:r w:rsidRPr="00762B25">
        <w:rPr>
          <w:b/>
        </w:rPr>
        <w:t>e</w:t>
      </w:r>
      <w:r w:rsidRPr="00762B25">
        <w:rPr>
          <w:b/>
          <w:lang w:eastAsia="zh-CN"/>
        </w:rPr>
        <w:t>levant informat</w:t>
      </w:r>
      <w:r w:rsidRPr="00762B25">
        <w:rPr>
          <w:b/>
        </w:rPr>
        <w:t>ion</w:t>
      </w:r>
    </w:p>
    <w:p w14:paraId="358CB1D3" w14:textId="77777777" w:rsidR="001F6017" w:rsidRPr="009B125F" w:rsidRDefault="001F6017" w:rsidP="00762B25">
      <w:pPr>
        <w:spacing w:after="160" w:line="259" w:lineRule="auto"/>
        <w:outlineLvl w:val="2"/>
        <w:rPr>
          <w:rFonts w:eastAsia="MS Mincho"/>
          <w:lang w:eastAsia="ja-JP"/>
        </w:rPr>
      </w:pPr>
      <w:r>
        <w:rPr>
          <w:rFonts w:eastAsia="MS Mincho" w:hint="eastAsia"/>
          <w:lang w:eastAsia="ja-JP"/>
        </w:rPr>
        <w:t>The following provision</w:t>
      </w:r>
      <w:r>
        <w:rPr>
          <w:rFonts w:eastAsia="MS Mincho"/>
          <w:lang w:eastAsia="ja-JP"/>
        </w:rPr>
        <w:t>s</w:t>
      </w:r>
      <w:r>
        <w:rPr>
          <w:rFonts w:eastAsia="MS Mincho" w:hint="eastAsia"/>
          <w:lang w:eastAsia="ja-JP"/>
        </w:rPr>
        <w:t xml:space="preserve"> in the ITU Radio Regulations are referenced in the on-going ITU-R studies by </w:t>
      </w:r>
      <w:r>
        <w:rPr>
          <w:rFonts w:eastAsia="MS Mincho"/>
          <w:lang w:eastAsia="ja-JP"/>
        </w:rPr>
        <w:t>WP 5D.</w:t>
      </w:r>
    </w:p>
    <w:p w14:paraId="718EB036" w14:textId="77777777" w:rsidR="00762B25" w:rsidRPr="00762B25" w:rsidRDefault="00762B25" w:rsidP="00762B25">
      <w:pPr>
        <w:spacing w:after="160" w:line="259" w:lineRule="auto"/>
        <w:outlineLvl w:val="2"/>
        <w:rPr>
          <w:b/>
          <w:lang w:eastAsia="zh-CN"/>
        </w:rPr>
      </w:pPr>
      <w:r w:rsidRPr="00762B25">
        <w:rPr>
          <w:b/>
          <w:lang w:eastAsia="zh-CN"/>
        </w:rPr>
        <w:t>1.2.1</w:t>
      </w:r>
      <w:r w:rsidR="002E177A">
        <w:rPr>
          <w:b/>
          <w:lang w:eastAsia="zh-CN"/>
        </w:rPr>
        <w:t xml:space="preserve"> </w:t>
      </w:r>
      <w:r w:rsidRPr="00762B25">
        <w:rPr>
          <w:b/>
          <w:lang w:eastAsia="zh-CN"/>
        </w:rPr>
        <w:tab/>
        <w:t xml:space="preserve">RR No. 21.5, </w:t>
      </w:r>
      <w:r w:rsidRPr="00762B25">
        <w:rPr>
          <w:b/>
          <w:lang w:val="en-GB"/>
        </w:rPr>
        <w:t>Table 21-2</w:t>
      </w:r>
      <w:r w:rsidRPr="00762B25">
        <w:rPr>
          <w:b/>
          <w:lang w:val="en-GB" w:eastAsia="zh-CN"/>
        </w:rPr>
        <w:t xml:space="preserve"> </w:t>
      </w:r>
      <w:r w:rsidRPr="00762B25">
        <w:rPr>
          <w:b/>
          <w:lang w:eastAsia="zh-CN"/>
        </w:rPr>
        <w:t xml:space="preserve">and </w:t>
      </w:r>
      <w:r w:rsidRPr="00762B25">
        <w:rPr>
          <w:b/>
        </w:rPr>
        <w:t>related</w:t>
      </w:r>
      <w:r w:rsidRPr="00762B25">
        <w:rPr>
          <w:b/>
          <w:lang w:eastAsia="zh-CN"/>
        </w:rPr>
        <w:t xml:space="preserve"> provisions in Article 21</w:t>
      </w:r>
    </w:p>
    <w:p w14:paraId="0A0AE92D" w14:textId="77777777" w:rsidR="00762B25" w:rsidRPr="00EF524D" w:rsidRDefault="00762B25" w:rsidP="00762B25">
      <w:r w:rsidRPr="00EF524D">
        <w:rPr>
          <w:b/>
          <w:lang w:val="en-GB"/>
        </w:rPr>
        <w:t>21.3</w:t>
      </w:r>
      <w:r w:rsidRPr="00EF524D">
        <w:tab/>
        <w:t>§ 3</w:t>
      </w:r>
      <w:r w:rsidRPr="00EF524D">
        <w:tab/>
        <w:t>1)</w:t>
      </w:r>
      <w:r w:rsidRPr="00EF524D">
        <w:tab/>
        <w:t xml:space="preserve">The maximum equivalent </w:t>
      </w:r>
      <w:proofErr w:type="spellStart"/>
      <w:r w:rsidRPr="00EF524D">
        <w:t>isotropically</w:t>
      </w:r>
      <w:proofErr w:type="spellEnd"/>
      <w:r w:rsidRPr="00EF524D">
        <w:t xml:space="preserve"> radiated power (</w:t>
      </w:r>
      <w:proofErr w:type="spellStart"/>
      <w:r w:rsidRPr="00EF524D">
        <w:t>e.i.r.p</w:t>
      </w:r>
      <w:proofErr w:type="spellEnd"/>
      <w:r w:rsidRPr="00EF524D">
        <w:t>.) of a station in the fixed or mobile service shall not exceed +55 </w:t>
      </w:r>
      <w:proofErr w:type="spellStart"/>
      <w:r w:rsidRPr="00EF524D">
        <w:t>dBW</w:t>
      </w:r>
      <w:proofErr w:type="spellEnd"/>
      <w:r w:rsidRPr="00EF524D">
        <w:t>.</w:t>
      </w:r>
    </w:p>
    <w:p w14:paraId="5FA02A01" w14:textId="77777777" w:rsidR="00762B25" w:rsidRPr="00EF524D" w:rsidRDefault="00762B25" w:rsidP="00762B25">
      <w:pPr>
        <w:rPr>
          <w:lang w:val="en-GB"/>
        </w:rPr>
      </w:pPr>
      <w:r w:rsidRPr="00EF524D">
        <w:rPr>
          <w:b/>
          <w:lang w:val="en-GB"/>
        </w:rPr>
        <w:t>21.5</w:t>
      </w:r>
      <w:r w:rsidRPr="00EF524D">
        <w:rPr>
          <w:lang w:val="en-GB"/>
        </w:rPr>
        <w:tab/>
      </w:r>
      <w:r w:rsidRPr="00EF524D">
        <w:rPr>
          <w:lang w:val="en-GB"/>
        </w:rPr>
        <w:tab/>
        <w:t>3)</w:t>
      </w:r>
      <w:r w:rsidRPr="00EF524D">
        <w:rPr>
          <w:lang w:val="en-GB"/>
        </w:rPr>
        <w:tab/>
        <w:t>The power delivered by a transmitter to the antenna of a station in the fixed or mobile services shall not exceed +13 </w:t>
      </w:r>
      <w:proofErr w:type="spellStart"/>
      <w:r w:rsidRPr="00EF524D">
        <w:rPr>
          <w:lang w:val="en-GB"/>
        </w:rPr>
        <w:t>dBW</w:t>
      </w:r>
      <w:proofErr w:type="spellEnd"/>
      <w:r w:rsidRPr="00EF524D">
        <w:rPr>
          <w:lang w:val="en-GB"/>
        </w:rPr>
        <w:t xml:space="preserve"> in frequency bands between 1 GHz and 10 GHz, or +10 </w:t>
      </w:r>
      <w:proofErr w:type="spellStart"/>
      <w:r w:rsidRPr="00EF524D">
        <w:rPr>
          <w:lang w:val="en-GB"/>
        </w:rPr>
        <w:t>dBW</w:t>
      </w:r>
      <w:proofErr w:type="spellEnd"/>
      <w:r w:rsidRPr="00EF524D">
        <w:rPr>
          <w:lang w:val="en-GB"/>
        </w:rPr>
        <w:t xml:space="preserve"> in frequency bands above 10 GHz, except as cited in No. </w:t>
      </w:r>
      <w:r w:rsidRPr="00EF524D">
        <w:rPr>
          <w:b/>
          <w:lang w:val="en-GB"/>
        </w:rPr>
        <w:t>21.5A</w:t>
      </w:r>
      <w:r w:rsidRPr="00EF524D">
        <w:rPr>
          <w:lang w:val="en-GB"/>
        </w:rPr>
        <w:t>.</w:t>
      </w:r>
      <w:r w:rsidRPr="00EF524D">
        <w:rPr>
          <w:sz w:val="16"/>
          <w:szCs w:val="16"/>
          <w:lang w:val="en-GB"/>
        </w:rPr>
        <w:t>    (WRC</w:t>
      </w:r>
      <w:r w:rsidRPr="00EF524D">
        <w:rPr>
          <w:sz w:val="16"/>
          <w:szCs w:val="16"/>
          <w:lang w:val="en-GB"/>
        </w:rPr>
        <w:noBreakHyphen/>
        <w:t>2000)</w:t>
      </w:r>
    </w:p>
    <w:p w14:paraId="1E784D38" w14:textId="77777777" w:rsidR="00762B25" w:rsidRPr="00EF524D" w:rsidRDefault="00762B25" w:rsidP="00762B25">
      <w:pPr>
        <w:rPr>
          <w:lang w:val="en-GB"/>
        </w:rPr>
      </w:pPr>
      <w:r w:rsidRPr="00EF524D">
        <w:rPr>
          <w:b/>
          <w:lang w:val="en-GB"/>
        </w:rPr>
        <w:t>21.5A</w:t>
      </w:r>
      <w:r w:rsidRPr="00EF524D">
        <w:rPr>
          <w:lang w:val="en-GB"/>
        </w:rPr>
        <w:tab/>
      </w:r>
      <w:r w:rsidRPr="00EF524D">
        <w:rPr>
          <w:lang w:val="en-GB"/>
        </w:rPr>
        <w:tab/>
        <w:t>As an exception to the power levels given in No. </w:t>
      </w:r>
      <w:r w:rsidRPr="00EF524D">
        <w:rPr>
          <w:b/>
          <w:lang w:val="en-GB"/>
        </w:rPr>
        <w:t>21.5</w:t>
      </w:r>
      <w:r w:rsidRPr="00EF524D">
        <w:rPr>
          <w:lang w:val="en-GB"/>
        </w:rPr>
        <w:t>, the sharing environment within which the Earth exploration-satellite (passive) and space research (passive) services shall operate in the band 18.6-18.8 GHz is defined by the following limitations on the operation of the fixed service: the power of each RF carrier frequency delivered to the input of each antenna of a station in the fixed service in the band 18.6-18.8 GHz shall not exceed −3 </w:t>
      </w:r>
      <w:proofErr w:type="spellStart"/>
      <w:r w:rsidRPr="00EF524D">
        <w:rPr>
          <w:lang w:val="en-GB"/>
        </w:rPr>
        <w:t>dBW</w:t>
      </w:r>
      <w:proofErr w:type="spellEnd"/>
      <w:r w:rsidRPr="00EF524D">
        <w:rPr>
          <w:lang w:val="en-GB"/>
        </w:rPr>
        <w:t>.</w:t>
      </w:r>
      <w:r w:rsidRPr="00EF524D">
        <w:rPr>
          <w:sz w:val="16"/>
          <w:szCs w:val="16"/>
          <w:lang w:val="en-GB"/>
        </w:rPr>
        <w:t>     (WRC</w:t>
      </w:r>
      <w:r w:rsidRPr="00EF524D">
        <w:rPr>
          <w:sz w:val="16"/>
          <w:szCs w:val="16"/>
          <w:lang w:val="en-GB"/>
        </w:rPr>
        <w:noBreakHyphen/>
        <w:t>2000)</w:t>
      </w:r>
    </w:p>
    <w:p w14:paraId="0837238E" w14:textId="77777777" w:rsidR="00762B25" w:rsidRDefault="00762B25" w:rsidP="00762B25">
      <w:pPr>
        <w:rPr>
          <w:sz w:val="16"/>
          <w:szCs w:val="16"/>
          <w:lang w:val="en-GB"/>
        </w:rPr>
      </w:pPr>
      <w:r w:rsidRPr="00EF524D">
        <w:rPr>
          <w:b/>
          <w:lang w:val="en-GB"/>
        </w:rPr>
        <w:t>21.6</w:t>
      </w:r>
      <w:r w:rsidRPr="00EF524D">
        <w:rPr>
          <w:lang w:val="en-GB"/>
        </w:rPr>
        <w:tab/>
      </w:r>
      <w:r w:rsidRPr="00EF524D">
        <w:rPr>
          <w:lang w:val="en-GB"/>
        </w:rPr>
        <w:tab/>
        <w:t>4)</w:t>
      </w:r>
      <w:r w:rsidRPr="00EF524D">
        <w:rPr>
          <w:lang w:val="en-GB"/>
        </w:rPr>
        <w:tab/>
        <w:t>The limits given in Nos. </w:t>
      </w:r>
      <w:r w:rsidRPr="00EF524D">
        <w:rPr>
          <w:b/>
          <w:lang w:val="en-GB"/>
        </w:rPr>
        <w:t>21.2</w:t>
      </w:r>
      <w:r w:rsidRPr="00EF524D">
        <w:rPr>
          <w:lang w:val="en-GB"/>
        </w:rPr>
        <w:t xml:space="preserve">, </w:t>
      </w:r>
      <w:r w:rsidRPr="00EF524D">
        <w:rPr>
          <w:b/>
          <w:lang w:val="en-GB"/>
        </w:rPr>
        <w:t>21.3</w:t>
      </w:r>
      <w:r w:rsidRPr="00EF524D">
        <w:rPr>
          <w:lang w:val="en-GB"/>
        </w:rPr>
        <w:t xml:space="preserve">, </w:t>
      </w:r>
      <w:r w:rsidRPr="00EF524D">
        <w:rPr>
          <w:b/>
          <w:lang w:val="en-GB"/>
        </w:rPr>
        <w:t>21.4</w:t>
      </w:r>
      <w:r w:rsidRPr="00EF524D">
        <w:rPr>
          <w:lang w:val="en-GB"/>
        </w:rPr>
        <w:t xml:space="preserve">, </w:t>
      </w:r>
      <w:r w:rsidRPr="00EF524D">
        <w:rPr>
          <w:b/>
          <w:lang w:val="en-GB"/>
        </w:rPr>
        <w:t>21.5</w:t>
      </w:r>
      <w:r w:rsidRPr="00EF524D">
        <w:rPr>
          <w:lang w:val="en-GB"/>
        </w:rPr>
        <w:t xml:space="preserve"> and </w:t>
      </w:r>
      <w:r w:rsidRPr="00EF524D">
        <w:rPr>
          <w:b/>
          <w:lang w:val="en-GB"/>
        </w:rPr>
        <w:t>21.5A</w:t>
      </w:r>
      <w:r w:rsidRPr="00EF524D">
        <w:rPr>
          <w:lang w:val="en-GB"/>
        </w:rPr>
        <w:t xml:space="preserve"> apply, where applicable, to the services and frequency bands indicated in Table </w:t>
      </w:r>
      <w:r w:rsidRPr="00EF524D">
        <w:rPr>
          <w:b/>
          <w:lang w:val="en-GB"/>
        </w:rPr>
        <w:t>21-2</w:t>
      </w:r>
      <w:r w:rsidRPr="00EF524D">
        <w:rPr>
          <w:lang w:val="en-GB"/>
        </w:rPr>
        <w:t xml:space="preserve"> for reception by space stations where the frequency bands are shared with equal rights with the fixed or mobile services:</w:t>
      </w:r>
      <w:r w:rsidRPr="00EF524D">
        <w:rPr>
          <w:sz w:val="16"/>
          <w:szCs w:val="16"/>
          <w:lang w:val="en-GB"/>
        </w:rPr>
        <w:t>     (WRC</w:t>
      </w:r>
      <w:r w:rsidRPr="00EF524D">
        <w:rPr>
          <w:sz w:val="16"/>
          <w:szCs w:val="16"/>
          <w:lang w:val="en-GB"/>
        </w:rPr>
        <w:noBreakHyphen/>
        <w:t>2000)</w:t>
      </w:r>
    </w:p>
    <w:p w14:paraId="465BB9A1" w14:textId="77777777" w:rsidR="00762B25" w:rsidRDefault="00762B25" w:rsidP="00762B25">
      <w:pPr>
        <w:rPr>
          <w:sz w:val="16"/>
          <w:szCs w:val="16"/>
          <w:lang w:val="en-GB"/>
        </w:rPr>
      </w:pPr>
    </w:p>
    <w:p w14:paraId="47ED346C" w14:textId="77777777" w:rsidR="00762B25" w:rsidRPr="00F1785D" w:rsidRDefault="00762B25" w:rsidP="00762B25">
      <w:pPr>
        <w:jc w:val="center"/>
        <w:rPr>
          <w:rFonts w:cs="Calibri"/>
          <w:lang w:val="en-GB"/>
        </w:rPr>
      </w:pPr>
      <w:r w:rsidRPr="00F1785D">
        <w:rPr>
          <w:rFonts w:cs="Calibri"/>
          <w:lang w:val="en-GB"/>
        </w:rPr>
        <w:t>TABLE</w:t>
      </w:r>
      <w:r>
        <w:rPr>
          <w:rFonts w:cs="Calibri"/>
          <w:lang w:val="en-GB"/>
        </w:rPr>
        <w:t xml:space="preserve"> </w:t>
      </w:r>
      <w:r w:rsidRPr="00F1785D">
        <w:rPr>
          <w:rFonts w:cs="Calibri"/>
          <w:b/>
          <w:bCs/>
          <w:lang w:val="en-GB"/>
        </w:rPr>
        <w:t>21-2</w:t>
      </w:r>
      <w:r w:rsidRPr="00F1785D">
        <w:rPr>
          <w:rFonts w:cs="Calibri"/>
          <w:lang w:val="en-GB"/>
        </w:rPr>
        <w:t>     (Rev.WRC</w:t>
      </w:r>
      <w:r w:rsidRPr="00F1785D">
        <w:rPr>
          <w:rFonts w:cs="Calibri"/>
          <w:lang w:val="en-GB"/>
        </w:rPr>
        <w:noBreakHyphen/>
        <w:t>19)</w:t>
      </w:r>
    </w:p>
    <w:tbl>
      <w:tblPr>
        <w:tblW w:w="93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60"/>
        <w:gridCol w:w="2905"/>
        <w:gridCol w:w="2035"/>
      </w:tblGrid>
      <w:tr w:rsidR="00762B25" w:rsidRPr="00F1785D" w14:paraId="7E3ED33C" w14:textId="77777777" w:rsidTr="000E41F7">
        <w:trPr>
          <w:cantSplit/>
          <w:trHeight w:val="20"/>
          <w:jc w:val="center"/>
        </w:trPr>
        <w:tc>
          <w:tcPr>
            <w:tcW w:w="4360" w:type="dxa"/>
            <w:tcBorders>
              <w:top w:val="single" w:sz="4" w:space="0" w:color="auto"/>
              <w:left w:val="single" w:sz="4" w:space="0" w:color="auto"/>
              <w:bottom w:val="single" w:sz="4" w:space="0" w:color="auto"/>
              <w:right w:val="single" w:sz="4" w:space="0" w:color="auto"/>
            </w:tcBorders>
            <w:vAlign w:val="center"/>
            <w:hideMark/>
          </w:tcPr>
          <w:p w14:paraId="7200F264" w14:textId="77777777" w:rsidR="00762B25" w:rsidRPr="00EE258D" w:rsidRDefault="00762B25" w:rsidP="00762B25">
            <w:pPr>
              <w:jc w:val="left"/>
              <w:rPr>
                <w:rFonts w:cs="Calibri"/>
                <w:b/>
                <w:sz w:val="18"/>
                <w:szCs w:val="18"/>
                <w:lang w:val="en-GB"/>
              </w:rPr>
            </w:pPr>
            <w:r w:rsidRPr="00EE258D">
              <w:rPr>
                <w:rFonts w:cs="Calibri"/>
                <w:b/>
                <w:sz w:val="18"/>
                <w:szCs w:val="18"/>
                <w:lang w:val="en-GB"/>
              </w:rPr>
              <w:t>Frequency band</w:t>
            </w:r>
          </w:p>
        </w:tc>
        <w:tc>
          <w:tcPr>
            <w:tcW w:w="2905" w:type="dxa"/>
            <w:tcBorders>
              <w:top w:val="single" w:sz="4" w:space="0" w:color="auto"/>
              <w:left w:val="single" w:sz="4" w:space="0" w:color="auto"/>
              <w:bottom w:val="single" w:sz="4" w:space="0" w:color="auto"/>
              <w:right w:val="single" w:sz="4" w:space="0" w:color="auto"/>
            </w:tcBorders>
            <w:vAlign w:val="center"/>
            <w:hideMark/>
          </w:tcPr>
          <w:p w14:paraId="295FDA65" w14:textId="77777777" w:rsidR="00762B25" w:rsidRPr="00EE258D" w:rsidRDefault="00762B25" w:rsidP="00762B25">
            <w:pPr>
              <w:jc w:val="left"/>
              <w:rPr>
                <w:rFonts w:cs="Calibri"/>
                <w:b/>
                <w:sz w:val="18"/>
                <w:szCs w:val="18"/>
                <w:lang w:val="en-GB"/>
              </w:rPr>
            </w:pPr>
            <w:r w:rsidRPr="00EE258D">
              <w:rPr>
                <w:rFonts w:cs="Calibri"/>
                <w:b/>
                <w:sz w:val="18"/>
                <w:szCs w:val="18"/>
                <w:lang w:val="en-GB"/>
              </w:rPr>
              <w:t>Service</w:t>
            </w:r>
          </w:p>
        </w:tc>
        <w:tc>
          <w:tcPr>
            <w:tcW w:w="2035" w:type="dxa"/>
            <w:tcBorders>
              <w:top w:val="single" w:sz="4" w:space="0" w:color="auto"/>
              <w:left w:val="single" w:sz="4" w:space="0" w:color="auto"/>
              <w:bottom w:val="single" w:sz="4" w:space="0" w:color="auto"/>
              <w:right w:val="single" w:sz="4" w:space="0" w:color="auto"/>
            </w:tcBorders>
            <w:vAlign w:val="center"/>
            <w:hideMark/>
          </w:tcPr>
          <w:p w14:paraId="5D4A161A" w14:textId="77777777" w:rsidR="00762B25" w:rsidRPr="00EE258D" w:rsidRDefault="00762B25" w:rsidP="00762B25">
            <w:pPr>
              <w:jc w:val="left"/>
              <w:rPr>
                <w:rFonts w:cs="Calibri"/>
                <w:b/>
                <w:sz w:val="18"/>
                <w:szCs w:val="18"/>
                <w:lang w:val="en-GB"/>
              </w:rPr>
            </w:pPr>
            <w:r w:rsidRPr="00EE258D">
              <w:rPr>
                <w:rFonts w:cs="Calibri"/>
                <w:b/>
                <w:sz w:val="18"/>
                <w:szCs w:val="18"/>
                <w:lang w:val="en-GB"/>
              </w:rPr>
              <w:t>Limit as specified</w:t>
            </w:r>
            <w:r w:rsidRPr="00EE258D">
              <w:rPr>
                <w:rFonts w:cs="Calibri"/>
                <w:b/>
                <w:sz w:val="18"/>
                <w:szCs w:val="18"/>
                <w:lang w:val="en-GB"/>
              </w:rPr>
              <w:br/>
              <w:t>in Nos.</w:t>
            </w:r>
          </w:p>
        </w:tc>
      </w:tr>
      <w:tr w:rsidR="00762B25" w:rsidRPr="00F1785D" w14:paraId="19B21F4E" w14:textId="77777777" w:rsidTr="000E41F7">
        <w:trPr>
          <w:cantSplit/>
          <w:trHeight w:val="20"/>
          <w:jc w:val="center"/>
        </w:trPr>
        <w:tc>
          <w:tcPr>
            <w:tcW w:w="4360" w:type="dxa"/>
            <w:tcBorders>
              <w:top w:val="single" w:sz="4" w:space="0" w:color="auto"/>
              <w:left w:val="single" w:sz="6" w:space="0" w:color="auto"/>
              <w:bottom w:val="single" w:sz="4" w:space="0" w:color="auto"/>
              <w:right w:val="single" w:sz="6" w:space="0" w:color="auto"/>
            </w:tcBorders>
            <w:hideMark/>
          </w:tcPr>
          <w:p w14:paraId="4B3AA54C" w14:textId="77777777" w:rsidR="00762B25" w:rsidRPr="00EE258D" w:rsidRDefault="00762B25" w:rsidP="00762B25">
            <w:pPr>
              <w:spacing w:after="0"/>
              <w:jc w:val="left"/>
              <w:rPr>
                <w:rFonts w:cs="Calibri"/>
                <w:sz w:val="18"/>
                <w:szCs w:val="18"/>
                <w:lang w:val="en-GB"/>
              </w:rPr>
            </w:pPr>
            <w:r w:rsidRPr="00EE258D">
              <w:rPr>
                <w:rFonts w:cs="Calibri"/>
                <w:sz w:val="18"/>
                <w:szCs w:val="18"/>
                <w:lang w:val="en-GB"/>
              </w:rPr>
              <w:t>1 427-1 429 MHz</w:t>
            </w:r>
            <w:r w:rsidRPr="00EE258D">
              <w:rPr>
                <w:rFonts w:cs="Calibri"/>
                <w:sz w:val="18"/>
                <w:szCs w:val="18"/>
                <w:lang w:val="en-GB"/>
              </w:rPr>
              <w:br/>
              <w:t>1 610-1 645.5 MHz (No. </w:t>
            </w:r>
            <w:r w:rsidRPr="00EE258D">
              <w:rPr>
                <w:rFonts w:cs="Calibri"/>
                <w:b/>
                <w:bCs/>
                <w:sz w:val="18"/>
                <w:szCs w:val="18"/>
                <w:lang w:val="en-GB"/>
              </w:rPr>
              <w:t>5.359</w:t>
            </w:r>
            <w:r w:rsidRPr="00EE258D">
              <w:rPr>
                <w:rFonts w:cs="Calibri"/>
                <w:sz w:val="18"/>
                <w:szCs w:val="18"/>
                <w:lang w:val="en-GB"/>
              </w:rPr>
              <w:t>)</w:t>
            </w:r>
            <w:r w:rsidRPr="00EE258D">
              <w:rPr>
                <w:rFonts w:cs="Calibri"/>
                <w:sz w:val="18"/>
                <w:szCs w:val="18"/>
                <w:lang w:val="en-GB"/>
              </w:rPr>
              <w:br/>
              <w:t>1 646.5-1 660 MHz (No. </w:t>
            </w:r>
            <w:r w:rsidRPr="00EE258D">
              <w:rPr>
                <w:rFonts w:cs="Calibri"/>
                <w:b/>
                <w:bCs/>
                <w:sz w:val="18"/>
                <w:szCs w:val="18"/>
                <w:lang w:val="en-GB"/>
              </w:rPr>
              <w:t>5.359</w:t>
            </w:r>
            <w:r w:rsidRPr="00EE258D">
              <w:rPr>
                <w:rFonts w:cs="Calibri"/>
                <w:sz w:val="18"/>
                <w:szCs w:val="18"/>
                <w:lang w:val="en-GB"/>
              </w:rPr>
              <w:t>)</w:t>
            </w:r>
            <w:r w:rsidRPr="00EE258D">
              <w:rPr>
                <w:rFonts w:cs="Calibri"/>
                <w:sz w:val="18"/>
                <w:szCs w:val="18"/>
                <w:lang w:val="en-GB"/>
              </w:rPr>
              <w:br/>
              <w:t>1 980-2 010 MHz</w:t>
            </w:r>
            <w:r w:rsidRPr="00EE258D">
              <w:rPr>
                <w:rFonts w:cs="Calibri"/>
                <w:sz w:val="18"/>
                <w:szCs w:val="18"/>
                <w:lang w:val="en-GB"/>
              </w:rPr>
              <w:br/>
              <w:t>2 010-2 025 MHz (Region 2)</w:t>
            </w:r>
            <w:r w:rsidRPr="00EE258D">
              <w:rPr>
                <w:rFonts w:cs="Calibri"/>
                <w:sz w:val="18"/>
                <w:szCs w:val="18"/>
                <w:lang w:val="en-GB"/>
              </w:rPr>
              <w:br/>
              <w:t>2 025-2 110 MHz</w:t>
            </w:r>
            <w:r w:rsidRPr="00EE258D">
              <w:rPr>
                <w:rFonts w:cs="Calibri"/>
                <w:sz w:val="18"/>
                <w:szCs w:val="18"/>
                <w:lang w:val="en-GB"/>
              </w:rPr>
              <w:br/>
              <w:t>2 200-2 290 MHz</w:t>
            </w:r>
            <w:r w:rsidRPr="00EE258D">
              <w:rPr>
                <w:rFonts w:cs="Calibri"/>
                <w:sz w:val="18"/>
                <w:szCs w:val="18"/>
                <w:lang w:val="en-GB"/>
              </w:rPr>
              <w:br/>
              <w:t>2 655-2 670 MHz (Regions 2 and 3)</w:t>
            </w:r>
            <w:r w:rsidRPr="00EE258D">
              <w:rPr>
                <w:rFonts w:cs="Calibri"/>
                <w:sz w:val="18"/>
                <w:szCs w:val="18"/>
                <w:lang w:val="en-GB"/>
              </w:rPr>
              <w:br/>
              <w:t>2 670-2 690 MHz (Regions 2 and 3)</w:t>
            </w:r>
            <w:r w:rsidRPr="00EE258D">
              <w:rPr>
                <w:rFonts w:cs="Calibri"/>
                <w:sz w:val="18"/>
                <w:szCs w:val="18"/>
                <w:lang w:val="en-GB"/>
              </w:rPr>
              <w:br/>
              <w:t>5 670-5 725 MHz (Nos. </w:t>
            </w:r>
            <w:r w:rsidRPr="00EE258D">
              <w:rPr>
                <w:rFonts w:cs="Calibri"/>
                <w:b/>
                <w:bCs/>
                <w:sz w:val="18"/>
                <w:szCs w:val="18"/>
                <w:lang w:val="en-GB"/>
              </w:rPr>
              <w:t>5.453</w:t>
            </w:r>
            <w:r w:rsidRPr="00EE258D">
              <w:rPr>
                <w:rFonts w:cs="Calibri"/>
                <w:sz w:val="18"/>
                <w:szCs w:val="18"/>
                <w:lang w:val="en-GB"/>
              </w:rPr>
              <w:t xml:space="preserve"> and </w:t>
            </w:r>
            <w:r w:rsidRPr="00EE258D">
              <w:rPr>
                <w:rFonts w:cs="Calibri"/>
                <w:b/>
                <w:bCs/>
                <w:sz w:val="18"/>
                <w:szCs w:val="18"/>
                <w:lang w:val="en-GB"/>
              </w:rPr>
              <w:t>5.455</w:t>
            </w:r>
            <w:r w:rsidRPr="00EE258D">
              <w:rPr>
                <w:rFonts w:cs="Calibri"/>
                <w:sz w:val="18"/>
                <w:szCs w:val="18"/>
                <w:lang w:val="en-GB"/>
              </w:rPr>
              <w:t>)</w:t>
            </w:r>
            <w:r w:rsidRPr="00EE258D">
              <w:rPr>
                <w:rFonts w:cs="Calibri"/>
                <w:sz w:val="18"/>
                <w:szCs w:val="18"/>
                <w:lang w:val="en-GB"/>
              </w:rPr>
              <w:br/>
              <w:t>5 725-5 755 MHz  (Region 1 countries listed in Nos. </w:t>
            </w:r>
            <w:r w:rsidRPr="00EE258D">
              <w:rPr>
                <w:rFonts w:cs="Calibri"/>
                <w:b/>
                <w:bCs/>
                <w:sz w:val="18"/>
                <w:szCs w:val="18"/>
                <w:lang w:val="en-GB"/>
              </w:rPr>
              <w:t>5.453</w:t>
            </w:r>
            <w:r w:rsidRPr="00EE258D">
              <w:rPr>
                <w:rFonts w:cs="Calibri"/>
                <w:sz w:val="18"/>
                <w:szCs w:val="18"/>
                <w:lang w:val="en-GB"/>
              </w:rPr>
              <w:t xml:space="preserve"> and </w:t>
            </w:r>
            <w:r w:rsidRPr="00EE258D">
              <w:rPr>
                <w:rFonts w:cs="Calibri"/>
                <w:b/>
                <w:bCs/>
                <w:sz w:val="18"/>
                <w:szCs w:val="18"/>
                <w:lang w:val="en-GB"/>
              </w:rPr>
              <w:t>5.455</w:t>
            </w:r>
            <w:r w:rsidRPr="00EE258D">
              <w:rPr>
                <w:rFonts w:cs="Calibri"/>
                <w:sz w:val="18"/>
                <w:szCs w:val="18"/>
                <w:lang w:val="en-GB"/>
              </w:rPr>
              <w:t>)</w:t>
            </w:r>
            <w:r w:rsidRPr="00EE258D">
              <w:rPr>
                <w:rFonts w:cs="Calibri"/>
                <w:sz w:val="18"/>
                <w:szCs w:val="18"/>
                <w:lang w:val="en-GB"/>
              </w:rPr>
              <w:br/>
              <w:t>5 755-5 850 MHz (Region 1 countries listed in Nos. </w:t>
            </w:r>
            <w:r w:rsidRPr="00EE258D">
              <w:rPr>
                <w:rFonts w:cs="Calibri"/>
                <w:b/>
                <w:bCs/>
                <w:sz w:val="18"/>
                <w:szCs w:val="18"/>
                <w:lang w:val="en-GB"/>
              </w:rPr>
              <w:t>5.453</w:t>
            </w:r>
            <w:r w:rsidRPr="00EE258D">
              <w:rPr>
                <w:rFonts w:cs="Calibri"/>
                <w:sz w:val="18"/>
                <w:szCs w:val="18"/>
                <w:lang w:val="en-GB"/>
              </w:rPr>
              <w:t xml:space="preserve"> and </w:t>
            </w:r>
            <w:r w:rsidRPr="00EE258D">
              <w:rPr>
                <w:rFonts w:cs="Calibri"/>
                <w:b/>
                <w:bCs/>
                <w:sz w:val="18"/>
                <w:szCs w:val="18"/>
                <w:lang w:val="en-GB"/>
              </w:rPr>
              <w:t>5.455)</w:t>
            </w:r>
            <w:r w:rsidRPr="00EE258D">
              <w:rPr>
                <w:rFonts w:cs="Calibri"/>
                <w:sz w:val="18"/>
                <w:szCs w:val="18"/>
                <w:lang w:val="en-GB"/>
              </w:rPr>
              <w:br/>
              <w:t>5 850-7 075 MHz</w:t>
            </w:r>
            <w:r w:rsidRPr="00EE258D">
              <w:rPr>
                <w:rFonts w:cs="Calibri"/>
                <w:sz w:val="18"/>
                <w:szCs w:val="18"/>
                <w:lang w:val="en-GB"/>
              </w:rPr>
              <w:br/>
              <w:t>7 145-7 235 MHz</w:t>
            </w:r>
            <w:r w:rsidRPr="00EE258D">
              <w:rPr>
                <w:rFonts w:cs="Calibri"/>
                <w:sz w:val="18"/>
                <w:szCs w:val="18"/>
              </w:rPr>
              <w:t xml:space="preserve"> </w:t>
            </w:r>
            <w:r w:rsidRPr="00EE258D">
              <w:rPr>
                <w:rFonts w:cs="Calibri"/>
                <w:sz w:val="18"/>
                <w:szCs w:val="18"/>
                <w:lang w:val="en-GB"/>
              </w:rPr>
              <w:br/>
              <w:t>7 900-8 400 MHz</w:t>
            </w:r>
          </w:p>
        </w:tc>
        <w:tc>
          <w:tcPr>
            <w:tcW w:w="2905" w:type="dxa"/>
            <w:tcBorders>
              <w:top w:val="single" w:sz="4" w:space="0" w:color="auto"/>
              <w:left w:val="single" w:sz="6" w:space="0" w:color="auto"/>
              <w:bottom w:val="single" w:sz="4" w:space="0" w:color="auto"/>
              <w:right w:val="single" w:sz="6" w:space="0" w:color="auto"/>
            </w:tcBorders>
            <w:hideMark/>
          </w:tcPr>
          <w:p w14:paraId="23E4423B" w14:textId="77777777" w:rsidR="00762B25" w:rsidRPr="00EE258D" w:rsidRDefault="00762B25" w:rsidP="00762B25">
            <w:pPr>
              <w:spacing w:after="0"/>
              <w:jc w:val="left"/>
              <w:rPr>
                <w:rFonts w:cs="Calibri"/>
                <w:sz w:val="18"/>
                <w:szCs w:val="18"/>
                <w:lang w:val="en-GB"/>
              </w:rPr>
            </w:pPr>
            <w:r w:rsidRPr="00EE258D">
              <w:rPr>
                <w:rFonts w:cs="Calibri"/>
                <w:sz w:val="18"/>
                <w:szCs w:val="18"/>
                <w:lang w:val="en-GB"/>
              </w:rPr>
              <w:t>Fixed-satellite</w:t>
            </w:r>
            <w:r w:rsidRPr="00EE258D">
              <w:rPr>
                <w:rFonts w:cs="Calibri"/>
                <w:sz w:val="18"/>
                <w:szCs w:val="18"/>
                <w:lang w:val="en-GB"/>
              </w:rPr>
              <w:br/>
              <w:t>Meteorological-satellite</w:t>
            </w:r>
            <w:r w:rsidRPr="00EE258D">
              <w:rPr>
                <w:rFonts w:cs="Calibri"/>
                <w:sz w:val="18"/>
                <w:szCs w:val="18"/>
                <w:lang w:val="en-GB"/>
              </w:rPr>
              <w:br/>
              <w:t>Space research</w:t>
            </w:r>
            <w:r w:rsidRPr="00EE258D">
              <w:rPr>
                <w:rFonts w:cs="Calibri"/>
                <w:sz w:val="18"/>
                <w:szCs w:val="18"/>
                <w:lang w:val="en-GB"/>
              </w:rPr>
              <w:br/>
              <w:t>Space operation</w:t>
            </w:r>
            <w:r w:rsidRPr="00EE258D">
              <w:rPr>
                <w:rFonts w:cs="Calibri"/>
                <w:sz w:val="18"/>
                <w:szCs w:val="18"/>
                <w:lang w:val="en-GB"/>
              </w:rPr>
              <w:br/>
              <w:t>Earth exploration-satellite</w:t>
            </w:r>
            <w:r w:rsidRPr="00EE258D">
              <w:rPr>
                <w:rFonts w:cs="Calibri"/>
                <w:sz w:val="18"/>
                <w:szCs w:val="18"/>
                <w:lang w:val="en-GB"/>
              </w:rPr>
              <w:br/>
              <w:t>Mobile-satellite</w:t>
            </w:r>
          </w:p>
        </w:tc>
        <w:tc>
          <w:tcPr>
            <w:tcW w:w="2035" w:type="dxa"/>
            <w:tcBorders>
              <w:top w:val="single" w:sz="4" w:space="0" w:color="auto"/>
              <w:left w:val="single" w:sz="6" w:space="0" w:color="auto"/>
              <w:bottom w:val="single" w:sz="4" w:space="0" w:color="auto"/>
              <w:right w:val="single" w:sz="6" w:space="0" w:color="auto"/>
            </w:tcBorders>
            <w:hideMark/>
          </w:tcPr>
          <w:p w14:paraId="06CDA150" w14:textId="77777777" w:rsidR="00762B25" w:rsidRPr="00EE258D" w:rsidRDefault="00762B25" w:rsidP="00762B25">
            <w:pPr>
              <w:spacing w:after="0"/>
              <w:jc w:val="left"/>
              <w:rPr>
                <w:rFonts w:cs="Calibri"/>
                <w:sz w:val="18"/>
                <w:szCs w:val="18"/>
                <w:lang w:val="en-GB"/>
              </w:rPr>
            </w:pPr>
            <w:r w:rsidRPr="00EE258D">
              <w:rPr>
                <w:rFonts w:cs="Calibri"/>
                <w:b/>
                <w:bCs/>
                <w:sz w:val="18"/>
                <w:szCs w:val="18"/>
                <w:lang w:val="en-GB"/>
              </w:rPr>
              <w:t>21.2</w:t>
            </w:r>
            <w:r w:rsidRPr="00EE258D">
              <w:rPr>
                <w:rFonts w:cs="Calibri"/>
                <w:sz w:val="18"/>
                <w:szCs w:val="18"/>
                <w:lang w:val="en-GB"/>
              </w:rPr>
              <w:t xml:space="preserve">, </w:t>
            </w:r>
            <w:r w:rsidRPr="00EE258D">
              <w:rPr>
                <w:rFonts w:cs="Calibri"/>
                <w:b/>
                <w:bCs/>
                <w:sz w:val="18"/>
                <w:szCs w:val="18"/>
                <w:lang w:val="en-GB"/>
              </w:rPr>
              <w:t>21.3</w:t>
            </w:r>
            <w:r w:rsidRPr="00EE258D">
              <w:rPr>
                <w:rFonts w:cs="Calibri"/>
                <w:sz w:val="18"/>
                <w:szCs w:val="18"/>
                <w:lang w:val="en-GB"/>
              </w:rPr>
              <w:t>,</w:t>
            </w:r>
            <w:r w:rsidRPr="00EE258D">
              <w:rPr>
                <w:rFonts w:cs="Calibri"/>
                <w:sz w:val="18"/>
                <w:szCs w:val="18"/>
                <w:lang w:val="en-GB"/>
              </w:rPr>
              <w:br/>
            </w:r>
            <w:r w:rsidRPr="00EE258D">
              <w:rPr>
                <w:rFonts w:cs="Calibri"/>
                <w:b/>
                <w:bCs/>
                <w:sz w:val="18"/>
                <w:szCs w:val="18"/>
                <w:lang w:val="en-GB"/>
              </w:rPr>
              <w:t>21.4</w:t>
            </w:r>
            <w:r w:rsidRPr="00EE258D">
              <w:rPr>
                <w:rFonts w:cs="Calibri"/>
                <w:sz w:val="18"/>
                <w:szCs w:val="18"/>
                <w:lang w:val="en-GB"/>
              </w:rPr>
              <w:t xml:space="preserve"> and </w:t>
            </w:r>
            <w:r w:rsidRPr="00EE258D">
              <w:rPr>
                <w:rFonts w:cs="Calibri"/>
                <w:b/>
                <w:bCs/>
                <w:sz w:val="18"/>
                <w:szCs w:val="18"/>
                <w:lang w:val="en-GB"/>
              </w:rPr>
              <w:t>21.5</w:t>
            </w:r>
          </w:p>
        </w:tc>
      </w:tr>
      <w:tr w:rsidR="00762B25" w:rsidRPr="00F1785D" w14:paraId="45FE2A41" w14:textId="77777777" w:rsidTr="000E41F7">
        <w:trPr>
          <w:cantSplit/>
          <w:trHeight w:val="20"/>
          <w:jc w:val="center"/>
        </w:trPr>
        <w:tc>
          <w:tcPr>
            <w:tcW w:w="4360" w:type="dxa"/>
            <w:tcBorders>
              <w:top w:val="single" w:sz="4" w:space="0" w:color="auto"/>
              <w:left w:val="single" w:sz="6" w:space="0" w:color="auto"/>
              <w:bottom w:val="single" w:sz="4" w:space="0" w:color="auto"/>
              <w:right w:val="single" w:sz="6" w:space="0" w:color="auto"/>
            </w:tcBorders>
            <w:hideMark/>
          </w:tcPr>
          <w:p w14:paraId="6167B160" w14:textId="77777777" w:rsidR="00762B25" w:rsidRPr="00EE258D" w:rsidRDefault="00762B25" w:rsidP="00762B25">
            <w:pPr>
              <w:spacing w:after="0"/>
              <w:jc w:val="left"/>
              <w:rPr>
                <w:rFonts w:cs="Calibri"/>
                <w:sz w:val="18"/>
                <w:szCs w:val="18"/>
              </w:rPr>
            </w:pPr>
            <w:r w:rsidRPr="00EE258D">
              <w:rPr>
                <w:rFonts w:cs="Calibri"/>
                <w:sz w:val="18"/>
                <w:szCs w:val="18"/>
              </w:rPr>
              <w:lastRenderedPageBreak/>
              <w:t>10.7-11.7 GHz 5 (Region 1)</w:t>
            </w:r>
            <w:r w:rsidRPr="00EE258D">
              <w:rPr>
                <w:rFonts w:cs="Calibri"/>
                <w:sz w:val="18"/>
                <w:szCs w:val="18"/>
              </w:rPr>
              <w:br/>
              <w:t>12.5-12.75 GHz 5 (Nos. </w:t>
            </w:r>
            <w:r w:rsidRPr="00EE258D">
              <w:rPr>
                <w:rFonts w:cs="Calibri"/>
                <w:b/>
                <w:bCs/>
                <w:sz w:val="18"/>
                <w:szCs w:val="18"/>
              </w:rPr>
              <w:t>5.494</w:t>
            </w:r>
            <w:r w:rsidRPr="00EE258D">
              <w:rPr>
                <w:rFonts w:cs="Calibri"/>
                <w:sz w:val="18"/>
                <w:szCs w:val="18"/>
              </w:rPr>
              <w:t xml:space="preserve"> and </w:t>
            </w:r>
            <w:r w:rsidRPr="00EE258D">
              <w:rPr>
                <w:rFonts w:cs="Calibri"/>
                <w:b/>
                <w:bCs/>
                <w:sz w:val="18"/>
                <w:szCs w:val="18"/>
              </w:rPr>
              <w:t>5.496</w:t>
            </w:r>
            <w:r w:rsidRPr="00EE258D">
              <w:rPr>
                <w:rFonts w:cs="Calibri"/>
                <w:sz w:val="18"/>
                <w:szCs w:val="18"/>
              </w:rPr>
              <w:t>)</w:t>
            </w:r>
            <w:r w:rsidRPr="00EE258D">
              <w:rPr>
                <w:rFonts w:cs="Calibri"/>
                <w:sz w:val="18"/>
                <w:szCs w:val="18"/>
              </w:rPr>
              <w:br/>
              <w:t>12.7-12.75 GHz 5 (Region 2)</w:t>
            </w:r>
            <w:r w:rsidRPr="00EE258D">
              <w:rPr>
                <w:rFonts w:cs="Calibri"/>
                <w:sz w:val="18"/>
                <w:szCs w:val="18"/>
              </w:rPr>
              <w:br/>
              <w:t>12.75-13.25 GHz</w:t>
            </w:r>
            <w:r w:rsidRPr="00EE258D">
              <w:rPr>
                <w:rFonts w:cs="Calibri"/>
                <w:sz w:val="18"/>
                <w:szCs w:val="18"/>
              </w:rPr>
              <w:br/>
              <w:t>13.75-14 GHz (Nos. </w:t>
            </w:r>
            <w:r w:rsidRPr="00EE258D">
              <w:rPr>
                <w:rFonts w:cs="Calibri"/>
                <w:b/>
                <w:bCs/>
                <w:sz w:val="18"/>
                <w:szCs w:val="18"/>
              </w:rPr>
              <w:t>5.499</w:t>
            </w:r>
            <w:r w:rsidRPr="00EE258D">
              <w:rPr>
                <w:rFonts w:cs="Calibri"/>
                <w:sz w:val="18"/>
                <w:szCs w:val="18"/>
              </w:rPr>
              <w:t xml:space="preserve"> and </w:t>
            </w:r>
            <w:r w:rsidRPr="00EE258D">
              <w:rPr>
                <w:rFonts w:cs="Calibri"/>
                <w:b/>
                <w:bCs/>
                <w:sz w:val="18"/>
                <w:szCs w:val="18"/>
              </w:rPr>
              <w:t>5.500</w:t>
            </w:r>
            <w:r w:rsidRPr="00EE258D">
              <w:rPr>
                <w:rFonts w:cs="Calibri"/>
                <w:sz w:val="18"/>
                <w:szCs w:val="18"/>
              </w:rPr>
              <w:t>)</w:t>
            </w:r>
            <w:r w:rsidRPr="00EE258D">
              <w:rPr>
                <w:rFonts w:cs="Calibri"/>
                <w:sz w:val="18"/>
                <w:szCs w:val="18"/>
              </w:rPr>
              <w:br/>
              <w:t>14.0-14.25 GHz (No. </w:t>
            </w:r>
            <w:r w:rsidRPr="00EE258D">
              <w:rPr>
                <w:rFonts w:cs="Calibri"/>
                <w:b/>
                <w:bCs/>
                <w:sz w:val="18"/>
                <w:szCs w:val="18"/>
              </w:rPr>
              <w:t>5.505</w:t>
            </w:r>
            <w:r w:rsidRPr="00EE258D">
              <w:rPr>
                <w:rFonts w:cs="Calibri"/>
                <w:sz w:val="18"/>
                <w:szCs w:val="18"/>
              </w:rPr>
              <w:t>)</w:t>
            </w:r>
            <w:r w:rsidRPr="00EE258D">
              <w:rPr>
                <w:rFonts w:cs="Calibri"/>
                <w:sz w:val="18"/>
                <w:szCs w:val="18"/>
              </w:rPr>
              <w:br/>
              <w:t>14.25-14.3 GHz (Nos. </w:t>
            </w:r>
            <w:r w:rsidRPr="00EE258D">
              <w:rPr>
                <w:rFonts w:cs="Calibri"/>
                <w:b/>
                <w:bCs/>
                <w:sz w:val="18"/>
                <w:szCs w:val="18"/>
              </w:rPr>
              <w:t>5.505</w:t>
            </w:r>
            <w:r w:rsidRPr="00EE258D">
              <w:rPr>
                <w:rFonts w:cs="Calibri"/>
                <w:sz w:val="18"/>
                <w:szCs w:val="18"/>
              </w:rPr>
              <w:t xml:space="preserve"> and </w:t>
            </w:r>
            <w:r w:rsidRPr="00EE258D">
              <w:rPr>
                <w:rFonts w:cs="Calibri"/>
                <w:b/>
                <w:bCs/>
                <w:sz w:val="18"/>
                <w:szCs w:val="18"/>
              </w:rPr>
              <w:t>5.508</w:t>
            </w:r>
            <w:r w:rsidRPr="00EE258D">
              <w:rPr>
                <w:rFonts w:cs="Calibri"/>
                <w:sz w:val="18"/>
                <w:szCs w:val="18"/>
              </w:rPr>
              <w:t>)</w:t>
            </w:r>
            <w:r w:rsidRPr="00EE258D">
              <w:rPr>
                <w:rFonts w:cs="Calibri"/>
                <w:sz w:val="18"/>
                <w:szCs w:val="18"/>
              </w:rPr>
              <w:br/>
              <w:t>14.3-14.4 GHz 5 (Regions 1 and 3)</w:t>
            </w:r>
            <w:r w:rsidRPr="00EE258D">
              <w:rPr>
                <w:rFonts w:cs="Calibri"/>
                <w:sz w:val="18"/>
                <w:szCs w:val="18"/>
              </w:rPr>
              <w:br/>
              <w:t>14.4-14.5 GHz</w:t>
            </w:r>
            <w:r w:rsidRPr="00EE258D">
              <w:rPr>
                <w:rFonts w:cs="Calibri"/>
                <w:sz w:val="18"/>
                <w:szCs w:val="18"/>
              </w:rPr>
              <w:br/>
              <w:t>14.5-14.8 GHz</w:t>
            </w:r>
            <w:r w:rsidRPr="00EE258D">
              <w:rPr>
                <w:rFonts w:cs="Calibri"/>
                <w:sz w:val="18"/>
                <w:szCs w:val="18"/>
              </w:rPr>
              <w:br/>
              <w:t>51.4-52.4 GHz</w:t>
            </w:r>
          </w:p>
        </w:tc>
        <w:tc>
          <w:tcPr>
            <w:tcW w:w="2905" w:type="dxa"/>
            <w:tcBorders>
              <w:top w:val="single" w:sz="4" w:space="0" w:color="auto"/>
              <w:left w:val="single" w:sz="6" w:space="0" w:color="auto"/>
              <w:bottom w:val="single" w:sz="4" w:space="0" w:color="auto"/>
              <w:right w:val="single" w:sz="6" w:space="0" w:color="auto"/>
            </w:tcBorders>
            <w:hideMark/>
          </w:tcPr>
          <w:p w14:paraId="620C98FF" w14:textId="77777777" w:rsidR="00762B25" w:rsidRPr="00EE258D" w:rsidRDefault="00762B25" w:rsidP="00762B25">
            <w:pPr>
              <w:spacing w:after="0"/>
              <w:jc w:val="left"/>
              <w:rPr>
                <w:rFonts w:cs="Calibri"/>
                <w:sz w:val="18"/>
                <w:szCs w:val="18"/>
              </w:rPr>
            </w:pPr>
            <w:r w:rsidRPr="00EE258D">
              <w:rPr>
                <w:rFonts w:cs="Calibri"/>
                <w:sz w:val="18"/>
                <w:szCs w:val="18"/>
              </w:rPr>
              <w:t>Fixed-satellite</w:t>
            </w:r>
          </w:p>
        </w:tc>
        <w:tc>
          <w:tcPr>
            <w:tcW w:w="2035" w:type="dxa"/>
            <w:tcBorders>
              <w:top w:val="single" w:sz="4" w:space="0" w:color="auto"/>
              <w:left w:val="single" w:sz="6" w:space="0" w:color="auto"/>
              <w:bottom w:val="single" w:sz="4" w:space="0" w:color="auto"/>
              <w:right w:val="single" w:sz="6" w:space="0" w:color="auto"/>
            </w:tcBorders>
            <w:hideMark/>
          </w:tcPr>
          <w:p w14:paraId="185668C6" w14:textId="77777777" w:rsidR="00762B25" w:rsidRPr="00EE258D" w:rsidRDefault="00762B25" w:rsidP="00762B25">
            <w:pPr>
              <w:spacing w:after="0"/>
              <w:jc w:val="left"/>
              <w:rPr>
                <w:rFonts w:cs="Calibri"/>
                <w:b/>
                <w:bCs/>
                <w:sz w:val="18"/>
                <w:szCs w:val="18"/>
              </w:rPr>
            </w:pPr>
            <w:r w:rsidRPr="00EE258D">
              <w:rPr>
                <w:rFonts w:cs="Calibri"/>
                <w:b/>
                <w:bCs/>
                <w:sz w:val="18"/>
                <w:szCs w:val="18"/>
              </w:rPr>
              <w:t>21.2</w:t>
            </w:r>
            <w:r w:rsidRPr="00EE258D">
              <w:rPr>
                <w:rFonts w:cs="Calibri"/>
                <w:bCs/>
                <w:sz w:val="18"/>
                <w:szCs w:val="18"/>
              </w:rPr>
              <w:t>,</w:t>
            </w:r>
            <w:r w:rsidRPr="00EE258D">
              <w:rPr>
                <w:rFonts w:cs="Calibri"/>
                <w:b/>
                <w:bCs/>
                <w:sz w:val="18"/>
                <w:szCs w:val="18"/>
              </w:rPr>
              <w:t xml:space="preserve"> 21.3 </w:t>
            </w:r>
            <w:r w:rsidRPr="00EE258D">
              <w:rPr>
                <w:rFonts w:cs="Calibri"/>
                <w:sz w:val="18"/>
                <w:szCs w:val="18"/>
              </w:rPr>
              <w:t>and</w:t>
            </w:r>
            <w:r w:rsidRPr="00EE258D">
              <w:rPr>
                <w:rFonts w:cs="Calibri"/>
                <w:b/>
                <w:bCs/>
                <w:sz w:val="18"/>
                <w:szCs w:val="18"/>
              </w:rPr>
              <w:t xml:space="preserve"> 21.5</w:t>
            </w:r>
          </w:p>
        </w:tc>
      </w:tr>
      <w:tr w:rsidR="00762B25" w:rsidRPr="00F1785D" w14:paraId="638D4AA0" w14:textId="77777777" w:rsidTr="000E41F7">
        <w:trPr>
          <w:cantSplit/>
          <w:trHeight w:val="20"/>
          <w:jc w:val="center"/>
        </w:trPr>
        <w:tc>
          <w:tcPr>
            <w:tcW w:w="4360" w:type="dxa"/>
            <w:tcBorders>
              <w:top w:val="single" w:sz="4" w:space="0" w:color="auto"/>
              <w:left w:val="single" w:sz="6" w:space="0" w:color="auto"/>
              <w:bottom w:val="single" w:sz="4" w:space="0" w:color="auto"/>
              <w:right w:val="single" w:sz="6" w:space="0" w:color="auto"/>
            </w:tcBorders>
            <w:hideMark/>
          </w:tcPr>
          <w:p w14:paraId="42A7CD8A" w14:textId="77777777" w:rsidR="00762B25" w:rsidRPr="00EE258D" w:rsidRDefault="00762B25" w:rsidP="00762B25">
            <w:pPr>
              <w:spacing w:after="0"/>
              <w:jc w:val="left"/>
              <w:rPr>
                <w:rFonts w:cs="Calibri"/>
                <w:sz w:val="18"/>
                <w:szCs w:val="18"/>
                <w:lang w:val="de-CH"/>
              </w:rPr>
            </w:pPr>
            <w:r w:rsidRPr="00EE258D">
              <w:rPr>
                <w:rFonts w:cs="Calibri"/>
                <w:sz w:val="18"/>
                <w:szCs w:val="18"/>
                <w:lang w:val="de-CH"/>
              </w:rPr>
              <w:t>17.7-18.4 GHz</w:t>
            </w:r>
            <w:r w:rsidRPr="00EE258D">
              <w:rPr>
                <w:rFonts w:cs="Calibri"/>
                <w:sz w:val="18"/>
                <w:szCs w:val="18"/>
                <w:lang w:val="de-CH"/>
              </w:rPr>
              <w:br/>
              <w:t>18.6-18.8 GHz</w:t>
            </w:r>
            <w:r w:rsidRPr="00EE258D">
              <w:rPr>
                <w:rFonts w:cs="Calibri"/>
                <w:sz w:val="18"/>
                <w:szCs w:val="18"/>
                <w:lang w:val="de-CH"/>
              </w:rPr>
              <w:br/>
              <w:t>19.3-19.7 GHz</w:t>
            </w:r>
            <w:r w:rsidRPr="00EE258D">
              <w:rPr>
                <w:rFonts w:cs="Calibri"/>
                <w:sz w:val="18"/>
                <w:szCs w:val="18"/>
                <w:lang w:val="de-CH"/>
              </w:rPr>
              <w:br/>
              <w:t>22.55-23.55 GHz</w:t>
            </w:r>
            <w:r w:rsidRPr="00EE258D">
              <w:rPr>
                <w:rFonts w:cs="Calibri"/>
                <w:sz w:val="18"/>
                <w:szCs w:val="18"/>
                <w:lang w:val="de-CH"/>
              </w:rPr>
              <w:br/>
              <w:t>24.45-24.75 GHz (Regions 1 and 3)</w:t>
            </w:r>
            <w:r w:rsidRPr="00EE258D">
              <w:rPr>
                <w:rFonts w:cs="Calibri"/>
                <w:sz w:val="18"/>
                <w:szCs w:val="18"/>
                <w:lang w:val="de-CH"/>
              </w:rPr>
              <w:br/>
              <w:t>24.75-25.25 GHz (Region 3)</w:t>
            </w:r>
            <w:r w:rsidRPr="00EE258D">
              <w:rPr>
                <w:rFonts w:cs="Calibri"/>
                <w:sz w:val="18"/>
                <w:szCs w:val="18"/>
                <w:lang w:val="de-CH"/>
              </w:rPr>
              <w:br/>
              <w:t>25.25-29.5 GHz</w:t>
            </w:r>
          </w:p>
        </w:tc>
        <w:tc>
          <w:tcPr>
            <w:tcW w:w="2905" w:type="dxa"/>
            <w:tcBorders>
              <w:top w:val="single" w:sz="4" w:space="0" w:color="auto"/>
              <w:left w:val="single" w:sz="6" w:space="0" w:color="auto"/>
              <w:bottom w:val="single" w:sz="4" w:space="0" w:color="auto"/>
              <w:right w:val="single" w:sz="6" w:space="0" w:color="auto"/>
            </w:tcBorders>
            <w:hideMark/>
          </w:tcPr>
          <w:p w14:paraId="3A84FD60" w14:textId="77777777" w:rsidR="00762B25" w:rsidRPr="00EE258D" w:rsidRDefault="00762B25" w:rsidP="00762B25">
            <w:pPr>
              <w:spacing w:after="0"/>
              <w:jc w:val="left"/>
              <w:rPr>
                <w:rFonts w:cs="Calibri"/>
                <w:sz w:val="18"/>
                <w:szCs w:val="18"/>
                <w:lang w:val="en-GB"/>
              </w:rPr>
            </w:pPr>
            <w:r w:rsidRPr="00EE258D">
              <w:rPr>
                <w:rFonts w:cs="Calibri"/>
                <w:sz w:val="18"/>
                <w:szCs w:val="18"/>
                <w:lang w:val="en-GB"/>
              </w:rPr>
              <w:t>Fixed-satellite</w:t>
            </w:r>
            <w:r w:rsidRPr="00EE258D">
              <w:rPr>
                <w:rFonts w:cs="Calibri"/>
                <w:sz w:val="18"/>
                <w:szCs w:val="18"/>
                <w:lang w:val="en-GB"/>
              </w:rPr>
              <w:br/>
              <w:t>Earth exploration-satellite</w:t>
            </w:r>
            <w:r w:rsidRPr="00EE258D">
              <w:rPr>
                <w:rFonts w:cs="Calibri"/>
                <w:sz w:val="18"/>
                <w:szCs w:val="18"/>
                <w:lang w:val="en-GB"/>
              </w:rPr>
              <w:br/>
              <w:t>Space research</w:t>
            </w:r>
            <w:r w:rsidRPr="00EE258D">
              <w:rPr>
                <w:rFonts w:cs="Calibri"/>
                <w:sz w:val="18"/>
                <w:szCs w:val="18"/>
                <w:lang w:val="en-GB"/>
              </w:rPr>
              <w:br/>
              <w:t>Inter-satellite</w:t>
            </w:r>
          </w:p>
        </w:tc>
        <w:tc>
          <w:tcPr>
            <w:tcW w:w="2035" w:type="dxa"/>
            <w:tcBorders>
              <w:top w:val="single" w:sz="4" w:space="0" w:color="auto"/>
              <w:left w:val="single" w:sz="6" w:space="0" w:color="auto"/>
              <w:bottom w:val="single" w:sz="4" w:space="0" w:color="auto"/>
              <w:right w:val="single" w:sz="6" w:space="0" w:color="auto"/>
            </w:tcBorders>
            <w:hideMark/>
          </w:tcPr>
          <w:p w14:paraId="1AF92857" w14:textId="77777777" w:rsidR="00762B25" w:rsidRPr="00EE258D" w:rsidRDefault="00762B25" w:rsidP="00762B25">
            <w:pPr>
              <w:spacing w:after="0"/>
              <w:jc w:val="left"/>
              <w:rPr>
                <w:rFonts w:cs="Calibri"/>
                <w:b/>
                <w:bCs/>
                <w:sz w:val="18"/>
                <w:szCs w:val="18"/>
                <w:lang w:val="en-GB"/>
              </w:rPr>
            </w:pPr>
            <w:r w:rsidRPr="00EE258D">
              <w:rPr>
                <w:rFonts w:cs="Calibri"/>
                <w:b/>
                <w:bCs/>
                <w:sz w:val="18"/>
                <w:szCs w:val="18"/>
                <w:lang w:val="en-GB"/>
              </w:rPr>
              <w:t xml:space="preserve">21.2, 21.3, 21.5 </w:t>
            </w:r>
            <w:r w:rsidRPr="00EE258D">
              <w:rPr>
                <w:rFonts w:cs="Calibri"/>
                <w:b/>
                <w:bCs/>
                <w:sz w:val="18"/>
                <w:szCs w:val="18"/>
                <w:lang w:val="en-GB"/>
              </w:rPr>
              <w:br/>
            </w:r>
            <w:r w:rsidRPr="00EE258D">
              <w:rPr>
                <w:rFonts w:cs="Calibri"/>
                <w:sz w:val="18"/>
                <w:szCs w:val="18"/>
                <w:lang w:val="en-GB"/>
              </w:rPr>
              <w:t>and</w:t>
            </w:r>
            <w:r w:rsidRPr="00EE258D">
              <w:rPr>
                <w:rFonts w:cs="Calibri"/>
                <w:b/>
                <w:bCs/>
                <w:sz w:val="18"/>
                <w:szCs w:val="18"/>
                <w:lang w:val="en-GB"/>
              </w:rPr>
              <w:t xml:space="preserve"> 21.5A</w:t>
            </w:r>
          </w:p>
        </w:tc>
      </w:tr>
    </w:tbl>
    <w:p w14:paraId="3E74BEBB" w14:textId="77777777" w:rsidR="00762B25" w:rsidRDefault="00762B25" w:rsidP="00762B25">
      <w:pPr>
        <w:rPr>
          <w:lang w:eastAsia="zh-CN"/>
        </w:rPr>
      </w:pPr>
      <w:r>
        <w:rPr>
          <w:lang w:eastAsia="zh-CN"/>
        </w:rPr>
        <w:br w:type="page"/>
      </w:r>
    </w:p>
    <w:p w14:paraId="1FC5E746" w14:textId="77777777" w:rsidR="00762B25" w:rsidRDefault="00762B25" w:rsidP="00762B25">
      <w:pPr>
        <w:spacing w:after="160" w:line="259" w:lineRule="auto"/>
        <w:outlineLvl w:val="2"/>
        <w:rPr>
          <w:b/>
          <w:lang w:eastAsia="zh-CN"/>
        </w:rPr>
      </w:pPr>
      <w:r w:rsidRPr="00762B25">
        <w:rPr>
          <w:b/>
          <w:lang w:eastAsia="zh-CN"/>
        </w:rPr>
        <w:lastRenderedPageBreak/>
        <w:t>1.2.2</w:t>
      </w:r>
      <w:r w:rsidR="002E177A">
        <w:rPr>
          <w:b/>
          <w:lang w:eastAsia="zh-CN"/>
        </w:rPr>
        <w:t xml:space="preserve"> </w:t>
      </w:r>
      <w:r w:rsidRPr="00762B25">
        <w:rPr>
          <w:b/>
          <w:lang w:eastAsia="zh-CN"/>
        </w:rPr>
        <w:tab/>
        <w:t>Table 1 in Appendix 4</w:t>
      </w:r>
    </w:p>
    <w:p w14:paraId="06462C05" w14:textId="77777777" w:rsidR="00762B25" w:rsidRPr="00762B25" w:rsidRDefault="00762B25" w:rsidP="00762B25">
      <w:pPr>
        <w:rPr>
          <w:lang w:eastAsia="zh-CN"/>
        </w:rPr>
      </w:pPr>
    </w:p>
    <w:p w14:paraId="4D136926" w14:textId="77777777" w:rsidR="00762B25" w:rsidRPr="00E535F0" w:rsidRDefault="00762B25" w:rsidP="00762B25">
      <w:pPr>
        <w:jc w:val="center"/>
        <w:rPr>
          <w:rFonts w:eastAsia="DengXian"/>
          <w:lang w:val="en-GB" w:eastAsia="zh-CN"/>
        </w:rPr>
      </w:pPr>
      <w:r w:rsidRPr="00E535F0">
        <w:rPr>
          <w:rFonts w:eastAsia="DengXian"/>
          <w:lang w:val="en-GB" w:eastAsia="zh-CN"/>
        </w:rPr>
        <w:t>TABLE 1     (Rev.WRC</w:t>
      </w:r>
      <w:r w:rsidRPr="00E535F0">
        <w:rPr>
          <w:rFonts w:eastAsia="DengXian"/>
          <w:lang w:val="en-GB" w:eastAsia="zh-CN"/>
        </w:rPr>
        <w:noBreakHyphen/>
        <w:t>15)</w:t>
      </w:r>
    </w:p>
    <w:p w14:paraId="7CB5AC85" w14:textId="77777777" w:rsidR="00762B25" w:rsidRPr="008D6E1A" w:rsidRDefault="00762B25" w:rsidP="00762B25">
      <w:pPr>
        <w:jc w:val="center"/>
        <w:rPr>
          <w:rFonts w:ascii="Times New Roman Bold" w:eastAsia="SimSun" w:hAnsi="Times New Roman Bold"/>
          <w:b/>
          <w:sz w:val="20"/>
          <w:szCs w:val="20"/>
          <w:lang w:val="en-GB"/>
        </w:rPr>
      </w:pPr>
      <w:r w:rsidRPr="00E535F0">
        <w:rPr>
          <w:rFonts w:eastAsia="DengXian"/>
          <w:b/>
          <w:lang w:val="en-GB" w:eastAsia="zh-CN"/>
        </w:rPr>
        <w:t>Characteristics for terrestrial services</w:t>
      </w:r>
    </w:p>
    <w:tbl>
      <w:tblPr>
        <w:tblW w:w="9094" w:type="dxa"/>
        <w:tblLayout w:type="fixed"/>
        <w:tblCellMar>
          <w:left w:w="0" w:type="dxa"/>
          <w:right w:w="0" w:type="dxa"/>
        </w:tblCellMar>
        <w:tblLook w:val="04A0" w:firstRow="1" w:lastRow="0" w:firstColumn="1" w:lastColumn="0" w:noHBand="0" w:noVBand="1"/>
      </w:tblPr>
      <w:tblGrid>
        <w:gridCol w:w="1009"/>
        <w:gridCol w:w="752"/>
        <w:gridCol w:w="7333"/>
      </w:tblGrid>
      <w:tr w:rsidR="00762B25" w:rsidRPr="00762B25" w14:paraId="29C39A1C" w14:textId="77777777" w:rsidTr="00762B25">
        <w:trPr>
          <w:trHeight w:hRule="exact" w:val="3664"/>
        </w:trPr>
        <w:tc>
          <w:tcPr>
            <w:tcW w:w="1009" w:type="dxa"/>
            <w:tcBorders>
              <w:top w:val="single" w:sz="12" w:space="0" w:color="000000"/>
              <w:left w:val="single" w:sz="12" w:space="0" w:color="000000"/>
              <w:bottom w:val="single" w:sz="12" w:space="0" w:color="000000"/>
              <w:right w:val="single" w:sz="8" w:space="0" w:color="000000"/>
            </w:tcBorders>
            <w:textDirection w:val="btLr"/>
            <w:vAlign w:val="center"/>
          </w:tcPr>
          <w:p w14:paraId="60A862B9" w14:textId="77777777" w:rsidR="00762B25" w:rsidRPr="00762B25" w:rsidRDefault="00762B25" w:rsidP="000E41F7">
            <w:pPr>
              <w:spacing w:before="30" w:after="30"/>
              <w:jc w:val="center"/>
              <w:rPr>
                <w:rFonts w:eastAsiaTheme="minorHAnsi"/>
                <w:b/>
                <w:color w:val="000000"/>
                <w:sz w:val="18"/>
                <w:szCs w:val="18"/>
              </w:rPr>
            </w:pPr>
            <w:r w:rsidRPr="00762B25">
              <w:rPr>
                <w:rFonts w:eastAsiaTheme="minorHAnsi"/>
                <w:b/>
                <w:color w:val="000000"/>
                <w:sz w:val="18"/>
                <w:szCs w:val="18"/>
              </w:rPr>
              <w:t>Column No.</w:t>
            </w:r>
          </w:p>
        </w:tc>
        <w:tc>
          <w:tcPr>
            <w:tcW w:w="752" w:type="dxa"/>
            <w:tcBorders>
              <w:top w:val="single" w:sz="12" w:space="0" w:color="000000"/>
              <w:left w:val="single" w:sz="8" w:space="0" w:color="000000"/>
              <w:bottom w:val="single" w:sz="12" w:space="0" w:color="000000"/>
              <w:right w:val="double" w:sz="4" w:space="0" w:color="auto"/>
            </w:tcBorders>
            <w:textDirection w:val="btLr"/>
            <w:vAlign w:val="center"/>
          </w:tcPr>
          <w:p w14:paraId="36E04F84" w14:textId="77777777" w:rsidR="00762B25" w:rsidRPr="00762B25" w:rsidRDefault="00762B25" w:rsidP="000E41F7">
            <w:pPr>
              <w:spacing w:before="30" w:after="30"/>
              <w:jc w:val="center"/>
              <w:rPr>
                <w:rFonts w:eastAsiaTheme="minorHAnsi"/>
                <w:b/>
                <w:color w:val="000000"/>
                <w:sz w:val="18"/>
                <w:szCs w:val="18"/>
              </w:rPr>
            </w:pPr>
            <w:r w:rsidRPr="00762B25">
              <w:rPr>
                <w:rFonts w:eastAsiaTheme="minorHAnsi"/>
                <w:b/>
                <w:color w:val="000000"/>
                <w:sz w:val="18"/>
                <w:szCs w:val="18"/>
              </w:rPr>
              <w:t>Item identifier</w:t>
            </w:r>
          </w:p>
        </w:tc>
        <w:tc>
          <w:tcPr>
            <w:tcW w:w="7333" w:type="dxa"/>
            <w:tcBorders>
              <w:top w:val="single" w:sz="12" w:space="0" w:color="000000"/>
              <w:left w:val="double" w:sz="4" w:space="0" w:color="auto"/>
              <w:bottom w:val="single" w:sz="12" w:space="0" w:color="000000"/>
              <w:right w:val="double" w:sz="4" w:space="0" w:color="auto"/>
              <w:tl2br w:val="single" w:sz="4" w:space="0" w:color="auto"/>
            </w:tcBorders>
          </w:tcPr>
          <w:p w14:paraId="56573B8A" w14:textId="77777777" w:rsidR="00762B25" w:rsidRPr="00762B25" w:rsidRDefault="00762B25" w:rsidP="000E41F7">
            <w:pPr>
              <w:spacing w:before="1200" w:after="30" w:line="208" w:lineRule="auto"/>
              <w:ind w:right="1134"/>
              <w:jc w:val="right"/>
              <w:rPr>
                <w:rFonts w:eastAsiaTheme="minorHAnsi"/>
                <w:b/>
                <w:color w:val="000000"/>
                <w:sz w:val="18"/>
                <w:szCs w:val="18"/>
              </w:rPr>
            </w:pPr>
            <w:r w:rsidRPr="00762B25">
              <w:rPr>
                <w:rFonts w:eastAsiaTheme="minorHAnsi"/>
                <w:b/>
                <w:color w:val="000000"/>
                <w:sz w:val="18"/>
                <w:szCs w:val="18"/>
              </w:rPr>
              <w:t>Notice related to</w:t>
            </w:r>
          </w:p>
          <w:p w14:paraId="6B940D00" w14:textId="77777777" w:rsidR="00762B25" w:rsidRPr="00762B25" w:rsidRDefault="00762B25" w:rsidP="000E41F7">
            <w:pPr>
              <w:spacing w:before="1680" w:after="30"/>
              <w:ind w:right="1984"/>
              <w:jc w:val="center"/>
              <w:rPr>
                <w:rFonts w:eastAsiaTheme="minorHAnsi"/>
                <w:b/>
                <w:color w:val="000000"/>
                <w:sz w:val="18"/>
                <w:szCs w:val="18"/>
              </w:rPr>
            </w:pPr>
            <w:r w:rsidRPr="00762B25">
              <w:rPr>
                <w:rFonts w:eastAsiaTheme="minorHAnsi"/>
                <w:b/>
                <w:color w:val="000000"/>
                <w:sz w:val="18"/>
                <w:szCs w:val="18"/>
              </w:rPr>
              <w:t>Description of data items and requirements</w:t>
            </w:r>
          </w:p>
        </w:tc>
      </w:tr>
      <w:tr w:rsidR="00762B25" w:rsidRPr="00762B25" w14:paraId="30B823DF" w14:textId="77777777" w:rsidTr="000E41F7">
        <w:tc>
          <w:tcPr>
            <w:tcW w:w="1009" w:type="dxa"/>
            <w:tcBorders>
              <w:top w:val="single" w:sz="2" w:space="0" w:color="000000"/>
              <w:left w:val="single" w:sz="12" w:space="0" w:color="000000"/>
              <w:bottom w:val="single" w:sz="2" w:space="0" w:color="000000"/>
              <w:right w:val="single" w:sz="8" w:space="0" w:color="000000"/>
            </w:tcBorders>
          </w:tcPr>
          <w:p w14:paraId="4FFBE73B" w14:textId="77777777" w:rsidR="00762B25" w:rsidRPr="00762B25" w:rsidRDefault="00762B25" w:rsidP="000E41F7">
            <w:pPr>
              <w:spacing w:before="30" w:after="30"/>
              <w:ind w:left="62"/>
              <w:rPr>
                <w:rFonts w:eastAsiaTheme="minorHAnsi"/>
                <w:b/>
                <w:color w:val="000000"/>
                <w:sz w:val="18"/>
                <w:szCs w:val="18"/>
              </w:rPr>
            </w:pPr>
            <w:r w:rsidRPr="00762B25">
              <w:rPr>
                <w:rFonts w:eastAsiaTheme="minorHAnsi"/>
                <w:b/>
                <w:color w:val="000000"/>
                <w:sz w:val="18"/>
                <w:szCs w:val="18"/>
              </w:rPr>
              <w:t>8.3</w:t>
            </w:r>
          </w:p>
        </w:tc>
        <w:tc>
          <w:tcPr>
            <w:tcW w:w="752" w:type="dxa"/>
            <w:tcBorders>
              <w:top w:val="single" w:sz="2" w:space="0" w:color="000000"/>
              <w:left w:val="single" w:sz="8" w:space="0" w:color="000000"/>
              <w:bottom w:val="single" w:sz="2" w:space="0" w:color="000000"/>
              <w:right w:val="double" w:sz="4" w:space="0" w:color="auto"/>
            </w:tcBorders>
          </w:tcPr>
          <w:p w14:paraId="0DE2B215" w14:textId="77777777" w:rsidR="00762B25" w:rsidRPr="00762B25" w:rsidRDefault="00762B25" w:rsidP="000E41F7">
            <w:pPr>
              <w:spacing w:before="30" w:after="30"/>
              <w:ind w:left="38"/>
              <w:rPr>
                <w:rFonts w:eastAsiaTheme="minorHAnsi"/>
                <w:b/>
                <w:color w:val="000000"/>
                <w:sz w:val="18"/>
                <w:szCs w:val="18"/>
              </w:rPr>
            </w:pPr>
            <w:r w:rsidRPr="00762B25">
              <w:rPr>
                <w:rFonts w:eastAsiaTheme="minorHAnsi"/>
                <w:b/>
                <w:color w:val="000000"/>
                <w:sz w:val="18"/>
                <w:szCs w:val="18"/>
              </w:rPr>
              <w:t>8AA</w:t>
            </w:r>
          </w:p>
        </w:tc>
        <w:tc>
          <w:tcPr>
            <w:tcW w:w="7333" w:type="dxa"/>
            <w:tcBorders>
              <w:top w:val="single" w:sz="2" w:space="0" w:color="000000"/>
              <w:left w:val="double" w:sz="4" w:space="0" w:color="auto"/>
              <w:bottom w:val="single" w:sz="2" w:space="0" w:color="000000"/>
              <w:right w:val="double" w:sz="4" w:space="0" w:color="auto"/>
            </w:tcBorders>
          </w:tcPr>
          <w:p w14:paraId="4CD67578" w14:textId="77777777" w:rsidR="00762B25" w:rsidRPr="00762B25" w:rsidRDefault="00762B25" w:rsidP="000E41F7">
            <w:pPr>
              <w:spacing w:before="30" w:after="30"/>
              <w:ind w:left="170" w:right="57"/>
              <w:rPr>
                <w:rFonts w:eastAsiaTheme="minorHAnsi"/>
                <w:color w:val="000000"/>
                <w:sz w:val="18"/>
                <w:szCs w:val="18"/>
              </w:rPr>
            </w:pPr>
            <w:r w:rsidRPr="00762B25">
              <w:rPr>
                <w:rFonts w:eastAsiaTheme="minorHAnsi"/>
                <w:color w:val="000000"/>
                <w:sz w:val="18"/>
                <w:szCs w:val="18"/>
              </w:rPr>
              <w:t>the power delivered to the antenna, in </w:t>
            </w:r>
            <w:proofErr w:type="spellStart"/>
            <w:r w:rsidRPr="00762B25">
              <w:rPr>
                <w:rFonts w:eastAsiaTheme="minorHAnsi"/>
                <w:color w:val="000000"/>
                <w:sz w:val="18"/>
                <w:szCs w:val="18"/>
              </w:rPr>
              <w:t>dBW</w:t>
            </w:r>
            <w:proofErr w:type="spellEnd"/>
          </w:p>
          <w:p w14:paraId="5A654C04" w14:textId="77777777" w:rsidR="00762B25" w:rsidRPr="00762B25" w:rsidRDefault="00762B25" w:rsidP="000E41F7">
            <w:pPr>
              <w:spacing w:before="30" w:after="30"/>
              <w:ind w:left="340" w:right="57"/>
              <w:rPr>
                <w:rFonts w:eastAsiaTheme="minorHAnsi"/>
                <w:color w:val="000000"/>
                <w:sz w:val="18"/>
                <w:szCs w:val="18"/>
              </w:rPr>
            </w:pPr>
            <w:r w:rsidRPr="00762B25">
              <w:rPr>
                <w:rFonts w:eastAsiaTheme="minorHAnsi"/>
                <w:color w:val="000000"/>
                <w:sz w:val="18"/>
                <w:szCs w:val="18"/>
              </w:rPr>
              <w:t>In the case of a transmitting station, required for an assignment:</w:t>
            </w:r>
          </w:p>
          <w:p w14:paraId="7B2223F8" w14:textId="77777777" w:rsidR="00762B25" w:rsidRPr="00762B25" w:rsidRDefault="00762B25" w:rsidP="000E41F7">
            <w:pPr>
              <w:spacing w:before="30" w:after="30"/>
              <w:ind w:left="340" w:right="57"/>
              <w:rPr>
                <w:rFonts w:eastAsiaTheme="minorHAnsi"/>
                <w:color w:val="000000"/>
                <w:sz w:val="18"/>
                <w:szCs w:val="18"/>
              </w:rPr>
            </w:pPr>
            <w:r w:rsidRPr="00762B25">
              <w:rPr>
                <w:rFonts w:eastAsiaTheme="minorHAnsi"/>
                <w:color w:val="000000"/>
                <w:sz w:val="18"/>
                <w:szCs w:val="18"/>
              </w:rPr>
              <w:t>– in the bands below 28 MHz, in all services except the radionavigation service; or – in the bands above 28 MHz shared with space services; or</w:t>
            </w:r>
          </w:p>
          <w:p w14:paraId="67CADE39" w14:textId="77777777" w:rsidR="00762B25" w:rsidRPr="00762B25" w:rsidRDefault="00762B25" w:rsidP="000E41F7">
            <w:pPr>
              <w:spacing w:before="30" w:after="30"/>
              <w:ind w:left="340" w:right="57"/>
              <w:rPr>
                <w:rFonts w:eastAsiaTheme="minorHAnsi"/>
                <w:color w:val="000000"/>
                <w:sz w:val="18"/>
                <w:szCs w:val="18"/>
              </w:rPr>
            </w:pPr>
            <w:r w:rsidRPr="00762B25">
              <w:rPr>
                <w:rFonts w:eastAsiaTheme="minorHAnsi"/>
                <w:color w:val="000000"/>
                <w:sz w:val="18"/>
                <w:szCs w:val="18"/>
              </w:rPr>
              <w:t>– in the bands above 28 MHz not shared with space services:</w:t>
            </w:r>
          </w:p>
          <w:p w14:paraId="6CBC17BB" w14:textId="77777777" w:rsidR="00762B25" w:rsidRPr="00762B25" w:rsidRDefault="00762B25" w:rsidP="000E41F7">
            <w:pPr>
              <w:tabs>
                <w:tab w:val="left" w:pos="760"/>
              </w:tabs>
              <w:spacing w:before="30" w:after="30"/>
              <w:ind w:left="510" w:right="57"/>
              <w:rPr>
                <w:rFonts w:eastAsiaTheme="minorHAnsi"/>
                <w:color w:val="000000"/>
                <w:sz w:val="18"/>
                <w:szCs w:val="18"/>
              </w:rPr>
            </w:pPr>
            <w:r w:rsidRPr="00762B25">
              <w:rPr>
                <w:rFonts w:eastAsiaTheme="minorHAnsi"/>
                <w:color w:val="000000"/>
                <w:sz w:val="18"/>
                <w:szCs w:val="18"/>
              </w:rPr>
              <w:t>•</w:t>
            </w:r>
            <w:r w:rsidRPr="00762B25">
              <w:rPr>
                <w:rFonts w:eastAsiaTheme="minorHAnsi"/>
                <w:color w:val="000000"/>
                <w:sz w:val="18"/>
                <w:szCs w:val="18"/>
              </w:rPr>
              <w:tab/>
              <w:t>in the aeronautical mobile service, meteorological aids service; or</w:t>
            </w:r>
          </w:p>
          <w:p w14:paraId="06E757C6" w14:textId="77777777" w:rsidR="00762B25" w:rsidRPr="00762B25" w:rsidRDefault="00762B25" w:rsidP="000E41F7">
            <w:pPr>
              <w:tabs>
                <w:tab w:val="left" w:pos="760"/>
              </w:tabs>
              <w:spacing w:before="30" w:after="30"/>
              <w:ind w:left="510" w:right="57"/>
              <w:rPr>
                <w:rFonts w:eastAsiaTheme="minorHAnsi"/>
                <w:color w:val="000000"/>
                <w:sz w:val="18"/>
                <w:szCs w:val="18"/>
              </w:rPr>
            </w:pPr>
            <w:r w:rsidRPr="00762B25">
              <w:rPr>
                <w:rFonts w:eastAsiaTheme="minorHAnsi"/>
                <w:color w:val="000000"/>
                <w:sz w:val="18"/>
                <w:szCs w:val="18"/>
              </w:rPr>
              <w:t>•</w:t>
            </w:r>
            <w:r w:rsidRPr="00762B25">
              <w:rPr>
                <w:rFonts w:eastAsiaTheme="minorHAnsi"/>
                <w:color w:val="000000"/>
                <w:sz w:val="18"/>
                <w:szCs w:val="18"/>
              </w:rPr>
              <w:tab/>
              <w:t>in all other services, if the radiated power is not supplied</w:t>
            </w:r>
          </w:p>
          <w:p w14:paraId="741EFDB3" w14:textId="77777777" w:rsidR="00762B25" w:rsidRPr="00762B25" w:rsidRDefault="00762B25" w:rsidP="000E41F7">
            <w:pPr>
              <w:spacing w:before="30" w:after="30"/>
              <w:ind w:left="340" w:right="57"/>
              <w:rPr>
                <w:rFonts w:eastAsiaTheme="minorHAnsi"/>
                <w:color w:val="000000"/>
                <w:sz w:val="18"/>
                <w:szCs w:val="18"/>
              </w:rPr>
            </w:pPr>
            <w:r w:rsidRPr="00762B25">
              <w:rPr>
                <w:rFonts w:eastAsiaTheme="minorHAnsi"/>
                <w:color w:val="000000"/>
                <w:sz w:val="18"/>
                <w:szCs w:val="18"/>
              </w:rPr>
              <w:t>In the case of a receiving land station, required if the associated transmitting station’s radiated power is not supplied</w:t>
            </w:r>
          </w:p>
          <w:p w14:paraId="63F7B3C3" w14:textId="77777777" w:rsidR="00762B25" w:rsidRPr="00762B25" w:rsidRDefault="00762B25" w:rsidP="000E41F7">
            <w:pPr>
              <w:spacing w:before="30" w:after="30"/>
              <w:ind w:left="340" w:right="57"/>
              <w:rPr>
                <w:rFonts w:eastAsiaTheme="minorHAnsi"/>
                <w:color w:val="000000"/>
                <w:sz w:val="18"/>
                <w:szCs w:val="18"/>
              </w:rPr>
            </w:pPr>
            <w:r w:rsidRPr="00762B25">
              <w:rPr>
                <w:rFonts w:eastAsiaTheme="minorHAnsi"/>
                <w:color w:val="000000"/>
                <w:sz w:val="18"/>
                <w:szCs w:val="18"/>
              </w:rPr>
              <w:t>In the case of a typical transmitting station, required if the radiated power is not supplied</w:t>
            </w:r>
          </w:p>
        </w:tc>
      </w:tr>
      <w:tr w:rsidR="00762B25" w:rsidRPr="00762B25" w14:paraId="5855CF5C" w14:textId="77777777" w:rsidTr="000E41F7">
        <w:tc>
          <w:tcPr>
            <w:tcW w:w="1009" w:type="dxa"/>
            <w:tcBorders>
              <w:top w:val="single" w:sz="2" w:space="0" w:color="000000"/>
              <w:left w:val="single" w:sz="12" w:space="0" w:color="000000"/>
              <w:bottom w:val="single" w:sz="2" w:space="0" w:color="000000"/>
              <w:right w:val="single" w:sz="8" w:space="0" w:color="000000"/>
            </w:tcBorders>
          </w:tcPr>
          <w:p w14:paraId="2344E84C" w14:textId="77777777" w:rsidR="00762B25" w:rsidRPr="00762B25" w:rsidRDefault="00762B25" w:rsidP="000E41F7">
            <w:pPr>
              <w:spacing w:before="30" w:after="30"/>
              <w:ind w:left="62"/>
              <w:rPr>
                <w:rFonts w:eastAsiaTheme="minorHAnsi"/>
                <w:b/>
                <w:color w:val="000000"/>
                <w:sz w:val="18"/>
                <w:szCs w:val="18"/>
              </w:rPr>
            </w:pPr>
            <w:r w:rsidRPr="00762B25">
              <w:rPr>
                <w:rFonts w:eastAsiaTheme="minorHAnsi"/>
                <w:b/>
                <w:color w:val="000000"/>
                <w:sz w:val="18"/>
                <w:szCs w:val="18"/>
              </w:rPr>
              <w:t>8.6</w:t>
            </w:r>
          </w:p>
        </w:tc>
        <w:tc>
          <w:tcPr>
            <w:tcW w:w="752" w:type="dxa"/>
            <w:tcBorders>
              <w:top w:val="single" w:sz="2" w:space="0" w:color="000000"/>
              <w:left w:val="single" w:sz="8" w:space="0" w:color="000000"/>
              <w:bottom w:val="single" w:sz="2" w:space="0" w:color="000000"/>
              <w:right w:val="double" w:sz="4" w:space="0" w:color="auto"/>
            </w:tcBorders>
          </w:tcPr>
          <w:p w14:paraId="25906DA0" w14:textId="77777777" w:rsidR="00762B25" w:rsidRPr="00762B25" w:rsidRDefault="00762B25" w:rsidP="000E41F7">
            <w:pPr>
              <w:spacing w:before="30" w:after="30"/>
              <w:ind w:left="38"/>
              <w:rPr>
                <w:rFonts w:eastAsiaTheme="minorHAnsi"/>
                <w:b/>
                <w:color w:val="000000"/>
                <w:sz w:val="18"/>
                <w:szCs w:val="18"/>
              </w:rPr>
            </w:pPr>
            <w:r w:rsidRPr="00762B25">
              <w:rPr>
                <w:rFonts w:eastAsiaTheme="minorHAnsi"/>
                <w:b/>
                <w:color w:val="000000"/>
                <w:sz w:val="18"/>
                <w:szCs w:val="18"/>
              </w:rPr>
              <w:t>8B</w:t>
            </w:r>
          </w:p>
        </w:tc>
        <w:tc>
          <w:tcPr>
            <w:tcW w:w="7333" w:type="dxa"/>
            <w:tcBorders>
              <w:top w:val="single" w:sz="2" w:space="0" w:color="000000"/>
              <w:left w:val="double" w:sz="4" w:space="0" w:color="auto"/>
              <w:bottom w:val="single" w:sz="2" w:space="0" w:color="000000"/>
              <w:right w:val="double" w:sz="4" w:space="0" w:color="auto"/>
            </w:tcBorders>
          </w:tcPr>
          <w:p w14:paraId="30CA4793" w14:textId="77777777" w:rsidR="00762B25" w:rsidRPr="00762B25" w:rsidRDefault="00762B25" w:rsidP="000E41F7">
            <w:pPr>
              <w:spacing w:before="30" w:after="30"/>
              <w:ind w:left="170" w:right="57"/>
              <w:rPr>
                <w:rFonts w:eastAsiaTheme="minorHAnsi"/>
                <w:color w:val="000000"/>
                <w:sz w:val="18"/>
                <w:szCs w:val="18"/>
              </w:rPr>
            </w:pPr>
            <w:r w:rsidRPr="00762B25">
              <w:rPr>
                <w:rFonts w:eastAsiaTheme="minorHAnsi"/>
                <w:color w:val="000000"/>
                <w:sz w:val="18"/>
                <w:szCs w:val="18"/>
              </w:rPr>
              <w:t>the radiated power, in </w:t>
            </w:r>
            <w:proofErr w:type="spellStart"/>
            <w:r w:rsidRPr="00762B25">
              <w:rPr>
                <w:rFonts w:eastAsiaTheme="minorHAnsi"/>
                <w:color w:val="000000"/>
                <w:sz w:val="18"/>
                <w:szCs w:val="18"/>
              </w:rPr>
              <w:t>dBW</w:t>
            </w:r>
            <w:proofErr w:type="spellEnd"/>
            <w:r w:rsidRPr="00762B25">
              <w:rPr>
                <w:rFonts w:eastAsiaTheme="minorHAnsi"/>
                <w:color w:val="000000"/>
                <w:sz w:val="18"/>
                <w:szCs w:val="18"/>
              </w:rPr>
              <w:t>, in one of the forms described in Nos. </w:t>
            </w:r>
            <w:r w:rsidRPr="00762B25">
              <w:rPr>
                <w:rFonts w:eastAsiaTheme="minorHAnsi"/>
                <w:b/>
                <w:color w:val="000000"/>
                <w:sz w:val="18"/>
                <w:szCs w:val="18"/>
              </w:rPr>
              <w:t>1.161</w:t>
            </w:r>
            <w:r w:rsidRPr="00762B25">
              <w:rPr>
                <w:rFonts w:eastAsiaTheme="minorHAnsi"/>
                <w:color w:val="000000"/>
                <w:sz w:val="18"/>
                <w:szCs w:val="18"/>
              </w:rPr>
              <w:t xml:space="preserve"> to</w:t>
            </w:r>
            <w:r w:rsidRPr="00762B25">
              <w:rPr>
                <w:rFonts w:eastAsiaTheme="minorHAnsi"/>
                <w:b/>
                <w:color w:val="000000"/>
                <w:sz w:val="18"/>
                <w:szCs w:val="18"/>
              </w:rPr>
              <w:t xml:space="preserve"> 1.163</w:t>
            </w:r>
          </w:p>
          <w:p w14:paraId="5B28B1EF" w14:textId="77777777" w:rsidR="00762B25" w:rsidRPr="00762B25" w:rsidRDefault="00762B25" w:rsidP="000E41F7">
            <w:pPr>
              <w:spacing w:before="30" w:after="30"/>
              <w:ind w:left="510" w:right="57"/>
              <w:rPr>
                <w:rFonts w:eastAsiaTheme="minorHAnsi"/>
                <w:i/>
                <w:color w:val="000000"/>
                <w:sz w:val="18"/>
                <w:szCs w:val="18"/>
              </w:rPr>
            </w:pPr>
            <w:r w:rsidRPr="00762B25">
              <w:rPr>
                <w:rFonts w:eastAsiaTheme="minorHAnsi"/>
                <w:i/>
                <w:color w:val="000000"/>
                <w:sz w:val="18"/>
                <w:szCs w:val="18"/>
              </w:rPr>
              <w:t>Note</w:t>
            </w:r>
            <w:r w:rsidRPr="00762B25">
              <w:rPr>
                <w:rFonts w:eastAsiaTheme="minorHAnsi"/>
                <w:color w:val="000000"/>
                <w:sz w:val="18"/>
                <w:szCs w:val="18"/>
              </w:rPr>
              <w:t xml:space="preserve"> – Where adaptive systems in the fixed or mobile service operating in the bands between 300 kHz and 28 MHz (see also Resolution</w:t>
            </w:r>
            <w:r w:rsidRPr="00762B25">
              <w:rPr>
                <w:rFonts w:eastAsiaTheme="minorHAnsi"/>
                <w:b/>
                <w:color w:val="000000"/>
                <w:sz w:val="18"/>
                <w:szCs w:val="18"/>
              </w:rPr>
              <w:t xml:space="preserve"> 729 (Rev.WRC</w:t>
            </w:r>
            <w:r w:rsidRPr="00762B25">
              <w:rPr>
                <w:rFonts w:eastAsiaTheme="minorHAnsi"/>
                <w:b/>
                <w:color w:val="000000"/>
                <w:sz w:val="18"/>
                <w:szCs w:val="18"/>
              </w:rPr>
              <w:noBreakHyphen/>
              <w:t>07)</w:t>
            </w:r>
            <w:r w:rsidRPr="00762B25">
              <w:rPr>
                <w:rFonts w:eastAsiaTheme="minorHAnsi"/>
                <w:color w:val="000000"/>
                <w:sz w:val="18"/>
                <w:szCs w:val="18"/>
              </w:rPr>
              <w:t>) use automatic power control, the radiated power includes the level of power control listed</w:t>
            </w:r>
          </w:p>
          <w:p w14:paraId="433F0E5E" w14:textId="77777777" w:rsidR="00762B25" w:rsidRPr="00762B25" w:rsidRDefault="00762B25" w:rsidP="000E41F7">
            <w:pPr>
              <w:spacing w:before="30" w:after="30"/>
              <w:ind w:left="493" w:right="57"/>
              <w:rPr>
                <w:rFonts w:eastAsiaTheme="minorHAnsi"/>
                <w:color w:val="000000"/>
                <w:sz w:val="18"/>
                <w:szCs w:val="18"/>
              </w:rPr>
            </w:pPr>
            <w:r w:rsidRPr="00762B25">
              <w:rPr>
                <w:rFonts w:eastAsiaTheme="minorHAnsi"/>
                <w:color w:val="000000"/>
                <w:sz w:val="18"/>
                <w:szCs w:val="18"/>
              </w:rPr>
              <w:t>under 8BA</w:t>
            </w:r>
          </w:p>
          <w:p w14:paraId="6516FF3E" w14:textId="77777777" w:rsidR="00762B25" w:rsidRPr="00762B25" w:rsidRDefault="00762B25" w:rsidP="000E41F7">
            <w:pPr>
              <w:spacing w:before="30" w:after="30"/>
              <w:ind w:left="340" w:right="57"/>
              <w:rPr>
                <w:rFonts w:eastAsiaTheme="minorHAnsi"/>
                <w:color w:val="000000"/>
                <w:sz w:val="18"/>
                <w:szCs w:val="18"/>
              </w:rPr>
            </w:pPr>
            <w:r w:rsidRPr="00762B25">
              <w:rPr>
                <w:rFonts w:eastAsiaTheme="minorHAnsi"/>
                <w:color w:val="000000"/>
                <w:sz w:val="18"/>
                <w:szCs w:val="18"/>
              </w:rPr>
              <w:t>For assignments in all services and frequency bands, except assignments subject to the GE06 Regional Agreement, required if the power delivered to the antenna (8AA), or the maximum antenna gain (9G), is not provided</w:t>
            </w:r>
          </w:p>
          <w:p w14:paraId="3E4AD839" w14:textId="77777777" w:rsidR="00762B25" w:rsidRPr="00762B25" w:rsidRDefault="00762B25" w:rsidP="000E41F7">
            <w:pPr>
              <w:spacing w:before="30" w:after="30"/>
              <w:ind w:left="340" w:right="57"/>
              <w:rPr>
                <w:rFonts w:eastAsiaTheme="minorHAnsi"/>
                <w:color w:val="000000"/>
                <w:sz w:val="18"/>
                <w:szCs w:val="18"/>
              </w:rPr>
            </w:pPr>
            <w:r w:rsidRPr="00762B25">
              <w:rPr>
                <w:rFonts w:eastAsiaTheme="minorHAnsi"/>
                <w:color w:val="000000"/>
                <w:sz w:val="18"/>
                <w:szCs w:val="18"/>
              </w:rPr>
              <w:t>For an assignment subject to the GE06 Regional Agreement, required if the power delivered to the antenna (8AA) is not provided</w:t>
            </w:r>
          </w:p>
        </w:tc>
      </w:tr>
      <w:tr w:rsidR="00762B25" w:rsidRPr="00762B25" w14:paraId="26DA558C" w14:textId="77777777" w:rsidTr="000E41F7">
        <w:tc>
          <w:tcPr>
            <w:tcW w:w="1009" w:type="dxa"/>
            <w:tcBorders>
              <w:top w:val="single" w:sz="2" w:space="0" w:color="000000"/>
              <w:left w:val="single" w:sz="12" w:space="0" w:color="000000"/>
              <w:bottom w:val="single" w:sz="2" w:space="0" w:color="000000"/>
              <w:right w:val="single" w:sz="8" w:space="0" w:color="000000"/>
            </w:tcBorders>
          </w:tcPr>
          <w:p w14:paraId="6F00CF4A" w14:textId="77777777" w:rsidR="00762B25" w:rsidRPr="00762B25" w:rsidRDefault="00762B25" w:rsidP="000E41F7">
            <w:pPr>
              <w:spacing w:before="30" w:after="30"/>
              <w:ind w:left="62"/>
              <w:rPr>
                <w:rFonts w:eastAsiaTheme="minorHAnsi"/>
                <w:b/>
                <w:color w:val="000000"/>
                <w:sz w:val="18"/>
                <w:szCs w:val="18"/>
              </w:rPr>
            </w:pPr>
            <w:r w:rsidRPr="00762B25">
              <w:rPr>
                <w:rFonts w:eastAsiaTheme="minorHAnsi"/>
                <w:b/>
                <w:color w:val="000000"/>
                <w:sz w:val="18"/>
                <w:szCs w:val="18"/>
              </w:rPr>
              <w:t>9.3.4</w:t>
            </w:r>
          </w:p>
        </w:tc>
        <w:tc>
          <w:tcPr>
            <w:tcW w:w="752" w:type="dxa"/>
            <w:tcBorders>
              <w:top w:val="single" w:sz="2" w:space="0" w:color="000000"/>
              <w:left w:val="single" w:sz="8" w:space="0" w:color="000000"/>
              <w:bottom w:val="single" w:sz="2" w:space="0" w:color="000000"/>
              <w:right w:val="double" w:sz="4" w:space="0" w:color="auto"/>
            </w:tcBorders>
          </w:tcPr>
          <w:p w14:paraId="0D1D460B" w14:textId="77777777" w:rsidR="00762B25" w:rsidRPr="00762B25" w:rsidRDefault="00762B25" w:rsidP="000E41F7">
            <w:pPr>
              <w:spacing w:before="30" w:after="30"/>
              <w:ind w:left="38"/>
              <w:rPr>
                <w:rFonts w:eastAsiaTheme="minorHAnsi"/>
                <w:b/>
                <w:color w:val="000000"/>
                <w:sz w:val="18"/>
                <w:szCs w:val="18"/>
              </w:rPr>
            </w:pPr>
            <w:r w:rsidRPr="00762B25">
              <w:rPr>
                <w:rFonts w:eastAsiaTheme="minorHAnsi"/>
                <w:b/>
                <w:color w:val="000000"/>
                <w:sz w:val="18"/>
                <w:szCs w:val="18"/>
              </w:rPr>
              <w:t>9G</w:t>
            </w:r>
          </w:p>
        </w:tc>
        <w:tc>
          <w:tcPr>
            <w:tcW w:w="7333" w:type="dxa"/>
            <w:tcBorders>
              <w:top w:val="single" w:sz="2" w:space="0" w:color="000000"/>
              <w:left w:val="double" w:sz="4" w:space="0" w:color="auto"/>
              <w:bottom w:val="single" w:sz="2" w:space="0" w:color="000000"/>
              <w:right w:val="double" w:sz="4" w:space="0" w:color="auto"/>
            </w:tcBorders>
          </w:tcPr>
          <w:p w14:paraId="3714C6B9" w14:textId="77777777" w:rsidR="00762B25" w:rsidRPr="00762B25" w:rsidRDefault="00762B25" w:rsidP="000E41F7">
            <w:pPr>
              <w:spacing w:before="30" w:after="30"/>
              <w:ind w:left="170" w:right="57"/>
              <w:rPr>
                <w:rFonts w:eastAsiaTheme="minorHAnsi"/>
                <w:color w:val="000000"/>
                <w:sz w:val="18"/>
                <w:szCs w:val="18"/>
              </w:rPr>
            </w:pPr>
            <w:r w:rsidRPr="00762B25">
              <w:rPr>
                <w:rFonts w:eastAsiaTheme="minorHAnsi"/>
                <w:color w:val="000000"/>
                <w:sz w:val="18"/>
                <w:szCs w:val="18"/>
              </w:rPr>
              <w:t>the maximum antenna gain (isotropic, relative to a short vertical antenna or relative to a half-wave dipole, as appropriate) of the transmitting antenna (see No. 1.160)</w:t>
            </w:r>
          </w:p>
          <w:p w14:paraId="33187FEC" w14:textId="77777777" w:rsidR="00762B25" w:rsidRPr="00762B25" w:rsidRDefault="00762B25" w:rsidP="000E41F7">
            <w:pPr>
              <w:spacing w:before="30" w:after="30"/>
              <w:ind w:left="170" w:right="57"/>
              <w:rPr>
                <w:rFonts w:eastAsiaTheme="minorHAnsi"/>
                <w:color w:val="000000"/>
                <w:sz w:val="18"/>
                <w:szCs w:val="18"/>
              </w:rPr>
            </w:pPr>
            <w:r w:rsidRPr="00762B25">
              <w:rPr>
                <w:rFonts w:eastAsiaTheme="minorHAnsi"/>
                <w:color w:val="000000"/>
                <w:sz w:val="18"/>
                <w:szCs w:val="18"/>
              </w:rPr>
              <w:t>For a directional antenna, the gain is in the direction of maximum radiation</w:t>
            </w:r>
          </w:p>
          <w:p w14:paraId="4DF05CF8" w14:textId="77777777" w:rsidR="00762B25" w:rsidRPr="00762B25" w:rsidRDefault="00762B25" w:rsidP="000E41F7">
            <w:pPr>
              <w:spacing w:before="30" w:after="30"/>
              <w:ind w:left="170" w:right="57"/>
              <w:rPr>
                <w:rFonts w:eastAsiaTheme="minorHAnsi"/>
                <w:color w:val="000000"/>
                <w:sz w:val="18"/>
                <w:szCs w:val="18"/>
              </w:rPr>
            </w:pPr>
            <w:r w:rsidRPr="00762B25">
              <w:rPr>
                <w:rFonts w:eastAsiaTheme="minorHAnsi"/>
                <w:color w:val="000000"/>
                <w:sz w:val="18"/>
                <w:szCs w:val="18"/>
              </w:rPr>
              <w:t>In the case of a transmitting station, or a typical transmitting station:</w:t>
            </w:r>
          </w:p>
          <w:p w14:paraId="192B86F0" w14:textId="77777777" w:rsidR="00762B25" w:rsidRPr="00762B25" w:rsidRDefault="00762B25" w:rsidP="000E41F7">
            <w:pPr>
              <w:spacing w:before="30" w:after="30"/>
              <w:ind w:left="170" w:right="57"/>
              <w:rPr>
                <w:rFonts w:eastAsiaTheme="minorHAnsi"/>
                <w:color w:val="000000"/>
                <w:sz w:val="18"/>
                <w:szCs w:val="18"/>
              </w:rPr>
            </w:pPr>
            <w:r w:rsidRPr="00762B25">
              <w:rPr>
                <w:rFonts w:eastAsiaTheme="minorHAnsi"/>
                <w:color w:val="000000"/>
                <w:sz w:val="18"/>
                <w:szCs w:val="18"/>
              </w:rPr>
              <w:t>– for all frequency bands and services, except assignments subject to the GE06 Regional Agreement, required if the antenna is:</w:t>
            </w:r>
          </w:p>
          <w:p w14:paraId="35E46DCB" w14:textId="77777777" w:rsidR="00762B25" w:rsidRPr="00762B25" w:rsidRDefault="00762B25" w:rsidP="000E41F7">
            <w:pPr>
              <w:spacing w:before="30" w:after="30"/>
              <w:ind w:left="170" w:right="57"/>
              <w:rPr>
                <w:rFonts w:eastAsiaTheme="minorHAnsi"/>
                <w:color w:val="000000"/>
                <w:sz w:val="18"/>
                <w:szCs w:val="18"/>
              </w:rPr>
            </w:pPr>
            <w:r w:rsidRPr="00762B25">
              <w:rPr>
                <w:rFonts w:eastAsiaTheme="minorHAnsi"/>
                <w:color w:val="000000"/>
                <w:sz w:val="18"/>
                <w:szCs w:val="18"/>
              </w:rPr>
              <w:t>– directional, including where the antenna beam is rotating or swept; or</w:t>
            </w:r>
          </w:p>
          <w:p w14:paraId="1754DEF6" w14:textId="77777777" w:rsidR="00762B25" w:rsidRPr="00762B25" w:rsidRDefault="00762B25" w:rsidP="000E41F7">
            <w:pPr>
              <w:spacing w:before="30" w:after="30"/>
              <w:ind w:left="170" w:right="57"/>
              <w:rPr>
                <w:rFonts w:eastAsiaTheme="minorHAnsi"/>
                <w:color w:val="000000"/>
                <w:sz w:val="18"/>
                <w:szCs w:val="18"/>
              </w:rPr>
            </w:pPr>
            <w:r w:rsidRPr="00762B25">
              <w:rPr>
                <w:rFonts w:eastAsiaTheme="minorHAnsi"/>
                <w:color w:val="000000"/>
                <w:sz w:val="18"/>
                <w:szCs w:val="18"/>
              </w:rPr>
              <w:t>– non-directional, and the power to the antenna (8AA) or the radiated power (8B) is not provided</w:t>
            </w:r>
          </w:p>
          <w:p w14:paraId="2DFA5185" w14:textId="77777777" w:rsidR="00762B25" w:rsidRPr="00762B25" w:rsidRDefault="00762B25" w:rsidP="000E41F7">
            <w:pPr>
              <w:spacing w:before="30" w:after="30"/>
              <w:ind w:left="170" w:right="57"/>
              <w:rPr>
                <w:rFonts w:eastAsiaTheme="minorHAnsi"/>
                <w:color w:val="000000"/>
                <w:sz w:val="18"/>
                <w:szCs w:val="18"/>
              </w:rPr>
            </w:pPr>
            <w:r w:rsidRPr="00762B25">
              <w:rPr>
                <w:rFonts w:eastAsiaTheme="minorHAnsi"/>
                <w:color w:val="000000"/>
                <w:sz w:val="18"/>
                <w:szCs w:val="18"/>
              </w:rPr>
              <w:t>– for an assignment subject to the GE06 Regional Agreement required if the radiated power (8B) is not provided</w:t>
            </w:r>
          </w:p>
          <w:p w14:paraId="77162019" w14:textId="77777777" w:rsidR="00762B25" w:rsidRPr="00762B25" w:rsidRDefault="00762B25" w:rsidP="000E41F7">
            <w:pPr>
              <w:spacing w:before="30" w:after="30"/>
              <w:ind w:left="170" w:right="57"/>
              <w:rPr>
                <w:rFonts w:eastAsiaTheme="minorHAnsi"/>
                <w:color w:val="000000"/>
                <w:sz w:val="18"/>
                <w:szCs w:val="18"/>
              </w:rPr>
            </w:pPr>
            <w:r w:rsidRPr="00762B25">
              <w:rPr>
                <w:rFonts w:eastAsiaTheme="minorHAnsi"/>
                <w:color w:val="000000"/>
                <w:sz w:val="18"/>
                <w:szCs w:val="18"/>
              </w:rPr>
              <w:t>In the case of a maritime mobile frequency allotment, required if the antenna is directional, including where the antenna beam is rotating or swept</w:t>
            </w:r>
          </w:p>
        </w:tc>
      </w:tr>
    </w:tbl>
    <w:p w14:paraId="21109615" w14:textId="77777777" w:rsidR="00762B25" w:rsidRDefault="00762B25" w:rsidP="00762B25">
      <w:pPr>
        <w:rPr>
          <w:rFonts w:eastAsia="DengXian"/>
          <w:lang w:eastAsia="zh-CN"/>
        </w:rPr>
        <w:sectPr w:rsidR="00762B25" w:rsidSect="00855D93">
          <w:pgSz w:w="11907" w:h="16840" w:code="9"/>
          <w:pgMar w:top="1701" w:right="1440" w:bottom="1440" w:left="1440" w:header="851" w:footer="992" w:gutter="0"/>
          <w:cols w:space="425"/>
          <w:docGrid w:linePitch="360"/>
        </w:sectPr>
      </w:pPr>
    </w:p>
    <w:p w14:paraId="145A5C47" w14:textId="77777777" w:rsidR="00762B25" w:rsidRDefault="00762B25" w:rsidP="00762B25">
      <w:pPr>
        <w:rPr>
          <w:b/>
          <w:lang w:val="en-NZ" w:eastAsia="ko-KR"/>
        </w:rPr>
      </w:pPr>
    </w:p>
    <w:p w14:paraId="6992CF8E" w14:textId="77777777" w:rsidR="00E41BE2" w:rsidRPr="00441526" w:rsidRDefault="00E41BE2" w:rsidP="00A47589">
      <w:pPr>
        <w:outlineLvl w:val="0"/>
        <w:rPr>
          <w:b/>
          <w:lang w:val="en-NZ" w:eastAsia="ko-KR"/>
        </w:rPr>
      </w:pPr>
      <w:r>
        <w:rPr>
          <w:b/>
          <w:lang w:val="en-NZ" w:eastAsia="ko-KR"/>
        </w:rPr>
        <w:t>2</w:t>
      </w:r>
      <w:r w:rsidRPr="00441526">
        <w:rPr>
          <w:b/>
          <w:lang w:val="en-NZ" w:eastAsia="ko-KR"/>
        </w:rPr>
        <w:t xml:space="preserve">. </w:t>
      </w:r>
      <w:r w:rsidRPr="00441526">
        <w:rPr>
          <w:b/>
          <w:lang w:val="en-NZ" w:eastAsia="ko-KR"/>
        </w:rPr>
        <w:tab/>
      </w:r>
      <w:r>
        <w:rPr>
          <w:b/>
          <w:lang w:val="en-NZ" w:eastAsia="ko-KR"/>
        </w:rPr>
        <w:t>Information on on-going ITU-R Study</w:t>
      </w:r>
    </w:p>
    <w:p w14:paraId="40316A87" w14:textId="77777777" w:rsidR="00E41BE2" w:rsidRDefault="00E41BE2" w:rsidP="005263C8">
      <w:pPr>
        <w:pStyle w:val="ListParagraph"/>
        <w:numPr>
          <w:ilvl w:val="0"/>
          <w:numId w:val="23"/>
        </w:numPr>
        <w:wordWrap w:val="0"/>
        <w:autoSpaceDE w:val="0"/>
        <w:autoSpaceDN w:val="0"/>
      </w:pPr>
      <w:r w:rsidRPr="00E41BE2">
        <w:t xml:space="preserve">Hyperlink </w:t>
      </w:r>
      <w:r w:rsidR="005E6C90">
        <w:t xml:space="preserve">to </w:t>
      </w:r>
      <w:r w:rsidR="009306C7">
        <w:t xml:space="preserve">the relevant part of the webpage of </w:t>
      </w:r>
      <w:hyperlink r:id="rId19" w:history="1">
        <w:r w:rsidR="009306C7" w:rsidRPr="009306C7">
          <w:rPr>
            <w:rStyle w:val="Hyperlink"/>
          </w:rPr>
          <w:t>ITU-R Preparatory Studies for WRC-23</w:t>
        </w:r>
      </w:hyperlink>
      <w:r w:rsidR="009306C7">
        <w:t xml:space="preserve"> </w:t>
      </w:r>
      <w:r w:rsidRPr="00E41BE2">
        <w:t xml:space="preserve"> </w:t>
      </w:r>
    </w:p>
    <w:p w14:paraId="42D0A51E" w14:textId="77777777" w:rsidR="002E177A" w:rsidRDefault="002E177A" w:rsidP="002E177A">
      <w:pPr>
        <w:outlineLvl w:val="1"/>
        <w:rPr>
          <w:b/>
          <w:lang w:val="en-NZ" w:eastAsia="ko-KR"/>
        </w:rPr>
      </w:pPr>
      <w:r>
        <w:rPr>
          <w:rFonts w:eastAsia="SimSun"/>
          <w:b/>
          <w:lang w:val="en-NZ" w:eastAsia="zh-CN"/>
        </w:rPr>
        <w:t xml:space="preserve">2.1 </w:t>
      </w:r>
      <w:r w:rsidRPr="00762B25">
        <w:rPr>
          <w:rFonts w:eastAsia="SimSun"/>
          <w:b/>
          <w:lang w:eastAsia="zh-CN"/>
        </w:rPr>
        <w:tab/>
      </w:r>
      <w:r>
        <w:rPr>
          <w:rFonts w:eastAsia="SimSun"/>
          <w:b/>
          <w:lang w:eastAsia="zh-CN"/>
        </w:rPr>
        <w:t>Documents being developed</w:t>
      </w:r>
    </w:p>
    <w:p w14:paraId="595B5533" w14:textId="77777777" w:rsidR="002E177A" w:rsidRDefault="002E177A" w:rsidP="002E177A">
      <w:pPr>
        <w:rPr>
          <w:rFonts w:eastAsia="DengXian"/>
          <w:lang w:val="en-GB" w:eastAsia="zh-CN"/>
        </w:rPr>
      </w:pPr>
      <w:r w:rsidRPr="00B524B1">
        <w:rPr>
          <w:rFonts w:eastAsia="DengXian"/>
          <w:lang w:val="en-GB" w:eastAsia="zh-CN"/>
        </w:rPr>
        <w:t xml:space="preserve">As requested by CPM 23-1, WP 5D is working on the development of a Note to the Director of the Radiocommunication Bureau to be considered as the Director deems appropriate. </w:t>
      </w:r>
      <w:r w:rsidR="00640A68">
        <w:rPr>
          <w:rFonts w:eastAsia="DengXian"/>
          <w:lang w:val="en-GB" w:eastAsia="zh-CN"/>
        </w:rPr>
        <w:t>A working document being discussed in Drafting Group Article 21.5 (</w:t>
      </w:r>
      <w:hyperlink r:id="rId20" w:history="1">
        <w:r w:rsidR="00640A68" w:rsidRPr="00247F67">
          <w:rPr>
            <w:rStyle w:val="Hyperlink"/>
            <w:rFonts w:eastAsia="DengXian"/>
            <w:lang w:val="en-GB" w:eastAsia="zh-CN"/>
          </w:rPr>
          <w:t>5D/Temp/309</w:t>
        </w:r>
      </w:hyperlink>
      <w:r w:rsidR="00640A68">
        <w:rPr>
          <w:rFonts w:eastAsia="DengXian"/>
          <w:lang w:val="en-GB" w:eastAsia="zh-CN"/>
        </w:rPr>
        <w:t xml:space="preserve">) </w:t>
      </w:r>
      <w:r w:rsidRPr="00B524B1">
        <w:rPr>
          <w:rFonts w:eastAsia="DengXian"/>
          <w:lang w:val="en-GB" w:eastAsia="zh-CN"/>
        </w:rPr>
        <w:t>had been compiled based on the inputs</w:t>
      </w:r>
      <w:r w:rsidR="001F6017">
        <w:rPr>
          <w:rFonts w:eastAsia="DengXian"/>
          <w:lang w:eastAsia="zh-CN"/>
        </w:rPr>
        <w:t xml:space="preserve"> to WP 5D meetings</w:t>
      </w:r>
      <w:r w:rsidRPr="00B524B1">
        <w:rPr>
          <w:rFonts w:eastAsia="DengXian"/>
          <w:lang w:val="en-GB" w:eastAsia="zh-CN"/>
        </w:rPr>
        <w:t>.</w:t>
      </w:r>
    </w:p>
    <w:p w14:paraId="1FE0758C" w14:textId="77777777" w:rsidR="00E41BE2" w:rsidRPr="002E177A" w:rsidRDefault="00E41BE2" w:rsidP="002E177A">
      <w:pPr>
        <w:rPr>
          <w:lang w:val="en-NZ"/>
        </w:rPr>
      </w:pPr>
    </w:p>
    <w:p w14:paraId="010A448B" w14:textId="77777777" w:rsidR="002E177A" w:rsidRPr="002E177A" w:rsidRDefault="002E177A" w:rsidP="002E177A">
      <w:pPr>
        <w:outlineLvl w:val="1"/>
        <w:rPr>
          <w:b/>
          <w:lang w:val="en-GB"/>
        </w:rPr>
      </w:pPr>
      <w:r w:rsidRPr="002E177A">
        <w:rPr>
          <w:b/>
          <w:lang w:val="en-GB"/>
        </w:rPr>
        <w:t xml:space="preserve">2.2 </w:t>
      </w:r>
      <w:r w:rsidRPr="002E177A">
        <w:rPr>
          <w:b/>
          <w:lang w:val="en-GB"/>
        </w:rPr>
        <w:tab/>
        <w:t>Contentious issues</w:t>
      </w:r>
    </w:p>
    <w:p w14:paraId="01F44352" w14:textId="77777777" w:rsidR="002E177A" w:rsidRPr="002E177A" w:rsidRDefault="002E177A" w:rsidP="002E177A">
      <w:pPr>
        <w:rPr>
          <w:lang w:val="en-GB"/>
        </w:rPr>
      </w:pPr>
      <w:r w:rsidRPr="002E177A">
        <w:rPr>
          <w:lang w:val="en-GB"/>
        </w:rPr>
        <w:t>D</w:t>
      </w:r>
      <w:r w:rsidRPr="002E177A">
        <w:rPr>
          <w:rFonts w:hint="eastAsia"/>
          <w:lang w:val="en-GB"/>
        </w:rPr>
        <w:t xml:space="preserve">uring </w:t>
      </w:r>
      <w:r w:rsidRPr="002E177A">
        <w:rPr>
          <w:lang w:val="en-GB"/>
        </w:rPr>
        <w:t>the 34</w:t>
      </w:r>
      <w:r w:rsidRPr="002E177A">
        <w:rPr>
          <w:vertAlign w:val="superscript"/>
          <w:lang w:val="en-GB"/>
        </w:rPr>
        <w:t>th</w:t>
      </w:r>
      <w:r w:rsidRPr="002E177A">
        <w:rPr>
          <w:lang w:val="en-GB"/>
        </w:rPr>
        <w:t>, 35</w:t>
      </w:r>
      <w:r w:rsidRPr="002E177A">
        <w:rPr>
          <w:vertAlign w:val="superscript"/>
          <w:lang w:val="en-GB"/>
        </w:rPr>
        <w:t>th</w:t>
      </w:r>
      <w:r w:rsidRPr="002E177A">
        <w:rPr>
          <w:lang w:val="en-GB"/>
        </w:rPr>
        <w:t xml:space="preserve"> (e-meeting)</w:t>
      </w:r>
      <w:r w:rsidR="009B125F">
        <w:rPr>
          <w:lang w:val="en-GB"/>
        </w:rPr>
        <w:t xml:space="preserve">, </w:t>
      </w:r>
      <w:r w:rsidRPr="002E177A">
        <w:rPr>
          <w:lang w:val="en-GB"/>
        </w:rPr>
        <w:t>36</w:t>
      </w:r>
      <w:r w:rsidRPr="002E177A">
        <w:rPr>
          <w:vertAlign w:val="superscript"/>
          <w:lang w:val="en-GB"/>
        </w:rPr>
        <w:t>th</w:t>
      </w:r>
      <w:r w:rsidRPr="002E177A">
        <w:rPr>
          <w:lang w:val="en-GB"/>
        </w:rPr>
        <w:t xml:space="preserve"> (e-meeting)</w:t>
      </w:r>
      <w:r w:rsidR="009B125F">
        <w:rPr>
          <w:lang w:val="en-GB"/>
        </w:rPr>
        <w:t xml:space="preserve"> and </w:t>
      </w:r>
      <w:r w:rsidR="009B125F" w:rsidRPr="002E177A">
        <w:rPr>
          <w:lang w:val="en-GB"/>
        </w:rPr>
        <w:t>3</w:t>
      </w:r>
      <w:r w:rsidR="009B125F">
        <w:rPr>
          <w:lang w:val="en-GB"/>
        </w:rPr>
        <w:t>7</w:t>
      </w:r>
      <w:r w:rsidR="009B125F" w:rsidRPr="002E177A">
        <w:rPr>
          <w:vertAlign w:val="superscript"/>
          <w:lang w:val="en-GB"/>
        </w:rPr>
        <w:t>th</w:t>
      </w:r>
      <w:r w:rsidR="009B125F" w:rsidRPr="002E177A">
        <w:rPr>
          <w:lang w:val="en-GB"/>
        </w:rPr>
        <w:t xml:space="preserve"> (e-meeting)</w:t>
      </w:r>
      <w:r w:rsidRPr="002E177A">
        <w:rPr>
          <w:lang w:val="en-GB"/>
        </w:rPr>
        <w:t xml:space="preserve"> of WP 5D meetings in year 2020</w:t>
      </w:r>
      <w:r w:rsidR="00457E6C">
        <w:rPr>
          <w:lang w:val="en-GB"/>
        </w:rPr>
        <w:t xml:space="preserve"> and 2021</w:t>
      </w:r>
      <w:r w:rsidRPr="002E177A">
        <w:rPr>
          <w:lang w:val="en-GB"/>
        </w:rPr>
        <w:t>, several input contributions had been received from members on this topic and extensive discussions had taken place on various aspects.</w:t>
      </w:r>
    </w:p>
    <w:p w14:paraId="12C74476" w14:textId="77777777" w:rsidR="002E177A" w:rsidRPr="002E177A" w:rsidRDefault="002E177A" w:rsidP="002E177A">
      <w:pPr>
        <w:rPr>
          <w:lang w:val="en-GB"/>
        </w:rPr>
      </w:pPr>
      <w:r w:rsidRPr="002E177A">
        <w:rPr>
          <w:lang w:val="en-GB"/>
        </w:rPr>
        <w:t xml:space="preserve">There are several contentious issues with respect to </w:t>
      </w:r>
      <w:r w:rsidR="001F6017">
        <w:rPr>
          <w:lang w:val="en-GB"/>
        </w:rPr>
        <w:t xml:space="preserve">studies on </w:t>
      </w:r>
      <w:r w:rsidRPr="002E177A">
        <w:rPr>
          <w:lang w:val="en-GB"/>
        </w:rPr>
        <w:t xml:space="preserve">RR No. </w:t>
      </w:r>
      <w:r w:rsidRPr="002E177A">
        <w:rPr>
          <w:b/>
          <w:lang w:val="en-GB"/>
        </w:rPr>
        <w:t>21.5</w:t>
      </w:r>
      <w:r w:rsidRPr="002E177A">
        <w:rPr>
          <w:lang w:val="en-GB"/>
        </w:rPr>
        <w:t>.</w:t>
      </w:r>
    </w:p>
    <w:p w14:paraId="019A0D2A" w14:textId="77777777" w:rsidR="002E177A" w:rsidRPr="002E177A" w:rsidRDefault="002E177A" w:rsidP="002E177A">
      <w:pPr>
        <w:rPr>
          <w:lang w:val="en-GB"/>
        </w:rPr>
      </w:pPr>
    </w:p>
    <w:p w14:paraId="0DF7C87C" w14:textId="77777777" w:rsidR="002E177A" w:rsidRPr="002E177A" w:rsidRDefault="002E177A" w:rsidP="002E177A">
      <w:pPr>
        <w:outlineLvl w:val="2"/>
        <w:rPr>
          <w:b/>
          <w:lang w:val="en-GB"/>
        </w:rPr>
      </w:pPr>
      <w:r w:rsidRPr="002E177A">
        <w:rPr>
          <w:b/>
          <w:lang w:val="en-GB"/>
        </w:rPr>
        <w:t xml:space="preserve">2.2.1 </w:t>
      </w:r>
      <w:r>
        <w:rPr>
          <w:b/>
          <w:lang w:val="en-GB"/>
        </w:rPr>
        <w:tab/>
      </w:r>
      <w:r w:rsidR="00F01631">
        <w:rPr>
          <w:b/>
          <w:lang w:val="en-GB"/>
        </w:rPr>
        <w:t>V</w:t>
      </w:r>
      <w:r w:rsidRPr="002E177A">
        <w:rPr>
          <w:b/>
          <w:lang w:val="en-GB"/>
        </w:rPr>
        <w:t xml:space="preserve">erification of RR No. 21.5 </w:t>
      </w:r>
      <w:r w:rsidR="00F01631">
        <w:rPr>
          <w:b/>
          <w:lang w:val="en-GB"/>
        </w:rPr>
        <w:t xml:space="preserve">for </w:t>
      </w:r>
      <w:r w:rsidRPr="002E177A">
        <w:rPr>
          <w:b/>
          <w:lang w:val="en-GB"/>
        </w:rPr>
        <w:t>notification of IMT stations that use an antenna that consists of an array of active elements</w:t>
      </w:r>
      <w:r w:rsidR="00F01631">
        <w:rPr>
          <w:b/>
          <w:lang w:val="en-GB"/>
        </w:rPr>
        <w:t xml:space="preserve"> (W</w:t>
      </w:r>
      <w:r w:rsidRPr="002E177A">
        <w:rPr>
          <w:b/>
          <w:lang w:val="en-GB"/>
        </w:rPr>
        <w:t>hich value should be filled in the data item 8AA</w:t>
      </w:r>
      <w:r w:rsidR="00F01631">
        <w:rPr>
          <w:b/>
          <w:lang w:val="en-GB"/>
        </w:rPr>
        <w:t xml:space="preserve"> of </w:t>
      </w:r>
      <w:r w:rsidR="00F01631" w:rsidRPr="00F01631">
        <w:rPr>
          <w:b/>
          <w:lang w:val="en-GB"/>
        </w:rPr>
        <w:t>Table 1 in Appendix 4</w:t>
      </w:r>
      <w:r w:rsidRPr="002E177A">
        <w:rPr>
          <w:b/>
          <w:lang w:val="en-GB"/>
        </w:rPr>
        <w:t>?</w:t>
      </w:r>
      <w:r w:rsidR="00F01631">
        <w:rPr>
          <w:b/>
          <w:lang w:val="en-GB"/>
        </w:rPr>
        <w:t>)</w:t>
      </w:r>
    </w:p>
    <w:p w14:paraId="75D2EC10" w14:textId="77777777" w:rsidR="002E177A" w:rsidRPr="002E177A" w:rsidRDefault="002E177A" w:rsidP="002E177A">
      <w:pPr>
        <w:ind w:firstLine="720"/>
        <w:rPr>
          <w:lang w:val="en-GB"/>
        </w:rPr>
      </w:pPr>
      <w:r w:rsidRPr="002E177A">
        <w:rPr>
          <w:lang w:val="en-GB"/>
        </w:rPr>
        <w:t>-</w:t>
      </w:r>
      <w:r w:rsidRPr="002E177A">
        <w:rPr>
          <w:lang w:val="en-GB"/>
        </w:rPr>
        <w:tab/>
        <w:t>One view is to fill in the value of Total Radiated Power (TRP) or the value of power calculated by an equation.</w:t>
      </w:r>
    </w:p>
    <w:p w14:paraId="37B7198C" w14:textId="77777777" w:rsidR="002E177A" w:rsidRPr="002E177A" w:rsidRDefault="002E177A" w:rsidP="002E177A">
      <w:pPr>
        <w:ind w:firstLine="720"/>
        <w:rPr>
          <w:lang w:val="en-GB"/>
        </w:rPr>
      </w:pPr>
      <w:r w:rsidRPr="002E177A">
        <w:rPr>
          <w:lang w:val="en-GB"/>
        </w:rPr>
        <w:t>-</w:t>
      </w:r>
      <w:r w:rsidRPr="002E177A">
        <w:rPr>
          <w:lang w:val="en-GB"/>
        </w:rPr>
        <w:tab/>
        <w:t xml:space="preserve">Another view is to fill in the value of power delivered by a single transceiver to the antenna. </w:t>
      </w:r>
    </w:p>
    <w:p w14:paraId="065BF3E4" w14:textId="77777777" w:rsidR="002E177A" w:rsidRPr="002E177A" w:rsidRDefault="002E177A" w:rsidP="002E177A">
      <w:pPr>
        <w:rPr>
          <w:lang w:val="en-GB"/>
        </w:rPr>
      </w:pPr>
    </w:p>
    <w:p w14:paraId="10A8381D" w14:textId="77777777" w:rsidR="002E177A" w:rsidRPr="002E177A" w:rsidRDefault="002E177A" w:rsidP="002E177A">
      <w:pPr>
        <w:rPr>
          <w:lang w:val="en-GB"/>
        </w:rPr>
      </w:pPr>
      <w:r w:rsidRPr="002E177A">
        <w:rPr>
          <w:b/>
          <w:lang w:val="en-GB"/>
        </w:rPr>
        <w:t xml:space="preserve">2.2.2 </w:t>
      </w:r>
      <w:r>
        <w:rPr>
          <w:b/>
          <w:lang w:val="en-GB"/>
        </w:rPr>
        <w:tab/>
      </w:r>
      <w:r w:rsidRPr="002E177A">
        <w:rPr>
          <w:b/>
          <w:lang w:val="en-GB"/>
        </w:rPr>
        <w:t>Several frequency bands were identified in WRC-19 for IMT, some of which have equal right with space services. The issue of verification regarding notification of the stations operating in these frequency bands should be resolved</w:t>
      </w:r>
      <w:r w:rsidRPr="002E177A">
        <w:rPr>
          <w:lang w:val="en-GB"/>
        </w:rPr>
        <w:t>.</w:t>
      </w:r>
    </w:p>
    <w:p w14:paraId="207D728D" w14:textId="77777777" w:rsidR="002E177A" w:rsidRPr="002E177A" w:rsidRDefault="002E177A" w:rsidP="002E177A">
      <w:pPr>
        <w:ind w:firstLine="720"/>
        <w:rPr>
          <w:lang w:val="en-GB"/>
        </w:rPr>
      </w:pPr>
      <w:r w:rsidRPr="002E177A">
        <w:rPr>
          <w:lang w:val="en-GB"/>
        </w:rPr>
        <w:t>-</w:t>
      </w:r>
      <w:r w:rsidRPr="002E177A">
        <w:rPr>
          <w:lang w:val="en-GB"/>
        </w:rPr>
        <w:tab/>
        <w:t>One view is to solve the issue of 26 GHz first, then solve the issue in other bands;</w:t>
      </w:r>
    </w:p>
    <w:p w14:paraId="07A03FAD" w14:textId="77777777" w:rsidR="002E177A" w:rsidRPr="002E177A" w:rsidRDefault="002E177A" w:rsidP="002E177A">
      <w:pPr>
        <w:ind w:firstLine="720"/>
        <w:rPr>
          <w:lang w:val="en-GB"/>
        </w:rPr>
      </w:pPr>
      <w:r w:rsidRPr="002E177A">
        <w:rPr>
          <w:lang w:val="en-GB"/>
        </w:rPr>
        <w:t>-</w:t>
      </w:r>
      <w:r w:rsidRPr="002E177A">
        <w:rPr>
          <w:lang w:val="en-GB"/>
        </w:rPr>
        <w:tab/>
        <w:t>Another view is to solve the issue of the relevant frequency bands together.</w:t>
      </w:r>
    </w:p>
    <w:p w14:paraId="29B78905" w14:textId="77777777" w:rsidR="002E177A" w:rsidRPr="002E177A" w:rsidRDefault="002E177A" w:rsidP="002E177A">
      <w:pPr>
        <w:rPr>
          <w:lang w:val="en-GB"/>
        </w:rPr>
      </w:pPr>
    </w:p>
    <w:p w14:paraId="01104F00" w14:textId="77777777" w:rsidR="002E177A" w:rsidRPr="002E177A" w:rsidRDefault="002E177A" w:rsidP="002E177A">
      <w:pPr>
        <w:outlineLvl w:val="2"/>
        <w:rPr>
          <w:lang w:val="en-GB"/>
        </w:rPr>
      </w:pPr>
      <w:r w:rsidRPr="002E177A">
        <w:rPr>
          <w:b/>
          <w:lang w:val="en-GB"/>
        </w:rPr>
        <w:t xml:space="preserve">2.2.3 </w:t>
      </w:r>
      <w:r>
        <w:rPr>
          <w:b/>
          <w:lang w:val="en-GB"/>
        </w:rPr>
        <w:tab/>
      </w:r>
      <w:r w:rsidRPr="002E177A">
        <w:rPr>
          <w:b/>
          <w:lang w:val="en-GB"/>
        </w:rPr>
        <w:t>The applicability of the limit specified in RR No. 21.5 of the Radio Regulations to stations that use an antenna that consists of an array of active elements</w:t>
      </w:r>
    </w:p>
    <w:p w14:paraId="69B35FBB" w14:textId="77777777" w:rsidR="002E177A" w:rsidRPr="002E177A" w:rsidRDefault="002E177A" w:rsidP="002E177A">
      <w:pPr>
        <w:rPr>
          <w:lang w:val="en-GB"/>
        </w:rPr>
      </w:pPr>
    </w:p>
    <w:p w14:paraId="216C73A3" w14:textId="77777777" w:rsidR="002E177A" w:rsidRPr="002E177A" w:rsidRDefault="002E177A" w:rsidP="002E177A">
      <w:pPr>
        <w:outlineLvl w:val="1"/>
        <w:rPr>
          <w:b/>
        </w:rPr>
      </w:pPr>
      <w:r w:rsidRPr="00B476CD">
        <w:rPr>
          <w:b/>
          <w:lang w:val="en-GB"/>
        </w:rPr>
        <w:t xml:space="preserve">2.3 </w:t>
      </w:r>
      <w:r w:rsidRPr="00B476CD">
        <w:rPr>
          <w:b/>
          <w:lang w:val="en-GB"/>
        </w:rPr>
        <w:tab/>
        <w:t>Hyperlink BR CPM site</w:t>
      </w:r>
    </w:p>
    <w:p w14:paraId="589CE5F7" w14:textId="77777777" w:rsidR="002E177A" w:rsidRPr="002E177A" w:rsidRDefault="002E177A" w:rsidP="002E177A"/>
    <w:p w14:paraId="162F25F3" w14:textId="77777777" w:rsidR="002E177A" w:rsidRPr="002E177A" w:rsidRDefault="002E177A" w:rsidP="002E177A">
      <w:pPr>
        <w:outlineLvl w:val="1"/>
        <w:rPr>
          <w:b/>
        </w:rPr>
      </w:pPr>
      <w:r w:rsidRPr="002E177A">
        <w:rPr>
          <w:rFonts w:hint="eastAsia"/>
          <w:b/>
        </w:rPr>
        <w:t>2</w:t>
      </w:r>
      <w:r w:rsidRPr="002E177A">
        <w:rPr>
          <w:b/>
        </w:rPr>
        <w:t xml:space="preserve">.4 </w:t>
      </w:r>
      <w:r>
        <w:rPr>
          <w:b/>
        </w:rPr>
        <w:tab/>
      </w:r>
      <w:r w:rsidRPr="002E177A">
        <w:rPr>
          <w:b/>
        </w:rPr>
        <w:t>Other information</w:t>
      </w:r>
    </w:p>
    <w:p w14:paraId="29CFA05D" w14:textId="77777777" w:rsidR="002E177A" w:rsidRPr="002E177A" w:rsidRDefault="002E177A" w:rsidP="002E177A">
      <w:pPr>
        <w:rPr>
          <w:lang w:val="en-GB"/>
        </w:rPr>
      </w:pPr>
      <w:r w:rsidRPr="002E177A">
        <w:rPr>
          <w:lang w:val="en-GB"/>
        </w:rPr>
        <w:t>At the 36</w:t>
      </w:r>
      <w:r w:rsidRPr="002E177A">
        <w:rPr>
          <w:vertAlign w:val="superscript"/>
          <w:lang w:val="en-GB"/>
        </w:rPr>
        <w:t>th</w:t>
      </w:r>
      <w:r w:rsidRPr="002E177A">
        <w:rPr>
          <w:lang w:val="en-GB"/>
        </w:rPr>
        <w:t xml:space="preserve"> meeting of Working Party 5D, BR </w:t>
      </w:r>
      <w:r w:rsidR="007B1003">
        <w:rPr>
          <w:lang w:val="en-GB"/>
        </w:rPr>
        <w:t xml:space="preserve">provided </w:t>
      </w:r>
      <w:r w:rsidRPr="002E177A">
        <w:rPr>
          <w:lang w:val="en-GB"/>
        </w:rPr>
        <w:t xml:space="preserve">an informal document to respond some key issues that were raised during the discussions. The informal document can be found </w:t>
      </w:r>
      <w:hyperlink r:id="rId21" w:history="1">
        <w:r w:rsidRPr="002E177A">
          <w:rPr>
            <w:rStyle w:val="Hyperlink"/>
            <w:lang w:val="en-GB"/>
          </w:rPr>
          <w:t>here</w:t>
        </w:r>
      </w:hyperlink>
      <w:r w:rsidRPr="002E177A">
        <w:rPr>
          <w:lang w:val="en-GB"/>
        </w:rPr>
        <w:t>.</w:t>
      </w:r>
    </w:p>
    <w:p w14:paraId="1D47D565" w14:textId="77777777" w:rsidR="002E177A" w:rsidRPr="002E177A" w:rsidRDefault="007B1003" w:rsidP="002E177A">
      <w:r>
        <w:lastRenderedPageBreak/>
        <w:t xml:space="preserve">At their meetings in November 2020, </w:t>
      </w:r>
      <w:r w:rsidR="002E177A" w:rsidRPr="002E177A">
        <w:t xml:space="preserve">WPs 4A and 4C </w:t>
      </w:r>
      <w:r>
        <w:t xml:space="preserve">discussed the work being conducted by </w:t>
      </w:r>
      <w:r w:rsidR="002E177A" w:rsidRPr="002E177A">
        <w:t>WP 5D</w:t>
      </w:r>
      <w:r>
        <w:t xml:space="preserve">. However, due to </w:t>
      </w:r>
      <w:r w:rsidRPr="007B1003">
        <w:t>diverging views</w:t>
      </w:r>
      <w:r>
        <w:t xml:space="preserve">, </w:t>
      </w:r>
      <w:r w:rsidRPr="007B1003">
        <w:t>no consensus was reached on how to make progress and whether or not to involve WPs 4A and 4C in th</w:t>
      </w:r>
      <w:r>
        <w:t xml:space="preserve">at </w:t>
      </w:r>
      <w:r w:rsidRPr="007B1003">
        <w:t>work</w:t>
      </w:r>
      <w:r w:rsidR="002E177A" w:rsidRPr="002E177A">
        <w:t xml:space="preserve">. After </w:t>
      </w:r>
      <w:r>
        <w:t xml:space="preserve">these </w:t>
      </w:r>
      <w:r w:rsidR="002E177A" w:rsidRPr="002E177A">
        <w:t>meeting</w:t>
      </w:r>
      <w:r>
        <w:t>s</w:t>
      </w:r>
      <w:r w:rsidR="002E177A" w:rsidRPr="002E177A">
        <w:t xml:space="preserve">, a </w:t>
      </w:r>
      <w:hyperlink r:id="rId22" w:history="1">
        <w:r w:rsidR="002E177A" w:rsidRPr="002E177A">
          <w:rPr>
            <w:rStyle w:val="Hyperlink"/>
          </w:rPr>
          <w:t xml:space="preserve">note </w:t>
        </w:r>
      </w:hyperlink>
      <w:r w:rsidR="002E177A" w:rsidRPr="002E177A">
        <w:t xml:space="preserve">from the Chairmen of SGs 4 and 5 to WPs 4A, 4C and 5D was </w:t>
      </w:r>
      <w:r>
        <w:t xml:space="preserve">developed and </w:t>
      </w:r>
      <w:r w:rsidR="002E177A" w:rsidRPr="002E177A">
        <w:t xml:space="preserve">issued. WPs 4A, 4C and 5D are invited to consider the agreed guidance </w:t>
      </w:r>
      <w:r>
        <w:t xml:space="preserve">presented in this note </w:t>
      </w:r>
      <w:r w:rsidR="002E177A" w:rsidRPr="002E177A">
        <w:t>and take appropriate actions, accordingly</w:t>
      </w:r>
      <w:r w:rsidR="002E177A" w:rsidRPr="002E177A">
        <w:rPr>
          <w:rFonts w:hint="eastAsia"/>
        </w:rPr>
        <w:t>.</w:t>
      </w:r>
    </w:p>
    <w:p w14:paraId="67D253B6" w14:textId="77777777" w:rsidR="002E177A" w:rsidRDefault="002E177A" w:rsidP="002E177A"/>
    <w:p w14:paraId="0AE26D06" w14:textId="77777777" w:rsidR="00957294" w:rsidRDefault="00957294" w:rsidP="00957294">
      <w:pPr>
        <w:rPr>
          <w:b/>
          <w:lang w:val="en-NZ" w:eastAsia="ko-KR"/>
        </w:rPr>
      </w:pPr>
      <w:r>
        <w:rPr>
          <w:b/>
          <w:lang w:val="en-NZ" w:eastAsia="ko-KR"/>
        </w:rPr>
        <w:t>3</w:t>
      </w:r>
      <w:r w:rsidRPr="00441526">
        <w:rPr>
          <w:b/>
          <w:lang w:val="en-NZ" w:eastAsia="ko-KR"/>
        </w:rPr>
        <w:t xml:space="preserve">. </w:t>
      </w:r>
      <w:r w:rsidRPr="00441526">
        <w:rPr>
          <w:b/>
          <w:lang w:val="en-NZ" w:eastAsia="ko-KR"/>
        </w:rPr>
        <w:tab/>
      </w:r>
      <w:r>
        <w:rPr>
          <w:b/>
          <w:lang w:val="en-NZ" w:eastAsia="ko-KR"/>
        </w:rPr>
        <w:t>Position of the Regional Group (if available)</w:t>
      </w:r>
    </w:p>
    <w:p w14:paraId="2B7D34FB" w14:textId="77777777" w:rsidR="00957294" w:rsidRDefault="005263C8" w:rsidP="005263C8">
      <w:pPr>
        <w:pStyle w:val="ListParagraph"/>
        <w:numPr>
          <w:ilvl w:val="0"/>
          <w:numId w:val="21"/>
        </w:numPr>
        <w:rPr>
          <w:bCs/>
          <w:lang w:val="en-NZ" w:eastAsia="ko-KR"/>
        </w:rPr>
      </w:pPr>
      <w:r w:rsidRPr="005263C8">
        <w:rPr>
          <w:bCs/>
          <w:lang w:val="en-NZ" w:eastAsia="ko-KR"/>
        </w:rPr>
        <w:t>ATU</w:t>
      </w:r>
    </w:p>
    <w:p w14:paraId="7D6644B1" w14:textId="77777777" w:rsidR="005263C8" w:rsidRPr="005263C8" w:rsidRDefault="005263C8" w:rsidP="005263C8">
      <w:pPr>
        <w:pStyle w:val="ListParagraph"/>
        <w:ind w:left="1080"/>
        <w:rPr>
          <w:bCs/>
          <w:lang w:val="en-NZ" w:eastAsia="ko-KR"/>
        </w:rPr>
      </w:pPr>
    </w:p>
    <w:p w14:paraId="57662D64" w14:textId="77777777" w:rsidR="005263C8" w:rsidRDefault="005263C8" w:rsidP="005263C8">
      <w:pPr>
        <w:pStyle w:val="ListParagraph"/>
        <w:numPr>
          <w:ilvl w:val="0"/>
          <w:numId w:val="21"/>
        </w:numPr>
        <w:rPr>
          <w:bCs/>
          <w:lang w:val="en-NZ" w:eastAsia="ko-KR"/>
        </w:rPr>
      </w:pPr>
      <w:r w:rsidRPr="005263C8">
        <w:rPr>
          <w:bCs/>
          <w:lang w:val="en-NZ" w:eastAsia="ko-KR"/>
        </w:rPr>
        <w:t>ASMG</w:t>
      </w:r>
    </w:p>
    <w:p w14:paraId="05E82F2C" w14:textId="77777777" w:rsidR="005263C8" w:rsidRPr="005263C8" w:rsidRDefault="005263C8" w:rsidP="00B476CD">
      <w:pPr>
        <w:rPr>
          <w:lang w:val="en-NZ" w:eastAsia="ko-KR"/>
        </w:rPr>
      </w:pPr>
    </w:p>
    <w:p w14:paraId="3766564B" w14:textId="77777777" w:rsidR="005263C8" w:rsidRDefault="005263C8" w:rsidP="005263C8">
      <w:pPr>
        <w:pStyle w:val="ListParagraph"/>
        <w:numPr>
          <w:ilvl w:val="0"/>
          <w:numId w:val="21"/>
        </w:numPr>
        <w:rPr>
          <w:bCs/>
          <w:lang w:val="en-NZ" w:eastAsia="ko-KR"/>
        </w:rPr>
      </w:pPr>
      <w:r w:rsidRPr="005263C8">
        <w:rPr>
          <w:bCs/>
          <w:lang w:val="en-NZ" w:eastAsia="ko-KR"/>
        </w:rPr>
        <w:t>CEPT</w:t>
      </w:r>
    </w:p>
    <w:p w14:paraId="6C0954A2" w14:textId="77777777" w:rsidR="002E177A" w:rsidRPr="002E177A" w:rsidRDefault="002E177A" w:rsidP="00B476CD"/>
    <w:p w14:paraId="3D00BF71" w14:textId="77777777" w:rsidR="005263C8" w:rsidRDefault="005263C8" w:rsidP="005263C8">
      <w:pPr>
        <w:pStyle w:val="ListParagraph"/>
        <w:numPr>
          <w:ilvl w:val="0"/>
          <w:numId w:val="21"/>
        </w:numPr>
        <w:rPr>
          <w:bCs/>
          <w:lang w:val="en-NZ" w:eastAsia="ko-KR"/>
        </w:rPr>
      </w:pPr>
      <w:r w:rsidRPr="005263C8">
        <w:rPr>
          <w:bCs/>
          <w:lang w:val="en-NZ" w:eastAsia="ko-KR"/>
        </w:rPr>
        <w:t>CITEL</w:t>
      </w:r>
    </w:p>
    <w:p w14:paraId="60BD1DCD" w14:textId="77777777" w:rsidR="005263C8" w:rsidRPr="005263C8" w:rsidRDefault="005263C8" w:rsidP="00B476CD">
      <w:pPr>
        <w:rPr>
          <w:lang w:val="en-NZ" w:eastAsia="ko-KR"/>
        </w:rPr>
      </w:pPr>
    </w:p>
    <w:p w14:paraId="522D33D0" w14:textId="77777777" w:rsidR="005263C8" w:rsidRDefault="005263C8" w:rsidP="005263C8">
      <w:pPr>
        <w:pStyle w:val="ListParagraph"/>
        <w:numPr>
          <w:ilvl w:val="0"/>
          <w:numId w:val="21"/>
        </w:numPr>
        <w:rPr>
          <w:bCs/>
          <w:lang w:val="en-NZ" w:eastAsia="ko-KR"/>
        </w:rPr>
      </w:pPr>
      <w:r w:rsidRPr="005263C8">
        <w:rPr>
          <w:bCs/>
          <w:lang w:val="en-NZ" w:eastAsia="ko-KR"/>
        </w:rPr>
        <w:t>RCC</w:t>
      </w:r>
    </w:p>
    <w:p w14:paraId="2B299372" w14:textId="77777777" w:rsidR="005263C8" w:rsidRPr="005263C8" w:rsidRDefault="005263C8" w:rsidP="00B476CD">
      <w:pPr>
        <w:rPr>
          <w:lang w:val="en-NZ" w:eastAsia="ko-KR"/>
        </w:rPr>
      </w:pPr>
    </w:p>
    <w:p w14:paraId="750A50EE" w14:textId="77777777" w:rsidR="00957294" w:rsidRPr="00441526" w:rsidRDefault="00957294" w:rsidP="00957294">
      <w:pPr>
        <w:rPr>
          <w:b/>
          <w:lang w:val="en-NZ" w:eastAsia="ko-KR"/>
        </w:rPr>
      </w:pPr>
      <w:r>
        <w:rPr>
          <w:b/>
          <w:lang w:val="en-NZ" w:eastAsia="ko-KR"/>
        </w:rPr>
        <w:t>4</w:t>
      </w:r>
      <w:r w:rsidRPr="00441526">
        <w:rPr>
          <w:b/>
          <w:lang w:val="en-NZ" w:eastAsia="ko-KR"/>
        </w:rPr>
        <w:t xml:space="preserve">. </w:t>
      </w:r>
      <w:r w:rsidRPr="00441526">
        <w:rPr>
          <w:b/>
          <w:lang w:val="en-NZ" w:eastAsia="ko-KR"/>
        </w:rPr>
        <w:tab/>
      </w:r>
      <w:r w:rsidR="005263C8">
        <w:rPr>
          <w:b/>
          <w:lang w:val="en-NZ" w:eastAsia="ko-KR"/>
        </w:rPr>
        <w:t xml:space="preserve">Position of International Organizations </w:t>
      </w:r>
      <w:r>
        <w:rPr>
          <w:b/>
          <w:lang w:val="en-NZ" w:eastAsia="ko-KR"/>
        </w:rPr>
        <w:t>(if available)</w:t>
      </w:r>
    </w:p>
    <w:p w14:paraId="27CFB678" w14:textId="77777777" w:rsidR="005263C8" w:rsidRDefault="005263C8" w:rsidP="005263C8">
      <w:pPr>
        <w:pStyle w:val="ListParagraph"/>
        <w:numPr>
          <w:ilvl w:val="0"/>
          <w:numId w:val="21"/>
        </w:numPr>
        <w:rPr>
          <w:bCs/>
          <w:lang w:val="en-NZ" w:eastAsia="ko-KR"/>
        </w:rPr>
      </w:pPr>
      <w:r>
        <w:rPr>
          <w:bCs/>
          <w:lang w:val="en-NZ" w:eastAsia="ko-KR"/>
        </w:rPr>
        <w:t>ICAO</w:t>
      </w:r>
    </w:p>
    <w:p w14:paraId="6697E4BF" w14:textId="77777777" w:rsidR="005263C8" w:rsidRDefault="005263C8" w:rsidP="005263C8">
      <w:pPr>
        <w:pStyle w:val="ListParagraph"/>
        <w:ind w:left="1080"/>
        <w:rPr>
          <w:bCs/>
          <w:lang w:val="en-NZ" w:eastAsia="ko-KR"/>
        </w:rPr>
      </w:pPr>
    </w:p>
    <w:p w14:paraId="6C2F5457" w14:textId="77777777" w:rsidR="005263C8" w:rsidRDefault="005263C8" w:rsidP="005263C8">
      <w:pPr>
        <w:pStyle w:val="ListParagraph"/>
        <w:numPr>
          <w:ilvl w:val="0"/>
          <w:numId w:val="21"/>
        </w:numPr>
        <w:rPr>
          <w:bCs/>
          <w:lang w:val="en-NZ" w:eastAsia="ko-KR"/>
        </w:rPr>
      </w:pPr>
      <w:r>
        <w:rPr>
          <w:bCs/>
          <w:lang w:val="en-NZ" w:eastAsia="ko-KR"/>
        </w:rPr>
        <w:t>IMO</w:t>
      </w:r>
    </w:p>
    <w:p w14:paraId="6EC38F74" w14:textId="77777777" w:rsidR="005263C8" w:rsidRPr="005263C8" w:rsidRDefault="005263C8" w:rsidP="005263C8">
      <w:pPr>
        <w:rPr>
          <w:bCs/>
          <w:lang w:val="en-NZ" w:eastAsia="ko-KR"/>
        </w:rPr>
      </w:pPr>
    </w:p>
    <w:p w14:paraId="5F634D19" w14:textId="77777777" w:rsidR="005263C8" w:rsidRDefault="005263C8" w:rsidP="005263C8">
      <w:pPr>
        <w:pStyle w:val="ListParagraph"/>
        <w:numPr>
          <w:ilvl w:val="0"/>
          <w:numId w:val="21"/>
        </w:numPr>
        <w:rPr>
          <w:bCs/>
          <w:lang w:val="en-NZ" w:eastAsia="ko-KR"/>
        </w:rPr>
      </w:pPr>
      <w:r>
        <w:rPr>
          <w:bCs/>
          <w:lang w:val="en-NZ" w:eastAsia="ko-KR"/>
        </w:rPr>
        <w:t>WMO</w:t>
      </w:r>
    </w:p>
    <w:p w14:paraId="7F91B0F0" w14:textId="77777777" w:rsidR="005263C8" w:rsidRPr="005263C8" w:rsidRDefault="005263C8" w:rsidP="005263C8">
      <w:pPr>
        <w:rPr>
          <w:bCs/>
          <w:lang w:val="en-NZ" w:eastAsia="ko-KR"/>
        </w:rPr>
      </w:pPr>
    </w:p>
    <w:p w14:paraId="133DE6DE" w14:textId="77777777" w:rsidR="005263C8" w:rsidRDefault="005263C8" w:rsidP="005263C8">
      <w:pPr>
        <w:pStyle w:val="ListParagraph"/>
        <w:numPr>
          <w:ilvl w:val="0"/>
          <w:numId w:val="21"/>
        </w:numPr>
        <w:rPr>
          <w:bCs/>
          <w:lang w:val="en-NZ" w:eastAsia="ko-KR"/>
        </w:rPr>
      </w:pPr>
      <w:r>
        <w:rPr>
          <w:bCs/>
          <w:lang w:val="en-NZ" w:eastAsia="ko-KR"/>
        </w:rPr>
        <w:t>IARU R3</w:t>
      </w:r>
    </w:p>
    <w:p w14:paraId="48CE99E8" w14:textId="77777777" w:rsidR="005263C8" w:rsidRPr="005263C8" w:rsidRDefault="005263C8" w:rsidP="005263C8">
      <w:pPr>
        <w:pStyle w:val="ListParagraph"/>
        <w:rPr>
          <w:bCs/>
          <w:lang w:val="en-NZ" w:eastAsia="ko-KR"/>
        </w:rPr>
      </w:pPr>
    </w:p>
    <w:p w14:paraId="38F32928" w14:textId="77777777" w:rsidR="005263C8" w:rsidRDefault="005263C8" w:rsidP="005263C8">
      <w:pPr>
        <w:pStyle w:val="ListParagraph"/>
        <w:numPr>
          <w:ilvl w:val="0"/>
          <w:numId w:val="21"/>
        </w:numPr>
        <w:rPr>
          <w:bCs/>
          <w:lang w:val="en-NZ" w:eastAsia="ko-KR"/>
        </w:rPr>
      </w:pPr>
      <w:r>
        <w:rPr>
          <w:bCs/>
          <w:lang w:val="en-NZ" w:eastAsia="ko-KR"/>
        </w:rPr>
        <w:t>Etc…</w:t>
      </w:r>
    </w:p>
    <w:p w14:paraId="637EAF22" w14:textId="77777777" w:rsidR="00957294" w:rsidRPr="00441526" w:rsidRDefault="00957294" w:rsidP="00957294">
      <w:pPr>
        <w:rPr>
          <w:b/>
          <w:lang w:val="en-NZ" w:eastAsia="ko-KR"/>
        </w:rPr>
      </w:pPr>
    </w:p>
    <w:p w14:paraId="0E118FC2" w14:textId="77777777" w:rsidR="0037421D" w:rsidRPr="00957294" w:rsidRDefault="0037421D" w:rsidP="00E5341E">
      <w:pPr>
        <w:rPr>
          <w:b/>
          <w:lang w:val="en-NZ"/>
        </w:rPr>
      </w:pPr>
    </w:p>
    <w:sectPr w:rsidR="0037421D" w:rsidRPr="00957294" w:rsidSect="00FF72BB">
      <w:headerReference w:type="default" r:id="rId23"/>
      <w:footerReference w:type="even" r:id="rId24"/>
      <w:footerReference w:type="default" r:id="rId25"/>
      <w:footerReference w:type="first" r:id="rId26"/>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327EA" w14:textId="77777777" w:rsidR="00C873A1" w:rsidRDefault="00C873A1">
      <w:r>
        <w:separator/>
      </w:r>
    </w:p>
  </w:endnote>
  <w:endnote w:type="continuationSeparator" w:id="0">
    <w:p w14:paraId="6E288681" w14:textId="77777777" w:rsidR="00C873A1" w:rsidRDefault="00C87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altName w:val="Malgun Gothic Semilight"/>
    <w:charset w:val="81"/>
    <w:family w:val="modern"/>
    <w:pitch w:val="fixed"/>
    <w:sig w:usb0="B00002AF" w:usb1="69D77CFB" w:usb2="00000030" w:usb3="00000000" w:csb0="0008009F" w:csb1="00000000"/>
  </w:font>
  <w:font w:name="GulimChe">
    <w:altName w:val="굴림체"/>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5046E" w14:textId="77777777" w:rsidR="00B54758" w:rsidRDefault="00B54758"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47A9F5" w14:textId="77777777" w:rsidR="00B54758" w:rsidRDefault="00B54758"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B8C4D" w14:textId="77777777" w:rsidR="00051E1E" w:rsidRDefault="00051E1E">
    <w:pPr>
      <w:pStyle w:val="Footer"/>
    </w:pPr>
    <w:r>
      <w:t>A</w:t>
    </w:r>
    <w:r w:rsidR="001E1432">
      <w:t>PG23-</w:t>
    </w:r>
    <w:r w:rsidR="008624ED">
      <w:t>2</w:t>
    </w:r>
    <w:r>
      <w:t>/INP-</w:t>
    </w:r>
    <w:r w:rsidR="00EC249E">
      <w:t>xx</w:t>
    </w:r>
    <w:r>
      <w:tab/>
    </w:r>
    <w:r>
      <w:tab/>
      <w:t xml:space="preserve">Page </w:t>
    </w:r>
    <w:r>
      <w:rPr>
        <w:b/>
        <w:bCs/>
      </w:rPr>
      <w:fldChar w:fldCharType="begin"/>
    </w:r>
    <w:r>
      <w:rPr>
        <w:b/>
        <w:bCs/>
      </w:rPr>
      <w:instrText xml:space="preserve"> PAGE  \* Arabic  \* MERGEFORMAT </w:instrText>
    </w:r>
    <w:r>
      <w:rPr>
        <w:b/>
        <w:bCs/>
      </w:rPr>
      <w:fldChar w:fldCharType="separate"/>
    </w:r>
    <w:r w:rsidR="0050536B">
      <w:rPr>
        <w:b/>
        <w:bCs/>
        <w:noProof/>
      </w:rPr>
      <w:t>6</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536B">
      <w:rPr>
        <w:b/>
        <w:bCs/>
        <w:noProof/>
      </w:rPr>
      <w:t>6</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5040"/>
      <w:gridCol w:w="3024"/>
    </w:tblGrid>
    <w:tr w:rsidR="00B54758" w14:paraId="64A8557E" w14:textId="77777777" w:rsidTr="007E7497">
      <w:trPr>
        <w:cantSplit/>
        <w:trHeight w:val="204"/>
        <w:jc w:val="center"/>
      </w:trPr>
      <w:tc>
        <w:tcPr>
          <w:tcW w:w="1152" w:type="dxa"/>
        </w:tcPr>
        <w:p w14:paraId="003BFE3E" w14:textId="77777777" w:rsidR="00B54758" w:rsidRDefault="00B54758" w:rsidP="007E7497">
          <w:pPr>
            <w:rPr>
              <w:b/>
              <w:bCs/>
            </w:rPr>
          </w:pPr>
          <w:r>
            <w:rPr>
              <w:b/>
              <w:bCs/>
            </w:rPr>
            <w:t>Contact:</w:t>
          </w:r>
        </w:p>
      </w:tc>
      <w:tc>
        <w:tcPr>
          <w:tcW w:w="5040" w:type="dxa"/>
        </w:tcPr>
        <w:p w14:paraId="1895408E" w14:textId="77777777" w:rsidR="00B54758" w:rsidRDefault="00EC249E" w:rsidP="007E7497">
          <w:pPr>
            <w:pStyle w:val="Equation"/>
            <w:tabs>
              <w:tab w:val="clear" w:pos="794"/>
              <w:tab w:val="clear" w:pos="4820"/>
              <w:tab w:val="clear" w:pos="9639"/>
            </w:tabs>
            <w:spacing w:beforeLines="0"/>
            <w:rPr>
              <w:rFonts w:eastAsia="Batang"/>
            </w:rPr>
          </w:pPr>
          <w:r>
            <w:rPr>
              <w:rFonts w:eastAsia="Batang"/>
            </w:rPr>
            <w:t>Name</w:t>
          </w:r>
        </w:p>
        <w:p w14:paraId="30DA4BA0" w14:textId="77777777" w:rsidR="00EC249E" w:rsidRDefault="00EC249E" w:rsidP="007E7497">
          <w:pPr>
            <w:pStyle w:val="Equation"/>
            <w:tabs>
              <w:tab w:val="clear" w:pos="794"/>
              <w:tab w:val="clear" w:pos="4820"/>
              <w:tab w:val="clear" w:pos="9639"/>
            </w:tabs>
            <w:spacing w:beforeLines="0"/>
            <w:rPr>
              <w:rFonts w:eastAsia="Batang"/>
            </w:rPr>
          </w:pPr>
          <w:r>
            <w:rPr>
              <w:rFonts w:eastAsia="Batang"/>
            </w:rPr>
            <w:t>Organization, Country</w:t>
          </w:r>
        </w:p>
      </w:tc>
      <w:tc>
        <w:tcPr>
          <w:tcW w:w="3024" w:type="dxa"/>
        </w:tcPr>
        <w:p w14:paraId="4193F845" w14:textId="77777777" w:rsidR="00B54758" w:rsidRDefault="00B54758" w:rsidP="00E23D98">
          <w:pPr>
            <w:rPr>
              <w:lang w:eastAsia="ja-JP"/>
            </w:rPr>
          </w:pPr>
          <w:r>
            <w:t>Email</w:t>
          </w:r>
          <w:r>
            <w:rPr>
              <w:rFonts w:hint="eastAsia"/>
            </w:rPr>
            <w:t>:</w:t>
          </w:r>
          <w:r>
            <w:t xml:space="preserve"> </w:t>
          </w:r>
        </w:p>
      </w:tc>
    </w:tr>
  </w:tbl>
  <w:p w14:paraId="28E4A83A" w14:textId="77777777" w:rsidR="00B54758" w:rsidRPr="007E7497" w:rsidRDefault="00B54758"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59ECF8" w14:textId="77777777" w:rsidR="00C873A1" w:rsidRDefault="00C873A1">
      <w:r>
        <w:separator/>
      </w:r>
    </w:p>
  </w:footnote>
  <w:footnote w:type="continuationSeparator" w:id="0">
    <w:p w14:paraId="65030CBD" w14:textId="77777777" w:rsidR="00C873A1" w:rsidRDefault="00C87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DB02C" w14:textId="77777777" w:rsidR="00B54758" w:rsidRDefault="00B54758" w:rsidP="008E3821">
    <w:pPr>
      <w:pStyle w:val="Header"/>
      <w:tabs>
        <w:tab w:val="clear" w:pos="4320"/>
        <w:tab w:val="clear" w:pos="8640"/>
      </w:tabs>
      <w:rPr>
        <w:lang w:eastAsia="ko-KR"/>
      </w:rPr>
    </w:pPr>
  </w:p>
  <w:p w14:paraId="164C376B" w14:textId="77777777" w:rsidR="00B54758" w:rsidRDefault="00B54758" w:rsidP="008E3821">
    <w:pPr>
      <w:pStyle w:val="Header"/>
      <w:tabs>
        <w:tab w:val="clear" w:pos="4320"/>
        <w:tab w:val="clear" w:pos="864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4C631CC"/>
    <w:multiLevelType w:val="hybridMultilevel"/>
    <w:tmpl w:val="178EE0B8"/>
    <w:lvl w:ilvl="0" w:tplc="55088718">
      <w:start w:val="1"/>
      <w:numFmt w:val="bullet"/>
      <w:lvlText w:val="–"/>
      <w:lvlJc w:val="left"/>
      <w:pPr>
        <w:ind w:left="1040" w:hanging="400"/>
      </w:pPr>
      <w:rPr>
        <w:rFonts w:ascii="BatangChe" w:eastAsia="BatangChe" w:hAnsi="BatangChe"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A17199A"/>
    <w:multiLevelType w:val="hybridMultilevel"/>
    <w:tmpl w:val="78B8B7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42327F"/>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2497039"/>
    <w:multiLevelType w:val="hybridMultilevel"/>
    <w:tmpl w:val="0E728F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29100AE5"/>
    <w:multiLevelType w:val="hybridMultilevel"/>
    <w:tmpl w:val="0964BC38"/>
    <w:lvl w:ilvl="0" w:tplc="2D0A661E">
      <w:start w:val="1"/>
      <w:numFmt w:val="bullet"/>
      <w:lvlText w:val="-"/>
      <w:lvlJc w:val="left"/>
      <w:pPr>
        <w:ind w:left="720" w:hanging="360"/>
      </w:pPr>
      <w:rPr>
        <w:rFonts w:ascii="Times New Roman" w:eastAsia="BatangChe" w:hAnsi="Times New Roman" w:cs="Times New Roman"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370862"/>
    <w:multiLevelType w:val="hybridMultilevel"/>
    <w:tmpl w:val="A6E6643C"/>
    <w:lvl w:ilvl="0" w:tplc="81F656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2" w15:restartNumberingAfterBreak="0">
    <w:nsid w:val="34682ABA"/>
    <w:multiLevelType w:val="hybridMultilevel"/>
    <w:tmpl w:val="5EBCD294"/>
    <w:lvl w:ilvl="0" w:tplc="1D70BA1C">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47D6A7A"/>
    <w:multiLevelType w:val="hybridMultilevel"/>
    <w:tmpl w:val="65A83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15:restartNumberingAfterBreak="0">
    <w:nsid w:val="39801948"/>
    <w:multiLevelType w:val="hybridMultilevel"/>
    <w:tmpl w:val="AB7681C2"/>
    <w:lvl w:ilvl="0" w:tplc="B0426F7E">
      <w:start w:val="1"/>
      <w:numFmt w:val="bullet"/>
      <w:lvlText w:val="-"/>
      <w:lvlJc w:val="left"/>
      <w:pPr>
        <w:ind w:left="1120" w:hanging="360"/>
      </w:pPr>
      <w:rPr>
        <w:rFonts w:ascii="Calibri" w:eastAsiaTheme="minorEastAsia" w:hAnsi="Calibri" w:cs="Calibri"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7" w15:restartNumberingAfterBreak="0">
    <w:nsid w:val="3A5D38B9"/>
    <w:multiLevelType w:val="hybridMultilevel"/>
    <w:tmpl w:val="93129F6C"/>
    <w:lvl w:ilvl="0" w:tplc="2AD81D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CBF2B1A"/>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275DE5"/>
    <w:multiLevelType w:val="hybridMultilevel"/>
    <w:tmpl w:val="C01A37A6"/>
    <w:lvl w:ilvl="0" w:tplc="81F656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1"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abstractNumId w:val="14"/>
  </w:num>
  <w:num w:numId="2">
    <w:abstractNumId w:val="8"/>
  </w:num>
  <w:num w:numId="3">
    <w:abstractNumId w:val="6"/>
  </w:num>
  <w:num w:numId="4">
    <w:abstractNumId w:val="20"/>
  </w:num>
  <w:num w:numId="5">
    <w:abstractNumId w:val="11"/>
  </w:num>
  <w:num w:numId="6">
    <w:abstractNumId w:val="15"/>
  </w:num>
  <w:num w:numId="7">
    <w:abstractNumId w:val="5"/>
  </w:num>
  <w:num w:numId="8">
    <w:abstractNumId w:val="1"/>
  </w:num>
  <w:num w:numId="9">
    <w:abstractNumId w:val="22"/>
  </w:num>
  <w:num w:numId="10">
    <w:abstractNumId w:val="0"/>
  </w:num>
  <w:num w:numId="11">
    <w:abstractNumId w:val="21"/>
  </w:num>
  <w:num w:numId="12">
    <w:abstractNumId w:val="12"/>
  </w:num>
  <w:num w:numId="13">
    <w:abstractNumId w:val="17"/>
  </w:num>
  <w:num w:numId="14">
    <w:abstractNumId w:val="9"/>
  </w:num>
  <w:num w:numId="15">
    <w:abstractNumId w:val="3"/>
  </w:num>
  <w:num w:numId="16">
    <w:abstractNumId w:val="2"/>
  </w:num>
  <w:num w:numId="17">
    <w:abstractNumId w:val="4"/>
  </w:num>
  <w:num w:numId="18">
    <w:abstractNumId w:val="13"/>
  </w:num>
  <w:num w:numId="19">
    <w:abstractNumId w:val="18"/>
  </w:num>
  <w:num w:numId="20">
    <w:abstractNumId w:val="16"/>
  </w:num>
  <w:num w:numId="21">
    <w:abstractNumId w:val="7"/>
  </w:num>
  <w:num w:numId="22">
    <w:abstractNumId w:val="1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589"/>
    <w:rsid w:val="00000B9E"/>
    <w:rsid w:val="0003595B"/>
    <w:rsid w:val="00036385"/>
    <w:rsid w:val="00051E1E"/>
    <w:rsid w:val="00054C56"/>
    <w:rsid w:val="00063DF8"/>
    <w:rsid w:val="000713CF"/>
    <w:rsid w:val="00075C14"/>
    <w:rsid w:val="00094B87"/>
    <w:rsid w:val="000964D0"/>
    <w:rsid w:val="000A1F8C"/>
    <w:rsid w:val="000A5418"/>
    <w:rsid w:val="000A754D"/>
    <w:rsid w:val="000B1E8C"/>
    <w:rsid w:val="000B595C"/>
    <w:rsid w:val="000D7C75"/>
    <w:rsid w:val="000F517C"/>
    <w:rsid w:val="000F5540"/>
    <w:rsid w:val="00106B56"/>
    <w:rsid w:val="00122653"/>
    <w:rsid w:val="00125217"/>
    <w:rsid w:val="00130A94"/>
    <w:rsid w:val="00131FCA"/>
    <w:rsid w:val="00133947"/>
    <w:rsid w:val="00134CC7"/>
    <w:rsid w:val="00135C32"/>
    <w:rsid w:val="001433F1"/>
    <w:rsid w:val="001539DD"/>
    <w:rsid w:val="00164353"/>
    <w:rsid w:val="00175BD2"/>
    <w:rsid w:val="0018114D"/>
    <w:rsid w:val="001832C2"/>
    <w:rsid w:val="001923E8"/>
    <w:rsid w:val="00196568"/>
    <w:rsid w:val="00197B92"/>
    <w:rsid w:val="001A2F16"/>
    <w:rsid w:val="001A34FF"/>
    <w:rsid w:val="001B18C2"/>
    <w:rsid w:val="001D5D7E"/>
    <w:rsid w:val="001E1432"/>
    <w:rsid w:val="001E30F0"/>
    <w:rsid w:val="001F5947"/>
    <w:rsid w:val="001F6017"/>
    <w:rsid w:val="00207AC6"/>
    <w:rsid w:val="0021588B"/>
    <w:rsid w:val="002216AC"/>
    <w:rsid w:val="002219FD"/>
    <w:rsid w:val="0023010A"/>
    <w:rsid w:val="00230738"/>
    <w:rsid w:val="00234735"/>
    <w:rsid w:val="00241BCF"/>
    <w:rsid w:val="00247F67"/>
    <w:rsid w:val="00254A1B"/>
    <w:rsid w:val="0026736F"/>
    <w:rsid w:val="00275ED2"/>
    <w:rsid w:val="0028454D"/>
    <w:rsid w:val="00286912"/>
    <w:rsid w:val="00287A2A"/>
    <w:rsid w:val="00291C9E"/>
    <w:rsid w:val="002926D4"/>
    <w:rsid w:val="00297B5B"/>
    <w:rsid w:val="002C07DA"/>
    <w:rsid w:val="002C7EA9"/>
    <w:rsid w:val="002E177A"/>
    <w:rsid w:val="002F2F9A"/>
    <w:rsid w:val="003131A3"/>
    <w:rsid w:val="00336A0D"/>
    <w:rsid w:val="00342F20"/>
    <w:rsid w:val="00343067"/>
    <w:rsid w:val="00350EC2"/>
    <w:rsid w:val="003540E0"/>
    <w:rsid w:val="003548C2"/>
    <w:rsid w:val="0037421D"/>
    <w:rsid w:val="003809C7"/>
    <w:rsid w:val="003829E0"/>
    <w:rsid w:val="003A3AE3"/>
    <w:rsid w:val="003A7125"/>
    <w:rsid w:val="003B03B2"/>
    <w:rsid w:val="003B6263"/>
    <w:rsid w:val="003B6428"/>
    <w:rsid w:val="003C64A7"/>
    <w:rsid w:val="003D25E1"/>
    <w:rsid w:val="003D3FDA"/>
    <w:rsid w:val="003F6D48"/>
    <w:rsid w:val="00403CE4"/>
    <w:rsid w:val="00420822"/>
    <w:rsid w:val="0042126E"/>
    <w:rsid w:val="004323BB"/>
    <w:rsid w:val="00433925"/>
    <w:rsid w:val="004404C0"/>
    <w:rsid w:val="00440BEE"/>
    <w:rsid w:val="00444170"/>
    <w:rsid w:val="0045458F"/>
    <w:rsid w:val="00455FD4"/>
    <w:rsid w:val="00457E6C"/>
    <w:rsid w:val="004633B4"/>
    <w:rsid w:val="00483317"/>
    <w:rsid w:val="004854EE"/>
    <w:rsid w:val="004A4DE4"/>
    <w:rsid w:val="004B3553"/>
    <w:rsid w:val="004D3372"/>
    <w:rsid w:val="004F733C"/>
    <w:rsid w:val="0050536B"/>
    <w:rsid w:val="00515050"/>
    <w:rsid w:val="0051686D"/>
    <w:rsid w:val="005201CA"/>
    <w:rsid w:val="00521BF0"/>
    <w:rsid w:val="005263C8"/>
    <w:rsid w:val="00530E8C"/>
    <w:rsid w:val="005442A4"/>
    <w:rsid w:val="00545933"/>
    <w:rsid w:val="0054610B"/>
    <w:rsid w:val="005549C9"/>
    <w:rsid w:val="00557544"/>
    <w:rsid w:val="005606F6"/>
    <w:rsid w:val="005614DC"/>
    <w:rsid w:val="00575CDC"/>
    <w:rsid w:val="00577C0A"/>
    <w:rsid w:val="00587875"/>
    <w:rsid w:val="005B1E77"/>
    <w:rsid w:val="005B244E"/>
    <w:rsid w:val="005C5EB6"/>
    <w:rsid w:val="005D3914"/>
    <w:rsid w:val="005D6B2F"/>
    <w:rsid w:val="005E3896"/>
    <w:rsid w:val="005E6C90"/>
    <w:rsid w:val="005F099E"/>
    <w:rsid w:val="00607E2B"/>
    <w:rsid w:val="006139D6"/>
    <w:rsid w:val="00615999"/>
    <w:rsid w:val="00623CE1"/>
    <w:rsid w:val="0063062B"/>
    <w:rsid w:val="00636BAD"/>
    <w:rsid w:val="00640A68"/>
    <w:rsid w:val="0066388B"/>
    <w:rsid w:val="00666709"/>
    <w:rsid w:val="00667229"/>
    <w:rsid w:val="00675C31"/>
    <w:rsid w:val="006769C2"/>
    <w:rsid w:val="00682BE5"/>
    <w:rsid w:val="00683BDA"/>
    <w:rsid w:val="006843DA"/>
    <w:rsid w:val="00690FED"/>
    <w:rsid w:val="006939A5"/>
    <w:rsid w:val="006A15A4"/>
    <w:rsid w:val="006B2CDE"/>
    <w:rsid w:val="006B6778"/>
    <w:rsid w:val="006C2D39"/>
    <w:rsid w:val="006E12FC"/>
    <w:rsid w:val="006F375E"/>
    <w:rsid w:val="00705C2D"/>
    <w:rsid w:val="00705E61"/>
    <w:rsid w:val="00712451"/>
    <w:rsid w:val="00731041"/>
    <w:rsid w:val="00732F08"/>
    <w:rsid w:val="007350E2"/>
    <w:rsid w:val="0074190C"/>
    <w:rsid w:val="00762576"/>
    <w:rsid w:val="00762B25"/>
    <w:rsid w:val="00791060"/>
    <w:rsid w:val="007A1BDE"/>
    <w:rsid w:val="007A3E29"/>
    <w:rsid w:val="007B1003"/>
    <w:rsid w:val="007B3299"/>
    <w:rsid w:val="007B3D18"/>
    <w:rsid w:val="007B5626"/>
    <w:rsid w:val="007B5E37"/>
    <w:rsid w:val="007D29E5"/>
    <w:rsid w:val="007E1FDD"/>
    <w:rsid w:val="007E7497"/>
    <w:rsid w:val="007F08FF"/>
    <w:rsid w:val="007F1651"/>
    <w:rsid w:val="00803C99"/>
    <w:rsid w:val="0080570B"/>
    <w:rsid w:val="008148E1"/>
    <w:rsid w:val="00816F4E"/>
    <w:rsid w:val="00831716"/>
    <w:rsid w:val="008319BF"/>
    <w:rsid w:val="008337EA"/>
    <w:rsid w:val="00850E1C"/>
    <w:rsid w:val="00854DA2"/>
    <w:rsid w:val="008624ED"/>
    <w:rsid w:val="00870944"/>
    <w:rsid w:val="008950FB"/>
    <w:rsid w:val="00897849"/>
    <w:rsid w:val="008A423E"/>
    <w:rsid w:val="008A73CD"/>
    <w:rsid w:val="008D084B"/>
    <w:rsid w:val="008D0E09"/>
    <w:rsid w:val="008E3821"/>
    <w:rsid w:val="008F2153"/>
    <w:rsid w:val="008F301D"/>
    <w:rsid w:val="00917929"/>
    <w:rsid w:val="009306C7"/>
    <w:rsid w:val="00953737"/>
    <w:rsid w:val="00957294"/>
    <w:rsid w:val="00972289"/>
    <w:rsid w:val="0097693B"/>
    <w:rsid w:val="0099178E"/>
    <w:rsid w:val="00993355"/>
    <w:rsid w:val="009A46BF"/>
    <w:rsid w:val="009A4A6D"/>
    <w:rsid w:val="009B125F"/>
    <w:rsid w:val="009B74AC"/>
    <w:rsid w:val="009C0B35"/>
    <w:rsid w:val="009C361C"/>
    <w:rsid w:val="00A0503B"/>
    <w:rsid w:val="00A13265"/>
    <w:rsid w:val="00A20980"/>
    <w:rsid w:val="00A31185"/>
    <w:rsid w:val="00A47589"/>
    <w:rsid w:val="00A61885"/>
    <w:rsid w:val="00A71136"/>
    <w:rsid w:val="00AA2D8E"/>
    <w:rsid w:val="00AA474C"/>
    <w:rsid w:val="00AB0EAD"/>
    <w:rsid w:val="00AB2572"/>
    <w:rsid w:val="00AC19BB"/>
    <w:rsid w:val="00AD7E5F"/>
    <w:rsid w:val="00AF6E67"/>
    <w:rsid w:val="00B01AA1"/>
    <w:rsid w:val="00B21673"/>
    <w:rsid w:val="00B24089"/>
    <w:rsid w:val="00B30C81"/>
    <w:rsid w:val="00B34275"/>
    <w:rsid w:val="00B3474C"/>
    <w:rsid w:val="00B476CD"/>
    <w:rsid w:val="00B4793B"/>
    <w:rsid w:val="00B54758"/>
    <w:rsid w:val="00B66740"/>
    <w:rsid w:val="00B676EF"/>
    <w:rsid w:val="00B97AC9"/>
    <w:rsid w:val="00BB7E96"/>
    <w:rsid w:val="00BC7506"/>
    <w:rsid w:val="00C15633"/>
    <w:rsid w:val="00C15799"/>
    <w:rsid w:val="00C20F4D"/>
    <w:rsid w:val="00C256E8"/>
    <w:rsid w:val="00C26745"/>
    <w:rsid w:val="00C357AD"/>
    <w:rsid w:val="00C3644A"/>
    <w:rsid w:val="00C6069C"/>
    <w:rsid w:val="00C73F61"/>
    <w:rsid w:val="00C75805"/>
    <w:rsid w:val="00C85119"/>
    <w:rsid w:val="00C873A1"/>
    <w:rsid w:val="00CB6E27"/>
    <w:rsid w:val="00CC56C6"/>
    <w:rsid w:val="00CD5431"/>
    <w:rsid w:val="00CE6DD9"/>
    <w:rsid w:val="00CF2491"/>
    <w:rsid w:val="00CF2CBA"/>
    <w:rsid w:val="00CF3030"/>
    <w:rsid w:val="00CF5DDC"/>
    <w:rsid w:val="00D06742"/>
    <w:rsid w:val="00D1252E"/>
    <w:rsid w:val="00D12CE1"/>
    <w:rsid w:val="00D2444D"/>
    <w:rsid w:val="00D31452"/>
    <w:rsid w:val="00D500B1"/>
    <w:rsid w:val="00D5307B"/>
    <w:rsid w:val="00D57772"/>
    <w:rsid w:val="00D651AB"/>
    <w:rsid w:val="00D72AE3"/>
    <w:rsid w:val="00D75A4D"/>
    <w:rsid w:val="00D8478B"/>
    <w:rsid w:val="00D84CEE"/>
    <w:rsid w:val="00D86151"/>
    <w:rsid w:val="00D91215"/>
    <w:rsid w:val="00DA3CC4"/>
    <w:rsid w:val="00DA7595"/>
    <w:rsid w:val="00DB0A68"/>
    <w:rsid w:val="00DB13B0"/>
    <w:rsid w:val="00DB28C8"/>
    <w:rsid w:val="00DB4A1C"/>
    <w:rsid w:val="00DC43A3"/>
    <w:rsid w:val="00DD7C09"/>
    <w:rsid w:val="00DE54CF"/>
    <w:rsid w:val="00DF791C"/>
    <w:rsid w:val="00E0124F"/>
    <w:rsid w:val="00E02E0D"/>
    <w:rsid w:val="00E06286"/>
    <w:rsid w:val="00E17376"/>
    <w:rsid w:val="00E23D98"/>
    <w:rsid w:val="00E403B9"/>
    <w:rsid w:val="00E41BE2"/>
    <w:rsid w:val="00E5341E"/>
    <w:rsid w:val="00E545D9"/>
    <w:rsid w:val="00E65FC2"/>
    <w:rsid w:val="00E674D3"/>
    <w:rsid w:val="00E70FD0"/>
    <w:rsid w:val="00E80263"/>
    <w:rsid w:val="00EA0BBD"/>
    <w:rsid w:val="00EA7027"/>
    <w:rsid w:val="00EB2081"/>
    <w:rsid w:val="00EC249E"/>
    <w:rsid w:val="00EE3496"/>
    <w:rsid w:val="00EF2406"/>
    <w:rsid w:val="00F00257"/>
    <w:rsid w:val="00F01631"/>
    <w:rsid w:val="00F27A79"/>
    <w:rsid w:val="00F5332C"/>
    <w:rsid w:val="00F55E0A"/>
    <w:rsid w:val="00F626B7"/>
    <w:rsid w:val="00F650EB"/>
    <w:rsid w:val="00F84067"/>
    <w:rsid w:val="00F871F5"/>
    <w:rsid w:val="00FC156A"/>
    <w:rsid w:val="00FC7A38"/>
    <w:rsid w:val="00FE3DE5"/>
    <w:rsid w:val="00FF72BB"/>
    <w:rsid w:val="00FF7960"/>
  </w:rsids>
  <m:mathPr>
    <m:mathFont m:val="Cambria Math"/>
    <m:brkBin m:val="before"/>
    <m:brkBinSub m:val="--"/>
    <m:smallFrac m:val="0"/>
    <m:dispDef/>
    <m:lMargin m:val="0"/>
    <m:rMargin m:val="0"/>
    <m:defJc m:val="centerGroup"/>
    <m:wrapIndent m:val="1440"/>
    <m:intLim m:val="subSup"/>
    <m:naryLim m:val="undOvr"/>
  </m:mathPr>
  <w:themeFontLang w:val="en-NZ"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7DBC12"/>
  <w15:docId w15:val="{169829AC-73B2-42A0-B545-E699BF7CD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589"/>
    <w:pPr>
      <w:spacing w:after="120"/>
      <w:jc w:val="both"/>
    </w:pPr>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basedOn w:val="DefaultParagraphFont"/>
    <w:uiPriority w:val="99"/>
    <w:unhideWhenUsed/>
    <w:rsid w:val="00E65FC2"/>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iPriority w:val="99"/>
    <w:unhideWhenUsed/>
    <w:qFormat/>
    <w:rsid w:val="00A61885"/>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uiPriority w:val="99"/>
    <w:rsid w:val="00A61885"/>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qFormat/>
    <w:rsid w:val="00A61885"/>
    <w:rPr>
      <w:vertAlign w:val="superscript"/>
    </w:rPr>
  </w:style>
  <w:style w:type="paragraph" w:customStyle="1" w:styleId="enumlev1">
    <w:name w:val="enumlev1"/>
    <w:basedOn w:val="Normal"/>
    <w:link w:val="enumlev1Char"/>
    <w:qFormat/>
    <w:rsid w:val="00A61885"/>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A61885"/>
    <w:rPr>
      <w:rFonts w:eastAsia="MS Mincho"/>
      <w:sz w:val="24"/>
      <w:lang w:val="en-GB"/>
    </w:rPr>
  </w:style>
  <w:style w:type="character" w:customStyle="1" w:styleId="ListParagraphChar">
    <w:name w:val="List Paragraph Char"/>
    <w:basedOn w:val="DefaultParagraphFont"/>
    <w:link w:val="ListParagraph"/>
    <w:uiPriority w:val="34"/>
    <w:locked/>
    <w:rsid w:val="00D31452"/>
    <w:rPr>
      <w:rFonts w:eastAsia="BatangChe"/>
      <w:sz w:val="24"/>
      <w:szCs w:val="24"/>
    </w:rPr>
  </w:style>
  <w:style w:type="paragraph" w:customStyle="1" w:styleId="Default">
    <w:name w:val="Default"/>
    <w:rsid w:val="00000B9E"/>
    <w:pPr>
      <w:autoSpaceDE w:val="0"/>
      <w:autoSpaceDN w:val="0"/>
      <w:adjustRightInd w:val="0"/>
    </w:pPr>
    <w:rPr>
      <w:color w:val="000000"/>
      <w:sz w:val="24"/>
      <w:szCs w:val="24"/>
    </w:rPr>
  </w:style>
  <w:style w:type="paragraph" w:styleId="NormalWeb">
    <w:name w:val="Normal (Web)"/>
    <w:basedOn w:val="Normal"/>
    <w:uiPriority w:val="99"/>
    <w:unhideWhenUsed/>
    <w:rsid w:val="00575CDC"/>
    <w:pPr>
      <w:spacing w:before="100" w:beforeAutospacing="1" w:after="100" w:afterAutospacing="1"/>
    </w:pPr>
    <w:rPr>
      <w:rFonts w:eastAsia="Times New Roman"/>
    </w:rPr>
  </w:style>
  <w:style w:type="table" w:customStyle="1" w:styleId="2">
    <w:name w:val="表 (格子)2"/>
    <w:basedOn w:val="TableNormal"/>
    <w:next w:val="TableGrid"/>
    <w:rsid w:val="0066388B"/>
    <w:rPr>
      <w:rFonts w:ascii="CG Times" w:eastAsia="MS Mincho"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63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basedOn w:val="DefaultParagraphFont"/>
    <w:uiPriority w:val="1"/>
    <w:qFormat/>
    <w:rsid w:val="00EF2406"/>
    <w:rPr>
      <w:b/>
      <w:bCs/>
    </w:rPr>
  </w:style>
  <w:style w:type="character" w:customStyle="1" w:styleId="ECCParagraph">
    <w:name w:val="ECC Paragraph"/>
    <w:basedOn w:val="DefaultParagraphFont"/>
    <w:uiPriority w:val="1"/>
    <w:qFormat/>
    <w:rsid w:val="00EF2406"/>
    <w:rPr>
      <w:rFonts w:ascii="Arial" w:hAnsi="Arial" w:cs="Arial" w:hint="default"/>
      <w:noProof w:val="0"/>
      <w:sz w:val="20"/>
      <w:bdr w:val="none" w:sz="0" w:space="0" w:color="auto" w:frame="1"/>
      <w:lang w:val="en-GB"/>
    </w:rPr>
  </w:style>
  <w:style w:type="character" w:customStyle="1" w:styleId="UnresolvedMention1">
    <w:name w:val="Unresolved Mention1"/>
    <w:basedOn w:val="DefaultParagraphFont"/>
    <w:uiPriority w:val="99"/>
    <w:semiHidden/>
    <w:unhideWhenUsed/>
    <w:rsid w:val="009306C7"/>
    <w:rPr>
      <w:color w:val="605E5C"/>
      <w:shd w:val="clear" w:color="auto" w:fill="E1DFDD"/>
    </w:rPr>
  </w:style>
  <w:style w:type="character" w:styleId="FollowedHyperlink">
    <w:name w:val="FollowedHyperlink"/>
    <w:basedOn w:val="DefaultParagraphFont"/>
    <w:semiHidden/>
    <w:unhideWhenUsed/>
    <w:rsid w:val="00640A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16-WRC19-C-0012/en" TargetMode="External"/><Relationship Id="rId18" Type="http://schemas.openxmlformats.org/officeDocument/2006/relationships/hyperlink" Target="https://www.itu.int/md/R15-CPM19.02-R-0001/en"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extranet.itu.int/rsg-meetings/sg5/wp5d/_layouts/15/WopiFrame.aspx?sourcedoc=%7B4264845A-D98B-4B74-89E4-C1C7EAE73DF7%7D&amp;file=BR_to_DG-Article_21.5_TSD_14_10_2020.docx&amp;action=default&amp;IsList=1&amp;ListId=%7BB1BDD564-F90A-47A5-84D7-48479E39E8AD%7D&amp;ListItemId=10178" TargetMode="External"/><Relationship Id="rId7" Type="http://schemas.openxmlformats.org/officeDocument/2006/relationships/endnotes" Target="endnotes.xml"/><Relationship Id="rId12" Type="http://schemas.openxmlformats.org/officeDocument/2006/relationships/hyperlink" Target="https://www.itu.int/md/R15-CPM19.02-R-0001/en" TargetMode="External"/><Relationship Id="rId17" Type="http://schemas.openxmlformats.org/officeDocument/2006/relationships/hyperlink" Target="https://www.itu.int/md/R16-WRC19-C-0573/e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md/R16-WRC19-C-0550/en" TargetMode="External"/><Relationship Id="rId20" Type="http://schemas.openxmlformats.org/officeDocument/2006/relationships/hyperlink" Target="https://www.itu.int/md/R19-WP5D-210301-TD-0309/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CPM19.02-C-0072/e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R16-WRC19-C-0550/e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itu.int/md/R16-WRC19-C-0550/en" TargetMode="External"/><Relationship Id="rId19" Type="http://schemas.openxmlformats.org/officeDocument/2006/relationships/hyperlink" Target="https://www.itu.int/en/ITU-R/study-groups/rcpm/Pages/wrc-23-studies.aspx" TargetMode="External"/><Relationship Id="rId4" Type="http://schemas.openxmlformats.org/officeDocument/2006/relationships/settings" Target="settings.xml"/><Relationship Id="rId9" Type="http://schemas.openxmlformats.org/officeDocument/2006/relationships/hyperlink" Target="https://www.itu.int/md/R00-CA-CIR-0251/en" TargetMode="External"/><Relationship Id="rId14" Type="http://schemas.openxmlformats.org/officeDocument/2006/relationships/hyperlink" Target="https://www.itu.int/md/R16-WRC19-C-0128/en" TargetMode="External"/><Relationship Id="rId22" Type="http://schemas.openxmlformats.org/officeDocument/2006/relationships/hyperlink" Target="https://www.itu.int/md/R19-WP5D-C-0407/en"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44487\Documents\&#33258;&#23450;&#20041;%20Office%20&#27169;&#26495;\APG-23%20Briefing%20on%20AI1.x%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E4BF0-3457-4885-91F3-D12FD7E2B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APG-23 Briefing on AI1.x Template</Template>
  <TotalTime>2</TotalTime>
  <Pages>6</Pages>
  <Words>1731</Words>
  <Characters>9872</Characters>
  <Application>Microsoft Office Word</Application>
  <DocSecurity>0</DocSecurity>
  <Lines>82</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APT</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高湦10244487</dc:creator>
  <cp:keywords/>
  <dc:description/>
  <cp:lastModifiedBy>Forhadul Parvez</cp:lastModifiedBy>
  <cp:revision>2</cp:revision>
  <cp:lastPrinted>2004-07-28T02:14:00Z</cp:lastPrinted>
  <dcterms:created xsi:type="dcterms:W3CDTF">2021-03-23T02:09:00Z</dcterms:created>
  <dcterms:modified xsi:type="dcterms:W3CDTF">2021-03-23T02:09:00Z</dcterms:modified>
</cp:coreProperties>
</file>