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25B15063" w14:textId="77777777" w:rsidTr="007E1FDD">
        <w:trPr>
          <w:cantSplit/>
          <w:trHeight w:val="288"/>
        </w:trPr>
        <w:tc>
          <w:tcPr>
            <w:tcW w:w="1399" w:type="dxa"/>
            <w:vMerge w:val="restart"/>
          </w:tcPr>
          <w:p w14:paraId="35CB4FF6"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217F24B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398213BF" w14:textId="77777777" w:rsidTr="007E7497">
        <w:trPr>
          <w:cantSplit/>
          <w:trHeight w:val="504"/>
        </w:trPr>
        <w:tc>
          <w:tcPr>
            <w:tcW w:w="1399" w:type="dxa"/>
            <w:vMerge/>
          </w:tcPr>
          <w:p w14:paraId="1E65A4C2" w14:textId="77777777" w:rsidR="003D25E1" w:rsidRPr="00891D0B" w:rsidRDefault="003D25E1" w:rsidP="000D7C75"/>
        </w:tc>
        <w:tc>
          <w:tcPr>
            <w:tcW w:w="5760" w:type="dxa"/>
            <w:vAlign w:val="center"/>
          </w:tcPr>
          <w:p w14:paraId="3C6E6232" w14:textId="77777777" w:rsidR="003D25E1" w:rsidRPr="00891D0B" w:rsidRDefault="00C73F61" w:rsidP="001E1432">
            <w:pPr>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71B9E915" w14:textId="57359458" w:rsidR="007E1FDD" w:rsidRDefault="001E1432" w:rsidP="007E7497">
            <w:pPr>
              <w:spacing w:before="40"/>
              <w:rPr>
                <w:b/>
                <w:bCs/>
                <w:lang w:val="fr-FR"/>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E252BB">
              <w:rPr>
                <w:b/>
                <w:bCs/>
                <w:lang w:val="fr-FR"/>
              </w:rPr>
              <w:t>15</w:t>
            </w:r>
          </w:p>
          <w:p w14:paraId="042FD16E" w14:textId="77777777" w:rsidR="003D25E1" w:rsidRPr="007E1FDD" w:rsidRDefault="003D25E1" w:rsidP="007E1FDD">
            <w:pPr>
              <w:rPr>
                <w:b/>
                <w:bCs/>
                <w:lang w:val="en-GB"/>
              </w:rPr>
            </w:pPr>
          </w:p>
        </w:tc>
      </w:tr>
      <w:tr w:rsidR="007E1FDD" w:rsidRPr="00891D0B" w14:paraId="321CFF55" w14:textId="77777777" w:rsidTr="007E1FDD">
        <w:trPr>
          <w:cantSplit/>
          <w:trHeight w:val="288"/>
        </w:trPr>
        <w:tc>
          <w:tcPr>
            <w:tcW w:w="1399" w:type="dxa"/>
            <w:vMerge/>
          </w:tcPr>
          <w:p w14:paraId="4E3C555C" w14:textId="77777777" w:rsidR="007E1FDD" w:rsidRPr="007E1FDD" w:rsidRDefault="007E1FDD" w:rsidP="000D7C75">
            <w:pPr>
              <w:rPr>
                <w:lang w:val="en-GB"/>
              </w:rPr>
            </w:pPr>
          </w:p>
        </w:tc>
        <w:tc>
          <w:tcPr>
            <w:tcW w:w="5760" w:type="dxa"/>
            <w:vAlign w:val="bottom"/>
          </w:tcPr>
          <w:p w14:paraId="7BA3957E" w14:textId="77777777" w:rsidR="007E1FDD" w:rsidRPr="00712451" w:rsidRDefault="008624ED" w:rsidP="00C73F61">
            <w:pPr>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DAAF244" w14:textId="21F0EEEA" w:rsidR="007E1FDD" w:rsidRPr="007E1FDD" w:rsidRDefault="00E252BB" w:rsidP="00C73F61">
            <w:pPr>
              <w:spacing w:before="40"/>
              <w:rPr>
                <w:bCs/>
              </w:rPr>
            </w:pPr>
            <w:r>
              <w:rPr>
                <w:bCs/>
              </w:rPr>
              <w:t>23</w:t>
            </w:r>
            <w:r w:rsidR="008624ED">
              <w:rPr>
                <w:bCs/>
              </w:rPr>
              <w:t xml:space="preserve"> </w:t>
            </w:r>
            <w:r w:rsidR="00EA0BBD">
              <w:rPr>
                <w:bCs/>
              </w:rPr>
              <w:t xml:space="preserve">March </w:t>
            </w:r>
            <w:r w:rsidR="007E1FDD" w:rsidRPr="007E1FDD">
              <w:rPr>
                <w:bCs/>
              </w:rPr>
              <w:t>20</w:t>
            </w:r>
            <w:r w:rsidR="00EC249E">
              <w:rPr>
                <w:bCs/>
              </w:rPr>
              <w:t>2</w:t>
            </w:r>
            <w:r w:rsidR="008624ED">
              <w:rPr>
                <w:bCs/>
              </w:rPr>
              <w:t>1</w:t>
            </w:r>
          </w:p>
        </w:tc>
      </w:tr>
    </w:tbl>
    <w:p w14:paraId="1D7C378C" w14:textId="77777777" w:rsidR="007E7497" w:rsidRPr="00051E1E" w:rsidRDefault="007E7497" w:rsidP="00DA7595">
      <w:pPr>
        <w:rPr>
          <w:lang w:eastAsia="ko-KR"/>
        </w:rPr>
      </w:pPr>
    </w:p>
    <w:p w14:paraId="416BBD44" w14:textId="77777777" w:rsidR="00FF72BB" w:rsidRDefault="00FF72BB" w:rsidP="00DA7595">
      <w:pPr>
        <w:jc w:val="center"/>
        <w:rPr>
          <w:lang w:eastAsia="ko-KR"/>
        </w:rPr>
      </w:pPr>
    </w:p>
    <w:p w14:paraId="5D48B783" w14:textId="07EBCB1E" w:rsidR="00DA7595" w:rsidRPr="00051E1E" w:rsidRDefault="00EA0BBD" w:rsidP="00DA7595">
      <w:pPr>
        <w:jc w:val="center"/>
        <w:rPr>
          <w:lang w:eastAsia="ko-KR"/>
        </w:rPr>
      </w:pPr>
      <w:r>
        <w:rPr>
          <w:lang w:eastAsia="ko-KR"/>
        </w:rPr>
        <w:t>Chairman, DG on AI 1.</w:t>
      </w:r>
      <w:r w:rsidR="00164430">
        <w:rPr>
          <w:lang w:eastAsia="ko-KR"/>
        </w:rPr>
        <w:t>10</w:t>
      </w:r>
    </w:p>
    <w:p w14:paraId="49B50650" w14:textId="77777777" w:rsidR="007E7497" w:rsidRPr="00B355DB" w:rsidRDefault="007E7497" w:rsidP="007E7497">
      <w:pPr>
        <w:jc w:val="center"/>
        <w:rPr>
          <w:caps/>
        </w:rPr>
      </w:pPr>
    </w:p>
    <w:p w14:paraId="40C01037" w14:textId="521CE6E5" w:rsidR="007E7497" w:rsidRPr="00F22892" w:rsidRDefault="00EA0BBD" w:rsidP="007E7497">
      <w:pPr>
        <w:jc w:val="center"/>
        <w:rPr>
          <w:b/>
          <w:bCs/>
          <w:caps/>
        </w:rPr>
      </w:pPr>
      <w:r>
        <w:rPr>
          <w:b/>
          <w:bCs/>
          <w:caps/>
        </w:rPr>
        <w:t xml:space="preserve">brief </w:t>
      </w:r>
      <w:r w:rsidR="00EC249E">
        <w:rPr>
          <w:b/>
          <w:bCs/>
          <w:caps/>
        </w:rPr>
        <w:t>o</w:t>
      </w:r>
      <w:r>
        <w:rPr>
          <w:b/>
          <w:bCs/>
          <w:caps/>
        </w:rPr>
        <w:t>n</w:t>
      </w:r>
      <w:r w:rsidR="00EC249E">
        <w:rPr>
          <w:b/>
          <w:bCs/>
          <w:caps/>
        </w:rPr>
        <w:t xml:space="preserve"> </w:t>
      </w:r>
      <w:r>
        <w:rPr>
          <w:b/>
          <w:bCs/>
          <w:caps/>
        </w:rPr>
        <w:t>wrc-23</w:t>
      </w:r>
      <w:r w:rsidR="00EC249E">
        <w:rPr>
          <w:b/>
          <w:bCs/>
          <w:caps/>
        </w:rPr>
        <w:t xml:space="preserve"> </w:t>
      </w:r>
      <w:r>
        <w:rPr>
          <w:b/>
          <w:bCs/>
          <w:caps/>
        </w:rPr>
        <w:t>agenda item 1.</w:t>
      </w:r>
      <w:r w:rsidR="00164430">
        <w:rPr>
          <w:b/>
          <w:bCs/>
          <w:caps/>
        </w:rPr>
        <w:t>10</w:t>
      </w:r>
    </w:p>
    <w:p w14:paraId="233AF010" w14:textId="77777777" w:rsidR="007E7497" w:rsidRPr="005E3896" w:rsidRDefault="007E7497" w:rsidP="007E7497">
      <w:pPr>
        <w:jc w:val="both"/>
        <w:rPr>
          <w:bCs/>
          <w:sz w:val="6"/>
        </w:rPr>
      </w:pPr>
    </w:p>
    <w:p w14:paraId="271866BD" w14:textId="77777777" w:rsidR="00D84CEE" w:rsidRPr="00D84CEE" w:rsidRDefault="00D84CEE" w:rsidP="00D84CEE">
      <w:pPr>
        <w:jc w:val="both"/>
        <w:rPr>
          <w:sz w:val="10"/>
        </w:rPr>
      </w:pPr>
    </w:p>
    <w:p w14:paraId="6E2A1ABA" w14:textId="77777777" w:rsidR="00EC249E" w:rsidRDefault="00EC249E" w:rsidP="00E5341E">
      <w:pPr>
        <w:spacing w:after="120"/>
        <w:jc w:val="both"/>
        <w:rPr>
          <w:b/>
          <w:lang w:val="en-NZ"/>
        </w:rPr>
      </w:pPr>
    </w:p>
    <w:p w14:paraId="60504901" w14:textId="177A8D24" w:rsidR="00EC249E" w:rsidRPr="00C17F93" w:rsidRDefault="00EC249E" w:rsidP="00EC249E">
      <w:pPr>
        <w:jc w:val="both"/>
      </w:pPr>
      <w:r w:rsidRPr="00C17F93">
        <w:t>(</w:t>
      </w:r>
      <w:r w:rsidR="00615999">
        <w:t xml:space="preserve">Note: </w:t>
      </w:r>
      <w:r w:rsidR="00615999" w:rsidRPr="00615999">
        <w:rPr>
          <w:i/>
          <w:iCs/>
        </w:rPr>
        <w:t>This brief was developed for information purpose only. It does not necessarily express the view of APG-23</w:t>
      </w:r>
      <w:r w:rsidRPr="00C17F93">
        <w:t>)</w:t>
      </w:r>
    </w:p>
    <w:p w14:paraId="030D99E3" w14:textId="77777777" w:rsidR="00EC249E" w:rsidRDefault="00EC249E" w:rsidP="00E5341E">
      <w:pPr>
        <w:spacing w:after="120"/>
        <w:jc w:val="both"/>
        <w:rPr>
          <w:b/>
        </w:rPr>
      </w:pPr>
    </w:p>
    <w:p w14:paraId="4E1693DC" w14:textId="2C11146A" w:rsidR="00615999" w:rsidRPr="00441526" w:rsidRDefault="00615999" w:rsidP="00615999">
      <w:pPr>
        <w:spacing w:after="120"/>
        <w:jc w:val="both"/>
        <w:rPr>
          <w:lang w:val="en-NZ"/>
        </w:rPr>
      </w:pPr>
      <w:r w:rsidRPr="00441526">
        <w:rPr>
          <w:b/>
          <w:lang w:val="en-NZ"/>
        </w:rPr>
        <w:t>Agenda Item 1.</w:t>
      </w:r>
      <w:r w:rsidR="00164430">
        <w:rPr>
          <w:b/>
          <w:lang w:val="en-NZ"/>
        </w:rPr>
        <w:t>10</w:t>
      </w:r>
      <w:r w:rsidRPr="00441526">
        <w:rPr>
          <w:b/>
          <w:lang w:val="en-NZ"/>
        </w:rPr>
        <w:t xml:space="preserve">: </w:t>
      </w:r>
    </w:p>
    <w:p w14:paraId="53333B28" w14:textId="466DE325" w:rsidR="00615999" w:rsidRPr="00441526" w:rsidRDefault="00164430" w:rsidP="00615999">
      <w:pPr>
        <w:spacing w:after="120"/>
        <w:jc w:val="both"/>
        <w:rPr>
          <w:i/>
          <w:lang w:val="en-NZ"/>
        </w:rPr>
      </w:pPr>
      <w:r w:rsidRPr="00164430">
        <w:rPr>
          <w:i/>
          <w:lang w:val="en-NZ"/>
        </w:rPr>
        <w:t>to conduct studies on spectrum needs, coexistence with radiocommunication services and regulatory measures for possible new allocations for the aeronautical mobile service for the use of non-safety aeronautical mobile applications, in accordance with Resolution 430 (WRC 19</w:t>
      </w:r>
      <w:proofErr w:type="gramStart"/>
      <w:r w:rsidRPr="00164430">
        <w:rPr>
          <w:i/>
          <w:lang w:val="en-NZ"/>
        </w:rPr>
        <w:t>);</w:t>
      </w:r>
      <w:proofErr w:type="gramEnd"/>
    </w:p>
    <w:p w14:paraId="3BD549DE" w14:textId="56FA60BB" w:rsidR="0037421D" w:rsidRPr="00615999" w:rsidRDefault="00615999" w:rsidP="00E5341E">
      <w:pPr>
        <w:spacing w:after="120"/>
        <w:jc w:val="both"/>
        <w:rPr>
          <w:b/>
          <w:lang w:val="en-NZ"/>
        </w:rPr>
      </w:pPr>
      <w:r>
        <w:rPr>
          <w:b/>
          <w:lang w:val="en-NZ"/>
        </w:rPr>
        <w:t>Relevant Resolutions and Responsible/Contributing ITU-R Groups</w:t>
      </w:r>
    </w:p>
    <w:p w14:paraId="007FB088" w14:textId="6D900A4A" w:rsidR="0037421D" w:rsidRPr="00615999" w:rsidRDefault="00615999" w:rsidP="00E5341E">
      <w:pPr>
        <w:spacing w:after="120"/>
        <w:jc w:val="both"/>
        <w:rPr>
          <w:bCs/>
        </w:rPr>
      </w:pPr>
      <w:r>
        <w:rPr>
          <w:bCs/>
        </w:rPr>
        <w:t>[</w:t>
      </w:r>
      <w:r w:rsidRPr="00615999">
        <w:rPr>
          <w:i/>
          <w:iCs/>
        </w:rPr>
        <w:t>The text</w:t>
      </w:r>
      <w:r>
        <w:rPr>
          <w:i/>
          <w:iCs/>
        </w:rPr>
        <w:t>s in this section</w:t>
      </w:r>
      <w:r w:rsidRPr="00615999">
        <w:rPr>
          <w:i/>
          <w:iCs/>
        </w:rPr>
        <w:t xml:space="preserve"> should be the same as CA251, CA251A1 and CA 251C1. Cut and paste</w:t>
      </w:r>
      <w:r>
        <w:rPr>
          <w:bCs/>
        </w:rPr>
        <w:t>]</w:t>
      </w:r>
    </w:p>
    <w:p w14:paraId="3DA40495" w14:textId="7BABE2C5" w:rsidR="0037421D" w:rsidRPr="00615999" w:rsidRDefault="00615999" w:rsidP="00E5341E">
      <w:pPr>
        <w:spacing w:after="120"/>
        <w:jc w:val="both"/>
        <w:rPr>
          <w:bCs/>
        </w:rPr>
      </w:pPr>
      <w:r>
        <w:rPr>
          <w:bCs/>
        </w:rPr>
        <w:t>Example: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D06742" w:rsidRPr="00D06742" w14:paraId="4A1CA755" w14:textId="77777777" w:rsidTr="00041163">
        <w:trPr>
          <w:jc w:val="center"/>
        </w:trPr>
        <w:tc>
          <w:tcPr>
            <w:tcW w:w="2287" w:type="dxa"/>
          </w:tcPr>
          <w:p w14:paraId="0143EDD6" w14:textId="7F9AD65D" w:rsidR="00AA2589" w:rsidRPr="00CD4436" w:rsidRDefault="00AA2589" w:rsidP="00CD443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eastAsia="SimSun" w:hAnsi="Calibri" w:cs="Calibri"/>
                <w:sz w:val="20"/>
                <w:szCs w:val="22"/>
                <w:lang w:eastAsia="nl-NL"/>
              </w:rPr>
            </w:pPr>
            <w:r w:rsidRPr="00CD4436">
              <w:rPr>
                <w:rFonts w:ascii="Calibri" w:eastAsia="SimSun" w:hAnsi="Calibri" w:cs="Calibri"/>
                <w:sz w:val="20"/>
                <w:szCs w:val="22"/>
                <w:lang w:eastAsia="nl-NL"/>
              </w:rPr>
              <w:t>Resolution</w:t>
            </w:r>
            <w:r w:rsidRPr="00CD4436">
              <w:rPr>
                <w:rFonts w:ascii="Calibri" w:eastAsia="SimSun" w:hAnsi="Calibri" w:cs="Calibri"/>
                <w:b/>
                <w:bCs/>
                <w:sz w:val="20"/>
                <w:szCs w:val="22"/>
                <w:lang w:eastAsia="nl-NL"/>
              </w:rPr>
              <w:t xml:space="preserve"> 430 (WRC</w:t>
            </w:r>
            <w:r w:rsidR="00CD4436" w:rsidRPr="00CD4436">
              <w:rPr>
                <w:rFonts w:ascii="Calibri" w:eastAsia="SimSun" w:hAnsi="Calibri" w:cs="Calibri" w:hint="eastAsia"/>
                <w:b/>
                <w:bCs/>
                <w:sz w:val="20"/>
                <w:szCs w:val="22"/>
                <w:lang w:eastAsia="nl-NL"/>
              </w:rPr>
              <w:t>-</w:t>
            </w:r>
            <w:r w:rsidRPr="00CD4436">
              <w:rPr>
                <w:rFonts w:ascii="Calibri" w:eastAsia="SimSun" w:hAnsi="Calibri" w:cs="Calibri"/>
                <w:b/>
                <w:bCs/>
                <w:sz w:val="20"/>
                <w:szCs w:val="22"/>
                <w:lang w:eastAsia="nl-NL"/>
              </w:rPr>
              <w:t>19)</w:t>
            </w:r>
          </w:p>
          <w:p w14:paraId="17BFA2B7" w14:textId="2607DFA5" w:rsidR="00615999" w:rsidRPr="00D06742" w:rsidRDefault="00AA2589" w:rsidP="00CD443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Batang"/>
                <w:color w:val="FF0000"/>
                <w:lang w:eastAsia="nl-NL"/>
              </w:rPr>
            </w:pPr>
            <w:r w:rsidRPr="00CD4436">
              <w:rPr>
                <w:rFonts w:ascii="Calibri" w:eastAsia="SimSun" w:hAnsi="Calibri" w:cs="Calibri"/>
                <w:sz w:val="20"/>
                <w:szCs w:val="22"/>
                <w:lang w:eastAsia="nl-NL"/>
              </w:rPr>
              <w:t>Studies on frequency-related matters, including possible additional allocations, for the possible introduction of new non-safety aeronautical mobile applications</w:t>
            </w:r>
          </w:p>
        </w:tc>
        <w:tc>
          <w:tcPr>
            <w:tcW w:w="6922" w:type="dxa"/>
          </w:tcPr>
          <w:p w14:paraId="2D937721" w14:textId="77777777" w:rsidR="009A403B" w:rsidRPr="009A403B" w:rsidRDefault="00615999" w:rsidP="00CD4436">
            <w:pPr>
              <w:spacing w:before="40" w:after="40"/>
              <w:ind w:firstLineChars="400" w:firstLine="800"/>
              <w:rPr>
                <w:rFonts w:ascii="Calibri" w:eastAsia="SimSun" w:hAnsi="Calibri" w:cs="Calibri"/>
                <w:i/>
                <w:iCs/>
                <w:sz w:val="20"/>
                <w:szCs w:val="22"/>
              </w:rPr>
            </w:pPr>
            <w:r w:rsidRPr="009A403B">
              <w:rPr>
                <w:rFonts w:ascii="Calibri" w:eastAsia="SimSun" w:hAnsi="Calibri" w:cs="Calibri"/>
                <w:i/>
                <w:iCs/>
                <w:sz w:val="20"/>
                <w:szCs w:val="22"/>
              </w:rPr>
              <w:t>resolves</w:t>
            </w:r>
            <w:r w:rsidR="009A403B" w:rsidRPr="009A403B">
              <w:rPr>
                <w:rFonts w:ascii="Calibri" w:eastAsia="SimSun" w:hAnsi="Calibri" w:cs="Calibri"/>
                <w:i/>
                <w:iCs/>
                <w:sz w:val="20"/>
                <w:szCs w:val="22"/>
              </w:rPr>
              <w:t xml:space="preserve"> to invite ITU</w:t>
            </w:r>
            <w:r w:rsidR="009A403B" w:rsidRPr="009A403B">
              <w:rPr>
                <w:rFonts w:ascii="Calibri" w:eastAsia="SimSun" w:hAnsi="Calibri" w:cs="Calibri"/>
                <w:i/>
                <w:iCs/>
                <w:sz w:val="20"/>
                <w:szCs w:val="22"/>
              </w:rPr>
              <w:noBreakHyphen/>
            </w:r>
            <w:proofErr w:type="gramStart"/>
            <w:r w:rsidR="009A403B" w:rsidRPr="009A403B">
              <w:rPr>
                <w:rFonts w:ascii="Calibri" w:eastAsia="SimSun" w:hAnsi="Calibri" w:cs="Calibri"/>
                <w:i/>
                <w:iCs/>
                <w:sz w:val="20"/>
                <w:szCs w:val="22"/>
              </w:rPr>
              <w:t>R</w:t>
            </w:r>
            <w:proofErr w:type="gramEnd"/>
          </w:p>
          <w:p w14:paraId="0D4DF5BF" w14:textId="77777777" w:rsidR="009A403B" w:rsidRPr="009A403B" w:rsidRDefault="009A403B" w:rsidP="009A403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Calibri" w:eastAsia="SimSun" w:hAnsi="Calibri" w:cs="Calibri"/>
                <w:sz w:val="20"/>
                <w:szCs w:val="22"/>
                <w:lang w:eastAsia="nl-NL"/>
              </w:rPr>
            </w:pPr>
            <w:r w:rsidRPr="009A403B">
              <w:rPr>
                <w:rFonts w:ascii="Calibri" w:eastAsia="SimSun" w:hAnsi="Calibri" w:cs="Calibri"/>
                <w:sz w:val="20"/>
                <w:szCs w:val="22"/>
                <w:lang w:eastAsia="nl-NL"/>
              </w:rPr>
              <w:t>to conduct, and complete in time for WRC-23:</w:t>
            </w:r>
          </w:p>
          <w:p w14:paraId="02D9622E" w14:textId="77777777" w:rsidR="009A403B" w:rsidRPr="009A403B" w:rsidRDefault="009A403B" w:rsidP="009A403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Calibri" w:eastAsia="SimSun" w:hAnsi="Calibri" w:cs="Calibri"/>
                <w:sz w:val="20"/>
                <w:szCs w:val="22"/>
                <w:lang w:eastAsia="nl-NL"/>
              </w:rPr>
            </w:pPr>
            <w:r w:rsidRPr="009A403B">
              <w:rPr>
                <w:rFonts w:ascii="Calibri" w:eastAsia="SimSun" w:hAnsi="Calibri" w:cs="Calibri"/>
                <w:sz w:val="20"/>
                <w:szCs w:val="22"/>
                <w:lang w:eastAsia="nl-NL"/>
              </w:rPr>
              <w:t>1</w:t>
            </w:r>
            <w:r w:rsidRPr="009A403B">
              <w:rPr>
                <w:rFonts w:ascii="Calibri" w:eastAsia="SimSun" w:hAnsi="Calibri" w:cs="Calibri"/>
                <w:sz w:val="20"/>
                <w:szCs w:val="22"/>
                <w:lang w:eastAsia="nl-NL"/>
              </w:rPr>
              <w:tab/>
            </w:r>
            <w:proofErr w:type="gramStart"/>
            <w:r w:rsidRPr="009A403B">
              <w:rPr>
                <w:rFonts w:ascii="Calibri" w:eastAsia="SimSun" w:hAnsi="Calibri" w:cs="Calibri"/>
                <w:sz w:val="20"/>
                <w:szCs w:val="22"/>
                <w:lang w:eastAsia="nl-NL"/>
              </w:rPr>
              <w:t>studies</w:t>
            </w:r>
            <w:proofErr w:type="gramEnd"/>
            <w:r w:rsidRPr="009A403B">
              <w:rPr>
                <w:rFonts w:ascii="Calibri" w:eastAsia="SimSun" w:hAnsi="Calibri" w:cs="Calibri"/>
                <w:sz w:val="20"/>
                <w:szCs w:val="22"/>
                <w:lang w:eastAsia="nl-NL"/>
              </w:rPr>
              <w:t xml:space="preserve"> on spectrum needs for new non-safety aeronautical mobile applications for air-to-air, ground-to-air and air-to-ground communications of aircraft systems;</w:t>
            </w:r>
          </w:p>
          <w:p w14:paraId="68981E41" w14:textId="77777777" w:rsidR="009A403B" w:rsidRPr="009A403B" w:rsidRDefault="009A403B" w:rsidP="009A403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Calibri" w:eastAsia="SimSun" w:hAnsi="Calibri" w:cs="Calibri"/>
                <w:sz w:val="20"/>
                <w:szCs w:val="22"/>
                <w:lang w:eastAsia="nl-NL"/>
              </w:rPr>
            </w:pPr>
            <w:r w:rsidRPr="009A403B">
              <w:rPr>
                <w:rFonts w:ascii="Calibri" w:eastAsia="SimSun" w:hAnsi="Calibri" w:cs="Calibri"/>
                <w:sz w:val="20"/>
                <w:szCs w:val="22"/>
                <w:lang w:eastAsia="nl-NL"/>
              </w:rPr>
              <w:t>2</w:t>
            </w:r>
            <w:r w:rsidRPr="009A403B">
              <w:rPr>
                <w:rFonts w:ascii="Calibri" w:eastAsia="SimSun" w:hAnsi="Calibri" w:cs="Calibri"/>
                <w:sz w:val="20"/>
                <w:szCs w:val="22"/>
                <w:lang w:eastAsia="nl-NL"/>
              </w:rPr>
              <w:tab/>
              <w:t xml:space="preserve">sharing and compatibility studies in the frequency band 22-22.21 GHz, already allocated on a primary basis to the mobile, except aeronautical mobile, service, in order to evaluate the possible revision or deletion of the “except aeronautical mobile” restriction while ensuring the protection of primary services in the considered frequency bands and, as appropriate, in adjacent frequency </w:t>
            </w:r>
            <w:proofErr w:type="gramStart"/>
            <w:r w:rsidRPr="009A403B">
              <w:rPr>
                <w:rFonts w:ascii="Calibri" w:eastAsia="SimSun" w:hAnsi="Calibri" w:cs="Calibri"/>
                <w:sz w:val="20"/>
                <w:szCs w:val="22"/>
                <w:lang w:eastAsia="nl-NL"/>
              </w:rPr>
              <w:t>bands;</w:t>
            </w:r>
            <w:proofErr w:type="gramEnd"/>
          </w:p>
          <w:p w14:paraId="2ECD8F84" w14:textId="77777777" w:rsidR="009A403B" w:rsidRPr="009A403B" w:rsidRDefault="009A403B" w:rsidP="009A403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Calibri" w:eastAsia="SimSun" w:hAnsi="Calibri" w:cs="Calibri"/>
                <w:sz w:val="20"/>
                <w:szCs w:val="22"/>
                <w:lang w:eastAsia="nl-NL"/>
              </w:rPr>
            </w:pPr>
            <w:r w:rsidRPr="009A403B">
              <w:rPr>
                <w:rFonts w:ascii="Calibri" w:eastAsia="SimSun" w:hAnsi="Calibri" w:cs="Calibri"/>
                <w:sz w:val="20"/>
                <w:szCs w:val="22"/>
                <w:lang w:eastAsia="nl-NL"/>
              </w:rPr>
              <w:t>3</w:t>
            </w:r>
            <w:r w:rsidRPr="009A403B">
              <w:rPr>
                <w:rFonts w:ascii="Calibri" w:eastAsia="SimSun" w:hAnsi="Calibri" w:cs="Calibri"/>
                <w:sz w:val="20"/>
                <w:szCs w:val="22"/>
                <w:lang w:eastAsia="nl-NL"/>
              </w:rPr>
              <w:tab/>
              <w:t xml:space="preserve">sharing and compatibility studies on possible new primary allocations to the aeronautical mobile service for non-safety aeronautical applications in the frequency band 15.4-15.7 GHz, while ensuring the protection of primary services in the considered frequency bands and, as appropriate, adjacent frequency </w:t>
            </w:r>
            <w:proofErr w:type="gramStart"/>
            <w:r w:rsidRPr="009A403B">
              <w:rPr>
                <w:rFonts w:ascii="Calibri" w:eastAsia="SimSun" w:hAnsi="Calibri" w:cs="Calibri"/>
                <w:sz w:val="20"/>
                <w:szCs w:val="22"/>
                <w:lang w:eastAsia="nl-NL"/>
              </w:rPr>
              <w:t>bands;</w:t>
            </w:r>
            <w:proofErr w:type="gramEnd"/>
          </w:p>
          <w:p w14:paraId="1F0774A6" w14:textId="77777777" w:rsidR="009A403B" w:rsidRPr="009A403B" w:rsidRDefault="009A403B" w:rsidP="009A403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Calibri" w:eastAsia="SimSun" w:hAnsi="Calibri" w:cs="Calibri"/>
                <w:sz w:val="20"/>
                <w:szCs w:val="22"/>
                <w:lang w:eastAsia="nl-NL"/>
              </w:rPr>
            </w:pPr>
            <w:r w:rsidRPr="009A403B">
              <w:rPr>
                <w:rFonts w:ascii="Calibri" w:eastAsia="SimSun" w:hAnsi="Calibri" w:cs="Calibri"/>
                <w:sz w:val="20"/>
                <w:szCs w:val="22"/>
                <w:lang w:eastAsia="nl-NL"/>
              </w:rPr>
              <w:t>4</w:t>
            </w:r>
            <w:r w:rsidRPr="009A403B">
              <w:rPr>
                <w:rFonts w:ascii="Calibri" w:eastAsia="SimSun" w:hAnsi="Calibri" w:cs="Calibri"/>
                <w:sz w:val="20"/>
                <w:szCs w:val="22"/>
                <w:lang w:eastAsia="nl-NL"/>
              </w:rPr>
              <w:tab/>
              <w:t>definition of appropriate protection for passive services and radio astronomy allocated in adjacent bands from unwanted emission of AMS,</w:t>
            </w:r>
          </w:p>
          <w:p w14:paraId="7C12D8E5" w14:textId="77777777" w:rsidR="009A403B" w:rsidRPr="009A403B" w:rsidRDefault="009A403B" w:rsidP="009A403B">
            <w:pPr>
              <w:keepNext/>
              <w:keepLines/>
              <w:tabs>
                <w:tab w:val="left" w:pos="794"/>
                <w:tab w:val="left" w:pos="1191"/>
                <w:tab w:val="left" w:pos="1588"/>
                <w:tab w:val="left" w:pos="1985"/>
              </w:tabs>
              <w:overflowPunct w:val="0"/>
              <w:autoSpaceDE w:val="0"/>
              <w:autoSpaceDN w:val="0"/>
              <w:adjustRightInd w:val="0"/>
              <w:spacing w:before="40" w:after="40" w:line="280" w:lineRule="exact"/>
              <w:ind w:left="794"/>
              <w:jc w:val="both"/>
              <w:textAlignment w:val="baseline"/>
              <w:rPr>
                <w:rFonts w:ascii="Calibri" w:eastAsia="SimSun" w:hAnsi="Calibri" w:cs="Calibri"/>
                <w:i/>
                <w:iCs/>
                <w:sz w:val="20"/>
                <w:szCs w:val="22"/>
              </w:rPr>
            </w:pPr>
            <w:r w:rsidRPr="009A403B">
              <w:rPr>
                <w:rFonts w:ascii="Calibri" w:eastAsia="SimSun" w:hAnsi="Calibri" w:cs="Calibri"/>
                <w:i/>
                <w:iCs/>
                <w:sz w:val="20"/>
                <w:szCs w:val="22"/>
              </w:rPr>
              <w:t>invites the 2023 World Radiocommunication Conference</w:t>
            </w:r>
          </w:p>
          <w:p w14:paraId="7A17CC2A" w14:textId="77777777" w:rsidR="009A403B" w:rsidRPr="009A403B" w:rsidRDefault="009A403B" w:rsidP="009A403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Calibri" w:eastAsia="SimSun" w:hAnsi="Calibri" w:cs="Calibri"/>
                <w:sz w:val="20"/>
                <w:szCs w:val="22"/>
                <w:lang w:eastAsia="nl-NL"/>
              </w:rPr>
            </w:pPr>
            <w:r w:rsidRPr="009A403B">
              <w:rPr>
                <w:rFonts w:ascii="Calibri" w:eastAsia="SimSun" w:hAnsi="Calibri" w:cs="Calibri"/>
                <w:sz w:val="20"/>
                <w:szCs w:val="22"/>
                <w:lang w:eastAsia="nl-NL"/>
              </w:rPr>
              <w:t>to review the results of the ITU</w:t>
            </w:r>
            <w:r w:rsidRPr="009A403B">
              <w:rPr>
                <w:rFonts w:ascii="Calibri" w:eastAsia="SimSun" w:hAnsi="Calibri" w:cs="Calibri"/>
                <w:sz w:val="20"/>
                <w:szCs w:val="22"/>
                <w:lang w:eastAsia="nl-NL"/>
              </w:rPr>
              <w:noBreakHyphen/>
              <w:t>R studies and take appropriate actions,</w:t>
            </w:r>
          </w:p>
          <w:p w14:paraId="7E005493" w14:textId="77777777" w:rsidR="009A403B" w:rsidRPr="009A403B" w:rsidRDefault="009A403B" w:rsidP="009A403B">
            <w:pPr>
              <w:keepNext/>
              <w:keepLines/>
              <w:tabs>
                <w:tab w:val="left" w:pos="794"/>
                <w:tab w:val="left" w:pos="1191"/>
                <w:tab w:val="left" w:pos="1588"/>
                <w:tab w:val="left" w:pos="1985"/>
              </w:tabs>
              <w:overflowPunct w:val="0"/>
              <w:autoSpaceDE w:val="0"/>
              <w:autoSpaceDN w:val="0"/>
              <w:adjustRightInd w:val="0"/>
              <w:spacing w:before="40" w:after="40" w:line="280" w:lineRule="exact"/>
              <w:ind w:left="794"/>
              <w:jc w:val="both"/>
              <w:textAlignment w:val="baseline"/>
              <w:rPr>
                <w:rFonts w:ascii="Calibri" w:eastAsia="SimSun" w:hAnsi="Calibri" w:cs="Calibri"/>
                <w:i/>
                <w:iCs/>
                <w:sz w:val="20"/>
                <w:szCs w:val="22"/>
              </w:rPr>
            </w:pPr>
            <w:r w:rsidRPr="009A403B">
              <w:rPr>
                <w:rFonts w:ascii="Calibri" w:eastAsia="SimSun" w:hAnsi="Calibri" w:cs="Calibri"/>
                <w:i/>
                <w:iCs/>
                <w:sz w:val="20"/>
                <w:szCs w:val="22"/>
              </w:rPr>
              <w:t xml:space="preserve">invites </w:t>
            </w:r>
            <w:proofErr w:type="gramStart"/>
            <w:r w:rsidRPr="009A403B">
              <w:rPr>
                <w:rFonts w:ascii="Calibri" w:eastAsia="SimSun" w:hAnsi="Calibri" w:cs="Calibri"/>
                <w:i/>
                <w:iCs/>
                <w:sz w:val="20"/>
                <w:szCs w:val="22"/>
              </w:rPr>
              <w:t>administrations</w:t>
            </w:r>
            <w:proofErr w:type="gramEnd"/>
          </w:p>
          <w:p w14:paraId="23E60363" w14:textId="6DB98C34" w:rsidR="00615999" w:rsidRPr="00D06742" w:rsidRDefault="009A403B" w:rsidP="009A403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Batang"/>
                <w:color w:val="FF0000"/>
                <w:lang w:eastAsia="nl-NL"/>
              </w:rPr>
            </w:pPr>
            <w:r w:rsidRPr="009A403B">
              <w:rPr>
                <w:rFonts w:ascii="Calibri" w:eastAsia="SimSun" w:hAnsi="Calibri" w:cs="Calibri"/>
                <w:sz w:val="20"/>
                <w:szCs w:val="22"/>
                <w:lang w:eastAsia="nl-NL"/>
              </w:rPr>
              <w:t>to participate actively in the studies by submitting contributions to ITU</w:t>
            </w:r>
            <w:r w:rsidRPr="009A403B">
              <w:rPr>
                <w:rFonts w:ascii="Calibri" w:eastAsia="SimSun" w:hAnsi="Calibri" w:cs="Calibri"/>
                <w:sz w:val="20"/>
                <w:szCs w:val="22"/>
                <w:lang w:eastAsia="nl-NL"/>
              </w:rPr>
              <w:noBreakHyphen/>
              <w:t>R.</w:t>
            </w:r>
          </w:p>
        </w:tc>
      </w:tr>
    </w:tbl>
    <w:p w14:paraId="5850A44A" w14:textId="7DE88827" w:rsidR="0037421D" w:rsidRDefault="0037421D" w:rsidP="00E5341E">
      <w:pPr>
        <w:spacing w:after="120"/>
        <w:jc w:val="both"/>
        <w:rPr>
          <w:b/>
        </w:rPr>
      </w:pPr>
    </w:p>
    <w:tbl>
      <w:tblPr>
        <w:tblStyle w:val="TableGrid"/>
        <w:tblW w:w="0" w:type="auto"/>
        <w:tblInd w:w="-5" w:type="dxa"/>
        <w:tblLook w:val="04A0" w:firstRow="1" w:lastRow="0" w:firstColumn="1" w:lastColumn="0" w:noHBand="0" w:noVBand="1"/>
      </w:tblPr>
      <w:tblGrid>
        <w:gridCol w:w="5113"/>
        <w:gridCol w:w="3908"/>
      </w:tblGrid>
      <w:tr w:rsidR="00D06742" w:rsidRPr="00D06742" w14:paraId="201407FC" w14:textId="77777777" w:rsidTr="00041163">
        <w:tc>
          <w:tcPr>
            <w:tcW w:w="5113" w:type="dxa"/>
          </w:tcPr>
          <w:p w14:paraId="49F372C5" w14:textId="77777777" w:rsidR="00615999" w:rsidRPr="009A403B" w:rsidRDefault="00615999" w:rsidP="00041163">
            <w:pPr>
              <w:rPr>
                <w:color w:val="000000" w:themeColor="text1"/>
              </w:rPr>
            </w:pPr>
            <w:r w:rsidRPr="009A403B">
              <w:rPr>
                <w:rFonts w:eastAsia="Batang"/>
                <w:b/>
                <w:color w:val="000000" w:themeColor="text1"/>
              </w:rPr>
              <w:t>Responsible group</w:t>
            </w:r>
          </w:p>
        </w:tc>
        <w:tc>
          <w:tcPr>
            <w:tcW w:w="3908" w:type="dxa"/>
          </w:tcPr>
          <w:p w14:paraId="1B86DE8A" w14:textId="77777777" w:rsidR="00615999" w:rsidRPr="009A403B" w:rsidRDefault="00615999" w:rsidP="00041163">
            <w:pPr>
              <w:rPr>
                <w:color w:val="000000" w:themeColor="text1"/>
              </w:rPr>
            </w:pPr>
            <w:r w:rsidRPr="009A403B">
              <w:rPr>
                <w:rFonts w:eastAsia="Batang"/>
                <w:b/>
                <w:color w:val="000000" w:themeColor="text1"/>
              </w:rPr>
              <w:t>Contributing group</w:t>
            </w:r>
          </w:p>
        </w:tc>
      </w:tr>
      <w:tr w:rsidR="00D06742" w:rsidRPr="00D06742" w14:paraId="62627DE7" w14:textId="77777777" w:rsidTr="00041163">
        <w:tc>
          <w:tcPr>
            <w:tcW w:w="5113" w:type="dxa"/>
          </w:tcPr>
          <w:p w14:paraId="2FF0C3D0" w14:textId="0A001B7E" w:rsidR="00615999" w:rsidRPr="009A403B" w:rsidRDefault="00615999" w:rsidP="009A403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color w:val="000000" w:themeColor="text1"/>
                <w:lang w:eastAsia="nl-NL"/>
              </w:rPr>
            </w:pPr>
            <w:r w:rsidRPr="009A403B">
              <w:rPr>
                <w:rFonts w:eastAsia="Batang"/>
                <w:b/>
                <w:color w:val="000000" w:themeColor="text1"/>
                <w:lang w:eastAsia="nl-NL"/>
              </w:rPr>
              <w:t>WP 5B</w:t>
            </w:r>
          </w:p>
        </w:tc>
        <w:tc>
          <w:tcPr>
            <w:tcW w:w="3908" w:type="dxa"/>
          </w:tcPr>
          <w:p w14:paraId="4294D2A9" w14:textId="0C193E8A" w:rsidR="00615999" w:rsidRPr="009A403B" w:rsidRDefault="009A403B" w:rsidP="009A403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color w:val="000000" w:themeColor="text1"/>
              </w:rPr>
            </w:pPr>
            <w:r w:rsidRPr="009A403B">
              <w:rPr>
                <w:rFonts w:eastAsia="Batang"/>
                <w:b/>
                <w:color w:val="000000" w:themeColor="text1"/>
                <w:lang w:eastAsia="nl-NL"/>
              </w:rPr>
              <w:t>WP 3K, WP 3M, WP 4A, WP 5A, WP 5C, WP 7C, WP 7D</w:t>
            </w:r>
          </w:p>
        </w:tc>
      </w:tr>
    </w:tbl>
    <w:p w14:paraId="5CBC4012" w14:textId="77777777" w:rsidR="00615999" w:rsidRDefault="00615999" w:rsidP="00E5341E">
      <w:pPr>
        <w:spacing w:after="120"/>
        <w:jc w:val="both"/>
        <w:rPr>
          <w:b/>
        </w:rPr>
      </w:pPr>
    </w:p>
    <w:p w14:paraId="556060EE" w14:textId="5AC2718D" w:rsidR="00D06742" w:rsidRPr="00441526" w:rsidRDefault="00D06742" w:rsidP="00D06742">
      <w:pPr>
        <w:spacing w:after="120"/>
        <w:jc w:val="both"/>
        <w:rPr>
          <w:b/>
          <w:lang w:val="en-NZ" w:eastAsia="ko-KR"/>
        </w:rPr>
      </w:pPr>
      <w:r w:rsidRPr="00441526">
        <w:rPr>
          <w:b/>
          <w:lang w:val="en-NZ" w:eastAsia="ko-KR"/>
        </w:rPr>
        <w:lastRenderedPageBreak/>
        <w:t xml:space="preserve">1. </w:t>
      </w:r>
      <w:r w:rsidRPr="00441526">
        <w:rPr>
          <w:b/>
          <w:lang w:val="en-NZ" w:eastAsia="ko-KR"/>
        </w:rPr>
        <w:tab/>
        <w:t>Background</w:t>
      </w:r>
      <w:r>
        <w:rPr>
          <w:b/>
          <w:lang w:val="en-NZ" w:eastAsia="ko-KR"/>
        </w:rPr>
        <w:t xml:space="preserve"> Information</w:t>
      </w:r>
    </w:p>
    <w:p w14:paraId="641F3064" w14:textId="3FFFF4FA" w:rsidR="00C72CF2" w:rsidRPr="00A0377A" w:rsidRDefault="00C72CF2" w:rsidP="00041FDE">
      <w:pPr>
        <w:spacing w:after="160"/>
        <w:jc w:val="both"/>
        <w:rPr>
          <w:rFonts w:eastAsiaTheme="minorEastAsia"/>
          <w:lang w:eastAsia="zh-CN"/>
        </w:rPr>
      </w:pPr>
      <w:r w:rsidRPr="00A0377A">
        <w:rPr>
          <w:rFonts w:eastAsiaTheme="minorEastAsia" w:hint="eastAsia"/>
          <w:lang w:eastAsia="zh-CN"/>
        </w:rPr>
        <w:t>T</w:t>
      </w:r>
      <w:r w:rsidRPr="00A0377A">
        <w:rPr>
          <w:rFonts w:eastAsiaTheme="minorEastAsia"/>
          <w:lang w:eastAsia="zh-CN"/>
        </w:rPr>
        <w:t>he Agenda Item 1.10 was initiated by CEPT at WRC-19.</w:t>
      </w:r>
    </w:p>
    <w:p w14:paraId="5965EAC4" w14:textId="4A0DC6BE" w:rsidR="00C72CF2" w:rsidRPr="00A0377A" w:rsidRDefault="00A0377A" w:rsidP="00041FDE">
      <w:pPr>
        <w:spacing w:after="160"/>
        <w:jc w:val="both"/>
        <w:rPr>
          <w:rFonts w:eastAsiaTheme="minorEastAsia"/>
          <w:lang w:eastAsia="zh-CN"/>
        </w:rPr>
      </w:pPr>
      <w:r>
        <w:rPr>
          <w:rFonts w:eastAsiaTheme="minorEastAsia"/>
          <w:lang w:eastAsia="zh-CN"/>
        </w:rPr>
        <w:t>I</w:t>
      </w:r>
      <w:r w:rsidRPr="00A0377A">
        <w:rPr>
          <w:rFonts w:eastAsiaTheme="minorEastAsia"/>
          <w:lang w:eastAsia="zh-CN"/>
        </w:rPr>
        <w:t>n the past 20 years</w:t>
      </w:r>
      <w:r>
        <w:rPr>
          <w:rFonts w:eastAsiaTheme="minorEastAsia"/>
          <w:lang w:eastAsia="zh-CN"/>
        </w:rPr>
        <w:t>, t</w:t>
      </w:r>
      <w:r w:rsidR="00F264FC">
        <w:rPr>
          <w:rFonts w:eastAsiaTheme="minorEastAsia"/>
          <w:lang w:eastAsia="zh-CN"/>
        </w:rPr>
        <w:t>h</w:t>
      </w:r>
      <w:r w:rsidR="000A7E35" w:rsidRPr="00A0377A">
        <w:rPr>
          <w:rFonts w:eastAsiaTheme="minorEastAsia"/>
          <w:lang w:eastAsia="zh-CN"/>
        </w:rPr>
        <w:t>e number of aircraft equipped with sensors has grown significantly.</w:t>
      </w:r>
      <w:r w:rsidR="000A7E35" w:rsidRPr="00A0377A">
        <w:rPr>
          <w:rFonts w:eastAsiaTheme="minorEastAsia" w:hint="eastAsia"/>
          <w:lang w:eastAsia="zh-CN"/>
        </w:rPr>
        <w:t xml:space="preserve"> </w:t>
      </w:r>
      <w:r w:rsidR="00C72CF2" w:rsidRPr="00A0377A">
        <w:rPr>
          <w:rFonts w:eastAsiaTheme="minorEastAsia" w:hint="eastAsia"/>
          <w:lang w:eastAsia="zh-CN"/>
        </w:rPr>
        <w:t>T</w:t>
      </w:r>
      <w:r w:rsidR="00C72CF2" w:rsidRPr="00A0377A">
        <w:rPr>
          <w:rFonts w:eastAsiaTheme="minorEastAsia"/>
          <w:lang w:eastAsia="zh-CN"/>
        </w:rPr>
        <w:t xml:space="preserve">he Agenda Item aims to accommodate the </w:t>
      </w:r>
      <w:r>
        <w:rPr>
          <w:rFonts w:eastAsiaTheme="minorEastAsia"/>
          <w:lang w:eastAsia="zh-CN"/>
        </w:rPr>
        <w:t>need</w:t>
      </w:r>
      <w:r w:rsidR="00C72CF2" w:rsidRPr="00A0377A">
        <w:rPr>
          <w:rFonts w:eastAsiaTheme="minorEastAsia"/>
          <w:lang w:eastAsia="zh-CN"/>
        </w:rPr>
        <w:t xml:space="preserve"> for the increasing bidirectional low to high data rate communications between aeronautical stations and aircraft stations, or between aircraft stations. These new aeronautical communications are not related to safety of flights</w:t>
      </w:r>
      <w:r>
        <w:rPr>
          <w:rFonts w:eastAsiaTheme="minorEastAsia"/>
          <w:lang w:eastAsia="zh-CN"/>
        </w:rPr>
        <w:t>.</w:t>
      </w:r>
      <w:r w:rsidR="00C72CF2" w:rsidRPr="00A0377A">
        <w:rPr>
          <w:rFonts w:eastAsiaTheme="minorEastAsia"/>
          <w:lang w:eastAsia="zh-CN"/>
        </w:rPr>
        <w:t xml:space="preserve"> </w:t>
      </w:r>
    </w:p>
    <w:p w14:paraId="241580E9" w14:textId="3A315952" w:rsidR="00A0377A" w:rsidRPr="00A0377A" w:rsidRDefault="00A0377A" w:rsidP="00041FDE">
      <w:pPr>
        <w:spacing w:after="160"/>
        <w:jc w:val="both"/>
        <w:rPr>
          <w:rFonts w:eastAsiaTheme="minorEastAsia"/>
          <w:lang w:eastAsia="zh-CN"/>
        </w:rPr>
      </w:pPr>
      <w:r w:rsidRPr="00A0377A">
        <w:rPr>
          <w:rFonts w:eastAsiaTheme="minorEastAsia"/>
          <w:lang w:eastAsia="zh-CN"/>
        </w:rPr>
        <w:t>Relevant ITU-R Recommendations and Reports</w:t>
      </w:r>
      <w:r>
        <w:rPr>
          <w:rFonts w:eastAsiaTheme="minorEastAsia"/>
          <w:lang w:eastAsia="zh-CN"/>
        </w:rPr>
        <w:t>:</w:t>
      </w:r>
    </w:p>
    <w:tbl>
      <w:tblPr>
        <w:tblStyle w:val="TableGrid"/>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8051"/>
      </w:tblGrid>
      <w:tr w:rsidR="00A0377A" w14:paraId="45386EA3" w14:textId="77777777" w:rsidTr="00DB579B">
        <w:tc>
          <w:tcPr>
            <w:tcW w:w="9865" w:type="dxa"/>
            <w:gridSpan w:val="2"/>
          </w:tcPr>
          <w:p w14:paraId="67FF38F1" w14:textId="77777777" w:rsidR="00A0377A" w:rsidRDefault="00A0377A" w:rsidP="00DB579B">
            <w:r w:rsidRPr="0042529D">
              <w:rPr>
                <w:i/>
                <w:iCs/>
              </w:rPr>
              <w:t>Recommendations</w:t>
            </w:r>
          </w:p>
        </w:tc>
      </w:tr>
      <w:tr w:rsidR="00A0377A" w:rsidRPr="00D57596" w14:paraId="2D078D1C" w14:textId="77777777" w:rsidTr="00DB579B">
        <w:tc>
          <w:tcPr>
            <w:tcW w:w="1814" w:type="dxa"/>
          </w:tcPr>
          <w:p w14:paraId="20F92B13" w14:textId="77777777" w:rsidR="00A0377A" w:rsidRDefault="008D7F5B" w:rsidP="00DB579B">
            <w:hyperlink r:id="rId9" w:history="1">
              <w:r w:rsidR="00A0377A" w:rsidRPr="00427210">
                <w:rPr>
                  <w:rStyle w:val="Hyperlink"/>
                </w:rPr>
                <w:t>ITU-R F.758</w:t>
              </w:r>
            </w:hyperlink>
          </w:p>
        </w:tc>
        <w:tc>
          <w:tcPr>
            <w:tcW w:w="8051" w:type="dxa"/>
          </w:tcPr>
          <w:p w14:paraId="11F632CD" w14:textId="77777777" w:rsidR="00A0377A" w:rsidRPr="00D57596" w:rsidRDefault="00A0377A" w:rsidP="00DB579B">
            <w:r w:rsidRPr="00427210">
              <w:t>System parameters and considerations in the development of criteria for sharing or compatibility between digital fixed wireless systems in the fixed service and systems in other services and other sources of interference</w:t>
            </w:r>
          </w:p>
        </w:tc>
      </w:tr>
      <w:tr w:rsidR="00A0377A" w:rsidRPr="00D57596" w14:paraId="1A95096C" w14:textId="77777777" w:rsidTr="00DB579B">
        <w:tc>
          <w:tcPr>
            <w:tcW w:w="1814" w:type="dxa"/>
          </w:tcPr>
          <w:p w14:paraId="15BD2C36" w14:textId="77777777" w:rsidR="00A0377A" w:rsidRDefault="008D7F5B" w:rsidP="00DB579B">
            <w:hyperlink r:id="rId10" w:history="1">
              <w:r w:rsidR="00A0377A" w:rsidRPr="00423F02">
                <w:rPr>
                  <w:rStyle w:val="Hyperlink"/>
                  <w:rFonts w:eastAsiaTheme="minorEastAsia"/>
                </w:rPr>
                <w:t xml:space="preserve">ITU-R </w:t>
              </w:r>
              <w:r w:rsidR="00A0377A" w:rsidRPr="00423F02">
                <w:rPr>
                  <w:rStyle w:val="Hyperlink"/>
                  <w:rFonts w:eastAsiaTheme="minorEastAsia"/>
                  <w:lang w:eastAsia="zh-CN"/>
                </w:rPr>
                <w:t>M</w:t>
              </w:r>
              <w:r w:rsidR="00A0377A" w:rsidRPr="00423F02">
                <w:rPr>
                  <w:rStyle w:val="Hyperlink"/>
                  <w:rFonts w:eastAsiaTheme="minorEastAsia"/>
                </w:rPr>
                <w:t>.</w:t>
              </w:r>
              <w:r w:rsidR="00A0377A" w:rsidRPr="00423F02">
                <w:rPr>
                  <w:rStyle w:val="Hyperlink"/>
                  <w:rFonts w:eastAsiaTheme="minorEastAsia"/>
                  <w:lang w:eastAsia="zh-CN"/>
                </w:rPr>
                <w:t>1730</w:t>
              </w:r>
            </w:hyperlink>
          </w:p>
        </w:tc>
        <w:tc>
          <w:tcPr>
            <w:tcW w:w="8051" w:type="dxa"/>
          </w:tcPr>
          <w:p w14:paraId="1555E092" w14:textId="77777777" w:rsidR="00A0377A" w:rsidRPr="00D57596" w:rsidRDefault="00A0377A" w:rsidP="00DB579B">
            <w:r w:rsidRPr="0042529D">
              <w:t>Characteristics of and protection criteria for the radiolocation service in the frequency band 15.4-17.3 GHz</w:t>
            </w:r>
          </w:p>
        </w:tc>
      </w:tr>
      <w:tr w:rsidR="00A0377A" w14:paraId="0B148AC1" w14:textId="77777777" w:rsidTr="00DB579B">
        <w:tc>
          <w:tcPr>
            <w:tcW w:w="1814" w:type="dxa"/>
          </w:tcPr>
          <w:p w14:paraId="6297398B" w14:textId="77777777" w:rsidR="00A0377A" w:rsidRDefault="008D7F5B" w:rsidP="00DB579B">
            <w:hyperlink r:id="rId11" w:history="1">
              <w:r w:rsidR="00A0377A" w:rsidRPr="00423F02">
                <w:rPr>
                  <w:rStyle w:val="Hyperlink"/>
                </w:rPr>
                <w:t xml:space="preserve">ITU-R </w:t>
              </w:r>
              <w:r w:rsidR="00A0377A" w:rsidRPr="00423F02">
                <w:rPr>
                  <w:rStyle w:val="Hyperlink"/>
                  <w:spacing w:val="-2"/>
                </w:rPr>
                <w:t>RA.517</w:t>
              </w:r>
            </w:hyperlink>
          </w:p>
        </w:tc>
        <w:tc>
          <w:tcPr>
            <w:tcW w:w="8051" w:type="dxa"/>
          </w:tcPr>
          <w:p w14:paraId="5E876402" w14:textId="77777777" w:rsidR="00A0377A" w:rsidRDefault="00A0377A" w:rsidP="00DB579B">
            <w:r w:rsidRPr="00D57596">
              <w:t>Protection of the radio astronomy service from transmitters operating in adjacent bands.</w:t>
            </w:r>
            <w:r>
              <w:t xml:space="preserve"> </w:t>
            </w:r>
          </w:p>
        </w:tc>
      </w:tr>
      <w:tr w:rsidR="00A0377A" w:rsidRPr="00E3000D" w14:paraId="273B943B" w14:textId="77777777" w:rsidTr="00DB579B">
        <w:tc>
          <w:tcPr>
            <w:tcW w:w="1814" w:type="dxa"/>
          </w:tcPr>
          <w:p w14:paraId="2E1BC26A" w14:textId="77777777" w:rsidR="00A0377A" w:rsidRPr="00E3000D" w:rsidRDefault="008D7F5B" w:rsidP="00DB579B">
            <w:hyperlink r:id="rId12" w:history="1">
              <w:r w:rsidR="00A0377A" w:rsidRPr="00423F02">
                <w:rPr>
                  <w:rStyle w:val="Hyperlink"/>
                </w:rPr>
                <w:t>ITU-R RA.769</w:t>
              </w:r>
            </w:hyperlink>
          </w:p>
        </w:tc>
        <w:tc>
          <w:tcPr>
            <w:tcW w:w="8051" w:type="dxa"/>
          </w:tcPr>
          <w:p w14:paraId="79FE2E1A" w14:textId="77777777" w:rsidR="00A0377A" w:rsidRPr="00E3000D" w:rsidRDefault="00A0377A" w:rsidP="00DB579B">
            <w:r w:rsidRPr="00E3000D">
              <w:t>Protection criteria used for radio astronomical measurements</w:t>
            </w:r>
          </w:p>
        </w:tc>
      </w:tr>
      <w:tr w:rsidR="00A0377A" w:rsidRPr="00D57596" w14:paraId="773FF1C4" w14:textId="77777777" w:rsidTr="00DB579B">
        <w:tc>
          <w:tcPr>
            <w:tcW w:w="1814" w:type="dxa"/>
          </w:tcPr>
          <w:p w14:paraId="33B26DC8" w14:textId="77777777" w:rsidR="00A0377A" w:rsidRDefault="008D7F5B" w:rsidP="00DB579B">
            <w:hyperlink r:id="rId13" w:history="1">
              <w:r w:rsidR="00A0377A" w:rsidRPr="00423F02">
                <w:rPr>
                  <w:rStyle w:val="Hyperlink"/>
                </w:rPr>
                <w:t>ITU-R RA.1513</w:t>
              </w:r>
            </w:hyperlink>
          </w:p>
        </w:tc>
        <w:tc>
          <w:tcPr>
            <w:tcW w:w="8051" w:type="dxa"/>
          </w:tcPr>
          <w:p w14:paraId="5F2A5D08" w14:textId="77777777" w:rsidR="00A0377A" w:rsidRPr="00D57596" w:rsidRDefault="00A0377A" w:rsidP="00DB579B">
            <w:r w:rsidRPr="00D57596">
              <w:t>Levels of data loss to radio astronomy observations and percentage-of-time criteria resulting from degradation by interference for frequency bands allocated to the radio astronomy service on a primary basis</w:t>
            </w:r>
          </w:p>
        </w:tc>
      </w:tr>
      <w:tr w:rsidR="00A0377A" w:rsidRPr="00FB398E" w14:paraId="7B53CC3D" w14:textId="77777777" w:rsidTr="00DB579B">
        <w:tc>
          <w:tcPr>
            <w:tcW w:w="1814" w:type="dxa"/>
          </w:tcPr>
          <w:p w14:paraId="6B2AE1B0" w14:textId="77777777" w:rsidR="00A0377A" w:rsidRDefault="008D7F5B" w:rsidP="00DB579B">
            <w:hyperlink r:id="rId14" w:history="1">
              <w:r w:rsidR="00A0377A" w:rsidRPr="00423F02">
                <w:rPr>
                  <w:rStyle w:val="Hyperlink"/>
                </w:rPr>
                <w:t>ITU-R RA.1631</w:t>
              </w:r>
            </w:hyperlink>
          </w:p>
        </w:tc>
        <w:tc>
          <w:tcPr>
            <w:tcW w:w="8051" w:type="dxa"/>
          </w:tcPr>
          <w:p w14:paraId="672115F2" w14:textId="77777777" w:rsidR="00A0377A" w:rsidRPr="00FB398E" w:rsidRDefault="00A0377A" w:rsidP="00DB579B">
            <w:r w:rsidRPr="00D57596">
              <w:t xml:space="preserve">Reference radio astronomy antenna pattern to be used for compatibility analyses between non-GSO systems and radio astronomy service stations based on the </w:t>
            </w:r>
            <w:proofErr w:type="spellStart"/>
            <w:r w:rsidRPr="00D57596">
              <w:t>epfd</w:t>
            </w:r>
            <w:proofErr w:type="spellEnd"/>
            <w:r w:rsidRPr="00D57596">
              <w:t xml:space="preserve"> concept</w:t>
            </w:r>
          </w:p>
        </w:tc>
      </w:tr>
      <w:tr w:rsidR="00A0377A" w:rsidRPr="00D57596" w14:paraId="4297E19C" w14:textId="77777777" w:rsidTr="00DB579B">
        <w:tc>
          <w:tcPr>
            <w:tcW w:w="1814" w:type="dxa"/>
          </w:tcPr>
          <w:p w14:paraId="58CF2C81" w14:textId="77777777" w:rsidR="00A0377A" w:rsidRDefault="008D7F5B" w:rsidP="00DB579B">
            <w:hyperlink r:id="rId15" w:history="1">
              <w:r w:rsidR="00A0377A" w:rsidRPr="00423F02">
                <w:rPr>
                  <w:rStyle w:val="Hyperlink"/>
                  <w:rFonts w:eastAsiaTheme="minorEastAsia"/>
                  <w:lang w:eastAsia="zh-CN"/>
                </w:rPr>
                <w:t>ITU-R RS.1028</w:t>
              </w:r>
            </w:hyperlink>
          </w:p>
        </w:tc>
        <w:tc>
          <w:tcPr>
            <w:tcW w:w="8051" w:type="dxa"/>
          </w:tcPr>
          <w:p w14:paraId="1EEB43E1" w14:textId="77777777" w:rsidR="00A0377A" w:rsidRPr="00D57596" w:rsidRDefault="00A0377A" w:rsidP="00DB579B">
            <w:r w:rsidRPr="00427210">
              <w:t>Performance criteria for satellite passive remote sensing</w:t>
            </w:r>
            <w:r w:rsidRPr="00427210">
              <w:rPr>
                <w:highlight w:val="yellow"/>
              </w:rPr>
              <w:t xml:space="preserve"> </w:t>
            </w:r>
          </w:p>
        </w:tc>
      </w:tr>
      <w:tr w:rsidR="00A0377A" w:rsidRPr="00D57596" w14:paraId="401B43A2" w14:textId="77777777" w:rsidTr="00DB579B">
        <w:tc>
          <w:tcPr>
            <w:tcW w:w="1814" w:type="dxa"/>
          </w:tcPr>
          <w:p w14:paraId="57B6F377" w14:textId="77777777" w:rsidR="00A0377A" w:rsidRDefault="008D7F5B" w:rsidP="00DB579B">
            <w:hyperlink r:id="rId16" w:history="1">
              <w:r w:rsidR="00A0377A" w:rsidRPr="00423F02">
                <w:rPr>
                  <w:rStyle w:val="Hyperlink"/>
                  <w:rFonts w:eastAsiaTheme="minorEastAsia"/>
                  <w:lang w:eastAsia="zh-CN"/>
                </w:rPr>
                <w:t>ITU-R RS.1029</w:t>
              </w:r>
            </w:hyperlink>
          </w:p>
        </w:tc>
        <w:tc>
          <w:tcPr>
            <w:tcW w:w="8051" w:type="dxa"/>
          </w:tcPr>
          <w:p w14:paraId="20A6F53F" w14:textId="77777777" w:rsidR="00A0377A" w:rsidRPr="00D57596" w:rsidRDefault="00A0377A" w:rsidP="00DB579B">
            <w:r w:rsidRPr="00427210">
              <w:t>Interference criteria for satellite passive remote sensing</w:t>
            </w:r>
            <w:r w:rsidRPr="00427210">
              <w:rPr>
                <w:highlight w:val="yellow"/>
              </w:rPr>
              <w:t xml:space="preserve"> </w:t>
            </w:r>
          </w:p>
        </w:tc>
      </w:tr>
      <w:tr w:rsidR="00A0377A" w:rsidRPr="00427210" w14:paraId="27FB3069" w14:textId="77777777" w:rsidTr="00DB579B">
        <w:tc>
          <w:tcPr>
            <w:tcW w:w="1814" w:type="dxa"/>
          </w:tcPr>
          <w:p w14:paraId="70FE7E35" w14:textId="77777777" w:rsidR="00A0377A" w:rsidRPr="00FC7D35" w:rsidRDefault="008D7F5B" w:rsidP="00DB579B">
            <w:hyperlink r:id="rId17" w:history="1">
              <w:r w:rsidR="00A0377A" w:rsidRPr="00423F02">
                <w:rPr>
                  <w:rStyle w:val="Hyperlink"/>
                  <w:rFonts w:eastAsiaTheme="minorEastAsia"/>
                  <w:lang w:eastAsia="zh-CN"/>
                </w:rPr>
                <w:t>ITU-R RS.1813</w:t>
              </w:r>
            </w:hyperlink>
          </w:p>
        </w:tc>
        <w:tc>
          <w:tcPr>
            <w:tcW w:w="8051" w:type="dxa"/>
          </w:tcPr>
          <w:p w14:paraId="6E3CA7B8" w14:textId="77777777" w:rsidR="00A0377A" w:rsidRPr="00427210" w:rsidRDefault="00A0377A" w:rsidP="00DB579B">
            <w:r w:rsidRPr="00427210">
              <w:t>Reference antenna pattern for passive sensors operating in the Earth exploration-satellite service (passive) to be used in compatibility analyses in the frequency range 1.4-100 GHz</w:t>
            </w:r>
          </w:p>
        </w:tc>
      </w:tr>
      <w:tr w:rsidR="00A0377A" w:rsidRPr="00D57596" w14:paraId="307836D3" w14:textId="77777777" w:rsidTr="00DB579B">
        <w:tc>
          <w:tcPr>
            <w:tcW w:w="1814" w:type="dxa"/>
          </w:tcPr>
          <w:p w14:paraId="6A7CFBA4" w14:textId="77777777" w:rsidR="00A0377A" w:rsidRDefault="008D7F5B" w:rsidP="00DB579B">
            <w:hyperlink r:id="rId18" w:history="1">
              <w:r w:rsidR="00A0377A" w:rsidRPr="00FC7D35">
                <w:rPr>
                  <w:rStyle w:val="Hyperlink"/>
                </w:rPr>
                <w:t>ITU-R RS.1861</w:t>
              </w:r>
            </w:hyperlink>
          </w:p>
        </w:tc>
        <w:tc>
          <w:tcPr>
            <w:tcW w:w="8051" w:type="dxa"/>
          </w:tcPr>
          <w:p w14:paraId="57CEB811" w14:textId="77777777" w:rsidR="00A0377A" w:rsidRPr="00D57596" w:rsidRDefault="00A0377A" w:rsidP="00DB579B">
            <w:r w:rsidRPr="00427210">
              <w:t>Typical technical and operational characteristics of Earth exploration-satellite service (passive) systems using allocations between 1.4 and 275 GHz</w:t>
            </w:r>
          </w:p>
        </w:tc>
      </w:tr>
      <w:tr w:rsidR="00A0377A" w:rsidRPr="00D57596" w14:paraId="49A77E36" w14:textId="77777777" w:rsidTr="00DB579B">
        <w:tc>
          <w:tcPr>
            <w:tcW w:w="1814" w:type="dxa"/>
          </w:tcPr>
          <w:p w14:paraId="0EDBFD8B" w14:textId="77777777" w:rsidR="00A0377A" w:rsidRDefault="008D7F5B" w:rsidP="00DB579B">
            <w:hyperlink r:id="rId19" w:history="1">
              <w:r w:rsidR="00A0377A" w:rsidRPr="00423F02">
                <w:rPr>
                  <w:rStyle w:val="Hyperlink"/>
                </w:rPr>
                <w:t>ITU-R RS.2017</w:t>
              </w:r>
            </w:hyperlink>
          </w:p>
        </w:tc>
        <w:tc>
          <w:tcPr>
            <w:tcW w:w="8051" w:type="dxa"/>
          </w:tcPr>
          <w:p w14:paraId="289A7C83" w14:textId="77777777" w:rsidR="00A0377A" w:rsidRPr="00D57596" w:rsidRDefault="00A0377A" w:rsidP="00DB579B">
            <w:r w:rsidRPr="00FB398E">
              <w:t>Performance and interference criteria for satellite passive remote sensing</w:t>
            </w:r>
          </w:p>
        </w:tc>
      </w:tr>
      <w:tr w:rsidR="00A0377A" w14:paraId="5A4047CF" w14:textId="77777777" w:rsidTr="00DB579B">
        <w:tc>
          <w:tcPr>
            <w:tcW w:w="1814" w:type="dxa"/>
          </w:tcPr>
          <w:p w14:paraId="39A1C88A" w14:textId="77777777" w:rsidR="00A0377A" w:rsidRPr="006372FA" w:rsidRDefault="008D7F5B" w:rsidP="00DB579B">
            <w:hyperlink r:id="rId20" w:history="1">
              <w:r w:rsidR="00A0377A" w:rsidRPr="00423F02">
                <w:rPr>
                  <w:rStyle w:val="Hyperlink"/>
                </w:rPr>
                <w:t>ITU-R S.1340</w:t>
              </w:r>
            </w:hyperlink>
          </w:p>
        </w:tc>
        <w:tc>
          <w:tcPr>
            <w:tcW w:w="8051" w:type="dxa"/>
          </w:tcPr>
          <w:p w14:paraId="0E9737B1" w14:textId="77777777" w:rsidR="00A0377A" w:rsidRDefault="00A0377A" w:rsidP="00DB579B">
            <w:r w:rsidRPr="00A54966">
              <w:t>Sharing between feeder links for the mobile-satellite service</w:t>
            </w:r>
            <w:r>
              <w:t xml:space="preserve"> </w:t>
            </w:r>
            <w:r w:rsidRPr="00A54966">
              <w:t>and the aeronautical radionavigation service in the</w:t>
            </w:r>
            <w:r>
              <w:t xml:space="preserve"> </w:t>
            </w:r>
            <w:r w:rsidRPr="00A54966">
              <w:t>Earth-to-space direction in the band 15.4-</w:t>
            </w:r>
            <w:r>
              <w:noBreakHyphen/>
            </w:r>
            <w:r w:rsidRPr="00A54966">
              <w:t>15.7</w:t>
            </w:r>
            <w:r>
              <w:t> </w:t>
            </w:r>
            <w:r w:rsidRPr="00A54966">
              <w:t>GHz</w:t>
            </w:r>
          </w:p>
        </w:tc>
      </w:tr>
      <w:tr w:rsidR="00A0377A" w:rsidRPr="00A54966" w14:paraId="5C664F10" w14:textId="77777777" w:rsidTr="00DB579B">
        <w:tc>
          <w:tcPr>
            <w:tcW w:w="1814" w:type="dxa"/>
          </w:tcPr>
          <w:p w14:paraId="6F0FA71D" w14:textId="77777777" w:rsidR="00A0377A" w:rsidRDefault="008D7F5B" w:rsidP="00DB579B">
            <w:hyperlink r:id="rId21" w:history="1">
              <w:r w:rsidR="00A0377A" w:rsidRPr="00423F02">
                <w:rPr>
                  <w:rStyle w:val="Hyperlink"/>
                </w:rPr>
                <w:t>ITU-R S.1341</w:t>
              </w:r>
            </w:hyperlink>
          </w:p>
        </w:tc>
        <w:tc>
          <w:tcPr>
            <w:tcW w:w="8051" w:type="dxa"/>
          </w:tcPr>
          <w:p w14:paraId="468AF859" w14:textId="77777777" w:rsidR="00A0377A" w:rsidRPr="00A54966" w:rsidRDefault="00A0377A" w:rsidP="00DB579B">
            <w:r w:rsidRPr="00092E4D">
              <w:t>Sharing between feeder links for the mobile-satellite service and the aeronautical radionavigation service in the space-to-Earth direction in the band 15.4</w:t>
            </w:r>
            <w:r>
              <w:noBreakHyphen/>
            </w:r>
            <w:r w:rsidRPr="00092E4D">
              <w:t>15.7</w:t>
            </w:r>
            <w:r>
              <w:t> </w:t>
            </w:r>
            <w:r w:rsidRPr="00092E4D">
              <w:t>GHz and the protection of the radio astronomy service in the band 15.35-15.4 GHz</w:t>
            </w:r>
          </w:p>
        </w:tc>
      </w:tr>
      <w:tr w:rsidR="00A0377A" w14:paraId="483FD71D" w14:textId="77777777" w:rsidTr="00DB579B">
        <w:tc>
          <w:tcPr>
            <w:tcW w:w="1814" w:type="dxa"/>
          </w:tcPr>
          <w:p w14:paraId="5BF405C2" w14:textId="77777777" w:rsidR="00A0377A" w:rsidRPr="00427210" w:rsidRDefault="008D7F5B" w:rsidP="00DB579B">
            <w:pPr>
              <w:rPr>
                <w:rFonts w:eastAsiaTheme="minorEastAsia"/>
              </w:rPr>
            </w:pPr>
            <w:hyperlink r:id="rId22" w:history="1">
              <w:r w:rsidR="00A0377A" w:rsidRPr="00423F02">
                <w:rPr>
                  <w:rStyle w:val="Hyperlink"/>
                  <w:rFonts w:eastAsiaTheme="minorEastAsia"/>
                </w:rPr>
                <w:t>ITU-R</w:t>
              </w:r>
              <w:r w:rsidR="00A0377A" w:rsidRPr="00423F02">
                <w:rPr>
                  <w:rStyle w:val="Hyperlink"/>
                  <w:rFonts w:eastAsiaTheme="minorEastAsia"/>
                  <w:lang w:eastAsia="zh-CN"/>
                </w:rPr>
                <w:t xml:space="preserve"> SA.509</w:t>
              </w:r>
            </w:hyperlink>
          </w:p>
        </w:tc>
        <w:tc>
          <w:tcPr>
            <w:tcW w:w="8051" w:type="dxa"/>
          </w:tcPr>
          <w:p w14:paraId="3B8DC15D" w14:textId="77777777" w:rsidR="00A0377A" w:rsidRPr="00427210" w:rsidRDefault="00A0377A" w:rsidP="00DB579B">
            <w:r w:rsidRPr="00427210">
              <w:t>Space research earth station and radio astronomy reference antenna radiation pattern for use in interference calculations, including coordination procedures, for frequencies less than 30 GHz</w:t>
            </w:r>
            <w:r w:rsidRPr="00427210">
              <w:rPr>
                <w:highlight w:val="yellow"/>
              </w:rPr>
              <w:t xml:space="preserve"> </w:t>
            </w:r>
          </w:p>
        </w:tc>
      </w:tr>
      <w:tr w:rsidR="00A0377A" w:rsidRPr="00427210" w14:paraId="16C4E2C1" w14:textId="77777777" w:rsidTr="00DB579B">
        <w:tc>
          <w:tcPr>
            <w:tcW w:w="1814" w:type="dxa"/>
          </w:tcPr>
          <w:p w14:paraId="542C5491" w14:textId="77777777" w:rsidR="00A0377A" w:rsidRPr="00427210" w:rsidRDefault="008D7F5B" w:rsidP="00DB579B">
            <w:pPr>
              <w:rPr>
                <w:rFonts w:eastAsiaTheme="minorEastAsia"/>
              </w:rPr>
            </w:pPr>
            <w:hyperlink r:id="rId23" w:history="1">
              <w:r w:rsidR="00A0377A" w:rsidRPr="00423F02">
                <w:rPr>
                  <w:rStyle w:val="Hyperlink"/>
                  <w:rFonts w:eastAsiaTheme="minorEastAsia"/>
                </w:rPr>
                <w:t>ITU-R</w:t>
              </w:r>
              <w:r w:rsidR="00A0377A" w:rsidRPr="00423F02">
                <w:rPr>
                  <w:rStyle w:val="Hyperlink"/>
                  <w:rFonts w:eastAsiaTheme="minorEastAsia"/>
                  <w:lang w:eastAsia="zh-CN"/>
                </w:rPr>
                <w:t xml:space="preserve"> SA.510</w:t>
              </w:r>
            </w:hyperlink>
          </w:p>
        </w:tc>
        <w:tc>
          <w:tcPr>
            <w:tcW w:w="8051" w:type="dxa"/>
          </w:tcPr>
          <w:p w14:paraId="43B52122" w14:textId="77777777" w:rsidR="00A0377A" w:rsidRPr="00427210" w:rsidRDefault="00A0377A" w:rsidP="00DB579B">
            <w:r w:rsidRPr="00092E4D">
              <w:t>Feasibility of frequency sharing between the space research service and other services in bands near 14 and 15 GHz - Potential interference from data relay satellite systems</w:t>
            </w:r>
          </w:p>
        </w:tc>
      </w:tr>
      <w:tr w:rsidR="00A0377A" w:rsidRPr="0042529D" w14:paraId="70CB2DE5" w14:textId="77777777" w:rsidTr="00DB579B">
        <w:tc>
          <w:tcPr>
            <w:tcW w:w="1814" w:type="dxa"/>
          </w:tcPr>
          <w:p w14:paraId="1A3BD1F1" w14:textId="77777777" w:rsidR="00A0377A" w:rsidRPr="0042529D" w:rsidRDefault="00A0377A" w:rsidP="00DB579B">
            <w:pPr>
              <w:rPr>
                <w:i/>
                <w:iCs/>
              </w:rPr>
            </w:pPr>
            <w:r w:rsidRPr="0042529D">
              <w:rPr>
                <w:i/>
                <w:iCs/>
              </w:rPr>
              <w:t>Reports</w:t>
            </w:r>
          </w:p>
        </w:tc>
        <w:tc>
          <w:tcPr>
            <w:tcW w:w="8051" w:type="dxa"/>
          </w:tcPr>
          <w:p w14:paraId="03F1DD80" w14:textId="77777777" w:rsidR="00A0377A" w:rsidRPr="0042529D" w:rsidRDefault="00A0377A" w:rsidP="00DB579B">
            <w:pPr>
              <w:rPr>
                <w:i/>
                <w:iCs/>
              </w:rPr>
            </w:pPr>
          </w:p>
        </w:tc>
      </w:tr>
      <w:tr w:rsidR="00A0377A" w14:paraId="68697A42" w14:textId="77777777" w:rsidTr="00DB579B">
        <w:tc>
          <w:tcPr>
            <w:tcW w:w="1814" w:type="dxa"/>
          </w:tcPr>
          <w:p w14:paraId="3DACA573" w14:textId="77777777" w:rsidR="00A0377A" w:rsidRPr="008F2CD4" w:rsidRDefault="008D7F5B" w:rsidP="00DB579B">
            <w:pPr>
              <w:rPr>
                <w:highlight w:val="yellow"/>
              </w:rPr>
            </w:pPr>
            <w:hyperlink r:id="rId24" w:history="1">
              <w:r w:rsidR="00A0377A" w:rsidRPr="00423F02">
                <w:rPr>
                  <w:rStyle w:val="Hyperlink"/>
                </w:rPr>
                <w:t>ITU-R M.2170</w:t>
              </w:r>
            </w:hyperlink>
          </w:p>
        </w:tc>
        <w:tc>
          <w:tcPr>
            <w:tcW w:w="8051" w:type="dxa"/>
          </w:tcPr>
          <w:p w14:paraId="2353FEFA" w14:textId="77777777" w:rsidR="00A0377A" w:rsidRDefault="00A0377A" w:rsidP="00DB579B">
            <w:r w:rsidRPr="00A54966">
              <w:t>Compatibility analysis and results for radiolocation systems planned to operate</w:t>
            </w:r>
            <w:r>
              <w:t xml:space="preserve"> </w:t>
            </w:r>
            <w:r w:rsidRPr="00A54966">
              <w:t>in the 15.4 to 17.3 GHz band and aircraft landing system operating in the</w:t>
            </w:r>
            <w:r>
              <w:t xml:space="preserve"> </w:t>
            </w:r>
            <w:r w:rsidRPr="00A54966">
              <w:t>15.4</w:t>
            </w:r>
            <w:r>
              <w:noBreakHyphen/>
            </w:r>
            <w:r w:rsidRPr="00A54966">
              <w:t>15.7</w:t>
            </w:r>
            <w:r>
              <w:t> </w:t>
            </w:r>
            <w:r w:rsidRPr="00A54966">
              <w:t>GHz band as well as the radio astronomy service operating</w:t>
            </w:r>
            <w:r>
              <w:t xml:space="preserve"> </w:t>
            </w:r>
            <w:r w:rsidRPr="00A54966">
              <w:t>in the adjacent band 15.35-15.40 GHz, FSS systems</w:t>
            </w:r>
            <w:r>
              <w:t xml:space="preserve"> </w:t>
            </w:r>
            <w:r w:rsidRPr="00A54966">
              <w:t>and aeronautical radionavigation systems</w:t>
            </w:r>
          </w:p>
        </w:tc>
      </w:tr>
      <w:tr w:rsidR="00A0377A" w:rsidRPr="00A54966" w14:paraId="1541780E" w14:textId="77777777" w:rsidTr="00DB579B">
        <w:tc>
          <w:tcPr>
            <w:tcW w:w="1814" w:type="dxa"/>
          </w:tcPr>
          <w:p w14:paraId="31843415" w14:textId="77777777" w:rsidR="00A0377A" w:rsidRPr="006372FA" w:rsidRDefault="008D7F5B" w:rsidP="00DB579B">
            <w:hyperlink r:id="rId25" w:history="1">
              <w:r w:rsidR="00A0377A" w:rsidRPr="0037095B">
                <w:rPr>
                  <w:rStyle w:val="Hyperlink"/>
                  <w:rFonts w:eastAsiaTheme="minorEastAsia"/>
                  <w:lang w:eastAsia="zh-CN"/>
                </w:rPr>
                <w:t>ITU-R M.2229</w:t>
              </w:r>
            </w:hyperlink>
          </w:p>
        </w:tc>
        <w:tc>
          <w:tcPr>
            <w:tcW w:w="8051" w:type="dxa"/>
          </w:tcPr>
          <w:p w14:paraId="37CED801" w14:textId="77777777" w:rsidR="00A0377A" w:rsidRPr="00A54966" w:rsidRDefault="00A0377A" w:rsidP="00DB579B">
            <w:r w:rsidRPr="00092E4D">
              <w:t>Compatibility study to support line-of-sight control and non-payload communications links for unmanned aircraft systems proposed in the frequency band 15.4-15.5 GHz</w:t>
            </w:r>
            <w:r w:rsidRPr="00092E4D">
              <w:rPr>
                <w:highlight w:val="yellow"/>
              </w:rPr>
              <w:t xml:space="preserve"> </w:t>
            </w:r>
          </w:p>
        </w:tc>
      </w:tr>
      <w:tr w:rsidR="00A0377A" w:rsidRPr="00A54966" w14:paraId="62A09435" w14:textId="77777777" w:rsidTr="00DB579B">
        <w:tc>
          <w:tcPr>
            <w:tcW w:w="1814" w:type="dxa"/>
          </w:tcPr>
          <w:p w14:paraId="0BA774D3" w14:textId="77777777" w:rsidR="00A0377A" w:rsidRPr="006372FA" w:rsidRDefault="008D7F5B" w:rsidP="00DB579B">
            <w:hyperlink r:id="rId26" w:history="1">
              <w:r w:rsidR="00A0377A" w:rsidRPr="0037095B">
                <w:rPr>
                  <w:rStyle w:val="Hyperlink"/>
                  <w:rFonts w:eastAsiaTheme="minorEastAsia"/>
                  <w:lang w:eastAsia="zh-CN"/>
                </w:rPr>
                <w:t>ITU-R M.2230</w:t>
              </w:r>
            </w:hyperlink>
          </w:p>
        </w:tc>
        <w:tc>
          <w:tcPr>
            <w:tcW w:w="8051" w:type="dxa"/>
          </w:tcPr>
          <w:p w14:paraId="32397DEC" w14:textId="77777777" w:rsidR="00A0377A" w:rsidRPr="00A54966" w:rsidRDefault="00A0377A" w:rsidP="00DB579B">
            <w:r w:rsidRPr="00092E4D">
              <w:t xml:space="preserve">Frequency sharing between unmanned aircraft systems for beyond </w:t>
            </w:r>
            <w:proofErr w:type="gramStart"/>
            <w:r w:rsidRPr="00092E4D">
              <w:t>line of sight</w:t>
            </w:r>
            <w:proofErr w:type="gramEnd"/>
            <w:r w:rsidRPr="00092E4D">
              <w:t xml:space="preserve"> control and non-payload communications links and other existing and planned services in the frequency bands 13.25-13.40 GHz, 15.4-15.7 GHz, 22.5</w:t>
            </w:r>
            <w:r>
              <w:noBreakHyphen/>
            </w:r>
            <w:r w:rsidRPr="00092E4D">
              <w:t>22.55</w:t>
            </w:r>
            <w:r>
              <w:t> </w:t>
            </w:r>
            <w:r w:rsidRPr="00092E4D">
              <w:t>GHz and 23.55-23.60 GHz</w:t>
            </w:r>
          </w:p>
        </w:tc>
      </w:tr>
      <w:tr w:rsidR="00A0377A" w:rsidRPr="00A54966" w14:paraId="5DBC8503" w14:textId="77777777" w:rsidTr="00DB579B">
        <w:tc>
          <w:tcPr>
            <w:tcW w:w="1814" w:type="dxa"/>
          </w:tcPr>
          <w:p w14:paraId="4562AE6A" w14:textId="77777777" w:rsidR="00A0377A" w:rsidRPr="006372FA" w:rsidRDefault="008D7F5B" w:rsidP="00DB579B">
            <w:hyperlink r:id="rId27" w:history="1">
              <w:r w:rsidR="00A0377A" w:rsidRPr="0037095B">
                <w:rPr>
                  <w:rStyle w:val="Hyperlink"/>
                  <w:spacing w:val="-2"/>
                </w:rPr>
                <w:t>ITU-R RA.2131</w:t>
              </w:r>
            </w:hyperlink>
          </w:p>
        </w:tc>
        <w:tc>
          <w:tcPr>
            <w:tcW w:w="8051" w:type="dxa"/>
          </w:tcPr>
          <w:p w14:paraId="75C9E754" w14:textId="77777777" w:rsidR="00A0377A" w:rsidRPr="00A54966" w:rsidRDefault="00A0377A" w:rsidP="00DB579B">
            <w:r w:rsidRPr="00D57596">
              <w:t>Supplementary information on the detrimental threshold levels of interference to radio astronomy observations in Recommendation ITU-R RA.769</w:t>
            </w:r>
          </w:p>
        </w:tc>
      </w:tr>
    </w:tbl>
    <w:p w14:paraId="2447BBE7" w14:textId="77777777" w:rsidR="00A0377A" w:rsidRDefault="00A0377A" w:rsidP="00041FDE">
      <w:pPr>
        <w:spacing w:after="160"/>
        <w:jc w:val="both"/>
        <w:rPr>
          <w:rFonts w:eastAsiaTheme="minorEastAsia"/>
          <w:lang w:eastAsia="zh-CN"/>
        </w:rPr>
      </w:pPr>
      <w:r w:rsidRPr="00B35235">
        <w:rPr>
          <w:rFonts w:eastAsiaTheme="minorEastAsia"/>
          <w:lang w:eastAsia="zh-CN"/>
        </w:rPr>
        <w:t xml:space="preserve">WDPDN Recommendation ITU-R </w:t>
      </w:r>
      <w:proofErr w:type="gramStart"/>
      <w:r w:rsidRPr="00B35235">
        <w:rPr>
          <w:rFonts w:eastAsiaTheme="minorEastAsia"/>
          <w:lang w:eastAsia="zh-CN"/>
        </w:rPr>
        <w:t>M.[</w:t>
      </w:r>
      <w:proofErr w:type="gramEnd"/>
      <w:r w:rsidRPr="00B35235">
        <w:rPr>
          <w:rFonts w:eastAsiaTheme="minorEastAsia"/>
          <w:lang w:eastAsia="zh-CN"/>
        </w:rPr>
        <w:t>15.4-15.7 GHz ARNS]</w:t>
      </w:r>
      <w:r>
        <w:rPr>
          <w:rFonts w:eastAsiaTheme="minorEastAsia"/>
          <w:lang w:eastAsia="zh-CN"/>
        </w:rPr>
        <w:t xml:space="preserve"> </w:t>
      </w:r>
      <w:r w:rsidRPr="00416667">
        <w:rPr>
          <w:rFonts w:eastAsiaTheme="minorEastAsia"/>
          <w:lang w:eastAsia="zh-CN"/>
        </w:rPr>
        <w:t>Characteristics of and protection criteria for radars operating in the aeronautical radionavigation service in the frequency band 15.4</w:t>
      </w:r>
      <w:r>
        <w:rPr>
          <w:rFonts w:eastAsiaTheme="minorEastAsia"/>
          <w:lang w:eastAsia="zh-CN"/>
        </w:rPr>
        <w:noBreakHyphen/>
      </w:r>
      <w:r w:rsidRPr="00416667">
        <w:rPr>
          <w:rFonts w:eastAsiaTheme="minorEastAsia"/>
          <w:lang w:eastAsia="zh-CN"/>
        </w:rPr>
        <w:t>15.7 GHz</w:t>
      </w:r>
    </w:p>
    <w:p w14:paraId="38194476" w14:textId="6B09EB44" w:rsidR="00E41BE2" w:rsidRPr="00441526" w:rsidRDefault="00E41BE2" w:rsidP="00E41BE2">
      <w:pPr>
        <w:spacing w:after="120"/>
        <w:jc w:val="both"/>
        <w:rPr>
          <w:b/>
          <w:lang w:val="en-NZ" w:eastAsia="ko-KR"/>
        </w:rPr>
      </w:pPr>
      <w:r>
        <w:rPr>
          <w:b/>
          <w:lang w:val="en-NZ" w:eastAsia="ko-KR"/>
        </w:rPr>
        <w:t>2</w:t>
      </w:r>
      <w:r w:rsidRPr="00441526">
        <w:rPr>
          <w:b/>
          <w:lang w:val="en-NZ" w:eastAsia="ko-KR"/>
        </w:rPr>
        <w:t xml:space="preserve">. </w:t>
      </w:r>
      <w:r w:rsidRPr="00441526">
        <w:rPr>
          <w:b/>
          <w:lang w:val="en-NZ" w:eastAsia="ko-KR"/>
        </w:rPr>
        <w:tab/>
      </w:r>
      <w:r>
        <w:rPr>
          <w:b/>
          <w:lang w:val="en-NZ" w:eastAsia="ko-KR"/>
        </w:rPr>
        <w:t>Information on on-going ITU-R Study</w:t>
      </w:r>
    </w:p>
    <w:p w14:paraId="6A00A3B1" w14:textId="1D038FEE" w:rsidR="00F264FC" w:rsidRDefault="00041FDE" w:rsidP="00041FDE">
      <w:pPr>
        <w:spacing w:after="160"/>
        <w:jc w:val="both"/>
        <w:rPr>
          <w:rFonts w:eastAsiaTheme="minorEastAsia"/>
          <w:lang w:eastAsia="zh-CN"/>
        </w:rPr>
      </w:pPr>
      <w:r>
        <w:rPr>
          <w:rFonts w:eastAsiaTheme="minorEastAsia"/>
          <w:lang w:eastAsia="zh-CN"/>
        </w:rPr>
        <w:t>D</w:t>
      </w:r>
      <w:r w:rsidRPr="00041FDE">
        <w:rPr>
          <w:rFonts w:eastAsiaTheme="minorEastAsia"/>
          <w:lang w:eastAsia="zh-CN"/>
        </w:rPr>
        <w:t xml:space="preserve">uring </w:t>
      </w:r>
      <w:r>
        <w:rPr>
          <w:rFonts w:eastAsiaTheme="minorEastAsia"/>
          <w:lang w:eastAsia="zh-CN"/>
        </w:rPr>
        <w:t xml:space="preserve">the two </w:t>
      </w:r>
      <w:r w:rsidRPr="00041FDE">
        <w:rPr>
          <w:rFonts w:eastAsiaTheme="minorEastAsia"/>
          <w:lang w:eastAsia="zh-CN"/>
        </w:rPr>
        <w:t>WP5B</w:t>
      </w:r>
      <w:r w:rsidRPr="00041FDE">
        <w:rPr>
          <w:rFonts w:eastAsiaTheme="minorEastAsia" w:hint="eastAsia"/>
          <w:lang w:eastAsia="zh-CN"/>
        </w:rPr>
        <w:t xml:space="preserve"> </w:t>
      </w:r>
      <w:r w:rsidRPr="00041FDE">
        <w:rPr>
          <w:rFonts w:eastAsiaTheme="minorEastAsia"/>
          <w:lang w:eastAsia="zh-CN"/>
        </w:rPr>
        <w:t xml:space="preserve">meetings </w:t>
      </w:r>
      <w:r>
        <w:rPr>
          <w:rFonts w:eastAsiaTheme="minorEastAsia"/>
          <w:lang w:eastAsia="zh-CN"/>
        </w:rPr>
        <w:t xml:space="preserve">held </w:t>
      </w:r>
      <w:r w:rsidRPr="00041FDE">
        <w:rPr>
          <w:rFonts w:eastAsiaTheme="minorEastAsia"/>
          <w:lang w:eastAsia="zh-CN"/>
        </w:rPr>
        <w:t>last year</w:t>
      </w:r>
      <w:r>
        <w:rPr>
          <w:rFonts w:eastAsiaTheme="minorEastAsia"/>
          <w:lang w:eastAsia="zh-CN"/>
        </w:rPr>
        <w:t>,</w:t>
      </w:r>
      <w:r w:rsidR="00F264FC" w:rsidRPr="00041FDE">
        <w:rPr>
          <w:rFonts w:eastAsiaTheme="minorEastAsia"/>
          <w:lang w:eastAsia="zh-CN"/>
        </w:rPr>
        <w:t xml:space="preserve"> </w:t>
      </w:r>
      <w:r>
        <w:rPr>
          <w:rFonts w:eastAsiaTheme="minorEastAsia"/>
          <w:lang w:eastAsia="zh-CN"/>
        </w:rPr>
        <w:t xml:space="preserve">a </w:t>
      </w:r>
      <w:r w:rsidR="00F264FC" w:rsidRPr="00041FDE">
        <w:rPr>
          <w:rFonts w:eastAsiaTheme="minorEastAsia"/>
          <w:lang w:eastAsia="zh-CN"/>
        </w:rPr>
        <w:t>W</w:t>
      </w:r>
      <w:r w:rsidR="00FB4488" w:rsidRPr="00041FDE">
        <w:rPr>
          <w:rFonts w:eastAsiaTheme="minorEastAsia"/>
          <w:lang w:eastAsia="zh-CN"/>
        </w:rPr>
        <w:t>orking Document</w:t>
      </w:r>
      <w:r w:rsidR="00F264FC" w:rsidRPr="00041FDE">
        <w:rPr>
          <w:rFonts w:eastAsiaTheme="minorEastAsia"/>
          <w:lang w:eastAsia="zh-CN"/>
        </w:rPr>
        <w:t xml:space="preserve"> towards PD</w:t>
      </w:r>
      <w:r w:rsidR="00FB4488" w:rsidRPr="00041FDE">
        <w:rPr>
          <w:rFonts w:eastAsiaTheme="minorEastAsia"/>
          <w:lang w:eastAsia="zh-CN"/>
        </w:rPr>
        <w:t>N</w:t>
      </w:r>
      <w:r w:rsidR="00F264FC" w:rsidRPr="00041FDE">
        <w:rPr>
          <w:rFonts w:eastAsiaTheme="minorEastAsia"/>
          <w:lang w:eastAsia="zh-CN"/>
        </w:rPr>
        <w:t xml:space="preserve"> Report ITU-R </w:t>
      </w:r>
      <w:proofErr w:type="gramStart"/>
      <w:r w:rsidR="00F264FC" w:rsidRPr="00041FDE">
        <w:rPr>
          <w:rFonts w:eastAsiaTheme="minorEastAsia"/>
          <w:lang w:eastAsia="zh-CN"/>
        </w:rPr>
        <w:t>M.[</w:t>
      </w:r>
      <w:proofErr w:type="gramEnd"/>
      <w:r w:rsidR="00F264FC" w:rsidRPr="00041FDE">
        <w:rPr>
          <w:rFonts w:eastAsiaTheme="minorEastAsia"/>
          <w:lang w:eastAsia="zh-CN"/>
        </w:rPr>
        <w:t>NON-SAFETY AMS] has been initiated</w:t>
      </w:r>
      <w:r>
        <w:rPr>
          <w:rFonts w:eastAsiaTheme="minorEastAsia"/>
          <w:lang w:eastAsia="zh-CN"/>
        </w:rPr>
        <w:t>.</w:t>
      </w:r>
      <w:r w:rsidR="00FB4488" w:rsidRPr="00041FDE">
        <w:rPr>
          <w:rFonts w:eastAsiaTheme="minorEastAsia"/>
          <w:lang w:eastAsia="zh-CN"/>
        </w:rPr>
        <w:t xml:space="preserve"> </w:t>
      </w:r>
      <w:r>
        <w:rPr>
          <w:rFonts w:eastAsiaTheme="minorEastAsia"/>
          <w:lang w:eastAsia="zh-CN"/>
        </w:rPr>
        <w:t>P</w:t>
      </w:r>
      <w:r w:rsidRPr="00041FDE">
        <w:rPr>
          <w:rFonts w:eastAsiaTheme="minorEastAsia"/>
          <w:lang w:eastAsia="zh-CN"/>
        </w:rPr>
        <w:t>reliminary characteristics of systems in the possible new AMS allocation for non-safety of life application</w:t>
      </w:r>
      <w:r>
        <w:rPr>
          <w:rFonts w:eastAsiaTheme="minorEastAsia"/>
          <w:lang w:eastAsia="zh-CN"/>
        </w:rPr>
        <w:t>, v</w:t>
      </w:r>
      <w:r w:rsidR="00F264FC" w:rsidRPr="00041FDE">
        <w:rPr>
          <w:rFonts w:eastAsiaTheme="minorEastAsia"/>
          <w:lang w:eastAsia="zh-CN"/>
        </w:rPr>
        <w:t xml:space="preserve">arious characteristics from ITU-R Recommendations of systems in the incumbent services, </w:t>
      </w:r>
      <w:r w:rsidRPr="00041FDE">
        <w:rPr>
          <w:rFonts w:eastAsiaTheme="minorEastAsia"/>
          <w:lang w:eastAsia="zh-CN"/>
        </w:rPr>
        <w:t xml:space="preserve">as well as </w:t>
      </w:r>
      <w:r w:rsidR="00F264FC" w:rsidRPr="00041FDE">
        <w:rPr>
          <w:rFonts w:eastAsiaTheme="minorEastAsia"/>
          <w:lang w:eastAsia="zh-CN"/>
        </w:rPr>
        <w:t xml:space="preserve">recommended propagation models </w:t>
      </w:r>
      <w:r w:rsidRPr="00041FDE">
        <w:rPr>
          <w:rFonts w:eastAsiaTheme="minorEastAsia"/>
          <w:lang w:eastAsia="zh-CN"/>
        </w:rPr>
        <w:t>w</w:t>
      </w:r>
      <w:r>
        <w:rPr>
          <w:rFonts w:eastAsiaTheme="minorEastAsia"/>
          <w:lang w:eastAsia="zh-CN"/>
        </w:rPr>
        <w:t>ere</w:t>
      </w:r>
      <w:r w:rsidRPr="00041FDE">
        <w:rPr>
          <w:rFonts w:eastAsiaTheme="minorEastAsia"/>
          <w:lang w:eastAsia="zh-CN"/>
        </w:rPr>
        <w:t xml:space="preserve"> merged in this document</w:t>
      </w:r>
      <w:r w:rsidR="00F264FC" w:rsidRPr="00041FDE">
        <w:rPr>
          <w:rFonts w:eastAsiaTheme="minorEastAsia"/>
          <w:lang w:eastAsia="zh-CN"/>
        </w:rPr>
        <w:t xml:space="preserve">. </w:t>
      </w:r>
      <w:r w:rsidR="00FB4488" w:rsidRPr="00041FDE">
        <w:rPr>
          <w:rFonts w:eastAsiaTheme="minorEastAsia"/>
          <w:lang w:eastAsia="zh-CN"/>
        </w:rPr>
        <w:t>I</w:t>
      </w:r>
      <w:r w:rsidR="00F264FC" w:rsidRPr="00041FDE">
        <w:rPr>
          <w:rFonts w:eastAsiaTheme="minorEastAsia"/>
          <w:lang w:eastAsia="zh-CN"/>
        </w:rPr>
        <w:t xml:space="preserve">nitial sharing studies </w:t>
      </w:r>
      <w:r>
        <w:rPr>
          <w:rFonts w:eastAsiaTheme="minorEastAsia"/>
          <w:lang w:eastAsia="zh-CN"/>
        </w:rPr>
        <w:t>were</w:t>
      </w:r>
      <w:r w:rsidR="00F264FC" w:rsidRPr="00041FDE">
        <w:rPr>
          <w:rFonts w:eastAsiaTheme="minorEastAsia"/>
          <w:lang w:eastAsia="zh-CN"/>
        </w:rPr>
        <w:t xml:space="preserve"> incorporated in this document with assumptions needed to be updated with the new preliminary characteristics.</w:t>
      </w:r>
    </w:p>
    <w:p w14:paraId="2CB5653E" w14:textId="3AAA41E8" w:rsidR="0012321E" w:rsidRPr="0012321E" w:rsidRDefault="0012321E" w:rsidP="00041FDE">
      <w:pPr>
        <w:spacing w:after="160"/>
        <w:jc w:val="both"/>
        <w:rPr>
          <w:rFonts w:eastAsia="SimSun"/>
          <w:lang w:eastAsia="zh-CN"/>
        </w:rPr>
      </w:pPr>
      <w:r>
        <w:rPr>
          <w:rFonts w:eastAsia="SimSun" w:hint="eastAsia"/>
          <w:lang w:eastAsia="zh-CN"/>
        </w:rPr>
        <w:t>T</w:t>
      </w:r>
      <w:r>
        <w:rPr>
          <w:rFonts w:eastAsia="SimSun"/>
          <w:lang w:eastAsia="zh-CN"/>
        </w:rPr>
        <w:t xml:space="preserve">he relevant materials could be found at </w:t>
      </w:r>
      <w:hyperlink r:id="rId28" w:history="1">
        <w:r w:rsidRPr="0012321E">
          <w:rPr>
            <w:rStyle w:val="Hyperlink"/>
            <w:rFonts w:eastAsia="SimSun"/>
            <w:lang w:eastAsia="zh-CN"/>
          </w:rPr>
          <w:t>https://www.itu.int/md/R19-WP5B-C-0225/en</w:t>
        </w:r>
      </w:hyperlink>
      <w:r>
        <w:rPr>
          <w:rFonts w:eastAsia="SimSun"/>
          <w:lang w:eastAsia="zh-CN"/>
        </w:rPr>
        <w:t>.</w:t>
      </w:r>
    </w:p>
    <w:p w14:paraId="1A59F811" w14:textId="631F4F7D" w:rsidR="00957294" w:rsidRDefault="00957294" w:rsidP="00957294">
      <w:pPr>
        <w:spacing w:after="120"/>
        <w:jc w:val="both"/>
        <w:rPr>
          <w:b/>
          <w:lang w:val="en-NZ" w:eastAsia="ko-KR"/>
        </w:rPr>
      </w:pPr>
      <w:r>
        <w:rPr>
          <w:b/>
          <w:lang w:val="en-NZ" w:eastAsia="ko-KR"/>
        </w:rPr>
        <w:t>3</w:t>
      </w:r>
      <w:r w:rsidRPr="00441526">
        <w:rPr>
          <w:b/>
          <w:lang w:val="en-NZ" w:eastAsia="ko-KR"/>
        </w:rPr>
        <w:t xml:space="preserve">. </w:t>
      </w:r>
      <w:r w:rsidRPr="00441526">
        <w:rPr>
          <w:b/>
          <w:lang w:val="en-NZ" w:eastAsia="ko-KR"/>
        </w:rPr>
        <w:tab/>
      </w:r>
      <w:r>
        <w:rPr>
          <w:b/>
          <w:lang w:val="en-NZ" w:eastAsia="ko-KR"/>
        </w:rPr>
        <w:t>Position of the Regional Group (if available)</w:t>
      </w:r>
    </w:p>
    <w:p w14:paraId="433969AB" w14:textId="4ABD4C8C" w:rsidR="00957294" w:rsidRDefault="005263C8" w:rsidP="005263C8">
      <w:pPr>
        <w:pStyle w:val="ListParagraph"/>
        <w:numPr>
          <w:ilvl w:val="0"/>
          <w:numId w:val="21"/>
        </w:numPr>
        <w:spacing w:after="120"/>
        <w:jc w:val="both"/>
        <w:rPr>
          <w:bCs/>
          <w:lang w:val="en-NZ" w:eastAsia="ko-KR"/>
        </w:rPr>
      </w:pPr>
      <w:r w:rsidRPr="005263C8">
        <w:rPr>
          <w:bCs/>
          <w:lang w:val="en-NZ" w:eastAsia="ko-KR"/>
        </w:rPr>
        <w:t>ATU</w:t>
      </w:r>
    </w:p>
    <w:p w14:paraId="5B2E86A7" w14:textId="77777777" w:rsidR="005263C8" w:rsidRPr="005263C8" w:rsidRDefault="005263C8" w:rsidP="005263C8">
      <w:pPr>
        <w:pStyle w:val="ListParagraph"/>
        <w:spacing w:after="120"/>
        <w:ind w:left="1080"/>
        <w:jc w:val="both"/>
        <w:rPr>
          <w:bCs/>
          <w:lang w:val="en-NZ" w:eastAsia="ko-KR"/>
        </w:rPr>
      </w:pPr>
    </w:p>
    <w:p w14:paraId="73509121" w14:textId="3FC2CF5A" w:rsidR="005263C8" w:rsidRDefault="005263C8" w:rsidP="005263C8">
      <w:pPr>
        <w:pStyle w:val="ListParagraph"/>
        <w:numPr>
          <w:ilvl w:val="0"/>
          <w:numId w:val="21"/>
        </w:numPr>
        <w:spacing w:after="120"/>
        <w:jc w:val="both"/>
        <w:rPr>
          <w:bCs/>
          <w:lang w:val="en-NZ" w:eastAsia="ko-KR"/>
        </w:rPr>
      </w:pPr>
      <w:r w:rsidRPr="005263C8">
        <w:rPr>
          <w:bCs/>
          <w:lang w:val="en-NZ" w:eastAsia="ko-KR"/>
        </w:rPr>
        <w:t>ASMG</w:t>
      </w:r>
    </w:p>
    <w:p w14:paraId="4B104C4D" w14:textId="77777777" w:rsidR="000A7E35" w:rsidRPr="001A1296" w:rsidRDefault="000A7E35" w:rsidP="001A1296">
      <w:pPr>
        <w:spacing w:after="160"/>
        <w:jc w:val="both"/>
        <w:rPr>
          <w:rFonts w:eastAsiaTheme="minorEastAsia"/>
          <w:lang w:eastAsia="zh-CN"/>
        </w:rPr>
      </w:pPr>
      <w:r w:rsidRPr="001A1296">
        <w:rPr>
          <w:rFonts w:eastAsiaTheme="minorEastAsia"/>
          <w:lang w:eastAsia="zh-CN"/>
        </w:rPr>
        <w:t>Inviting ASMG administrations to study the actual uses in the bands 22-22.22 GHz &amp; 15.4 -15.7 GHz.</w:t>
      </w:r>
    </w:p>
    <w:p w14:paraId="2F999586" w14:textId="4B4C04C2" w:rsidR="005263C8" w:rsidRPr="001A1296" w:rsidRDefault="000A7E35" w:rsidP="001A1296">
      <w:pPr>
        <w:spacing w:after="160"/>
        <w:jc w:val="both"/>
        <w:rPr>
          <w:rFonts w:eastAsiaTheme="minorEastAsia"/>
          <w:lang w:eastAsia="zh-CN"/>
        </w:rPr>
      </w:pPr>
      <w:r w:rsidRPr="001A1296">
        <w:rPr>
          <w:rFonts w:eastAsiaTheme="minorEastAsia"/>
          <w:lang w:eastAsia="zh-CN"/>
        </w:rPr>
        <w:t xml:space="preserve">Inviting ASMG administrations to study the possibility of support, </w:t>
      </w:r>
      <w:proofErr w:type="gramStart"/>
      <w:r w:rsidRPr="001A1296">
        <w:rPr>
          <w:rFonts w:eastAsiaTheme="minorEastAsia"/>
          <w:lang w:eastAsia="zh-CN"/>
        </w:rPr>
        <w:t>taking into account</w:t>
      </w:r>
      <w:proofErr w:type="gramEnd"/>
      <w:r w:rsidRPr="001A1296">
        <w:rPr>
          <w:rFonts w:eastAsiaTheme="minorEastAsia"/>
          <w:lang w:eastAsia="zh-CN"/>
        </w:rPr>
        <w:t xml:space="preserve"> the studies needed to be conducted with a view to set appropriate conditions to protect existing services.</w:t>
      </w:r>
    </w:p>
    <w:p w14:paraId="6F14C81D" w14:textId="73FA5B4B" w:rsidR="005263C8" w:rsidRDefault="005263C8" w:rsidP="005263C8">
      <w:pPr>
        <w:pStyle w:val="ListParagraph"/>
        <w:numPr>
          <w:ilvl w:val="0"/>
          <w:numId w:val="21"/>
        </w:numPr>
        <w:spacing w:after="120"/>
        <w:jc w:val="both"/>
        <w:rPr>
          <w:bCs/>
          <w:lang w:val="en-NZ" w:eastAsia="ko-KR"/>
        </w:rPr>
      </w:pPr>
      <w:r w:rsidRPr="005263C8">
        <w:rPr>
          <w:bCs/>
          <w:lang w:val="en-NZ" w:eastAsia="ko-KR"/>
        </w:rPr>
        <w:t>CEPT</w:t>
      </w:r>
    </w:p>
    <w:p w14:paraId="668D384A" w14:textId="362A20FE" w:rsidR="000A7E35" w:rsidRPr="001A1296" w:rsidRDefault="000A7E35" w:rsidP="001A1296">
      <w:pPr>
        <w:spacing w:after="160"/>
        <w:jc w:val="both"/>
        <w:rPr>
          <w:rFonts w:eastAsiaTheme="minorEastAsia"/>
          <w:lang w:eastAsia="zh-CN"/>
        </w:rPr>
      </w:pPr>
      <w:r w:rsidRPr="001A1296">
        <w:rPr>
          <w:rFonts w:eastAsiaTheme="minorEastAsia"/>
          <w:lang w:eastAsia="zh-CN"/>
        </w:rPr>
        <w:t>CEPT supports that any modification of the RR should ensure appropriate protection for the EESS/SRS (passive) and the RAS (</w:t>
      </w:r>
      <w:proofErr w:type="gramStart"/>
      <w:r w:rsidRPr="001A1296">
        <w:rPr>
          <w:rFonts w:eastAsiaTheme="minorEastAsia"/>
          <w:lang w:eastAsia="zh-CN"/>
        </w:rPr>
        <w:t>taking into account</w:t>
      </w:r>
      <w:proofErr w:type="gramEnd"/>
      <w:r w:rsidRPr="001A1296">
        <w:rPr>
          <w:rFonts w:eastAsiaTheme="minorEastAsia"/>
          <w:lang w:eastAsia="zh-CN"/>
        </w:rPr>
        <w:t xml:space="preserve"> RR No. 5.149) allocated in adjacent frequency band from unwanted emissions of the AMS.</w:t>
      </w:r>
    </w:p>
    <w:p w14:paraId="3E39A585" w14:textId="6F3920D7" w:rsidR="005263C8" w:rsidRDefault="005263C8" w:rsidP="005263C8">
      <w:pPr>
        <w:pStyle w:val="ListParagraph"/>
        <w:numPr>
          <w:ilvl w:val="0"/>
          <w:numId w:val="21"/>
        </w:numPr>
        <w:spacing w:after="120"/>
        <w:jc w:val="both"/>
        <w:rPr>
          <w:bCs/>
          <w:lang w:val="en-NZ" w:eastAsia="ko-KR"/>
        </w:rPr>
      </w:pPr>
      <w:r w:rsidRPr="005263C8">
        <w:rPr>
          <w:bCs/>
          <w:lang w:val="en-NZ" w:eastAsia="ko-KR"/>
        </w:rPr>
        <w:t>CITEL</w:t>
      </w:r>
    </w:p>
    <w:p w14:paraId="7DADBFF4" w14:textId="77777777" w:rsidR="005263C8" w:rsidRPr="005263C8" w:rsidRDefault="005263C8" w:rsidP="005263C8">
      <w:pPr>
        <w:pStyle w:val="ListParagraph"/>
        <w:spacing w:after="120"/>
        <w:ind w:left="1080"/>
        <w:jc w:val="both"/>
        <w:rPr>
          <w:bCs/>
          <w:lang w:val="en-NZ" w:eastAsia="ko-KR"/>
        </w:rPr>
      </w:pPr>
    </w:p>
    <w:p w14:paraId="59ED3143" w14:textId="0DA9EA8E" w:rsidR="005263C8" w:rsidRDefault="005263C8" w:rsidP="005263C8">
      <w:pPr>
        <w:pStyle w:val="ListParagraph"/>
        <w:numPr>
          <w:ilvl w:val="0"/>
          <w:numId w:val="21"/>
        </w:numPr>
        <w:spacing w:after="120"/>
        <w:jc w:val="both"/>
        <w:rPr>
          <w:bCs/>
          <w:lang w:val="en-NZ" w:eastAsia="ko-KR"/>
        </w:rPr>
      </w:pPr>
      <w:r w:rsidRPr="005263C8">
        <w:rPr>
          <w:bCs/>
          <w:lang w:val="en-NZ" w:eastAsia="ko-KR"/>
        </w:rPr>
        <w:t>RCC</w:t>
      </w:r>
    </w:p>
    <w:p w14:paraId="1E0ECA4C" w14:textId="77777777" w:rsidR="001A1296" w:rsidRPr="001A1296" w:rsidRDefault="001A1296" w:rsidP="001A1296">
      <w:pPr>
        <w:spacing w:after="160"/>
        <w:jc w:val="both"/>
        <w:rPr>
          <w:rFonts w:eastAsiaTheme="minorEastAsia"/>
          <w:lang w:eastAsia="zh-CN"/>
        </w:rPr>
      </w:pPr>
      <w:r w:rsidRPr="001A1296">
        <w:rPr>
          <w:rFonts w:eastAsiaTheme="minorEastAsia"/>
          <w:lang w:eastAsia="zh-CN"/>
        </w:rPr>
        <w:t>The RCC Administrations consider that, when possible new allocations to aeronautical mobile service in the frequency band 15.4 – 15.7 GHz as well as possible remove of constraints for the use of the frequency band 22 – 22.21 GHz by aeronautical mobile service, it is necessary to:</w:t>
      </w:r>
    </w:p>
    <w:p w14:paraId="387387B2" w14:textId="77777777" w:rsidR="001A1296" w:rsidRPr="001A1296" w:rsidRDefault="001A1296" w:rsidP="001A1296">
      <w:pPr>
        <w:spacing w:after="160"/>
        <w:jc w:val="both"/>
        <w:rPr>
          <w:rFonts w:eastAsiaTheme="minorEastAsia"/>
          <w:lang w:eastAsia="zh-CN"/>
        </w:rPr>
      </w:pPr>
      <w:r w:rsidRPr="001A1296">
        <w:rPr>
          <w:rFonts w:eastAsiaTheme="minorEastAsia"/>
          <w:lang w:eastAsia="zh-CN"/>
        </w:rPr>
        <w:t xml:space="preserve">- provide protection of primary services in the band and adjacent frequency </w:t>
      </w:r>
      <w:proofErr w:type="gramStart"/>
      <w:r w:rsidRPr="001A1296">
        <w:rPr>
          <w:rFonts w:eastAsiaTheme="minorEastAsia"/>
          <w:lang w:eastAsia="zh-CN"/>
        </w:rPr>
        <w:t>bands;</w:t>
      </w:r>
      <w:proofErr w:type="gramEnd"/>
      <w:r w:rsidRPr="001A1296">
        <w:rPr>
          <w:rFonts w:eastAsiaTheme="minorEastAsia"/>
          <w:lang w:eastAsia="zh-CN"/>
        </w:rPr>
        <w:t xml:space="preserve"> </w:t>
      </w:r>
    </w:p>
    <w:p w14:paraId="455B0EE5" w14:textId="43299972" w:rsidR="005263C8" w:rsidRPr="001A1296" w:rsidRDefault="001A1296" w:rsidP="001A1296">
      <w:pPr>
        <w:spacing w:after="160"/>
        <w:jc w:val="both"/>
        <w:rPr>
          <w:rFonts w:eastAsiaTheme="minorEastAsia"/>
          <w:lang w:eastAsia="zh-CN"/>
        </w:rPr>
      </w:pPr>
      <w:r w:rsidRPr="001A1296">
        <w:rPr>
          <w:rFonts w:eastAsiaTheme="minorEastAsia"/>
          <w:lang w:eastAsia="zh-CN"/>
        </w:rPr>
        <w:lastRenderedPageBreak/>
        <w:t>- define unwanted emissions’ limits for station of aeronautical mobile service in the frequency bands 15.35-15.4 GHz and 22.21-22.5 GHz to protect EESS (passive) and radio astronomy service.</w:t>
      </w:r>
    </w:p>
    <w:p w14:paraId="4A980740" w14:textId="77777777" w:rsidR="005263C8" w:rsidRPr="005263C8" w:rsidRDefault="005263C8" w:rsidP="005263C8">
      <w:pPr>
        <w:pStyle w:val="ListParagraph"/>
        <w:spacing w:after="120"/>
        <w:ind w:left="1080"/>
        <w:jc w:val="both"/>
        <w:rPr>
          <w:bCs/>
          <w:lang w:val="en-NZ" w:eastAsia="ko-KR"/>
        </w:rPr>
      </w:pPr>
    </w:p>
    <w:p w14:paraId="32715F49" w14:textId="744F53A8" w:rsidR="00957294" w:rsidRPr="00441526" w:rsidRDefault="00957294" w:rsidP="00957294">
      <w:pPr>
        <w:spacing w:after="120"/>
        <w:jc w:val="both"/>
        <w:rPr>
          <w:b/>
          <w:lang w:val="en-NZ" w:eastAsia="ko-KR"/>
        </w:rPr>
      </w:pPr>
      <w:r>
        <w:rPr>
          <w:b/>
          <w:lang w:val="en-NZ" w:eastAsia="ko-KR"/>
        </w:rPr>
        <w:t>4</w:t>
      </w:r>
      <w:r w:rsidRPr="00441526">
        <w:rPr>
          <w:b/>
          <w:lang w:val="en-NZ" w:eastAsia="ko-KR"/>
        </w:rPr>
        <w:t xml:space="preserve">. </w:t>
      </w:r>
      <w:r w:rsidRPr="00441526">
        <w:rPr>
          <w:b/>
          <w:lang w:val="en-NZ" w:eastAsia="ko-KR"/>
        </w:rPr>
        <w:tab/>
      </w:r>
      <w:r w:rsidR="005263C8">
        <w:rPr>
          <w:b/>
          <w:lang w:val="en-NZ" w:eastAsia="ko-KR"/>
        </w:rPr>
        <w:t xml:space="preserve">Position of International Organizations </w:t>
      </w:r>
      <w:r>
        <w:rPr>
          <w:b/>
          <w:lang w:val="en-NZ" w:eastAsia="ko-KR"/>
        </w:rPr>
        <w:t>(if available)</w:t>
      </w:r>
    </w:p>
    <w:p w14:paraId="18974646" w14:textId="09BE45A9" w:rsidR="005263C8" w:rsidRDefault="005263C8" w:rsidP="005263C8">
      <w:pPr>
        <w:pStyle w:val="ListParagraph"/>
        <w:numPr>
          <w:ilvl w:val="0"/>
          <w:numId w:val="21"/>
        </w:numPr>
        <w:spacing w:after="120"/>
        <w:jc w:val="both"/>
        <w:rPr>
          <w:bCs/>
          <w:lang w:val="en-NZ" w:eastAsia="ko-KR"/>
        </w:rPr>
      </w:pPr>
      <w:r>
        <w:rPr>
          <w:bCs/>
          <w:lang w:val="en-NZ" w:eastAsia="ko-KR"/>
        </w:rPr>
        <w:t>ICAO</w:t>
      </w:r>
    </w:p>
    <w:p w14:paraId="28ABE442" w14:textId="77777777" w:rsidR="001A1296" w:rsidRPr="001A1296" w:rsidRDefault="001A1296" w:rsidP="001A1296">
      <w:pPr>
        <w:spacing w:after="160"/>
        <w:jc w:val="both"/>
        <w:rPr>
          <w:rFonts w:eastAsiaTheme="minorEastAsia"/>
          <w:lang w:eastAsia="zh-CN"/>
        </w:rPr>
      </w:pPr>
      <w:r w:rsidRPr="001A1296">
        <w:rPr>
          <w:rFonts w:eastAsiaTheme="minorEastAsia"/>
          <w:lang w:eastAsia="zh-CN"/>
        </w:rPr>
        <w:t xml:space="preserve">To support ITU-R studies as called for by Resolution </w:t>
      </w:r>
      <w:r w:rsidRPr="001A1296">
        <w:rPr>
          <w:rFonts w:eastAsiaTheme="minorEastAsia"/>
          <w:b/>
          <w:bCs/>
          <w:lang w:eastAsia="zh-CN"/>
        </w:rPr>
        <w:t>430 (WRC-19)</w:t>
      </w:r>
      <w:r w:rsidRPr="001A1296">
        <w:rPr>
          <w:rFonts w:eastAsiaTheme="minorEastAsia"/>
          <w:lang w:eastAsia="zh-CN"/>
        </w:rPr>
        <w:t>.</w:t>
      </w:r>
    </w:p>
    <w:p w14:paraId="65607737" w14:textId="77777777" w:rsidR="001A1296" w:rsidRPr="001A1296" w:rsidRDefault="001A1296" w:rsidP="001A1296">
      <w:pPr>
        <w:spacing w:after="160"/>
        <w:jc w:val="both"/>
        <w:rPr>
          <w:rFonts w:eastAsiaTheme="minorEastAsia"/>
          <w:lang w:eastAsia="zh-CN"/>
        </w:rPr>
      </w:pPr>
      <w:r w:rsidRPr="001A1296">
        <w:rPr>
          <w:rFonts w:eastAsiaTheme="minorEastAsia"/>
          <w:lang w:eastAsia="zh-CN"/>
        </w:rPr>
        <w:t>To support, based on the agreed results of studies, new allocations to the aeronautical mobile service only for use by non-safety aeronautical mobile applications.</w:t>
      </w:r>
    </w:p>
    <w:p w14:paraId="638325BC" w14:textId="40CA5E82" w:rsidR="005263C8" w:rsidRPr="001A1296" w:rsidRDefault="001A1296" w:rsidP="001A1296">
      <w:pPr>
        <w:spacing w:after="160"/>
        <w:jc w:val="both"/>
        <w:rPr>
          <w:rFonts w:eastAsiaTheme="minorEastAsia"/>
          <w:lang w:eastAsia="zh-CN"/>
        </w:rPr>
      </w:pPr>
      <w:r w:rsidRPr="001A1296">
        <w:rPr>
          <w:rFonts w:eastAsiaTheme="minorEastAsia"/>
          <w:lang w:eastAsia="zh-CN"/>
        </w:rPr>
        <w:t>To ensure that any such modification does not adversely affect the status or provision of aeronautical safety services.</w:t>
      </w:r>
    </w:p>
    <w:p w14:paraId="1A3BA6F3" w14:textId="394B76C1" w:rsidR="005263C8" w:rsidRDefault="005263C8" w:rsidP="005263C8">
      <w:pPr>
        <w:pStyle w:val="ListParagraph"/>
        <w:numPr>
          <w:ilvl w:val="0"/>
          <w:numId w:val="21"/>
        </w:numPr>
        <w:spacing w:after="120"/>
        <w:jc w:val="both"/>
        <w:rPr>
          <w:bCs/>
          <w:lang w:val="en-NZ" w:eastAsia="ko-KR"/>
        </w:rPr>
      </w:pPr>
      <w:r>
        <w:rPr>
          <w:bCs/>
          <w:lang w:val="en-NZ" w:eastAsia="ko-KR"/>
        </w:rPr>
        <w:t>IMO</w:t>
      </w:r>
    </w:p>
    <w:p w14:paraId="1F179006" w14:textId="77777777" w:rsidR="005263C8" w:rsidRPr="005263C8" w:rsidRDefault="005263C8" w:rsidP="005263C8">
      <w:pPr>
        <w:spacing w:after="120"/>
        <w:jc w:val="both"/>
        <w:rPr>
          <w:bCs/>
          <w:lang w:val="en-NZ" w:eastAsia="ko-KR"/>
        </w:rPr>
      </w:pPr>
    </w:p>
    <w:p w14:paraId="7D807065" w14:textId="072E3DF8" w:rsidR="005263C8" w:rsidRDefault="005263C8" w:rsidP="005263C8">
      <w:pPr>
        <w:pStyle w:val="ListParagraph"/>
        <w:numPr>
          <w:ilvl w:val="0"/>
          <w:numId w:val="21"/>
        </w:numPr>
        <w:spacing w:after="120"/>
        <w:jc w:val="both"/>
        <w:rPr>
          <w:bCs/>
          <w:lang w:val="en-NZ" w:eastAsia="ko-KR"/>
        </w:rPr>
      </w:pPr>
      <w:r>
        <w:rPr>
          <w:bCs/>
          <w:lang w:val="en-NZ" w:eastAsia="ko-KR"/>
        </w:rPr>
        <w:t>WMO</w:t>
      </w:r>
    </w:p>
    <w:p w14:paraId="140C012D" w14:textId="36DF86BB" w:rsidR="005263C8" w:rsidRPr="001A1296" w:rsidRDefault="000A7E35" w:rsidP="001A1296">
      <w:pPr>
        <w:spacing w:after="160"/>
        <w:jc w:val="both"/>
        <w:rPr>
          <w:rFonts w:eastAsiaTheme="minorEastAsia"/>
          <w:lang w:eastAsia="zh-CN"/>
        </w:rPr>
      </w:pPr>
      <w:r w:rsidRPr="001A1296">
        <w:rPr>
          <w:rFonts w:eastAsiaTheme="minorEastAsia"/>
          <w:lang w:eastAsia="zh-CN"/>
        </w:rPr>
        <w:t>WMO supports studies to ensure protection of the EESS (passive) in the adjacent frequency band 22.21-22.5 GHz and possibly the 15.35-15.4 GHz band when its usage will have been assessed.</w:t>
      </w:r>
    </w:p>
    <w:p w14:paraId="588FA515" w14:textId="784D71C0" w:rsidR="005263C8" w:rsidRDefault="005263C8" w:rsidP="005263C8">
      <w:pPr>
        <w:pStyle w:val="ListParagraph"/>
        <w:numPr>
          <w:ilvl w:val="0"/>
          <w:numId w:val="21"/>
        </w:numPr>
        <w:spacing w:after="120"/>
        <w:jc w:val="both"/>
        <w:rPr>
          <w:bCs/>
          <w:lang w:val="en-NZ" w:eastAsia="ko-KR"/>
        </w:rPr>
      </w:pPr>
      <w:r>
        <w:rPr>
          <w:bCs/>
          <w:lang w:val="en-NZ" w:eastAsia="ko-KR"/>
        </w:rPr>
        <w:t>IARU R3</w:t>
      </w:r>
    </w:p>
    <w:p w14:paraId="18D19AB0" w14:textId="77777777" w:rsidR="005263C8" w:rsidRPr="005263C8" w:rsidRDefault="005263C8" w:rsidP="005263C8">
      <w:pPr>
        <w:pStyle w:val="ListParagraph"/>
        <w:rPr>
          <w:bCs/>
          <w:lang w:val="en-NZ" w:eastAsia="ko-KR"/>
        </w:rPr>
      </w:pPr>
    </w:p>
    <w:p w14:paraId="4E11B821" w14:textId="7CBE992E" w:rsidR="005263C8" w:rsidRDefault="005263C8" w:rsidP="005263C8">
      <w:pPr>
        <w:pStyle w:val="ListParagraph"/>
        <w:numPr>
          <w:ilvl w:val="0"/>
          <w:numId w:val="21"/>
        </w:numPr>
        <w:spacing w:after="120"/>
        <w:jc w:val="both"/>
        <w:rPr>
          <w:bCs/>
          <w:lang w:val="en-NZ" w:eastAsia="ko-KR"/>
        </w:rPr>
      </w:pPr>
      <w:r>
        <w:rPr>
          <w:bCs/>
          <w:lang w:val="en-NZ" w:eastAsia="ko-KR"/>
        </w:rPr>
        <w:t>Etc…</w:t>
      </w:r>
    </w:p>
    <w:p w14:paraId="2E92025C" w14:textId="77777777" w:rsidR="00957294" w:rsidRPr="00441526" w:rsidRDefault="00957294" w:rsidP="00957294">
      <w:pPr>
        <w:spacing w:after="120"/>
        <w:jc w:val="both"/>
        <w:rPr>
          <w:b/>
          <w:lang w:val="en-NZ" w:eastAsia="ko-KR"/>
        </w:rPr>
      </w:pPr>
    </w:p>
    <w:p w14:paraId="40FE6F6B" w14:textId="77777777" w:rsidR="0037421D" w:rsidRPr="00957294" w:rsidRDefault="0037421D" w:rsidP="00E5341E">
      <w:pPr>
        <w:spacing w:after="120"/>
        <w:jc w:val="both"/>
        <w:rPr>
          <w:b/>
          <w:lang w:val="en-NZ"/>
        </w:rPr>
      </w:pPr>
    </w:p>
    <w:p w14:paraId="7C0524FF" w14:textId="77777777" w:rsidR="0037421D" w:rsidRDefault="0037421D" w:rsidP="00E5341E">
      <w:pPr>
        <w:spacing w:after="120"/>
        <w:jc w:val="both"/>
        <w:rPr>
          <w:b/>
        </w:rPr>
      </w:pPr>
    </w:p>
    <w:p w14:paraId="6C6955A0" w14:textId="77777777" w:rsidR="0037421D" w:rsidRDefault="0037421D" w:rsidP="00E5341E">
      <w:pPr>
        <w:spacing w:after="120"/>
        <w:jc w:val="both"/>
        <w:rPr>
          <w:b/>
        </w:rPr>
      </w:pPr>
    </w:p>
    <w:p w14:paraId="2F9FD52E" w14:textId="77777777" w:rsidR="0037421D" w:rsidRDefault="0037421D" w:rsidP="00E5341E">
      <w:pPr>
        <w:spacing w:after="120"/>
        <w:jc w:val="both"/>
        <w:rPr>
          <w:b/>
        </w:rPr>
      </w:pPr>
    </w:p>
    <w:p w14:paraId="21C20C98" w14:textId="77777777" w:rsidR="0037421D" w:rsidRDefault="0037421D" w:rsidP="00E5341E">
      <w:pPr>
        <w:spacing w:after="120"/>
        <w:jc w:val="both"/>
        <w:rPr>
          <w:b/>
        </w:rPr>
      </w:pPr>
    </w:p>
    <w:p w14:paraId="2C69F69E" w14:textId="77777777" w:rsidR="0037421D" w:rsidRDefault="0037421D" w:rsidP="00E5341E">
      <w:pPr>
        <w:spacing w:after="120"/>
        <w:jc w:val="both"/>
        <w:rPr>
          <w:b/>
        </w:rPr>
      </w:pPr>
    </w:p>
    <w:p w14:paraId="7826C53D" w14:textId="77777777" w:rsidR="001E1432" w:rsidRDefault="001E1432" w:rsidP="00E5341E">
      <w:pPr>
        <w:spacing w:after="120"/>
        <w:jc w:val="both"/>
        <w:rPr>
          <w:b/>
        </w:rPr>
      </w:pPr>
    </w:p>
    <w:p w14:paraId="0269BE0F" w14:textId="77777777" w:rsidR="001E1432" w:rsidRDefault="001E1432" w:rsidP="00E5341E">
      <w:pPr>
        <w:spacing w:after="120"/>
        <w:jc w:val="both"/>
        <w:rPr>
          <w:b/>
        </w:rPr>
      </w:pPr>
    </w:p>
    <w:p w14:paraId="2DACF388" w14:textId="77777777" w:rsidR="001E1432" w:rsidRDefault="001E1432" w:rsidP="00E5341E">
      <w:pPr>
        <w:spacing w:after="120"/>
        <w:jc w:val="both"/>
        <w:rPr>
          <w:b/>
        </w:rPr>
      </w:pPr>
    </w:p>
    <w:p w14:paraId="5F077715" w14:textId="77777777" w:rsidR="001E1432" w:rsidRDefault="001E1432" w:rsidP="00E5341E">
      <w:pPr>
        <w:spacing w:after="120"/>
        <w:jc w:val="both"/>
        <w:rPr>
          <w:b/>
        </w:rPr>
      </w:pPr>
    </w:p>
    <w:p w14:paraId="3C7046D5" w14:textId="77777777" w:rsidR="001E1432" w:rsidRDefault="001E1432" w:rsidP="00E5341E">
      <w:pPr>
        <w:spacing w:after="120"/>
        <w:jc w:val="both"/>
        <w:rPr>
          <w:b/>
        </w:rPr>
      </w:pPr>
    </w:p>
    <w:p w14:paraId="3A5A29ED" w14:textId="77777777" w:rsidR="001E1432" w:rsidRDefault="001E1432" w:rsidP="00E5341E">
      <w:pPr>
        <w:spacing w:after="120"/>
        <w:jc w:val="both"/>
        <w:rPr>
          <w:b/>
        </w:rPr>
      </w:pPr>
    </w:p>
    <w:p w14:paraId="30074D0E" w14:textId="77777777" w:rsidR="0037421D" w:rsidRDefault="0037421D" w:rsidP="00E5341E">
      <w:pPr>
        <w:spacing w:after="120"/>
        <w:jc w:val="both"/>
        <w:rPr>
          <w:b/>
        </w:rPr>
      </w:pPr>
    </w:p>
    <w:p w14:paraId="2323D167" w14:textId="77777777" w:rsidR="0037421D" w:rsidRDefault="0037421D" w:rsidP="00E5341E">
      <w:pPr>
        <w:spacing w:after="120"/>
        <w:jc w:val="both"/>
        <w:rPr>
          <w:b/>
        </w:rPr>
      </w:pPr>
    </w:p>
    <w:p w14:paraId="3025228D" w14:textId="77777777" w:rsidR="0037421D" w:rsidRDefault="0037421D" w:rsidP="00E5341E">
      <w:pPr>
        <w:spacing w:after="120"/>
        <w:jc w:val="both"/>
        <w:rPr>
          <w:b/>
        </w:rPr>
      </w:pPr>
    </w:p>
    <w:p w14:paraId="1BAB55AA" w14:textId="77777777" w:rsidR="0037421D" w:rsidRDefault="0037421D" w:rsidP="00E5341E">
      <w:pPr>
        <w:spacing w:after="120"/>
        <w:jc w:val="both"/>
        <w:rPr>
          <w:b/>
        </w:rPr>
      </w:pPr>
    </w:p>
    <w:p w14:paraId="17021774" w14:textId="77777777" w:rsidR="0037421D" w:rsidRPr="00EC249E" w:rsidRDefault="0037421D" w:rsidP="00E5341E">
      <w:pPr>
        <w:spacing w:after="120"/>
        <w:jc w:val="both"/>
        <w:rPr>
          <w:b/>
        </w:rPr>
      </w:pPr>
    </w:p>
    <w:sectPr w:rsidR="0037421D" w:rsidRPr="00EC249E" w:rsidSect="00FF72BB">
      <w:headerReference w:type="default" r:id="rId29"/>
      <w:footerReference w:type="even" r:id="rId30"/>
      <w:footerReference w:type="default" r:id="rId31"/>
      <w:footerReference w:type="first" r:id="rId3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B9DE0" w14:textId="77777777" w:rsidR="008D7F5B" w:rsidRDefault="008D7F5B">
      <w:r>
        <w:separator/>
      </w:r>
    </w:p>
  </w:endnote>
  <w:endnote w:type="continuationSeparator" w:id="0">
    <w:p w14:paraId="164B231A" w14:textId="77777777" w:rsidR="008D7F5B" w:rsidRDefault="008D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2CB8"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2807" w14:textId="65F37895" w:rsidR="00051E1E" w:rsidRDefault="00051E1E">
    <w:pPr>
      <w:pStyle w:val="Footer"/>
    </w:pPr>
    <w:r>
      <w:t>A</w:t>
    </w:r>
    <w:r w:rsidR="001E1432">
      <w:t>PG23-</w:t>
    </w:r>
    <w:r w:rsidR="008624ED">
      <w:t>2</w:t>
    </w:r>
    <w:r>
      <w:t>/IN</w:t>
    </w:r>
    <w:r w:rsidR="00E252BB">
      <w:t>F</w:t>
    </w:r>
    <w:r>
      <w:t>-</w:t>
    </w:r>
    <w:r w:rsidR="00E252BB">
      <w:t>15</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7EF20505" w14:textId="77777777" w:rsidTr="007E7497">
      <w:trPr>
        <w:cantSplit/>
        <w:trHeight w:val="204"/>
        <w:jc w:val="center"/>
      </w:trPr>
      <w:tc>
        <w:tcPr>
          <w:tcW w:w="1152" w:type="dxa"/>
        </w:tcPr>
        <w:p w14:paraId="7C14EC98" w14:textId="77777777" w:rsidR="00B54758" w:rsidRDefault="00B54758" w:rsidP="007E7497">
          <w:pPr>
            <w:rPr>
              <w:b/>
              <w:bCs/>
            </w:rPr>
          </w:pPr>
          <w:r>
            <w:rPr>
              <w:b/>
              <w:bCs/>
            </w:rPr>
            <w:t>Contact:</w:t>
          </w:r>
        </w:p>
      </w:tc>
      <w:tc>
        <w:tcPr>
          <w:tcW w:w="5040" w:type="dxa"/>
        </w:tcPr>
        <w:p w14:paraId="6EFBEFD1" w14:textId="77777777" w:rsidR="00EC249E" w:rsidRDefault="00E252BB" w:rsidP="007E7497">
          <w:pPr>
            <w:pStyle w:val="Equation"/>
            <w:tabs>
              <w:tab w:val="clear" w:pos="794"/>
              <w:tab w:val="clear" w:pos="4820"/>
              <w:tab w:val="clear" w:pos="9639"/>
            </w:tabs>
            <w:spacing w:beforeLines="0"/>
          </w:pPr>
          <w:proofErr w:type="spellStart"/>
          <w:r>
            <w:t>Dr.</w:t>
          </w:r>
          <w:proofErr w:type="spellEnd"/>
          <w:r>
            <w:t xml:space="preserve"> </w:t>
          </w:r>
          <w:proofErr w:type="spellStart"/>
          <w:r>
            <w:t>Jicheng</w:t>
          </w:r>
          <w:proofErr w:type="spellEnd"/>
          <w:r>
            <w:t xml:space="preserve"> Fang</w:t>
          </w:r>
        </w:p>
        <w:p w14:paraId="39C5729B" w14:textId="23EF3E3D" w:rsidR="00E252BB" w:rsidRDefault="00E252BB" w:rsidP="007E7497">
          <w:pPr>
            <w:pStyle w:val="Equation"/>
            <w:tabs>
              <w:tab w:val="clear" w:pos="794"/>
              <w:tab w:val="clear" w:pos="4820"/>
              <w:tab w:val="clear" w:pos="9639"/>
            </w:tabs>
            <w:spacing w:beforeLines="0"/>
            <w:rPr>
              <w:rFonts w:eastAsia="Batang"/>
            </w:rPr>
          </w:pPr>
          <w:r>
            <w:t>Chairman, DG AI1.10</w:t>
          </w:r>
        </w:p>
      </w:tc>
      <w:tc>
        <w:tcPr>
          <w:tcW w:w="3024" w:type="dxa"/>
        </w:tcPr>
        <w:p w14:paraId="66CA6E30" w14:textId="3F6AC06B" w:rsidR="00B54758" w:rsidRDefault="00B54758" w:rsidP="00E23D98">
          <w:pPr>
            <w:rPr>
              <w:lang w:eastAsia="ja-JP"/>
            </w:rPr>
          </w:pPr>
          <w:r>
            <w:t>Email</w:t>
          </w:r>
          <w:r>
            <w:rPr>
              <w:rFonts w:hint="eastAsia"/>
            </w:rPr>
            <w:t>:</w:t>
          </w:r>
          <w:r>
            <w:t xml:space="preserve"> </w:t>
          </w:r>
          <w:hyperlink r:id="rId1" w:history="1">
            <w:r w:rsidR="00E252BB" w:rsidRPr="00A75B0F">
              <w:rPr>
                <w:rStyle w:val="Hyperlink"/>
              </w:rPr>
              <w:t>jchfang@163.com</w:t>
            </w:r>
          </w:hyperlink>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8EBC0" w14:textId="77777777" w:rsidR="008D7F5B" w:rsidRDefault="008D7F5B">
      <w:r>
        <w:separator/>
      </w:r>
    </w:p>
  </w:footnote>
  <w:footnote w:type="continuationSeparator" w:id="0">
    <w:p w14:paraId="2EC06AB5" w14:textId="77777777" w:rsidR="008D7F5B" w:rsidRDefault="008D7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9801948"/>
    <w:multiLevelType w:val="hybridMultilevel"/>
    <w:tmpl w:val="AB7681C2"/>
    <w:lvl w:ilvl="0" w:tplc="B0426F7E">
      <w:start w:val="1"/>
      <w:numFmt w:val="bullet"/>
      <w:lvlText w:val="-"/>
      <w:lvlJc w:val="left"/>
      <w:pPr>
        <w:ind w:left="1120" w:hanging="360"/>
      </w:pPr>
      <w:rPr>
        <w:rFonts w:ascii="Calibri" w:eastAsiaTheme="minorEastAsia"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4"/>
  </w:num>
  <w:num w:numId="2">
    <w:abstractNumId w:val="8"/>
  </w:num>
  <w:num w:numId="3">
    <w:abstractNumId w:val="6"/>
  </w:num>
  <w:num w:numId="4">
    <w:abstractNumId w:val="20"/>
  </w:num>
  <w:num w:numId="5">
    <w:abstractNumId w:val="11"/>
  </w:num>
  <w:num w:numId="6">
    <w:abstractNumId w:val="15"/>
  </w:num>
  <w:num w:numId="7">
    <w:abstractNumId w:val="5"/>
  </w:num>
  <w:num w:numId="8">
    <w:abstractNumId w:val="1"/>
  </w:num>
  <w:num w:numId="9">
    <w:abstractNumId w:val="22"/>
  </w:num>
  <w:num w:numId="10">
    <w:abstractNumId w:val="0"/>
  </w:num>
  <w:num w:numId="11">
    <w:abstractNumId w:val="21"/>
  </w:num>
  <w:num w:numId="12">
    <w:abstractNumId w:val="12"/>
  </w:num>
  <w:num w:numId="13">
    <w:abstractNumId w:val="17"/>
  </w:num>
  <w:num w:numId="14">
    <w:abstractNumId w:val="9"/>
  </w:num>
  <w:num w:numId="15">
    <w:abstractNumId w:val="3"/>
  </w:num>
  <w:num w:numId="16">
    <w:abstractNumId w:val="2"/>
  </w:num>
  <w:num w:numId="17">
    <w:abstractNumId w:val="4"/>
  </w:num>
  <w:num w:numId="18">
    <w:abstractNumId w:val="13"/>
  </w:num>
  <w:num w:numId="19">
    <w:abstractNumId w:val="18"/>
  </w:num>
  <w:num w:numId="20">
    <w:abstractNumId w:val="16"/>
  </w:num>
  <w:num w:numId="21">
    <w:abstractNumId w:val="7"/>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3595B"/>
    <w:rsid w:val="00036385"/>
    <w:rsid w:val="00041163"/>
    <w:rsid w:val="00041FDE"/>
    <w:rsid w:val="00051E1E"/>
    <w:rsid w:val="00054C56"/>
    <w:rsid w:val="00063DF8"/>
    <w:rsid w:val="000713CF"/>
    <w:rsid w:val="00075C14"/>
    <w:rsid w:val="00094B87"/>
    <w:rsid w:val="000964D0"/>
    <w:rsid w:val="000A1F8C"/>
    <w:rsid w:val="000A5418"/>
    <w:rsid w:val="000A754D"/>
    <w:rsid w:val="000A7E35"/>
    <w:rsid w:val="000B1E8C"/>
    <w:rsid w:val="000B595C"/>
    <w:rsid w:val="000D7C75"/>
    <w:rsid w:val="000F517C"/>
    <w:rsid w:val="000F5540"/>
    <w:rsid w:val="00106B56"/>
    <w:rsid w:val="00122653"/>
    <w:rsid w:val="0012321E"/>
    <w:rsid w:val="00125217"/>
    <w:rsid w:val="00130A94"/>
    <w:rsid w:val="00131FCA"/>
    <w:rsid w:val="00133947"/>
    <w:rsid w:val="00134CC7"/>
    <w:rsid w:val="00135C32"/>
    <w:rsid w:val="001433F1"/>
    <w:rsid w:val="001539DD"/>
    <w:rsid w:val="0015748C"/>
    <w:rsid w:val="00164353"/>
    <w:rsid w:val="00164430"/>
    <w:rsid w:val="00175BD2"/>
    <w:rsid w:val="0018114D"/>
    <w:rsid w:val="001832C2"/>
    <w:rsid w:val="001923E8"/>
    <w:rsid w:val="00196568"/>
    <w:rsid w:val="00197B92"/>
    <w:rsid w:val="001A1296"/>
    <w:rsid w:val="001A2F16"/>
    <w:rsid w:val="001A34FF"/>
    <w:rsid w:val="001B18C2"/>
    <w:rsid w:val="001D5D7E"/>
    <w:rsid w:val="001E1432"/>
    <w:rsid w:val="001F5947"/>
    <w:rsid w:val="0021588B"/>
    <w:rsid w:val="002216AC"/>
    <w:rsid w:val="002219FD"/>
    <w:rsid w:val="0023010A"/>
    <w:rsid w:val="00230738"/>
    <w:rsid w:val="00234735"/>
    <w:rsid w:val="00241BCF"/>
    <w:rsid w:val="00254A1B"/>
    <w:rsid w:val="0026736F"/>
    <w:rsid w:val="00275ED2"/>
    <w:rsid w:val="0028454D"/>
    <w:rsid w:val="00286912"/>
    <w:rsid w:val="00287A2A"/>
    <w:rsid w:val="00291C9E"/>
    <w:rsid w:val="002926D4"/>
    <w:rsid w:val="002C07DA"/>
    <w:rsid w:val="002C7EA9"/>
    <w:rsid w:val="002F2F9A"/>
    <w:rsid w:val="003131A3"/>
    <w:rsid w:val="00336A0D"/>
    <w:rsid w:val="00342F20"/>
    <w:rsid w:val="00343067"/>
    <w:rsid w:val="00350EC2"/>
    <w:rsid w:val="003540E0"/>
    <w:rsid w:val="003548C2"/>
    <w:rsid w:val="0037421D"/>
    <w:rsid w:val="003809C7"/>
    <w:rsid w:val="003829E0"/>
    <w:rsid w:val="003A3AE3"/>
    <w:rsid w:val="003B03B2"/>
    <w:rsid w:val="003B6263"/>
    <w:rsid w:val="003B6428"/>
    <w:rsid w:val="003C64A7"/>
    <w:rsid w:val="003D25E1"/>
    <w:rsid w:val="003D3FDA"/>
    <w:rsid w:val="003F6D48"/>
    <w:rsid w:val="00403CE4"/>
    <w:rsid w:val="00420822"/>
    <w:rsid w:val="0042126E"/>
    <w:rsid w:val="004323BB"/>
    <w:rsid w:val="00433925"/>
    <w:rsid w:val="004404C0"/>
    <w:rsid w:val="00440BEE"/>
    <w:rsid w:val="00444170"/>
    <w:rsid w:val="0045458F"/>
    <w:rsid w:val="00455FD4"/>
    <w:rsid w:val="004633B4"/>
    <w:rsid w:val="00483317"/>
    <w:rsid w:val="004854EE"/>
    <w:rsid w:val="004A4DE4"/>
    <w:rsid w:val="004B3553"/>
    <w:rsid w:val="004F733C"/>
    <w:rsid w:val="00515050"/>
    <w:rsid w:val="0051686D"/>
    <w:rsid w:val="005201CA"/>
    <w:rsid w:val="00521BF0"/>
    <w:rsid w:val="005263C8"/>
    <w:rsid w:val="00530E8C"/>
    <w:rsid w:val="005442A4"/>
    <w:rsid w:val="00545933"/>
    <w:rsid w:val="0054610B"/>
    <w:rsid w:val="005549C9"/>
    <w:rsid w:val="00557544"/>
    <w:rsid w:val="005606F6"/>
    <w:rsid w:val="005614DC"/>
    <w:rsid w:val="00575CDC"/>
    <w:rsid w:val="00577C0A"/>
    <w:rsid w:val="00587875"/>
    <w:rsid w:val="005B1E77"/>
    <w:rsid w:val="005B244E"/>
    <w:rsid w:val="005C5EB6"/>
    <w:rsid w:val="005D3914"/>
    <w:rsid w:val="005D6B2F"/>
    <w:rsid w:val="005E3896"/>
    <w:rsid w:val="005E6C90"/>
    <w:rsid w:val="00607E2B"/>
    <w:rsid w:val="006139D6"/>
    <w:rsid w:val="00615999"/>
    <w:rsid w:val="00623CE1"/>
    <w:rsid w:val="0062730C"/>
    <w:rsid w:val="0063062B"/>
    <w:rsid w:val="00636BAD"/>
    <w:rsid w:val="0066388B"/>
    <w:rsid w:val="00667229"/>
    <w:rsid w:val="00675C31"/>
    <w:rsid w:val="006769C2"/>
    <w:rsid w:val="00682BE5"/>
    <w:rsid w:val="006843DA"/>
    <w:rsid w:val="00690FED"/>
    <w:rsid w:val="006939A5"/>
    <w:rsid w:val="006A15A4"/>
    <w:rsid w:val="006B6778"/>
    <w:rsid w:val="006C2D39"/>
    <w:rsid w:val="006E12FC"/>
    <w:rsid w:val="006F375E"/>
    <w:rsid w:val="00705C2D"/>
    <w:rsid w:val="00705E61"/>
    <w:rsid w:val="00712451"/>
    <w:rsid w:val="00731041"/>
    <w:rsid w:val="00732F08"/>
    <w:rsid w:val="007350E2"/>
    <w:rsid w:val="0074190C"/>
    <w:rsid w:val="00762576"/>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48E1"/>
    <w:rsid w:val="00816F4E"/>
    <w:rsid w:val="00831716"/>
    <w:rsid w:val="008319BF"/>
    <w:rsid w:val="008337EA"/>
    <w:rsid w:val="00850E1C"/>
    <w:rsid w:val="008624ED"/>
    <w:rsid w:val="00870944"/>
    <w:rsid w:val="008950FB"/>
    <w:rsid w:val="00897849"/>
    <w:rsid w:val="008A423E"/>
    <w:rsid w:val="008A73CD"/>
    <w:rsid w:val="008D084B"/>
    <w:rsid w:val="008D0E09"/>
    <w:rsid w:val="008D7F5B"/>
    <w:rsid w:val="008E3821"/>
    <w:rsid w:val="008F2153"/>
    <w:rsid w:val="008F301D"/>
    <w:rsid w:val="009306C7"/>
    <w:rsid w:val="00953737"/>
    <w:rsid w:val="00957294"/>
    <w:rsid w:val="00972289"/>
    <w:rsid w:val="0097693B"/>
    <w:rsid w:val="00993355"/>
    <w:rsid w:val="009A403B"/>
    <w:rsid w:val="009A46BF"/>
    <w:rsid w:val="009A4A6D"/>
    <w:rsid w:val="009B74AC"/>
    <w:rsid w:val="009C0B35"/>
    <w:rsid w:val="009C361C"/>
    <w:rsid w:val="00A0377A"/>
    <w:rsid w:val="00A0503B"/>
    <w:rsid w:val="00A13265"/>
    <w:rsid w:val="00A20980"/>
    <w:rsid w:val="00A31185"/>
    <w:rsid w:val="00A61885"/>
    <w:rsid w:val="00A71136"/>
    <w:rsid w:val="00AA2589"/>
    <w:rsid w:val="00AA2D8E"/>
    <w:rsid w:val="00AA474C"/>
    <w:rsid w:val="00AB0EAD"/>
    <w:rsid w:val="00AB2572"/>
    <w:rsid w:val="00AC19BB"/>
    <w:rsid w:val="00AD7E5F"/>
    <w:rsid w:val="00AF6E67"/>
    <w:rsid w:val="00B01AA1"/>
    <w:rsid w:val="00B24089"/>
    <w:rsid w:val="00B30C81"/>
    <w:rsid w:val="00B34275"/>
    <w:rsid w:val="00B3474C"/>
    <w:rsid w:val="00B4793B"/>
    <w:rsid w:val="00B54758"/>
    <w:rsid w:val="00B54E6B"/>
    <w:rsid w:val="00B66740"/>
    <w:rsid w:val="00B676EF"/>
    <w:rsid w:val="00B97AC9"/>
    <w:rsid w:val="00BB7E96"/>
    <w:rsid w:val="00BC7506"/>
    <w:rsid w:val="00C15633"/>
    <w:rsid w:val="00C15799"/>
    <w:rsid w:val="00C20F4D"/>
    <w:rsid w:val="00C256E8"/>
    <w:rsid w:val="00C26745"/>
    <w:rsid w:val="00C357AD"/>
    <w:rsid w:val="00C3644A"/>
    <w:rsid w:val="00C6069C"/>
    <w:rsid w:val="00C72CF2"/>
    <w:rsid w:val="00C73F61"/>
    <w:rsid w:val="00C75805"/>
    <w:rsid w:val="00C85119"/>
    <w:rsid w:val="00CC56C6"/>
    <w:rsid w:val="00CD4436"/>
    <w:rsid w:val="00CD5431"/>
    <w:rsid w:val="00CE6DD9"/>
    <w:rsid w:val="00CF2491"/>
    <w:rsid w:val="00CF2CBA"/>
    <w:rsid w:val="00CF3030"/>
    <w:rsid w:val="00CF5DDC"/>
    <w:rsid w:val="00D06742"/>
    <w:rsid w:val="00D1252E"/>
    <w:rsid w:val="00D12CE1"/>
    <w:rsid w:val="00D2444D"/>
    <w:rsid w:val="00D31452"/>
    <w:rsid w:val="00D500B1"/>
    <w:rsid w:val="00D5307B"/>
    <w:rsid w:val="00D57772"/>
    <w:rsid w:val="00D651AB"/>
    <w:rsid w:val="00D72AE3"/>
    <w:rsid w:val="00D75A4D"/>
    <w:rsid w:val="00D8478B"/>
    <w:rsid w:val="00D84CEE"/>
    <w:rsid w:val="00D86151"/>
    <w:rsid w:val="00D91215"/>
    <w:rsid w:val="00DA3CC4"/>
    <w:rsid w:val="00DA7595"/>
    <w:rsid w:val="00DB0A68"/>
    <w:rsid w:val="00DB13B0"/>
    <w:rsid w:val="00DB28C8"/>
    <w:rsid w:val="00DB4A1C"/>
    <w:rsid w:val="00DC43A3"/>
    <w:rsid w:val="00DD7C09"/>
    <w:rsid w:val="00DE54CF"/>
    <w:rsid w:val="00DF791C"/>
    <w:rsid w:val="00E0124F"/>
    <w:rsid w:val="00E02E0D"/>
    <w:rsid w:val="00E06286"/>
    <w:rsid w:val="00E17376"/>
    <w:rsid w:val="00E2283B"/>
    <w:rsid w:val="00E23D98"/>
    <w:rsid w:val="00E252BB"/>
    <w:rsid w:val="00E403B9"/>
    <w:rsid w:val="00E41BE2"/>
    <w:rsid w:val="00E5341E"/>
    <w:rsid w:val="00E545D9"/>
    <w:rsid w:val="00E65FC2"/>
    <w:rsid w:val="00E674D3"/>
    <w:rsid w:val="00E70FD0"/>
    <w:rsid w:val="00E80263"/>
    <w:rsid w:val="00EA0BBD"/>
    <w:rsid w:val="00EA7027"/>
    <w:rsid w:val="00EB2081"/>
    <w:rsid w:val="00EC249E"/>
    <w:rsid w:val="00EE3496"/>
    <w:rsid w:val="00EF2406"/>
    <w:rsid w:val="00F00257"/>
    <w:rsid w:val="00F264FC"/>
    <w:rsid w:val="00F27A79"/>
    <w:rsid w:val="00F5332C"/>
    <w:rsid w:val="00F55E0A"/>
    <w:rsid w:val="00F626B7"/>
    <w:rsid w:val="00F650EB"/>
    <w:rsid w:val="00F84067"/>
    <w:rsid w:val="00F871F5"/>
    <w:rsid w:val="00FB4488"/>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2590F"/>
  <w15:docId w15:val="{1554D3B5-642D-45C1-BD4A-98ED37D1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
    <w:basedOn w:val="DefaultParagraphFont"/>
    <w:uiPriority w:val="99"/>
    <w:unhideWhenUsed/>
    <w:qFormat/>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styleId="UnresolvedMention">
    <w:name w:val="Unresolved Mention"/>
    <w:basedOn w:val="DefaultParagraphFont"/>
    <w:uiPriority w:val="99"/>
    <w:semiHidden/>
    <w:unhideWhenUsed/>
    <w:rsid w:val="009306C7"/>
    <w:rPr>
      <w:color w:val="605E5C"/>
      <w:shd w:val="clear" w:color="auto" w:fill="E1DFDD"/>
    </w:rPr>
  </w:style>
  <w:style w:type="character" w:styleId="FollowedHyperlink">
    <w:name w:val="FollowedHyperlink"/>
    <w:basedOn w:val="DefaultParagraphFont"/>
    <w:semiHidden/>
    <w:unhideWhenUsed/>
    <w:rsid w:val="00041F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rec/R-REC-RA.1513-2-201503-I/en" TargetMode="External"/><Relationship Id="rId18" Type="http://schemas.openxmlformats.org/officeDocument/2006/relationships/hyperlink" Target="https://www.itu.int/rec/R-REC-RS.1861/en" TargetMode="External"/><Relationship Id="rId26" Type="http://schemas.openxmlformats.org/officeDocument/2006/relationships/hyperlink" Target="https://www.itu.int/pub/R-REP-M.2230-2011" TargetMode="External"/><Relationship Id="rId3" Type="http://schemas.openxmlformats.org/officeDocument/2006/relationships/styles" Target="styles.xml"/><Relationship Id="rId21" Type="http://schemas.openxmlformats.org/officeDocument/2006/relationships/hyperlink" Target="https://www.itu.int/rec/R-REC-S.1341-0-199710-I/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rec/R-REC-RA.769-2-200305-I/en" TargetMode="External"/><Relationship Id="rId17" Type="http://schemas.openxmlformats.org/officeDocument/2006/relationships/hyperlink" Target="https://www.itu.int/rec/R-REC-RS.1813-1-201102-I/en" TargetMode="External"/><Relationship Id="rId25" Type="http://schemas.openxmlformats.org/officeDocument/2006/relationships/hyperlink" Target="https://www.itu.int/pub/R-REP-M.2229-201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rec/R-REC-RS.1029-2-200305-W/en" TargetMode="External"/><Relationship Id="rId20" Type="http://schemas.openxmlformats.org/officeDocument/2006/relationships/hyperlink" Target="https://www.itu.int/rec/R-REC-S.1340-0-199710-I/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R-REC-RA.517-4-200605-I/en" TargetMode="External"/><Relationship Id="rId24" Type="http://schemas.openxmlformats.org/officeDocument/2006/relationships/hyperlink" Target="https://www.itu.int/pub/R-REP-M.2170-2009"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tu.int/rec/R-REC-RS.1028-2-200305-W/en" TargetMode="External"/><Relationship Id="rId23" Type="http://schemas.openxmlformats.org/officeDocument/2006/relationships/hyperlink" Target="https://www.itu.int/rec/R-REC-SA.510-3-201707-I/en" TargetMode="External"/><Relationship Id="rId28" Type="http://schemas.openxmlformats.org/officeDocument/2006/relationships/hyperlink" Target="https://www.itu.int/md/R19-WP5B-C-0225/en" TargetMode="External"/><Relationship Id="rId10" Type="http://schemas.openxmlformats.org/officeDocument/2006/relationships/hyperlink" Target="https://www.itu.int/rec/R-REC-M.1730-1-200910-I/en" TargetMode="External"/><Relationship Id="rId19" Type="http://schemas.openxmlformats.org/officeDocument/2006/relationships/hyperlink" Target="https://www.itu.int/rec/R-REC-RS.2017/e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rec/R-REC-F.758/en" TargetMode="External"/><Relationship Id="rId14" Type="http://schemas.openxmlformats.org/officeDocument/2006/relationships/hyperlink" Target="https://www.itu.int/rec/R-REC-RA.1631-0-200305-I/en" TargetMode="External"/><Relationship Id="rId22" Type="http://schemas.openxmlformats.org/officeDocument/2006/relationships/hyperlink" Target="https://www.itu.int/rec/R-REC-SA.509-3-201312-I/en" TargetMode="External"/><Relationship Id="rId27" Type="http://schemas.openxmlformats.org/officeDocument/2006/relationships/hyperlink" Target="https://www.itu.int/pub/R-REP-RA.2131-2009" TargetMode="External"/><Relationship Id="rId30" Type="http://schemas.openxmlformats.org/officeDocument/2006/relationships/footer" Target="footer1.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hyperlink" Target="mailto:jchfang@163.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81F3E-E75B-4637-BCAD-08C75B29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2</TotalTime>
  <Pages>4</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Forhadul Parvez</cp:lastModifiedBy>
  <cp:revision>2</cp:revision>
  <cp:lastPrinted>2004-07-28T02:14:00Z</cp:lastPrinted>
  <dcterms:created xsi:type="dcterms:W3CDTF">2021-03-23T02:25:00Z</dcterms:created>
  <dcterms:modified xsi:type="dcterms:W3CDTF">2021-03-23T02:25:00Z</dcterms:modified>
</cp:coreProperties>
</file>