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4F0ED400"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5020B9">
              <w:rPr>
                <w:b/>
                <w:bCs/>
                <w:lang w:val="fr-FR"/>
              </w:rPr>
              <w:t>20</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217EE94B" w:rsidR="007E1FDD" w:rsidRPr="007E1FDD" w:rsidRDefault="008624ED" w:rsidP="00C73F61">
            <w:pPr>
              <w:spacing w:before="40"/>
              <w:rPr>
                <w:bCs/>
              </w:rPr>
            </w:pPr>
            <w:r>
              <w:rPr>
                <w:bCs/>
              </w:rPr>
              <w:t>x</w:t>
            </w:r>
            <w:r w:rsidR="00EC249E">
              <w:rPr>
                <w:bCs/>
              </w:rPr>
              <w:t>x</w:t>
            </w:r>
            <w:r>
              <w:rPr>
                <w:bCs/>
              </w:rPr>
              <w:t xml:space="preserve"> </w:t>
            </w:r>
            <w:r w:rsidR="00EA0BBD">
              <w:rPr>
                <w:bCs/>
              </w:rPr>
              <w:t xml:space="preserve">March </w:t>
            </w:r>
            <w:r w:rsidR="007E1FDD" w:rsidRPr="007E1FDD">
              <w:rPr>
                <w:bCs/>
              </w:rPr>
              <w:t>20</w:t>
            </w:r>
            <w:r w:rsidR="00EC249E">
              <w:rPr>
                <w:bCs/>
              </w:rPr>
              <w:t>2</w:t>
            </w:r>
            <w:r>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0AC4016A" w:rsidR="00DA7595" w:rsidRPr="00051E1E" w:rsidRDefault="00EA0BBD" w:rsidP="00DA7595">
      <w:pPr>
        <w:jc w:val="center"/>
        <w:rPr>
          <w:lang w:eastAsia="ko-KR"/>
        </w:rPr>
      </w:pPr>
      <w:r>
        <w:rPr>
          <w:lang w:eastAsia="ko-KR"/>
        </w:rPr>
        <w:t>Chairman, DG on AI 1.</w:t>
      </w:r>
      <w:r w:rsidR="00CB2915">
        <w:rPr>
          <w:lang w:eastAsia="ko-KR"/>
        </w:rPr>
        <w:t>18</w:t>
      </w:r>
    </w:p>
    <w:p w14:paraId="49B50650" w14:textId="77777777" w:rsidR="007E7497" w:rsidRPr="00B355DB" w:rsidRDefault="007E7497" w:rsidP="007E7497">
      <w:pPr>
        <w:jc w:val="center"/>
        <w:rPr>
          <w:caps/>
        </w:rPr>
      </w:pPr>
    </w:p>
    <w:p w14:paraId="40C01037" w14:textId="2506E7BC"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agenda item 1.</w:t>
      </w:r>
      <w:r w:rsidR="00CB2915">
        <w:rPr>
          <w:b/>
          <w:bCs/>
          <w:caps/>
        </w:rPr>
        <w:t>18</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473872A4" w:rsidR="00615999" w:rsidRPr="00441526" w:rsidRDefault="00615999" w:rsidP="008154B4">
      <w:pPr>
        <w:spacing w:after="120" w:line="288" w:lineRule="auto"/>
        <w:jc w:val="both"/>
        <w:rPr>
          <w:lang w:val="en-NZ"/>
        </w:rPr>
      </w:pPr>
      <w:r w:rsidRPr="00441526">
        <w:rPr>
          <w:b/>
          <w:lang w:val="en-NZ"/>
        </w:rPr>
        <w:t>Agenda Item 1.</w:t>
      </w:r>
      <w:r w:rsidR="00CB2915">
        <w:rPr>
          <w:b/>
          <w:lang w:val="en-NZ"/>
        </w:rPr>
        <w:t>18</w:t>
      </w:r>
      <w:r w:rsidRPr="00441526">
        <w:rPr>
          <w:b/>
          <w:lang w:val="en-NZ"/>
        </w:rPr>
        <w:t xml:space="preserve">: </w:t>
      </w:r>
    </w:p>
    <w:p w14:paraId="53333B28" w14:textId="018FA000" w:rsidR="00615999" w:rsidRDefault="00CB2915" w:rsidP="008154B4">
      <w:pPr>
        <w:spacing w:after="120" w:line="288" w:lineRule="auto"/>
        <w:jc w:val="both"/>
        <w:rPr>
          <w:b/>
          <w:i/>
          <w:lang w:val="en-NZ"/>
        </w:rPr>
      </w:pPr>
      <w:r w:rsidRPr="00CB2915">
        <w:rPr>
          <w:i/>
          <w:lang w:val="en-NZ"/>
        </w:rPr>
        <w:t xml:space="preserve">to consider studies relating to spectrum needs and potential new allocations to the mobile-satellite service for future development of narrowband mobile-satellite systems, in accordance with Resolution </w:t>
      </w:r>
      <w:r w:rsidRPr="00CB2915">
        <w:rPr>
          <w:b/>
          <w:i/>
          <w:lang w:val="en-NZ"/>
        </w:rPr>
        <w:t>248 (WRC 19)</w:t>
      </w:r>
    </w:p>
    <w:p w14:paraId="7DF9CBE8" w14:textId="77777777" w:rsidR="008154B4" w:rsidRPr="00441526" w:rsidRDefault="008154B4" w:rsidP="008154B4">
      <w:pPr>
        <w:spacing w:after="120" w:line="288" w:lineRule="auto"/>
        <w:jc w:val="both"/>
        <w:rPr>
          <w:i/>
          <w:lang w:val="en-NZ"/>
        </w:rPr>
      </w:pPr>
    </w:p>
    <w:p w14:paraId="3BD549DE" w14:textId="56FA60BB" w:rsidR="0037421D" w:rsidRPr="00615999" w:rsidRDefault="00615999" w:rsidP="008154B4">
      <w:pPr>
        <w:spacing w:after="120" w:line="288" w:lineRule="auto"/>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CB2915" w:rsidRPr="00C51F79" w14:paraId="2C791C60" w14:textId="77777777" w:rsidTr="001300B3">
        <w:trPr>
          <w:jc w:val="center"/>
        </w:trPr>
        <w:tc>
          <w:tcPr>
            <w:tcW w:w="2287" w:type="dxa"/>
          </w:tcPr>
          <w:p w14:paraId="24F41D8F" w14:textId="77777777" w:rsidR="00CB2915" w:rsidRPr="00CB2915" w:rsidRDefault="00CB2915" w:rsidP="008154B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88" w:lineRule="auto"/>
              <w:textAlignment w:val="baseline"/>
              <w:rPr>
                <w:rFonts w:eastAsia="Batang"/>
                <w:b/>
                <w:lang w:eastAsia="nl-NL"/>
              </w:rPr>
            </w:pPr>
            <w:r w:rsidRPr="00CB2915">
              <w:rPr>
                <w:rFonts w:eastAsia="Batang"/>
                <w:lang w:eastAsia="nl-NL"/>
              </w:rPr>
              <w:t>Resolution</w:t>
            </w:r>
            <w:r w:rsidRPr="00CB2915">
              <w:rPr>
                <w:rFonts w:eastAsia="Batang"/>
                <w:b/>
                <w:lang w:eastAsia="nl-NL"/>
              </w:rPr>
              <w:t> 248 (WRC</w:t>
            </w:r>
            <w:r w:rsidRPr="00CB2915">
              <w:rPr>
                <w:rFonts w:eastAsia="Batang"/>
                <w:b/>
                <w:lang w:eastAsia="nl-NL"/>
              </w:rPr>
              <w:noBreakHyphen/>
              <w:t>19)</w:t>
            </w:r>
          </w:p>
          <w:p w14:paraId="441EBDAE" w14:textId="77777777" w:rsidR="00CB2915" w:rsidRPr="00CB2915" w:rsidRDefault="00CB2915" w:rsidP="008154B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88" w:lineRule="auto"/>
              <w:textAlignment w:val="baseline"/>
              <w:rPr>
                <w:rFonts w:eastAsia="Batang"/>
                <w:lang w:eastAsia="nl-NL"/>
              </w:rPr>
            </w:pPr>
            <w:r w:rsidRPr="00CB2915">
              <w:rPr>
                <w:rFonts w:eastAsia="Batang"/>
                <w:lang w:eastAsia="nl-NL"/>
              </w:rPr>
              <w:t>Studies relating to spectrum needs and potential new allocations to the mobile-satellite service in the frequency bands 1 695-1 710 MHz,</w:t>
            </w:r>
            <w:r w:rsidRPr="00CB2915" w:rsidDel="006E468E">
              <w:rPr>
                <w:rFonts w:eastAsia="Batang"/>
                <w:lang w:eastAsia="nl-NL"/>
              </w:rPr>
              <w:t xml:space="preserve"> </w:t>
            </w:r>
            <w:r w:rsidRPr="00CB2915">
              <w:rPr>
                <w:rFonts w:eastAsia="Batang"/>
                <w:lang w:eastAsia="nl-NL"/>
              </w:rPr>
              <w:t>2 010-2 025 MHz, 3 300</w:t>
            </w:r>
            <w:r w:rsidRPr="00CB2915">
              <w:rPr>
                <w:rFonts w:eastAsia="Batang"/>
                <w:lang w:eastAsia="nl-NL"/>
              </w:rPr>
              <w:noBreakHyphen/>
              <w:t>3 315 MHz and 3 385-3 400 MHz for future development of narrowband mobile-satellite systems</w:t>
            </w:r>
          </w:p>
        </w:tc>
        <w:tc>
          <w:tcPr>
            <w:tcW w:w="6922" w:type="dxa"/>
          </w:tcPr>
          <w:p w14:paraId="6A5FA808" w14:textId="77777777" w:rsidR="00CB2915" w:rsidRPr="00CB2915" w:rsidRDefault="00CB2915" w:rsidP="008154B4">
            <w:pPr>
              <w:pStyle w:val="Call"/>
              <w:spacing w:before="0" w:after="120" w:line="288" w:lineRule="auto"/>
              <w:rPr>
                <w:rFonts w:ascii="Times New Roman" w:hAnsi="Times New Roman" w:cs="Times New Roman"/>
                <w:iCs/>
                <w:szCs w:val="24"/>
              </w:rPr>
            </w:pPr>
            <w:r w:rsidRPr="00CB2915">
              <w:rPr>
                <w:rFonts w:ascii="Times New Roman" w:hAnsi="Times New Roman" w:cs="Times New Roman"/>
                <w:iCs/>
                <w:szCs w:val="24"/>
              </w:rPr>
              <w:t>resolves to invite ITU</w:t>
            </w:r>
            <w:r w:rsidRPr="00CB2915">
              <w:rPr>
                <w:rFonts w:ascii="Times New Roman" w:hAnsi="Times New Roman" w:cs="Times New Roman"/>
                <w:iCs/>
                <w:szCs w:val="24"/>
              </w:rPr>
              <w:noBreakHyphen/>
              <w:t>R</w:t>
            </w:r>
          </w:p>
          <w:p w14:paraId="72BE235B" w14:textId="77777777" w:rsidR="00CB2915" w:rsidRPr="00CB2915" w:rsidRDefault="00CB2915" w:rsidP="008154B4">
            <w:pPr>
              <w:pStyle w:val="Tabletext"/>
              <w:spacing w:before="0" w:after="120" w:line="288" w:lineRule="auto"/>
              <w:jc w:val="both"/>
              <w:rPr>
                <w:rFonts w:ascii="Times New Roman" w:hAnsi="Times New Roman" w:cs="Times New Roman"/>
                <w:sz w:val="24"/>
                <w:szCs w:val="24"/>
              </w:rPr>
            </w:pPr>
            <w:r w:rsidRPr="00CB2915">
              <w:rPr>
                <w:rFonts w:ascii="Times New Roman" w:hAnsi="Times New Roman" w:cs="Times New Roman"/>
                <w:sz w:val="24"/>
                <w:szCs w:val="24"/>
              </w:rPr>
              <w:t>1</w:t>
            </w:r>
            <w:r w:rsidRPr="00CB2915">
              <w:rPr>
                <w:rFonts w:ascii="Times New Roman" w:hAnsi="Times New Roman" w:cs="Times New Roman"/>
                <w:sz w:val="24"/>
                <w:szCs w:val="24"/>
              </w:rPr>
              <w:tab/>
              <w:t xml:space="preserve">to conduct studies on spectrum and operational requirements as well as system characteristics of low-data rate systems for the collection of data from, and management of, terrestrial devices in the MSS as described in </w:t>
            </w:r>
            <w:r w:rsidRPr="00CB2915">
              <w:rPr>
                <w:rFonts w:ascii="Times New Roman" w:hAnsi="Times New Roman" w:cs="Times New Roman"/>
                <w:i/>
                <w:sz w:val="24"/>
                <w:szCs w:val="24"/>
              </w:rPr>
              <w:t>considering a)</w:t>
            </w:r>
            <w:r w:rsidRPr="00CB2915">
              <w:rPr>
                <w:rFonts w:ascii="Times New Roman" w:hAnsi="Times New Roman" w:cs="Times New Roman"/>
                <w:sz w:val="24"/>
                <w:szCs w:val="24"/>
              </w:rPr>
              <w:t xml:space="preserve"> and limited to the basic characteristics in </w:t>
            </w:r>
            <w:r w:rsidRPr="00CB2915">
              <w:rPr>
                <w:rFonts w:ascii="Times New Roman" w:hAnsi="Times New Roman" w:cs="Times New Roman"/>
                <w:i/>
                <w:sz w:val="24"/>
                <w:szCs w:val="24"/>
              </w:rPr>
              <w:t>recognizing c)</w:t>
            </w:r>
            <w:r w:rsidRPr="00CB2915">
              <w:rPr>
                <w:rFonts w:ascii="Times New Roman" w:hAnsi="Times New Roman" w:cs="Times New Roman"/>
                <w:sz w:val="24"/>
                <w:szCs w:val="24"/>
              </w:rPr>
              <w:t>;</w:t>
            </w:r>
          </w:p>
          <w:p w14:paraId="035F3BD8" w14:textId="77777777" w:rsidR="00CB2915" w:rsidRPr="00CB2915" w:rsidRDefault="00CB2915" w:rsidP="008154B4">
            <w:pPr>
              <w:pStyle w:val="Tabletext"/>
              <w:spacing w:before="0" w:after="120" w:line="288" w:lineRule="auto"/>
              <w:jc w:val="both"/>
              <w:rPr>
                <w:rFonts w:ascii="Times New Roman" w:hAnsi="Times New Roman" w:cs="Times New Roman"/>
                <w:sz w:val="24"/>
                <w:szCs w:val="24"/>
              </w:rPr>
            </w:pPr>
            <w:bookmarkStart w:id="0" w:name="_Hlk23501848"/>
            <w:r w:rsidRPr="00CB2915">
              <w:rPr>
                <w:rFonts w:ascii="Times New Roman" w:hAnsi="Times New Roman" w:cs="Times New Roman"/>
                <w:sz w:val="24"/>
                <w:szCs w:val="24"/>
              </w:rPr>
              <w:t>2</w:t>
            </w:r>
            <w:r w:rsidRPr="00CB2915">
              <w:rPr>
                <w:rFonts w:ascii="Times New Roman" w:hAnsi="Times New Roman" w:cs="Times New Roman"/>
                <w:sz w:val="24"/>
                <w:szCs w:val="24"/>
              </w:rPr>
              <w:tab/>
              <w:t>to conduct sharing and compatibility studies with existing primary services to determine the suitability of new allocations to the MSS, with a view to protecting the primary services, in the following frequency bands and adjacent frequency bands:</w:t>
            </w:r>
          </w:p>
          <w:p w14:paraId="77878297" w14:textId="77777777" w:rsidR="00CB2915" w:rsidRPr="00CB2915" w:rsidRDefault="00CB2915" w:rsidP="008154B4">
            <w:pPr>
              <w:pStyle w:val="Tabletext"/>
              <w:spacing w:before="0" w:after="120" w:line="288" w:lineRule="auto"/>
              <w:jc w:val="both"/>
              <w:rPr>
                <w:rFonts w:ascii="Times New Roman" w:hAnsi="Times New Roman" w:cs="Times New Roman"/>
                <w:sz w:val="24"/>
                <w:szCs w:val="24"/>
              </w:rPr>
            </w:pPr>
            <w:r w:rsidRPr="00CB2915">
              <w:rPr>
                <w:rFonts w:ascii="Times New Roman" w:hAnsi="Times New Roman" w:cs="Times New Roman"/>
                <w:sz w:val="24"/>
                <w:szCs w:val="24"/>
              </w:rPr>
              <w:tab/>
              <w:t>1 695-1 710 MHz in Region 2,</w:t>
            </w:r>
          </w:p>
          <w:p w14:paraId="24A9D2BE" w14:textId="77777777" w:rsidR="00CB2915" w:rsidRPr="00CB2915" w:rsidRDefault="00CB2915" w:rsidP="008154B4">
            <w:pPr>
              <w:pStyle w:val="Tabletext"/>
              <w:spacing w:before="0" w:after="120" w:line="288" w:lineRule="auto"/>
              <w:jc w:val="both"/>
              <w:rPr>
                <w:rFonts w:ascii="Times New Roman" w:hAnsi="Times New Roman" w:cs="Times New Roman"/>
                <w:sz w:val="24"/>
                <w:szCs w:val="24"/>
              </w:rPr>
            </w:pPr>
            <w:r w:rsidRPr="00CB2915">
              <w:rPr>
                <w:rFonts w:ascii="Times New Roman" w:hAnsi="Times New Roman" w:cs="Times New Roman"/>
                <w:sz w:val="24"/>
                <w:szCs w:val="24"/>
              </w:rPr>
              <w:tab/>
              <w:t>2 010-2 025 MHz in Region 1,</w:t>
            </w:r>
          </w:p>
          <w:p w14:paraId="22068E7A" w14:textId="77777777" w:rsidR="00CB2915" w:rsidRPr="00CB2915" w:rsidRDefault="00CB2915" w:rsidP="008154B4">
            <w:pPr>
              <w:pStyle w:val="Tabletext"/>
              <w:spacing w:before="0" w:after="120" w:line="288" w:lineRule="auto"/>
              <w:jc w:val="both"/>
              <w:rPr>
                <w:rFonts w:ascii="Times New Roman" w:hAnsi="Times New Roman" w:cs="Times New Roman"/>
                <w:sz w:val="24"/>
                <w:szCs w:val="24"/>
              </w:rPr>
            </w:pPr>
            <w:r w:rsidRPr="00CB2915">
              <w:rPr>
                <w:rFonts w:ascii="Times New Roman" w:hAnsi="Times New Roman" w:cs="Times New Roman"/>
                <w:sz w:val="24"/>
                <w:szCs w:val="24"/>
              </w:rPr>
              <w:tab/>
              <w:t>3 300-3 315 MHz, 3 385-3 400 MHz in Region 2;</w:t>
            </w:r>
          </w:p>
          <w:bookmarkEnd w:id="0"/>
          <w:p w14:paraId="7094B4C9" w14:textId="77777777" w:rsidR="00CB2915" w:rsidRPr="00CB2915" w:rsidRDefault="00CB2915" w:rsidP="008154B4">
            <w:pPr>
              <w:pStyle w:val="Tabletext"/>
              <w:spacing w:before="0" w:after="120" w:line="288" w:lineRule="auto"/>
              <w:jc w:val="both"/>
              <w:rPr>
                <w:rFonts w:ascii="Times New Roman" w:hAnsi="Times New Roman" w:cs="Times New Roman"/>
                <w:sz w:val="24"/>
                <w:szCs w:val="24"/>
              </w:rPr>
            </w:pPr>
            <w:r w:rsidRPr="00CB2915">
              <w:rPr>
                <w:rFonts w:ascii="Times New Roman" w:hAnsi="Times New Roman" w:cs="Times New Roman"/>
                <w:sz w:val="24"/>
                <w:szCs w:val="24"/>
              </w:rPr>
              <w:br w:type="page"/>
              <w:t>3</w:t>
            </w:r>
            <w:r w:rsidRPr="00CB2915">
              <w:rPr>
                <w:rFonts w:ascii="Times New Roman" w:hAnsi="Times New Roman" w:cs="Times New Roman"/>
                <w:sz w:val="24"/>
                <w:szCs w:val="24"/>
              </w:rPr>
              <w:tab/>
              <w:t xml:space="preserve">to consider possible new primary or secondary allocations, with the necessary technical limitations, taking into account the characteristics described in </w:t>
            </w:r>
            <w:r w:rsidRPr="00CB2915">
              <w:rPr>
                <w:rFonts w:ascii="Times New Roman" w:hAnsi="Times New Roman" w:cs="Times New Roman"/>
                <w:i/>
                <w:sz w:val="24"/>
                <w:szCs w:val="24"/>
              </w:rPr>
              <w:t>recognizing c),</w:t>
            </w:r>
            <w:r w:rsidRPr="00CB2915">
              <w:rPr>
                <w:rFonts w:ascii="Times New Roman" w:hAnsi="Times New Roman" w:cs="Times New Roman"/>
                <w:sz w:val="24"/>
                <w:szCs w:val="24"/>
              </w:rPr>
              <w:t xml:space="preserve"> to the MSS for non-GSO satellites operating low-data rate systems for the collection of data from, and management of, terrestrial devices based on the result of sharing and compatibility studies, while ensuring the protection of </w:t>
            </w:r>
            <w:r w:rsidRPr="00CB2915">
              <w:rPr>
                <w:rFonts w:ascii="Times New Roman" w:hAnsi="Times New Roman" w:cs="Times New Roman"/>
                <w:sz w:val="24"/>
                <w:szCs w:val="24"/>
              </w:rPr>
              <w:lastRenderedPageBreak/>
              <w:t>existing primary services in those frequency bands, and adjacent bands, without causing undue constraints on their further development,</w:t>
            </w:r>
          </w:p>
          <w:p w14:paraId="13E87464" w14:textId="77777777" w:rsidR="00CB2915" w:rsidRPr="00CB2915" w:rsidRDefault="00CB2915" w:rsidP="008154B4">
            <w:pPr>
              <w:pStyle w:val="Call"/>
              <w:spacing w:before="0" w:after="120" w:line="288" w:lineRule="auto"/>
              <w:jc w:val="both"/>
              <w:rPr>
                <w:rFonts w:ascii="Times New Roman" w:hAnsi="Times New Roman" w:cs="Times New Roman"/>
                <w:iCs/>
                <w:szCs w:val="24"/>
              </w:rPr>
            </w:pPr>
            <w:r w:rsidRPr="00CB2915">
              <w:rPr>
                <w:rFonts w:ascii="Times New Roman" w:hAnsi="Times New Roman" w:cs="Times New Roman"/>
                <w:iCs/>
                <w:szCs w:val="24"/>
              </w:rPr>
              <w:t>resolves to invite WRC</w:t>
            </w:r>
            <w:r w:rsidRPr="00CB2915">
              <w:rPr>
                <w:rFonts w:ascii="Times New Roman" w:hAnsi="Times New Roman" w:cs="Times New Roman"/>
                <w:iCs/>
                <w:szCs w:val="24"/>
              </w:rPr>
              <w:noBreakHyphen/>
              <w:t>23</w:t>
            </w:r>
          </w:p>
          <w:p w14:paraId="57C5CD0F" w14:textId="77777777" w:rsidR="00CB2915" w:rsidRPr="00CB2915" w:rsidRDefault="00CB2915" w:rsidP="008154B4">
            <w:pPr>
              <w:pStyle w:val="Tabletext"/>
              <w:spacing w:before="0" w:after="120" w:line="288" w:lineRule="auto"/>
              <w:jc w:val="both"/>
              <w:rPr>
                <w:rFonts w:ascii="Times New Roman" w:hAnsi="Times New Roman" w:cs="Times New Roman"/>
                <w:sz w:val="24"/>
                <w:szCs w:val="24"/>
              </w:rPr>
            </w:pPr>
            <w:r w:rsidRPr="00CB2915">
              <w:rPr>
                <w:rFonts w:ascii="Times New Roman" w:hAnsi="Times New Roman" w:cs="Times New Roman"/>
                <w:sz w:val="24"/>
                <w:szCs w:val="24"/>
              </w:rPr>
              <w:t xml:space="preserve">to determine, on the basis of the studies conducted under the </w:t>
            </w:r>
            <w:r w:rsidRPr="00CB2915">
              <w:rPr>
                <w:rFonts w:ascii="Times New Roman" w:hAnsi="Times New Roman" w:cs="Times New Roman"/>
                <w:i/>
                <w:iCs/>
                <w:sz w:val="24"/>
                <w:szCs w:val="24"/>
              </w:rPr>
              <w:t>resolves to invite ITU</w:t>
            </w:r>
            <w:r w:rsidRPr="00CB2915">
              <w:rPr>
                <w:rFonts w:ascii="Times New Roman" w:hAnsi="Times New Roman" w:cs="Times New Roman"/>
                <w:i/>
                <w:iCs/>
                <w:sz w:val="24"/>
                <w:szCs w:val="24"/>
              </w:rPr>
              <w:noBreakHyphen/>
              <w:t xml:space="preserve">R </w:t>
            </w:r>
            <w:r w:rsidRPr="00CB2915">
              <w:rPr>
                <w:rFonts w:ascii="Times New Roman" w:hAnsi="Times New Roman" w:cs="Times New Roman"/>
                <w:sz w:val="24"/>
                <w:szCs w:val="24"/>
              </w:rPr>
              <w:t>above, appropriate regulatory actions,</w:t>
            </w:r>
          </w:p>
          <w:p w14:paraId="5A58A325" w14:textId="77777777" w:rsidR="00CB2915" w:rsidRPr="00CB2915" w:rsidRDefault="00CB2915" w:rsidP="008154B4">
            <w:pPr>
              <w:pStyle w:val="Call"/>
              <w:spacing w:before="0" w:after="120" w:line="288" w:lineRule="auto"/>
              <w:jc w:val="both"/>
              <w:rPr>
                <w:rFonts w:ascii="Times New Roman" w:hAnsi="Times New Roman" w:cs="Times New Roman"/>
                <w:iCs/>
                <w:szCs w:val="24"/>
              </w:rPr>
            </w:pPr>
            <w:r w:rsidRPr="00CB2915">
              <w:rPr>
                <w:rFonts w:ascii="Times New Roman" w:hAnsi="Times New Roman" w:cs="Times New Roman"/>
                <w:iCs/>
                <w:szCs w:val="24"/>
              </w:rPr>
              <w:t>invites administrations</w:t>
            </w:r>
          </w:p>
          <w:p w14:paraId="1577B576" w14:textId="77777777" w:rsidR="00CB2915" w:rsidRPr="00CB2915" w:rsidRDefault="00CB2915" w:rsidP="008154B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line="288" w:lineRule="auto"/>
              <w:textAlignment w:val="baseline"/>
              <w:rPr>
                <w:rFonts w:eastAsia="Batang"/>
                <w:lang w:eastAsia="nl-NL"/>
              </w:rPr>
            </w:pPr>
            <w:r w:rsidRPr="00CB2915">
              <w:t>to participate in the studies by submitting contributions to ITU</w:t>
            </w:r>
            <w:r w:rsidRPr="00CB2915">
              <w:noBreakHyphen/>
              <w:t>R.</w:t>
            </w:r>
          </w:p>
        </w:tc>
      </w:tr>
    </w:tbl>
    <w:p w14:paraId="7653B031" w14:textId="608EEB59" w:rsidR="00D84A6F" w:rsidRPr="00441526" w:rsidRDefault="00D84A6F" w:rsidP="008154B4">
      <w:pPr>
        <w:spacing w:after="120" w:line="288" w:lineRule="auto"/>
        <w:jc w:val="both"/>
        <w:rPr>
          <w:b/>
          <w:lang w:val="en-NZ" w:eastAsia="ko-KR"/>
        </w:rPr>
      </w:pPr>
    </w:p>
    <w:tbl>
      <w:tblPr>
        <w:tblW w:w="9209" w:type="dxa"/>
        <w:jc w:val="center"/>
        <w:tblLayout w:type="fixed"/>
        <w:tblLook w:val="01E0" w:firstRow="1" w:lastRow="1" w:firstColumn="1" w:lastColumn="1" w:noHBand="0" w:noVBand="0"/>
      </w:tblPr>
      <w:tblGrid>
        <w:gridCol w:w="2287"/>
        <w:gridCol w:w="6922"/>
      </w:tblGrid>
      <w:tr w:rsidR="00D84A6F" w:rsidRPr="009A5E82" w14:paraId="4251096A" w14:textId="77777777" w:rsidTr="00D6376D">
        <w:trPr>
          <w:jc w:val="center"/>
        </w:trPr>
        <w:tc>
          <w:tcPr>
            <w:tcW w:w="2287" w:type="dxa"/>
            <w:tcBorders>
              <w:top w:val="single" w:sz="4" w:space="0" w:color="auto"/>
              <w:left w:val="single" w:sz="4" w:space="0" w:color="auto"/>
              <w:bottom w:val="single" w:sz="4" w:space="0" w:color="auto"/>
              <w:right w:val="single" w:sz="4" w:space="0" w:color="auto"/>
            </w:tcBorders>
          </w:tcPr>
          <w:p w14:paraId="039B344D" w14:textId="77777777" w:rsidR="00D84A6F" w:rsidRPr="00CB2915" w:rsidRDefault="00D84A6F" w:rsidP="00D6376D">
            <w:pPr>
              <w:tabs>
                <w:tab w:val="left" w:pos="851"/>
                <w:tab w:val="left" w:pos="1418"/>
                <w:tab w:val="left" w:pos="1701"/>
                <w:tab w:val="left" w:pos="1985"/>
                <w:tab w:val="left" w:pos="2552"/>
                <w:tab w:val="left" w:pos="2835"/>
                <w:tab w:val="left" w:pos="3119"/>
                <w:tab w:val="left" w:pos="3402"/>
                <w:tab w:val="left" w:pos="3686"/>
                <w:tab w:val="left" w:pos="3969"/>
              </w:tabs>
              <w:overflowPunct w:val="0"/>
              <w:adjustRightInd w:val="0"/>
              <w:spacing w:after="120" w:line="288" w:lineRule="auto"/>
              <w:jc w:val="center"/>
              <w:textAlignment w:val="baseline"/>
              <w:rPr>
                <w:rFonts w:eastAsia="Batang"/>
                <w:lang w:eastAsia="nl-NL"/>
              </w:rPr>
            </w:pPr>
            <w:r w:rsidRPr="00CB2915">
              <w:rPr>
                <w:rFonts w:eastAsia="Batang"/>
                <w:lang w:eastAsia="nl-NL"/>
              </w:rPr>
              <w:t>Responsible group</w:t>
            </w:r>
          </w:p>
        </w:tc>
        <w:tc>
          <w:tcPr>
            <w:tcW w:w="6922" w:type="dxa"/>
            <w:tcBorders>
              <w:top w:val="single" w:sz="4" w:space="0" w:color="auto"/>
              <w:left w:val="single" w:sz="4" w:space="0" w:color="auto"/>
              <w:bottom w:val="single" w:sz="4" w:space="0" w:color="auto"/>
              <w:right w:val="single" w:sz="4" w:space="0" w:color="auto"/>
            </w:tcBorders>
          </w:tcPr>
          <w:p w14:paraId="7432220C" w14:textId="77777777" w:rsidR="00D84A6F" w:rsidRPr="00CB2915" w:rsidRDefault="00D84A6F" w:rsidP="00D6376D">
            <w:pPr>
              <w:pStyle w:val="Call"/>
              <w:spacing w:before="0" w:after="120" w:line="288" w:lineRule="auto"/>
              <w:jc w:val="center"/>
              <w:rPr>
                <w:rFonts w:ascii="Times New Roman" w:hAnsi="Times New Roman" w:cs="Times New Roman"/>
                <w:i w:val="0"/>
                <w:iCs/>
                <w:szCs w:val="24"/>
              </w:rPr>
            </w:pPr>
            <w:r w:rsidRPr="00CB2915">
              <w:rPr>
                <w:rFonts w:ascii="Times New Roman" w:hAnsi="Times New Roman" w:cs="Times New Roman"/>
                <w:i w:val="0"/>
                <w:iCs/>
                <w:szCs w:val="24"/>
              </w:rPr>
              <w:t>Contributing group</w:t>
            </w:r>
          </w:p>
        </w:tc>
      </w:tr>
      <w:tr w:rsidR="00D84A6F" w:rsidRPr="009A5E82" w14:paraId="6A2A7151" w14:textId="77777777" w:rsidTr="00D6376D">
        <w:trPr>
          <w:jc w:val="center"/>
        </w:trPr>
        <w:tc>
          <w:tcPr>
            <w:tcW w:w="2287" w:type="dxa"/>
            <w:tcBorders>
              <w:top w:val="single" w:sz="4" w:space="0" w:color="auto"/>
              <w:left w:val="single" w:sz="4" w:space="0" w:color="auto"/>
              <w:bottom w:val="single" w:sz="4" w:space="0" w:color="auto"/>
              <w:right w:val="single" w:sz="4" w:space="0" w:color="auto"/>
            </w:tcBorders>
          </w:tcPr>
          <w:p w14:paraId="39E30671" w14:textId="77777777" w:rsidR="00D84A6F" w:rsidRPr="00CB2915" w:rsidRDefault="00D84A6F" w:rsidP="00D6376D">
            <w:pPr>
              <w:tabs>
                <w:tab w:val="left" w:pos="851"/>
                <w:tab w:val="left" w:pos="1418"/>
                <w:tab w:val="left" w:pos="1701"/>
                <w:tab w:val="left" w:pos="1985"/>
                <w:tab w:val="left" w:pos="2552"/>
                <w:tab w:val="left" w:pos="2835"/>
                <w:tab w:val="left" w:pos="3119"/>
                <w:tab w:val="left" w:pos="3402"/>
                <w:tab w:val="left" w:pos="3686"/>
                <w:tab w:val="left" w:pos="3969"/>
              </w:tabs>
              <w:overflowPunct w:val="0"/>
              <w:adjustRightInd w:val="0"/>
              <w:spacing w:after="120" w:line="288" w:lineRule="auto"/>
              <w:jc w:val="center"/>
              <w:textAlignment w:val="baseline"/>
              <w:rPr>
                <w:rFonts w:eastAsia="Batang"/>
                <w:lang w:eastAsia="nl-NL"/>
              </w:rPr>
            </w:pPr>
            <w:r w:rsidRPr="00CB2915">
              <w:rPr>
                <w:rFonts w:eastAsia="Batang"/>
                <w:lang w:eastAsia="nl-NL"/>
              </w:rPr>
              <w:t>WP 4C</w:t>
            </w:r>
          </w:p>
        </w:tc>
        <w:tc>
          <w:tcPr>
            <w:tcW w:w="6922" w:type="dxa"/>
            <w:tcBorders>
              <w:top w:val="single" w:sz="4" w:space="0" w:color="auto"/>
              <w:left w:val="single" w:sz="4" w:space="0" w:color="auto"/>
              <w:bottom w:val="single" w:sz="4" w:space="0" w:color="auto"/>
              <w:right w:val="single" w:sz="4" w:space="0" w:color="auto"/>
            </w:tcBorders>
          </w:tcPr>
          <w:p w14:paraId="557AFC35" w14:textId="77777777" w:rsidR="00D84A6F" w:rsidRPr="00CB2915" w:rsidRDefault="00D84A6F" w:rsidP="00D6376D">
            <w:pPr>
              <w:pStyle w:val="Call"/>
              <w:spacing w:before="0" w:after="120" w:line="288" w:lineRule="auto"/>
              <w:ind w:left="0"/>
              <w:rPr>
                <w:rFonts w:ascii="Times New Roman" w:hAnsi="Times New Roman" w:cs="Times New Roman"/>
                <w:i w:val="0"/>
                <w:iCs/>
                <w:szCs w:val="24"/>
              </w:rPr>
            </w:pPr>
            <w:r w:rsidRPr="00CB2915">
              <w:rPr>
                <w:rFonts w:ascii="Times New Roman" w:hAnsi="Times New Roman" w:cs="Times New Roman"/>
                <w:i w:val="0"/>
                <w:iCs/>
                <w:szCs w:val="24"/>
              </w:rPr>
              <w:t>WP 3M, WP 4A, WP 4B, WP 5A, WP 5B, WP 5C, WP 5D, WP 7B</w:t>
            </w:r>
          </w:p>
        </w:tc>
      </w:tr>
    </w:tbl>
    <w:p w14:paraId="794A1820" w14:textId="77777777" w:rsidR="00D84A6F" w:rsidRDefault="00D84A6F" w:rsidP="00D84A6F">
      <w:pPr>
        <w:spacing w:after="120" w:line="288" w:lineRule="auto"/>
        <w:jc w:val="both"/>
        <w:rPr>
          <w:bCs/>
        </w:rPr>
      </w:pPr>
    </w:p>
    <w:p w14:paraId="556060EE" w14:textId="65E79B02" w:rsidR="00D06742" w:rsidRPr="00441526" w:rsidRDefault="00D84A6F" w:rsidP="008154B4">
      <w:pPr>
        <w:spacing w:after="120" w:line="288" w:lineRule="auto"/>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5DE0162B" w14:textId="77777777" w:rsidR="00CB2915" w:rsidRDefault="00CB2915" w:rsidP="008154B4">
      <w:pPr>
        <w:pStyle w:val="ListParagraph"/>
        <w:widowControl w:val="0"/>
        <w:numPr>
          <w:ilvl w:val="0"/>
          <w:numId w:val="22"/>
        </w:numPr>
        <w:autoSpaceDE w:val="0"/>
        <w:autoSpaceDN w:val="0"/>
        <w:spacing w:after="120" w:line="288" w:lineRule="auto"/>
        <w:jc w:val="both"/>
      </w:pPr>
      <w:r>
        <w:t>Systems proposing to use rapidly deployed small satellites are being hindered due to frequency crowding and a lack of available spectrum for emerging systems, especially in relation to the flourishing global data collection services (commonly referred to as DCS). These devices are mostly operating at very low power to expand the battery life and due to the very small size. This characteristic underlines the fact that the related systems are by necessity in the NGSO in low earth orbit (mostly below 1000 km).</w:t>
      </w:r>
    </w:p>
    <w:p w14:paraId="78BF69E7" w14:textId="77777777" w:rsidR="00CB2915" w:rsidRDefault="00CB2915" w:rsidP="008154B4">
      <w:pPr>
        <w:pStyle w:val="ListParagraph"/>
        <w:widowControl w:val="0"/>
        <w:numPr>
          <w:ilvl w:val="0"/>
          <w:numId w:val="22"/>
        </w:numPr>
        <w:autoSpaceDE w:val="0"/>
        <w:autoSpaceDN w:val="0"/>
        <w:spacing w:after="120" w:line="288" w:lineRule="auto"/>
        <w:jc w:val="both"/>
      </w:pPr>
      <w:r>
        <w:t>Per Resolution 248 (WRC-19), WRC-23 Agenda item 1.18 calls for WRC-23 to implement the “</w:t>
      </w:r>
      <w:r w:rsidRPr="009A4C5B">
        <w:rPr>
          <w:i/>
        </w:rPr>
        <w:t>studies relating to spectrum needs and potential new allocations to the mobile satellite service in the frequency bands 1 695-1 710 MHz, 2 010-2 025 MHz, 3 300-3 315 MHz and 3 385-3 400 MHz for future development of narrowband mobile-satellite systems</w:t>
      </w:r>
      <w:r>
        <w:t>” while ensuring the protection of existing primary services in those frequency bands and adjacent frequency bands</w:t>
      </w:r>
    </w:p>
    <w:p w14:paraId="624EAD8A" w14:textId="77777777" w:rsidR="00CB2915" w:rsidRDefault="00CB2915" w:rsidP="008154B4">
      <w:pPr>
        <w:pStyle w:val="ListParagraph"/>
        <w:widowControl w:val="0"/>
        <w:numPr>
          <w:ilvl w:val="0"/>
          <w:numId w:val="22"/>
        </w:numPr>
        <w:autoSpaceDE w:val="0"/>
        <w:autoSpaceDN w:val="0"/>
        <w:spacing w:after="120" w:line="288" w:lineRule="auto"/>
        <w:jc w:val="both"/>
      </w:pPr>
      <w:r>
        <w:t>This Agenda Item is initiated by CITEL and CEPT at WRC-19.</w:t>
      </w:r>
    </w:p>
    <w:p w14:paraId="7F647340" w14:textId="77777777" w:rsidR="00CB2915" w:rsidRDefault="00CB2915" w:rsidP="008154B4">
      <w:pPr>
        <w:pStyle w:val="ListParagraph"/>
        <w:widowControl w:val="0"/>
        <w:numPr>
          <w:ilvl w:val="0"/>
          <w:numId w:val="22"/>
        </w:numPr>
        <w:autoSpaceDE w:val="0"/>
        <w:autoSpaceDN w:val="0"/>
        <w:spacing w:after="120" w:line="288" w:lineRule="auto"/>
        <w:jc w:val="both"/>
      </w:pPr>
      <w:r>
        <w:t>Following frequency bands are considered.</w:t>
      </w:r>
    </w:p>
    <w:p w14:paraId="4BA66293" w14:textId="77777777" w:rsidR="00CB2915" w:rsidRDefault="00CB2915" w:rsidP="008154B4">
      <w:pPr>
        <w:pStyle w:val="ListParagraph"/>
        <w:widowControl w:val="0"/>
        <w:numPr>
          <w:ilvl w:val="0"/>
          <w:numId w:val="24"/>
        </w:numPr>
        <w:autoSpaceDE w:val="0"/>
        <w:autoSpaceDN w:val="0"/>
        <w:spacing w:after="120" w:line="288" w:lineRule="auto"/>
        <w:ind w:left="1418"/>
        <w:jc w:val="both"/>
      </w:pPr>
      <w:r>
        <w:t>1 695-1 710 MHz in Region 2,</w:t>
      </w:r>
    </w:p>
    <w:p w14:paraId="492072D9" w14:textId="77777777" w:rsidR="00CB2915" w:rsidRDefault="00CB2915" w:rsidP="008154B4">
      <w:pPr>
        <w:pStyle w:val="ListParagraph"/>
        <w:widowControl w:val="0"/>
        <w:numPr>
          <w:ilvl w:val="0"/>
          <w:numId w:val="24"/>
        </w:numPr>
        <w:autoSpaceDE w:val="0"/>
        <w:autoSpaceDN w:val="0"/>
        <w:spacing w:after="120" w:line="288" w:lineRule="auto"/>
        <w:ind w:left="1418"/>
        <w:jc w:val="both"/>
      </w:pPr>
      <w:r>
        <w:t>2 010-2 025 MHz in Region 1,</w:t>
      </w:r>
    </w:p>
    <w:p w14:paraId="7CE2D9AD" w14:textId="77777777" w:rsidR="00CB2915" w:rsidRDefault="00CB2915" w:rsidP="008154B4">
      <w:pPr>
        <w:pStyle w:val="ListParagraph"/>
        <w:widowControl w:val="0"/>
        <w:numPr>
          <w:ilvl w:val="0"/>
          <w:numId w:val="24"/>
        </w:numPr>
        <w:autoSpaceDE w:val="0"/>
        <w:autoSpaceDN w:val="0"/>
        <w:spacing w:after="120" w:line="288" w:lineRule="auto"/>
        <w:ind w:left="1418"/>
        <w:jc w:val="both"/>
      </w:pPr>
      <w:r>
        <w:t>3 300-3 315 MHz, 3 385-3 400 MHz in Region 2.</w:t>
      </w:r>
    </w:p>
    <w:p w14:paraId="6C54D257" w14:textId="77777777" w:rsidR="009A4C5B" w:rsidRPr="009A4C5B" w:rsidRDefault="009A4C5B" w:rsidP="008154B4">
      <w:pPr>
        <w:pStyle w:val="ListParagraph"/>
        <w:widowControl w:val="0"/>
        <w:autoSpaceDE w:val="0"/>
        <w:autoSpaceDN w:val="0"/>
        <w:spacing w:after="120" w:line="288" w:lineRule="auto"/>
        <w:jc w:val="both"/>
        <w:rPr>
          <w:b/>
        </w:rPr>
      </w:pPr>
    </w:p>
    <w:p w14:paraId="38194476" w14:textId="270B480A" w:rsidR="00E41BE2" w:rsidRDefault="00E41BE2" w:rsidP="008154B4">
      <w:pPr>
        <w:spacing w:after="120" w:line="288" w:lineRule="auto"/>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7C6B7E2C" w14:textId="77777777" w:rsidR="009A4C5B" w:rsidRPr="00D9103C" w:rsidRDefault="009A4C5B" w:rsidP="008154B4">
      <w:pPr>
        <w:pStyle w:val="ListParagraph"/>
        <w:numPr>
          <w:ilvl w:val="0"/>
          <w:numId w:val="23"/>
        </w:numPr>
        <w:autoSpaceDE w:val="0"/>
        <w:autoSpaceDN w:val="0"/>
        <w:spacing w:after="120" w:line="288" w:lineRule="auto"/>
        <w:jc w:val="both"/>
      </w:pPr>
      <w:r w:rsidRPr="00D9103C">
        <w:t xml:space="preserve">Latest ITU-R WP 4C </w:t>
      </w:r>
      <w:r>
        <w:t xml:space="preserve">has been </w:t>
      </w:r>
      <w:r w:rsidRPr="00D9103C">
        <w:t>developing following document</w:t>
      </w:r>
      <w:r>
        <w:t>s</w:t>
      </w:r>
      <w:r w:rsidRPr="00D9103C">
        <w:t xml:space="preserve"> for study of this agenda item  </w:t>
      </w:r>
    </w:p>
    <w:p w14:paraId="42D44A2F" w14:textId="77777777" w:rsidR="009A4C5B" w:rsidRPr="00D9103C" w:rsidRDefault="009A4C5B" w:rsidP="008154B4">
      <w:pPr>
        <w:pStyle w:val="ListParagraph"/>
        <w:widowControl w:val="0"/>
        <w:numPr>
          <w:ilvl w:val="0"/>
          <w:numId w:val="25"/>
        </w:numPr>
        <w:autoSpaceDE w:val="0"/>
        <w:autoSpaceDN w:val="0"/>
        <w:spacing w:after="120" w:line="288" w:lineRule="auto"/>
        <w:ind w:hanging="357"/>
        <w:jc w:val="both"/>
        <w:rPr>
          <w:lang w:eastAsia="zh-CN"/>
        </w:rPr>
      </w:pPr>
      <w:bookmarkStart w:id="1" w:name="_Hlk64564309"/>
      <w:r w:rsidRPr="00D9103C">
        <w:rPr>
          <w:lang w:eastAsia="zh-CN"/>
        </w:rPr>
        <w:t xml:space="preserve">Studies relating to spectrum needs and potential new allocations to the mobile-satellite service in the frequency bands 1 695-1 710 MHz, 2 010-2 025 </w:t>
      </w:r>
      <w:r w:rsidRPr="00D9103C">
        <w:rPr>
          <w:lang w:eastAsia="zh-CN"/>
        </w:rPr>
        <w:lastRenderedPageBreak/>
        <w:t>MHz,</w:t>
      </w:r>
      <w:r>
        <w:rPr>
          <w:lang w:eastAsia="zh-CN"/>
        </w:rPr>
        <w:t xml:space="preserve"> </w:t>
      </w:r>
      <w:r w:rsidRPr="00D9103C">
        <w:rPr>
          <w:lang w:eastAsia="zh-CN"/>
        </w:rPr>
        <w:t>3 300-3 315 MHz and 3 385-3 400 MHz for future development of narrowband mobile-satellite systems</w:t>
      </w:r>
      <w:bookmarkEnd w:id="1"/>
    </w:p>
    <w:p w14:paraId="652EB72D" w14:textId="77777777" w:rsidR="009A4C5B" w:rsidRPr="009A5E82" w:rsidRDefault="009A4C5B" w:rsidP="008154B4">
      <w:pPr>
        <w:pStyle w:val="ListParagraph"/>
        <w:widowControl w:val="0"/>
        <w:numPr>
          <w:ilvl w:val="0"/>
          <w:numId w:val="25"/>
        </w:numPr>
        <w:autoSpaceDE w:val="0"/>
        <w:autoSpaceDN w:val="0"/>
        <w:spacing w:after="120" w:line="288" w:lineRule="auto"/>
        <w:ind w:hanging="357"/>
        <w:jc w:val="both"/>
      </w:pPr>
      <w:r w:rsidRPr="009A5E82">
        <w:rPr>
          <w:lang w:eastAsia="ja-JP"/>
        </w:rPr>
        <w:t xml:space="preserve">Sharing and Compatibility studies for Narrowband MSS with incumbent services in the frequency bands </w:t>
      </w:r>
      <w:r w:rsidRPr="009A5E82">
        <w:rPr>
          <w:lang w:eastAsia="zh-CN"/>
        </w:rPr>
        <w:t>1 695-1 710 MHz, 2 010-2 025 MHz, 3 300-3 315 MHz and 3 385-3 400 MHz under WRC-23 agenda item 1.18</w:t>
      </w:r>
    </w:p>
    <w:p w14:paraId="4C362BD6" w14:textId="77777777" w:rsidR="009A4C5B" w:rsidRPr="009A5E82" w:rsidRDefault="009A4C5B" w:rsidP="008154B4">
      <w:pPr>
        <w:spacing w:after="120" w:line="288" w:lineRule="auto"/>
      </w:pPr>
    </w:p>
    <w:p w14:paraId="553C9F8F" w14:textId="5043D578" w:rsidR="009A4C5B" w:rsidRPr="009A5E82" w:rsidRDefault="009A4C5B" w:rsidP="008154B4">
      <w:pPr>
        <w:pStyle w:val="ListParagraph"/>
        <w:numPr>
          <w:ilvl w:val="0"/>
          <w:numId w:val="23"/>
        </w:numPr>
        <w:autoSpaceDE w:val="0"/>
        <w:autoSpaceDN w:val="0"/>
        <w:spacing w:after="120" w:line="288" w:lineRule="auto"/>
        <w:jc w:val="both"/>
      </w:pPr>
      <w:r w:rsidRPr="009A5E82">
        <w:t>Contentious issues in ITU-R meeting (list all issues up in the beginning and then update</w:t>
      </w:r>
      <w:r w:rsidR="00D764AF">
        <w:t xml:space="preserve"> </w:t>
      </w:r>
      <w:r w:rsidRPr="009A5E82">
        <w:t>(removal or addition) later stage)</w:t>
      </w:r>
    </w:p>
    <w:p w14:paraId="11C22398" w14:textId="77777777" w:rsidR="009A4C5B" w:rsidRPr="009A5E82" w:rsidRDefault="009A4C5B" w:rsidP="008154B4">
      <w:pPr>
        <w:pStyle w:val="ListParagraph"/>
        <w:widowControl w:val="0"/>
        <w:numPr>
          <w:ilvl w:val="0"/>
          <w:numId w:val="26"/>
        </w:numPr>
        <w:autoSpaceDE w:val="0"/>
        <w:autoSpaceDN w:val="0"/>
        <w:spacing w:after="120" w:line="288" w:lineRule="auto"/>
      </w:pPr>
      <w:r w:rsidRPr="009A5E82">
        <w:t>Estimation of NB-MSS spectrum needs</w:t>
      </w:r>
    </w:p>
    <w:p w14:paraId="5FDC2E3F" w14:textId="77777777" w:rsidR="009A4C5B" w:rsidRDefault="009A4C5B" w:rsidP="008154B4">
      <w:pPr>
        <w:pStyle w:val="ListParagraph"/>
        <w:spacing w:after="120" w:line="288" w:lineRule="auto"/>
        <w:ind w:left="1843"/>
      </w:pPr>
      <w:r w:rsidRPr="009A5E82">
        <w:t>This issue is to estimate the spectrum requirements of an illustrative modelled NGSO LEO satellite network as a function of population density and peak system load. In the absence of developed systems characteristics, the draft methodology proposed in the</w:t>
      </w:r>
      <w:r>
        <w:t xml:space="preserve"> ITU-R WP 4C </w:t>
      </w:r>
      <w:r w:rsidRPr="00394A8E">
        <w:t xml:space="preserve">takes a similar approach as those in Recommendations ITU-R M.1391-1 “Methodology for the calculation of IMT-2000* satellite spectrum requirements”, M.1768 and Reports ITU-R </w:t>
      </w:r>
      <w:r>
        <w:t>M.2077, M.2290.</w:t>
      </w:r>
    </w:p>
    <w:p w14:paraId="678EF4A9" w14:textId="77777777" w:rsidR="009A4C5B" w:rsidRPr="009A5E82" w:rsidRDefault="009A4C5B" w:rsidP="008154B4">
      <w:pPr>
        <w:pStyle w:val="ListParagraph"/>
        <w:widowControl w:val="0"/>
        <w:numPr>
          <w:ilvl w:val="0"/>
          <w:numId w:val="26"/>
        </w:numPr>
        <w:autoSpaceDE w:val="0"/>
        <w:autoSpaceDN w:val="0"/>
        <w:spacing w:after="120" w:line="288" w:lineRule="auto"/>
      </w:pPr>
      <w:r w:rsidRPr="009A5E82">
        <w:t>Frequency sharing study</w:t>
      </w:r>
    </w:p>
    <w:p w14:paraId="724CDABF" w14:textId="77777777" w:rsidR="009A4C5B" w:rsidRPr="009A5E82" w:rsidRDefault="009A4C5B" w:rsidP="008154B4">
      <w:pPr>
        <w:pStyle w:val="ListParagraph"/>
        <w:spacing w:after="120" w:line="288" w:lineRule="auto"/>
        <w:ind w:left="1843"/>
        <w:rPr>
          <w:lang w:val="en-GB"/>
        </w:rPr>
      </w:pPr>
      <w:r w:rsidRPr="009A5E82">
        <w:rPr>
          <w:lang w:val="en-GB"/>
        </w:rPr>
        <w:t>S</w:t>
      </w:r>
      <w:r>
        <w:rPr>
          <w:lang w:val="en-GB"/>
        </w:rPr>
        <w:t>haring studies with ex</w:t>
      </w:r>
      <w:r w:rsidRPr="009A5E82">
        <w:rPr>
          <w:lang w:val="en-GB"/>
        </w:rPr>
        <w:t xml:space="preserve">isting services in the frequency bands and adjacent bands mentioned in </w:t>
      </w:r>
      <w:r>
        <w:rPr>
          <w:lang w:val="en-GB"/>
        </w:rPr>
        <w:t>the Reso</w:t>
      </w:r>
      <w:r w:rsidRPr="009A5E82">
        <w:rPr>
          <w:lang w:val="en-GB"/>
        </w:rPr>
        <w:t xml:space="preserve">lution </w:t>
      </w:r>
      <w:r w:rsidRPr="009A5E82">
        <w:rPr>
          <w:b/>
          <w:lang w:val="en-GB"/>
        </w:rPr>
        <w:t>248</w:t>
      </w:r>
      <w:r w:rsidRPr="009A5E82">
        <w:rPr>
          <w:lang w:val="en-GB"/>
        </w:rPr>
        <w:t xml:space="preserve"> (</w:t>
      </w:r>
      <w:r w:rsidRPr="009A5E82">
        <w:rPr>
          <w:b/>
          <w:lang w:val="en-GB"/>
        </w:rPr>
        <w:t>WRC-19</w:t>
      </w:r>
      <w:r w:rsidRPr="009A5E82">
        <w:rPr>
          <w:lang w:val="en-GB"/>
        </w:rPr>
        <w:t>)</w:t>
      </w:r>
    </w:p>
    <w:p w14:paraId="76D761B3" w14:textId="4434EE44" w:rsidR="009A4C5B" w:rsidRPr="008154B4" w:rsidRDefault="009A4C5B" w:rsidP="008154B4">
      <w:pPr>
        <w:pStyle w:val="ListParagraph"/>
        <w:numPr>
          <w:ilvl w:val="0"/>
          <w:numId w:val="23"/>
        </w:numPr>
        <w:autoSpaceDE w:val="0"/>
        <w:autoSpaceDN w:val="0"/>
        <w:spacing w:after="120" w:line="288" w:lineRule="auto"/>
        <w:jc w:val="both"/>
        <w:rPr>
          <w:b/>
          <w:lang w:eastAsia="ko-KR"/>
        </w:rPr>
      </w:pPr>
      <w:r w:rsidRPr="009A5E82">
        <w:t>Hyperlink</w:t>
      </w:r>
      <w:r w:rsidR="008154B4">
        <w:t xml:space="preserve"> to</w:t>
      </w:r>
      <w:r w:rsidRPr="009A5E82">
        <w:t xml:space="preserve"> </w:t>
      </w:r>
      <w:r w:rsidR="008154B4">
        <w:t>ITU-R WP4C</w:t>
      </w:r>
      <w:r w:rsidRPr="009A5E82">
        <w:t xml:space="preserve"> site</w:t>
      </w:r>
      <w:hyperlink r:id="rId9" w:history="1">
        <w:r w:rsidRPr="008154B4">
          <w:rPr>
            <w:rStyle w:val="Hyperlink"/>
          </w:rPr>
          <w:t xml:space="preserve">: </w:t>
        </w:r>
        <w:r w:rsidR="008154B4" w:rsidRPr="008154B4">
          <w:rPr>
            <w:rStyle w:val="Hyperlink"/>
          </w:rPr>
          <w:t>https://www.itu.int/en/ITU-R/study-groups/rsg4/rwp4c/Pages/default.aspx</w:t>
        </w:r>
      </w:hyperlink>
    </w:p>
    <w:p w14:paraId="0129B534" w14:textId="77777777" w:rsidR="00E41BE2" w:rsidRDefault="00E41BE2" w:rsidP="008154B4">
      <w:pPr>
        <w:spacing w:after="120" w:line="288" w:lineRule="auto"/>
        <w:jc w:val="both"/>
        <w:rPr>
          <w:b/>
        </w:rPr>
      </w:pPr>
    </w:p>
    <w:p w14:paraId="1A59F811" w14:textId="631F4F7D" w:rsidR="00957294" w:rsidRDefault="00957294" w:rsidP="008154B4">
      <w:pPr>
        <w:spacing w:after="120" w:line="288" w:lineRule="auto"/>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433969AB" w14:textId="4ABD4C8C" w:rsidR="00957294" w:rsidRDefault="005263C8" w:rsidP="008154B4">
      <w:pPr>
        <w:pStyle w:val="ListParagraph"/>
        <w:numPr>
          <w:ilvl w:val="0"/>
          <w:numId w:val="21"/>
        </w:numPr>
        <w:spacing w:after="120" w:line="288" w:lineRule="auto"/>
        <w:jc w:val="both"/>
        <w:rPr>
          <w:bCs/>
          <w:lang w:val="en-NZ" w:eastAsia="ko-KR"/>
        </w:rPr>
      </w:pPr>
      <w:r w:rsidRPr="005263C8">
        <w:rPr>
          <w:bCs/>
          <w:lang w:val="en-NZ" w:eastAsia="ko-KR"/>
        </w:rPr>
        <w:t>ATU</w:t>
      </w:r>
    </w:p>
    <w:p w14:paraId="40DC8611" w14:textId="77777777" w:rsidR="008154B4" w:rsidRPr="009A5E82" w:rsidRDefault="008154B4" w:rsidP="008154B4">
      <w:pPr>
        <w:pStyle w:val="ListParagraph"/>
        <w:widowControl w:val="0"/>
        <w:numPr>
          <w:ilvl w:val="0"/>
          <w:numId w:val="28"/>
        </w:numPr>
        <w:autoSpaceDE w:val="0"/>
        <w:autoSpaceDN w:val="0"/>
        <w:spacing w:after="120" w:line="288" w:lineRule="auto"/>
        <w:ind w:left="1418"/>
        <w:jc w:val="both"/>
      </w:pPr>
      <w:r w:rsidRPr="009A5E82">
        <w:t>Follow up studies in the frequency range 2010 to 2015 MHz for narrow band mobile-satellite systems.</w:t>
      </w:r>
    </w:p>
    <w:p w14:paraId="671003C1" w14:textId="77777777" w:rsidR="008154B4" w:rsidRPr="009A5E82" w:rsidRDefault="008154B4" w:rsidP="008154B4">
      <w:pPr>
        <w:pStyle w:val="ListParagraph"/>
        <w:widowControl w:val="0"/>
        <w:numPr>
          <w:ilvl w:val="0"/>
          <w:numId w:val="28"/>
        </w:numPr>
        <w:autoSpaceDE w:val="0"/>
        <w:autoSpaceDN w:val="0"/>
        <w:spacing w:after="120" w:line="288" w:lineRule="auto"/>
        <w:ind w:left="1418"/>
        <w:jc w:val="both"/>
      </w:pPr>
      <w:r w:rsidRPr="009A5E82">
        <w:t>Ensure protection of the existing services.</w:t>
      </w:r>
    </w:p>
    <w:p w14:paraId="2F999586" w14:textId="77777777" w:rsidR="005263C8" w:rsidRPr="005263C8" w:rsidRDefault="005263C8" w:rsidP="008154B4">
      <w:pPr>
        <w:spacing w:after="120" w:line="288" w:lineRule="auto"/>
        <w:jc w:val="both"/>
        <w:rPr>
          <w:bCs/>
          <w:lang w:val="en-NZ" w:eastAsia="ko-KR"/>
        </w:rPr>
      </w:pPr>
    </w:p>
    <w:p w14:paraId="6F14C81D" w14:textId="128A11BE" w:rsidR="005263C8" w:rsidRDefault="005263C8" w:rsidP="008154B4">
      <w:pPr>
        <w:pStyle w:val="ListParagraph"/>
        <w:numPr>
          <w:ilvl w:val="0"/>
          <w:numId w:val="21"/>
        </w:numPr>
        <w:spacing w:after="120" w:line="288" w:lineRule="auto"/>
        <w:jc w:val="both"/>
        <w:rPr>
          <w:bCs/>
          <w:lang w:val="en-NZ" w:eastAsia="ko-KR"/>
        </w:rPr>
      </w:pPr>
      <w:r w:rsidRPr="005263C8">
        <w:rPr>
          <w:bCs/>
          <w:lang w:val="en-NZ" w:eastAsia="ko-KR"/>
        </w:rPr>
        <w:t>CEPT</w:t>
      </w:r>
    </w:p>
    <w:p w14:paraId="4548CA5D" w14:textId="77777777" w:rsidR="008154B4" w:rsidRPr="008154B4" w:rsidRDefault="008154B4" w:rsidP="008154B4">
      <w:pPr>
        <w:pStyle w:val="ListParagraph"/>
        <w:widowControl w:val="0"/>
        <w:numPr>
          <w:ilvl w:val="0"/>
          <w:numId w:val="28"/>
        </w:numPr>
        <w:autoSpaceDE w:val="0"/>
        <w:autoSpaceDN w:val="0"/>
        <w:spacing w:after="120" w:line="288" w:lineRule="auto"/>
        <w:ind w:left="1418"/>
        <w:jc w:val="both"/>
      </w:pPr>
      <w:r w:rsidRPr="008154B4">
        <w:t xml:space="preserve">Based on the results of spectrum needs and sharing and compatibility studies conducted respectively under the resolves to invite the ITU-R 1) and 2) of Resolution </w:t>
      </w:r>
      <w:r w:rsidRPr="008154B4">
        <w:rPr>
          <w:b/>
          <w:bCs/>
        </w:rPr>
        <w:t>248 (WRC-19)</w:t>
      </w:r>
      <w:r w:rsidRPr="008154B4">
        <w:t xml:space="preserve">, CEPT will consider possible new primary or secondary allocations, with the necessary technical limitations, taking into account the characteristics described in recognizing c), to the MSS for non-GSO satellites operating low-data rate systems for the collection of data from, and management of, terrestrial devices, while ensuring the protection of existing primary services in those frequency bands, and adjacent bands, without causing </w:t>
      </w:r>
      <w:r w:rsidRPr="008154B4">
        <w:lastRenderedPageBreak/>
        <w:t>undue constraints on their further development.</w:t>
      </w:r>
    </w:p>
    <w:p w14:paraId="7DADBFF4" w14:textId="77777777" w:rsidR="005263C8" w:rsidRPr="005263C8" w:rsidRDefault="005263C8" w:rsidP="008154B4">
      <w:pPr>
        <w:pStyle w:val="ListParagraph"/>
        <w:spacing w:after="120" w:line="288" w:lineRule="auto"/>
        <w:ind w:left="1080"/>
        <w:jc w:val="both"/>
        <w:rPr>
          <w:bCs/>
          <w:lang w:val="en-NZ" w:eastAsia="ko-KR"/>
        </w:rPr>
      </w:pPr>
    </w:p>
    <w:p w14:paraId="59ED3143" w14:textId="0DA9EA8E" w:rsidR="005263C8" w:rsidRDefault="005263C8" w:rsidP="008154B4">
      <w:pPr>
        <w:pStyle w:val="ListParagraph"/>
        <w:numPr>
          <w:ilvl w:val="0"/>
          <w:numId w:val="21"/>
        </w:numPr>
        <w:spacing w:after="120" w:line="288" w:lineRule="auto"/>
        <w:jc w:val="both"/>
        <w:rPr>
          <w:bCs/>
          <w:lang w:val="en-NZ" w:eastAsia="ko-KR"/>
        </w:rPr>
      </w:pPr>
      <w:r w:rsidRPr="005263C8">
        <w:rPr>
          <w:bCs/>
          <w:lang w:val="en-NZ" w:eastAsia="ko-KR"/>
        </w:rPr>
        <w:t>RCC</w:t>
      </w:r>
    </w:p>
    <w:p w14:paraId="6CAC5289" w14:textId="77777777" w:rsidR="008154B4" w:rsidRPr="009A5E82" w:rsidRDefault="008154B4" w:rsidP="008154B4">
      <w:pPr>
        <w:pStyle w:val="ListParagraph"/>
        <w:widowControl w:val="0"/>
        <w:numPr>
          <w:ilvl w:val="0"/>
          <w:numId w:val="28"/>
        </w:numPr>
        <w:autoSpaceDE w:val="0"/>
        <w:autoSpaceDN w:val="0"/>
        <w:spacing w:after="120" w:line="288" w:lineRule="auto"/>
        <w:ind w:left="1418"/>
        <w:jc w:val="both"/>
      </w:pPr>
      <w:r w:rsidRPr="009A5E82">
        <w:t>Support the studies relating to spectrum needs and potential new allocations to the mobile-satellite service for future development of narrowband mobile-satellite systems. Consider that such additional allocation is permissible only if technical and operational characteristics of narrowband mobile-satellite systems are determined, as well as regulatory conditions of their use, allowing the exclusion of unacceptable interference towards existing and planned systems in the co-frequencies and adjacent frequency bands</w:t>
      </w:r>
    </w:p>
    <w:p w14:paraId="4A980740" w14:textId="77777777" w:rsidR="005263C8" w:rsidRPr="005263C8" w:rsidRDefault="005263C8" w:rsidP="008154B4">
      <w:pPr>
        <w:pStyle w:val="ListParagraph"/>
        <w:spacing w:after="120" w:line="288" w:lineRule="auto"/>
        <w:ind w:left="1080"/>
        <w:jc w:val="both"/>
        <w:rPr>
          <w:bCs/>
          <w:lang w:val="en-NZ" w:eastAsia="ko-KR"/>
        </w:rPr>
      </w:pPr>
    </w:p>
    <w:p w14:paraId="32715F49" w14:textId="744F53A8" w:rsidR="00957294" w:rsidRPr="00441526" w:rsidRDefault="00957294" w:rsidP="008154B4">
      <w:pPr>
        <w:spacing w:after="120" w:line="288" w:lineRule="auto"/>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sectPr w:rsidR="00957294" w:rsidRPr="00441526" w:rsidSect="00FF72BB">
      <w:headerReference w:type="default" r:id="rId10"/>
      <w:footerReference w:type="even" r:id="rId11"/>
      <w:footerReference w:type="defaul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6248F" w14:textId="77777777" w:rsidR="00E3145A" w:rsidRDefault="00E3145A">
      <w:r>
        <w:separator/>
      </w:r>
    </w:p>
  </w:endnote>
  <w:endnote w:type="continuationSeparator" w:id="0">
    <w:p w14:paraId="4E5690D8" w14:textId="77777777" w:rsidR="00E3145A" w:rsidRDefault="00E3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7AF69DBB" w:rsidR="00051E1E" w:rsidRDefault="00051E1E">
    <w:pPr>
      <w:pStyle w:val="Footer"/>
    </w:pPr>
    <w:r>
      <w:t>A</w:t>
    </w:r>
    <w:r w:rsidR="001E1432">
      <w:t>PG23-</w:t>
    </w:r>
    <w:r w:rsidR="008624ED">
      <w:t>2</w:t>
    </w:r>
    <w:r>
      <w:t>/IN</w:t>
    </w:r>
    <w:r w:rsidR="005020B9">
      <w:t>F</w:t>
    </w:r>
    <w:r>
      <w:t>-</w:t>
    </w:r>
    <w:r w:rsidR="005020B9">
      <w:t>20</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65FF2DE6" w:rsidR="00B54758" w:rsidRDefault="005020B9" w:rsidP="007E7497">
          <w:pPr>
            <w:pStyle w:val="Equation"/>
            <w:tabs>
              <w:tab w:val="clear" w:pos="794"/>
              <w:tab w:val="clear" w:pos="4820"/>
              <w:tab w:val="clear" w:pos="9639"/>
            </w:tabs>
            <w:spacing w:beforeLines="0"/>
            <w:rPr>
              <w:rFonts w:eastAsia="Batang"/>
            </w:rPr>
          </w:pPr>
          <w:r>
            <w:rPr>
              <w:rFonts w:eastAsia="Batang"/>
            </w:rPr>
            <w:t xml:space="preserve">Dr </w:t>
          </w:r>
          <w:proofErr w:type="spellStart"/>
          <w:r>
            <w:rPr>
              <w:rFonts w:eastAsia="Batang"/>
            </w:rPr>
            <w:t>Daesub</w:t>
          </w:r>
          <w:proofErr w:type="spellEnd"/>
          <w:r>
            <w:rPr>
              <w:rFonts w:eastAsia="Batang"/>
            </w:rPr>
            <w:t xml:space="preserve"> Oh</w:t>
          </w:r>
        </w:p>
        <w:p w14:paraId="39C5729B" w14:textId="1D89993F" w:rsidR="00EC249E" w:rsidRDefault="005020B9" w:rsidP="007E7497">
          <w:pPr>
            <w:pStyle w:val="Equation"/>
            <w:tabs>
              <w:tab w:val="clear" w:pos="794"/>
              <w:tab w:val="clear" w:pos="4820"/>
              <w:tab w:val="clear" w:pos="9639"/>
            </w:tabs>
            <w:spacing w:beforeLines="0"/>
            <w:rPr>
              <w:rFonts w:eastAsia="Batang"/>
            </w:rPr>
          </w:pPr>
          <w:r>
            <w:rPr>
              <w:rFonts w:eastAsia="Batang"/>
            </w:rPr>
            <w:t>Chairman, DG AI1.18</w:t>
          </w:r>
        </w:p>
      </w:tc>
      <w:tc>
        <w:tcPr>
          <w:tcW w:w="3024" w:type="dxa"/>
        </w:tcPr>
        <w:p w14:paraId="66CA6E30" w14:textId="14233C94" w:rsidR="00B54758" w:rsidRDefault="00B54758" w:rsidP="00E23D98">
          <w:pPr>
            <w:rPr>
              <w:lang w:eastAsia="ja-JP"/>
            </w:rPr>
          </w:pPr>
          <w:r>
            <w:t>Email</w:t>
          </w:r>
          <w:r>
            <w:rPr>
              <w:rFonts w:hint="eastAsia"/>
            </w:rPr>
            <w:t>:</w:t>
          </w:r>
          <w:r>
            <w:t xml:space="preserve"> </w:t>
          </w:r>
          <w:hyperlink r:id="rId1" w:history="1">
            <w:r w:rsidR="005020B9" w:rsidRPr="008C1054">
              <w:rPr>
                <w:rStyle w:val="Hyperlink"/>
              </w:rPr>
              <w:t>trap@etri.re.kr</w:t>
            </w:r>
          </w:hyperlink>
          <w:r w:rsidR="005020B9">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94DF3" w14:textId="77777777" w:rsidR="00E3145A" w:rsidRDefault="00E3145A">
      <w:r>
        <w:separator/>
      </w:r>
    </w:p>
  </w:footnote>
  <w:footnote w:type="continuationSeparator" w:id="0">
    <w:p w14:paraId="61094C0C" w14:textId="77777777" w:rsidR="00E3145A" w:rsidRDefault="00E3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03AB2"/>
    <w:multiLevelType w:val="hybridMultilevel"/>
    <w:tmpl w:val="EDEACD96"/>
    <w:lvl w:ilvl="0" w:tplc="B39284A0">
      <w:start w:val="1"/>
      <w:numFmt w:val="bullet"/>
      <w:lvlText w:val=""/>
      <w:lvlJc w:val="left"/>
      <w:pPr>
        <w:ind w:left="1480" w:hanging="360"/>
      </w:pPr>
      <w:rPr>
        <w:rFonts w:ascii="Symbol" w:hAnsi="Symbol"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 w15:restartNumberingAfterBreak="0">
    <w:nsid w:val="0C031019"/>
    <w:multiLevelType w:val="hybridMultilevel"/>
    <w:tmpl w:val="AA6EA81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37E0C90"/>
    <w:multiLevelType w:val="hybridMultilevel"/>
    <w:tmpl w:val="16483322"/>
    <w:lvl w:ilvl="0" w:tplc="705879B2">
      <w:start w:val="1"/>
      <w:numFmt w:val="decimal"/>
      <w:lvlText w:val="%1)"/>
      <w:lvlJc w:val="left"/>
      <w:pPr>
        <w:ind w:left="1778" w:hanging="360"/>
      </w:pPr>
      <w:rPr>
        <w:rFonts w:hint="default"/>
      </w:rPr>
    </w:lvl>
    <w:lvl w:ilvl="1" w:tplc="04090019" w:tentative="1">
      <w:start w:val="1"/>
      <w:numFmt w:val="upperLetter"/>
      <w:lvlText w:val="%2."/>
      <w:lvlJc w:val="left"/>
      <w:pPr>
        <w:ind w:left="2218" w:hanging="400"/>
      </w:pPr>
    </w:lvl>
    <w:lvl w:ilvl="2" w:tplc="0409001B" w:tentative="1">
      <w:start w:val="1"/>
      <w:numFmt w:val="lowerRoman"/>
      <w:lvlText w:val="%3."/>
      <w:lvlJc w:val="right"/>
      <w:pPr>
        <w:ind w:left="2618" w:hanging="400"/>
      </w:pPr>
    </w:lvl>
    <w:lvl w:ilvl="3" w:tplc="0409000F" w:tentative="1">
      <w:start w:val="1"/>
      <w:numFmt w:val="decimal"/>
      <w:lvlText w:val="%4."/>
      <w:lvlJc w:val="left"/>
      <w:pPr>
        <w:ind w:left="3018" w:hanging="400"/>
      </w:pPr>
    </w:lvl>
    <w:lvl w:ilvl="4" w:tplc="04090019" w:tentative="1">
      <w:start w:val="1"/>
      <w:numFmt w:val="upperLetter"/>
      <w:lvlText w:val="%5."/>
      <w:lvlJc w:val="left"/>
      <w:pPr>
        <w:ind w:left="3418" w:hanging="400"/>
      </w:pPr>
    </w:lvl>
    <w:lvl w:ilvl="5" w:tplc="0409001B" w:tentative="1">
      <w:start w:val="1"/>
      <w:numFmt w:val="lowerRoman"/>
      <w:lvlText w:val="%6."/>
      <w:lvlJc w:val="right"/>
      <w:pPr>
        <w:ind w:left="3818" w:hanging="400"/>
      </w:pPr>
    </w:lvl>
    <w:lvl w:ilvl="6" w:tplc="0409000F" w:tentative="1">
      <w:start w:val="1"/>
      <w:numFmt w:val="decimal"/>
      <w:lvlText w:val="%7."/>
      <w:lvlJc w:val="left"/>
      <w:pPr>
        <w:ind w:left="4218" w:hanging="400"/>
      </w:pPr>
    </w:lvl>
    <w:lvl w:ilvl="7" w:tplc="04090019" w:tentative="1">
      <w:start w:val="1"/>
      <w:numFmt w:val="upperLetter"/>
      <w:lvlText w:val="%8."/>
      <w:lvlJc w:val="left"/>
      <w:pPr>
        <w:ind w:left="4618" w:hanging="400"/>
      </w:pPr>
    </w:lvl>
    <w:lvl w:ilvl="8" w:tplc="0409001B" w:tentative="1">
      <w:start w:val="1"/>
      <w:numFmt w:val="lowerRoman"/>
      <w:lvlText w:val="%9."/>
      <w:lvlJc w:val="right"/>
      <w:pPr>
        <w:ind w:left="5018" w:hanging="400"/>
      </w:pPr>
    </w:lvl>
  </w:abstractNum>
  <w:abstractNum w:abstractNumId="5"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15:restartNumberingAfterBreak="0">
    <w:nsid w:val="39A24255"/>
    <w:multiLevelType w:val="hybridMultilevel"/>
    <w:tmpl w:val="5EDA2CF8"/>
    <w:lvl w:ilvl="0" w:tplc="0D12CEEA">
      <w:start w:val="1"/>
      <w:numFmt w:val="decimal"/>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21"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C2987"/>
    <w:multiLevelType w:val="hybridMultilevel"/>
    <w:tmpl w:val="99780156"/>
    <w:lvl w:ilvl="0" w:tplc="55088718">
      <w:start w:val="1"/>
      <w:numFmt w:val="bullet"/>
      <w:lvlText w:val="–"/>
      <w:lvlJc w:val="left"/>
      <w:pPr>
        <w:ind w:left="1080" w:hanging="360"/>
      </w:pPr>
      <w:rPr>
        <w:rFonts w:ascii="BatangChe" w:eastAsia="BatangChe" w:hAnsi="BatangChe"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3E14E2A"/>
    <w:multiLevelType w:val="hybridMultilevel"/>
    <w:tmpl w:val="C548E706"/>
    <w:lvl w:ilvl="0" w:tplc="B39284A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7"/>
  </w:num>
  <w:num w:numId="2">
    <w:abstractNumId w:val="11"/>
  </w:num>
  <w:num w:numId="3">
    <w:abstractNumId w:val="9"/>
  </w:num>
  <w:num w:numId="4">
    <w:abstractNumId w:val="25"/>
  </w:num>
  <w:num w:numId="5">
    <w:abstractNumId w:val="14"/>
  </w:num>
  <w:num w:numId="6">
    <w:abstractNumId w:val="18"/>
  </w:num>
  <w:num w:numId="7">
    <w:abstractNumId w:val="8"/>
  </w:num>
  <w:num w:numId="8">
    <w:abstractNumId w:val="3"/>
  </w:num>
  <w:num w:numId="9">
    <w:abstractNumId w:val="28"/>
  </w:num>
  <w:num w:numId="10">
    <w:abstractNumId w:val="0"/>
  </w:num>
  <w:num w:numId="11">
    <w:abstractNumId w:val="27"/>
  </w:num>
  <w:num w:numId="12">
    <w:abstractNumId w:val="15"/>
  </w:num>
  <w:num w:numId="13">
    <w:abstractNumId w:val="21"/>
  </w:num>
  <w:num w:numId="14">
    <w:abstractNumId w:val="12"/>
  </w:num>
  <w:num w:numId="15">
    <w:abstractNumId w:val="6"/>
  </w:num>
  <w:num w:numId="16">
    <w:abstractNumId w:val="5"/>
  </w:num>
  <w:num w:numId="17">
    <w:abstractNumId w:val="7"/>
  </w:num>
  <w:num w:numId="18">
    <w:abstractNumId w:val="16"/>
  </w:num>
  <w:num w:numId="19">
    <w:abstractNumId w:val="22"/>
  </w:num>
  <w:num w:numId="20">
    <w:abstractNumId w:val="19"/>
  </w:num>
  <w:num w:numId="21">
    <w:abstractNumId w:val="10"/>
  </w:num>
  <w:num w:numId="22">
    <w:abstractNumId w:val="13"/>
  </w:num>
  <w:num w:numId="23">
    <w:abstractNumId w:val="23"/>
  </w:num>
  <w:num w:numId="24">
    <w:abstractNumId w:val="2"/>
  </w:num>
  <w:num w:numId="25">
    <w:abstractNumId w:val="4"/>
  </w:num>
  <w:num w:numId="26">
    <w:abstractNumId w:val="20"/>
  </w:num>
  <w:num w:numId="27">
    <w:abstractNumId w:val="1"/>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51E1E"/>
    <w:rsid w:val="00054C56"/>
    <w:rsid w:val="00063DF8"/>
    <w:rsid w:val="000713CF"/>
    <w:rsid w:val="00075C14"/>
    <w:rsid w:val="00094B87"/>
    <w:rsid w:val="000964D0"/>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0565"/>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020B9"/>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5E6C90"/>
    <w:rsid w:val="00607E2B"/>
    <w:rsid w:val="006139D6"/>
    <w:rsid w:val="00615999"/>
    <w:rsid w:val="00623CE1"/>
    <w:rsid w:val="0063062B"/>
    <w:rsid w:val="00636BAD"/>
    <w:rsid w:val="0066388B"/>
    <w:rsid w:val="00667229"/>
    <w:rsid w:val="00675C31"/>
    <w:rsid w:val="006769C2"/>
    <w:rsid w:val="00682BE5"/>
    <w:rsid w:val="006843DA"/>
    <w:rsid w:val="00690FED"/>
    <w:rsid w:val="006939A5"/>
    <w:rsid w:val="006A15A4"/>
    <w:rsid w:val="006B6778"/>
    <w:rsid w:val="006C2D39"/>
    <w:rsid w:val="006E12FC"/>
    <w:rsid w:val="006F375E"/>
    <w:rsid w:val="00705C2D"/>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2F5F"/>
    <w:rsid w:val="007E7497"/>
    <w:rsid w:val="007F08FF"/>
    <w:rsid w:val="007F1651"/>
    <w:rsid w:val="00803C99"/>
    <w:rsid w:val="0080570B"/>
    <w:rsid w:val="008148E1"/>
    <w:rsid w:val="008154B4"/>
    <w:rsid w:val="00816F4E"/>
    <w:rsid w:val="00831716"/>
    <w:rsid w:val="008319BF"/>
    <w:rsid w:val="008337EA"/>
    <w:rsid w:val="00840AEB"/>
    <w:rsid w:val="00850E1C"/>
    <w:rsid w:val="008624ED"/>
    <w:rsid w:val="00870944"/>
    <w:rsid w:val="008950FB"/>
    <w:rsid w:val="00897849"/>
    <w:rsid w:val="008A423E"/>
    <w:rsid w:val="008A73CD"/>
    <w:rsid w:val="008B2FB2"/>
    <w:rsid w:val="008D084B"/>
    <w:rsid w:val="008D0E09"/>
    <w:rsid w:val="008E3821"/>
    <w:rsid w:val="008F2153"/>
    <w:rsid w:val="008F301D"/>
    <w:rsid w:val="009306C7"/>
    <w:rsid w:val="00953737"/>
    <w:rsid w:val="00957294"/>
    <w:rsid w:val="00972289"/>
    <w:rsid w:val="0097693B"/>
    <w:rsid w:val="00993355"/>
    <w:rsid w:val="009A46BF"/>
    <w:rsid w:val="009A4A6D"/>
    <w:rsid w:val="009A4C5B"/>
    <w:rsid w:val="009B74AC"/>
    <w:rsid w:val="009C0B35"/>
    <w:rsid w:val="009C361C"/>
    <w:rsid w:val="00A0503B"/>
    <w:rsid w:val="00A13265"/>
    <w:rsid w:val="00A20980"/>
    <w:rsid w:val="00A31185"/>
    <w:rsid w:val="00A61885"/>
    <w:rsid w:val="00A71136"/>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66740"/>
    <w:rsid w:val="00B676EF"/>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B2915"/>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764AF"/>
    <w:rsid w:val="00D8478B"/>
    <w:rsid w:val="00D84A6F"/>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3145A"/>
    <w:rsid w:val="00E403B9"/>
    <w:rsid w:val="00E41BE2"/>
    <w:rsid w:val="00E5341E"/>
    <w:rsid w:val="00E545D9"/>
    <w:rsid w:val="00E65FC2"/>
    <w:rsid w:val="00E674D3"/>
    <w:rsid w:val="00E70FD0"/>
    <w:rsid w:val="00E80263"/>
    <w:rsid w:val="00EA0BBD"/>
    <w:rsid w:val="00EA7027"/>
    <w:rsid w:val="00EB2081"/>
    <w:rsid w:val="00EC249E"/>
    <w:rsid w:val="00EE3496"/>
    <w:rsid w:val="00EF2406"/>
    <w:rsid w:val="00F00257"/>
    <w:rsid w:val="00F27A79"/>
    <w:rsid w:val="00F5332C"/>
    <w:rsid w:val="00F55E0A"/>
    <w:rsid w:val="00F626B7"/>
    <w:rsid w:val="00F650EB"/>
    <w:rsid w:val="00F81F93"/>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paragraph" w:customStyle="1" w:styleId="Call">
    <w:name w:val="Call"/>
    <w:basedOn w:val="Normal"/>
    <w:next w:val="Normal"/>
    <w:link w:val="CallChar"/>
    <w:rsid w:val="00CB29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Batang" w:hAnsi="Calibri" w:cs="Calibri"/>
      <w:i/>
      <w:szCs w:val="22"/>
    </w:rPr>
  </w:style>
  <w:style w:type="character" w:customStyle="1" w:styleId="CallChar">
    <w:name w:val="Call Char"/>
    <w:basedOn w:val="DefaultParagraphFont"/>
    <w:link w:val="Call"/>
    <w:locked/>
    <w:rsid w:val="00CB2915"/>
    <w:rPr>
      <w:rFonts w:ascii="Calibri" w:hAnsi="Calibri" w:cs="Calibri"/>
      <w:i/>
      <w:sz w:val="24"/>
      <w:szCs w:val="22"/>
    </w:rPr>
  </w:style>
  <w:style w:type="paragraph" w:customStyle="1" w:styleId="Tabletext">
    <w:name w:val="Table_text"/>
    <w:basedOn w:val="Normal"/>
    <w:link w:val="TabletextChar"/>
    <w:rsid w:val="00CB29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Batang" w:hAnsi="Calibri" w:cs="Calibri"/>
      <w:sz w:val="20"/>
      <w:szCs w:val="22"/>
      <w:lang w:eastAsia="nl-NL"/>
    </w:rPr>
  </w:style>
  <w:style w:type="character" w:customStyle="1" w:styleId="TabletextChar">
    <w:name w:val="Table_text Char"/>
    <w:basedOn w:val="DefaultParagraphFont"/>
    <w:link w:val="Tabletext"/>
    <w:locked/>
    <w:rsid w:val="00CB2915"/>
    <w:rPr>
      <w:rFonts w:ascii="Calibri" w:hAnsi="Calibri" w:cs="Calibri"/>
      <w:szCs w:val="22"/>
      <w:lang w:eastAsia="nl-NL"/>
    </w:rPr>
  </w:style>
  <w:style w:type="character" w:styleId="Emphasis">
    <w:name w:val="Emphasis"/>
    <w:aliases w:val="ECC HL italics"/>
    <w:uiPriority w:val="1"/>
    <w:qFormat/>
    <w:rsid w:val="008154B4"/>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AppData\Local\Microsoft\Windows\INetCache\Content.Outlook\VO9XAONE\%20https\www.itu.int\en\ITU-R\study-groups\rsg4\rwp4c\Pages\default.aspx"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trap@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F892-91EB-41C0-915C-1C8B30CC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2</TotalTime>
  <Pages>4</Pages>
  <Words>1015</Words>
  <Characters>5792</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2004-07-28T02:14:00Z</cp:lastPrinted>
  <dcterms:created xsi:type="dcterms:W3CDTF">2021-03-29T03:17:00Z</dcterms:created>
  <dcterms:modified xsi:type="dcterms:W3CDTF">2021-03-29T03:17:00Z</dcterms:modified>
</cp:coreProperties>
</file>