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319" w:type="dxa"/>
        <w:tblBorders>
          <w:bottom w:val="single" w:sz="4" w:space="0" w:color="auto"/>
        </w:tblBorders>
        <w:tblLayout w:type="fixed"/>
        <w:tblCellMar>
          <w:left w:w="58" w:type="dxa"/>
          <w:right w:w="58" w:type="dxa"/>
        </w:tblCellMar>
        <w:tblLook w:val="0000" w:firstRow="0" w:lastRow="0" w:firstColumn="0" w:lastColumn="0" w:noHBand="0" w:noVBand="0"/>
      </w:tblPr>
      <w:tblGrid>
        <w:gridCol w:w="1399"/>
        <w:gridCol w:w="5760"/>
        <w:gridCol w:w="2160"/>
      </w:tblGrid>
      <w:tr w:rsidR="007E1FDD" w:rsidRPr="00891D0B" w14:paraId="25B15063" w14:textId="77777777" w:rsidTr="007E1FDD">
        <w:trPr>
          <w:cantSplit/>
          <w:trHeight w:val="288"/>
        </w:trPr>
        <w:tc>
          <w:tcPr>
            <w:tcW w:w="1399" w:type="dxa"/>
            <w:vMerge w:val="restart"/>
          </w:tcPr>
          <w:p w14:paraId="35CB4FF6" w14:textId="77777777" w:rsidR="007E1FDD" w:rsidRPr="00891D0B" w:rsidRDefault="007E1FDD" w:rsidP="000D7C75">
            <w:pPr>
              <w:pStyle w:val="Note"/>
              <w:widowControl w:val="0"/>
              <w:tabs>
                <w:tab w:val="clear" w:pos="284"/>
                <w:tab w:val="clear" w:pos="1134"/>
                <w:tab w:val="clear" w:pos="1871"/>
                <w:tab w:val="clear" w:pos="2268"/>
              </w:tabs>
              <w:wordWrap w:val="0"/>
              <w:spacing w:before="0"/>
              <w:rPr>
                <w:noProof w:val="0"/>
                <w:kern w:val="2"/>
                <w:sz w:val="24"/>
                <w:szCs w:val="24"/>
              </w:rPr>
            </w:pPr>
            <w:r>
              <w:rPr>
                <w:kern w:val="2"/>
                <w:sz w:val="24"/>
                <w:szCs w:val="24"/>
                <w:lang w:eastAsia="en-US"/>
              </w:rPr>
              <w:drawing>
                <wp:inline distT="0" distB="0" distL="0" distR="0" wp14:anchorId="464A7590" wp14:editId="318CE689">
                  <wp:extent cx="762635" cy="7162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Tlogogreen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635" cy="716280"/>
                          </a:xfrm>
                          <a:prstGeom prst="rect">
                            <a:avLst/>
                          </a:prstGeom>
                        </pic:spPr>
                      </pic:pic>
                    </a:graphicData>
                  </a:graphic>
                </wp:inline>
              </w:drawing>
            </w:r>
          </w:p>
        </w:tc>
        <w:tc>
          <w:tcPr>
            <w:tcW w:w="5760" w:type="dxa"/>
          </w:tcPr>
          <w:p w14:paraId="53C757C6" w14:textId="77777777" w:rsidR="007E1FDD" w:rsidRPr="00891D0B" w:rsidRDefault="007E1FDD" w:rsidP="007E7497">
            <w:pPr>
              <w:spacing w:before="40"/>
              <w:rPr>
                <w:sz w:val="22"/>
                <w:szCs w:val="22"/>
              </w:rPr>
            </w:pPr>
            <w:r w:rsidRPr="00891D0B">
              <w:rPr>
                <w:sz w:val="22"/>
                <w:szCs w:val="22"/>
              </w:rPr>
              <w:t>ASIA-PACIFIC TELECOMMUNITY</w:t>
            </w:r>
          </w:p>
        </w:tc>
        <w:tc>
          <w:tcPr>
            <w:tcW w:w="2160" w:type="dxa"/>
          </w:tcPr>
          <w:p w14:paraId="217F24BE" w14:textId="77777777" w:rsidR="007E1FDD" w:rsidRPr="00891D0B" w:rsidRDefault="007E1FDD" w:rsidP="007E7497">
            <w:pPr>
              <w:pStyle w:val="Heading8"/>
              <w:spacing w:before="40"/>
              <w:rPr>
                <w:sz w:val="24"/>
                <w:szCs w:val="24"/>
              </w:rPr>
            </w:pPr>
            <w:r>
              <w:rPr>
                <w:sz w:val="24"/>
                <w:szCs w:val="24"/>
              </w:rPr>
              <w:t>Document No:</w:t>
            </w:r>
          </w:p>
        </w:tc>
      </w:tr>
      <w:tr w:rsidR="003D25E1" w:rsidRPr="00C15799" w14:paraId="398213BF" w14:textId="77777777" w:rsidTr="007E7497">
        <w:trPr>
          <w:cantSplit/>
          <w:trHeight w:val="504"/>
        </w:trPr>
        <w:tc>
          <w:tcPr>
            <w:tcW w:w="1399" w:type="dxa"/>
            <w:vMerge/>
          </w:tcPr>
          <w:p w14:paraId="1E65A4C2" w14:textId="77777777" w:rsidR="003D25E1" w:rsidRPr="00891D0B" w:rsidRDefault="003D25E1" w:rsidP="000D7C75"/>
        </w:tc>
        <w:tc>
          <w:tcPr>
            <w:tcW w:w="5760" w:type="dxa"/>
            <w:vAlign w:val="center"/>
          </w:tcPr>
          <w:p w14:paraId="3C6E6232" w14:textId="77777777" w:rsidR="003D25E1" w:rsidRPr="00891D0B" w:rsidRDefault="00C73F61" w:rsidP="001E1432">
            <w:pPr>
              <w:spacing w:before="40"/>
            </w:pPr>
            <w:r>
              <w:rPr>
                <w:b/>
              </w:rPr>
              <w:t xml:space="preserve">The </w:t>
            </w:r>
            <w:r w:rsidR="008624ED">
              <w:rPr>
                <w:b/>
              </w:rPr>
              <w:t>2nd</w:t>
            </w:r>
            <w:r w:rsidR="001E1432">
              <w:rPr>
                <w:b/>
              </w:rPr>
              <w:t xml:space="preserve"> </w:t>
            </w:r>
            <w:r w:rsidR="003D25E1">
              <w:rPr>
                <w:b/>
              </w:rPr>
              <w:t xml:space="preserve">Meeting of the APT </w:t>
            </w:r>
            <w:r w:rsidR="001E1432">
              <w:rPr>
                <w:b/>
              </w:rPr>
              <w:t xml:space="preserve">Conference Preparatory Group for WRC-23 </w:t>
            </w:r>
            <w:r w:rsidR="00EC249E">
              <w:rPr>
                <w:b/>
              </w:rPr>
              <w:t>(A</w:t>
            </w:r>
            <w:r w:rsidR="001E1432">
              <w:rPr>
                <w:b/>
              </w:rPr>
              <w:t>PG</w:t>
            </w:r>
            <w:r w:rsidR="00EC249E">
              <w:rPr>
                <w:b/>
              </w:rPr>
              <w:t>2</w:t>
            </w:r>
            <w:r w:rsidR="001E1432">
              <w:rPr>
                <w:b/>
              </w:rPr>
              <w:t>3-</w:t>
            </w:r>
            <w:r w:rsidR="008624ED">
              <w:rPr>
                <w:b/>
              </w:rPr>
              <w:t>2</w:t>
            </w:r>
            <w:r w:rsidR="003D25E1">
              <w:rPr>
                <w:b/>
              </w:rPr>
              <w:t>)</w:t>
            </w:r>
          </w:p>
        </w:tc>
        <w:tc>
          <w:tcPr>
            <w:tcW w:w="2160" w:type="dxa"/>
          </w:tcPr>
          <w:p w14:paraId="71B9E915" w14:textId="54FE0119" w:rsidR="007E1FDD" w:rsidRDefault="001E1432" w:rsidP="007E7497">
            <w:pPr>
              <w:spacing w:before="40"/>
              <w:rPr>
                <w:b/>
                <w:bCs/>
                <w:lang w:val="fr-FR"/>
              </w:rPr>
            </w:pPr>
            <w:r>
              <w:rPr>
                <w:b/>
                <w:bCs/>
                <w:lang w:val="fr-FR"/>
              </w:rPr>
              <w:t>APG23-</w:t>
            </w:r>
            <w:r w:rsidR="008624ED">
              <w:rPr>
                <w:b/>
                <w:bCs/>
                <w:lang w:val="fr-FR"/>
              </w:rPr>
              <w:t>2</w:t>
            </w:r>
            <w:r w:rsidR="007E1FDD">
              <w:rPr>
                <w:b/>
                <w:bCs/>
                <w:lang w:val="fr-FR"/>
              </w:rPr>
              <w:t>/</w:t>
            </w:r>
            <w:r w:rsidR="00164353">
              <w:rPr>
                <w:b/>
                <w:bCs/>
                <w:lang w:val="fr-FR"/>
              </w:rPr>
              <w:t>IN</w:t>
            </w:r>
            <w:r w:rsidR="00EA0BBD">
              <w:rPr>
                <w:b/>
                <w:bCs/>
                <w:lang w:val="fr-FR"/>
              </w:rPr>
              <w:t>F</w:t>
            </w:r>
            <w:r w:rsidR="007E1FDD">
              <w:rPr>
                <w:b/>
                <w:bCs/>
                <w:lang w:val="fr-FR"/>
              </w:rPr>
              <w:t>-</w:t>
            </w:r>
            <w:r w:rsidR="00445D9A">
              <w:rPr>
                <w:b/>
                <w:bCs/>
                <w:lang w:val="fr-FR"/>
              </w:rPr>
              <w:t>21</w:t>
            </w:r>
          </w:p>
          <w:p w14:paraId="042FD16E" w14:textId="77777777" w:rsidR="003D25E1" w:rsidRPr="007E1FDD" w:rsidRDefault="003D25E1" w:rsidP="007E1FDD">
            <w:pPr>
              <w:rPr>
                <w:b/>
                <w:bCs/>
                <w:lang w:val="en-GB"/>
              </w:rPr>
            </w:pPr>
          </w:p>
        </w:tc>
      </w:tr>
      <w:tr w:rsidR="007E1FDD" w:rsidRPr="00891D0B" w14:paraId="321CFF55" w14:textId="77777777" w:rsidTr="007E1FDD">
        <w:trPr>
          <w:cantSplit/>
          <w:trHeight w:val="288"/>
        </w:trPr>
        <w:tc>
          <w:tcPr>
            <w:tcW w:w="1399" w:type="dxa"/>
            <w:vMerge/>
          </w:tcPr>
          <w:p w14:paraId="4E3C555C" w14:textId="77777777" w:rsidR="007E1FDD" w:rsidRPr="007E1FDD" w:rsidRDefault="007E1FDD" w:rsidP="000D7C75">
            <w:pPr>
              <w:rPr>
                <w:lang w:val="en-GB"/>
              </w:rPr>
            </w:pPr>
          </w:p>
        </w:tc>
        <w:tc>
          <w:tcPr>
            <w:tcW w:w="5760" w:type="dxa"/>
            <w:vAlign w:val="bottom"/>
          </w:tcPr>
          <w:p w14:paraId="7BA3957E" w14:textId="77777777" w:rsidR="007E1FDD" w:rsidRPr="00712451" w:rsidRDefault="008624ED" w:rsidP="00C73F61">
            <w:pPr>
              <w:spacing w:before="40"/>
              <w:rPr>
                <w:b/>
              </w:rPr>
            </w:pPr>
            <w:r>
              <w:t>19</w:t>
            </w:r>
            <w:r w:rsidR="00C73F61">
              <w:t xml:space="preserve"> – </w:t>
            </w:r>
            <w:r w:rsidR="001E1432">
              <w:t>2</w:t>
            </w:r>
            <w:r>
              <w:t>3</w:t>
            </w:r>
            <w:r w:rsidR="007E1FDD">
              <w:t xml:space="preserve"> </w:t>
            </w:r>
            <w:r>
              <w:t>April</w:t>
            </w:r>
            <w:r w:rsidR="00EC249E">
              <w:t xml:space="preserve"> </w:t>
            </w:r>
            <w:r w:rsidR="007E1FDD">
              <w:t>20</w:t>
            </w:r>
            <w:r w:rsidR="00EC249E">
              <w:t>2</w:t>
            </w:r>
            <w:r>
              <w:t>1</w:t>
            </w:r>
            <w:r w:rsidR="007E1FDD" w:rsidRPr="00891D0B">
              <w:t xml:space="preserve">, </w:t>
            </w:r>
            <w:r w:rsidR="00EC249E" w:rsidRPr="00EC249E">
              <w:rPr>
                <w:bCs/>
              </w:rPr>
              <w:t>Virtual</w:t>
            </w:r>
            <w:r>
              <w:rPr>
                <w:bCs/>
              </w:rPr>
              <w:t>/Online</w:t>
            </w:r>
            <w:r w:rsidR="00EC249E" w:rsidRPr="00EC249E">
              <w:rPr>
                <w:bCs/>
              </w:rPr>
              <w:t xml:space="preserve"> Meeting</w:t>
            </w:r>
          </w:p>
        </w:tc>
        <w:tc>
          <w:tcPr>
            <w:tcW w:w="2160" w:type="dxa"/>
            <w:vAlign w:val="bottom"/>
          </w:tcPr>
          <w:p w14:paraId="4DAAF244" w14:textId="52960A5B" w:rsidR="007E1FDD" w:rsidRPr="007E1FDD" w:rsidRDefault="00445D9A" w:rsidP="00C73F61">
            <w:pPr>
              <w:spacing w:before="40"/>
              <w:rPr>
                <w:bCs/>
              </w:rPr>
            </w:pPr>
            <w:r>
              <w:rPr>
                <w:bCs/>
              </w:rPr>
              <w:t>29</w:t>
            </w:r>
            <w:r w:rsidR="008624ED">
              <w:rPr>
                <w:bCs/>
              </w:rPr>
              <w:t xml:space="preserve"> </w:t>
            </w:r>
            <w:r w:rsidR="00EA0BBD">
              <w:rPr>
                <w:bCs/>
              </w:rPr>
              <w:t xml:space="preserve">March </w:t>
            </w:r>
            <w:r w:rsidR="007E1FDD" w:rsidRPr="007E1FDD">
              <w:rPr>
                <w:bCs/>
              </w:rPr>
              <w:t>20</w:t>
            </w:r>
            <w:r w:rsidR="00EC249E">
              <w:rPr>
                <w:bCs/>
              </w:rPr>
              <w:t>2</w:t>
            </w:r>
            <w:r w:rsidR="008624ED">
              <w:rPr>
                <w:bCs/>
              </w:rPr>
              <w:t>1</w:t>
            </w:r>
          </w:p>
        </w:tc>
      </w:tr>
    </w:tbl>
    <w:p w14:paraId="1D7C378C" w14:textId="77777777" w:rsidR="007E7497" w:rsidRPr="00051E1E" w:rsidRDefault="007E7497" w:rsidP="00DA7595">
      <w:pPr>
        <w:rPr>
          <w:lang w:eastAsia="ko-KR"/>
        </w:rPr>
      </w:pPr>
    </w:p>
    <w:p w14:paraId="416BBD44" w14:textId="77777777" w:rsidR="00FF72BB" w:rsidRDefault="00FF72BB" w:rsidP="00DA7595">
      <w:pPr>
        <w:jc w:val="center"/>
        <w:rPr>
          <w:lang w:eastAsia="ko-KR"/>
        </w:rPr>
      </w:pPr>
    </w:p>
    <w:p w14:paraId="5D48B783" w14:textId="3977C038" w:rsidR="00DA7595" w:rsidRPr="00051E1E" w:rsidRDefault="00EA0BBD" w:rsidP="00DA7595">
      <w:pPr>
        <w:jc w:val="center"/>
        <w:rPr>
          <w:lang w:eastAsia="ko-KR"/>
        </w:rPr>
      </w:pPr>
      <w:r>
        <w:rPr>
          <w:lang w:eastAsia="ko-KR"/>
        </w:rPr>
        <w:t>Chairman, DG on AI 1.</w:t>
      </w:r>
      <w:r w:rsidR="00A52D63">
        <w:rPr>
          <w:lang w:eastAsia="ko-KR"/>
        </w:rPr>
        <w:t>1</w:t>
      </w:r>
      <w:r w:rsidR="0028625B">
        <w:rPr>
          <w:lang w:eastAsia="ko-KR"/>
        </w:rPr>
        <w:t>9</w:t>
      </w:r>
    </w:p>
    <w:p w14:paraId="49B50650" w14:textId="77777777" w:rsidR="007E7497" w:rsidRPr="00B355DB" w:rsidRDefault="007E7497" w:rsidP="007E7497">
      <w:pPr>
        <w:jc w:val="center"/>
        <w:rPr>
          <w:caps/>
        </w:rPr>
      </w:pPr>
    </w:p>
    <w:p w14:paraId="271866BD" w14:textId="2FCFFEC5" w:rsidR="00D84CEE" w:rsidRPr="00CE17F0" w:rsidRDefault="00EA0BBD" w:rsidP="00CE17F0">
      <w:pPr>
        <w:jc w:val="center"/>
        <w:rPr>
          <w:b/>
          <w:bCs/>
          <w:caps/>
        </w:rPr>
      </w:pPr>
      <w:r>
        <w:rPr>
          <w:b/>
          <w:bCs/>
          <w:caps/>
        </w:rPr>
        <w:t xml:space="preserve">brief </w:t>
      </w:r>
      <w:r w:rsidR="00EC249E">
        <w:rPr>
          <w:b/>
          <w:bCs/>
          <w:caps/>
        </w:rPr>
        <w:t>o</w:t>
      </w:r>
      <w:r>
        <w:rPr>
          <w:b/>
          <w:bCs/>
          <w:caps/>
        </w:rPr>
        <w:t>n</w:t>
      </w:r>
      <w:r w:rsidR="00EC249E">
        <w:rPr>
          <w:b/>
          <w:bCs/>
          <w:caps/>
        </w:rPr>
        <w:t xml:space="preserve"> </w:t>
      </w:r>
      <w:r>
        <w:rPr>
          <w:b/>
          <w:bCs/>
          <w:caps/>
        </w:rPr>
        <w:t>wrc-23</w:t>
      </w:r>
      <w:r w:rsidR="00EC249E">
        <w:rPr>
          <w:b/>
          <w:bCs/>
          <w:caps/>
        </w:rPr>
        <w:t xml:space="preserve"> </w:t>
      </w:r>
      <w:r>
        <w:rPr>
          <w:b/>
          <w:bCs/>
          <w:caps/>
        </w:rPr>
        <w:t>agenda item 1.</w:t>
      </w:r>
      <w:r w:rsidR="00A52D63">
        <w:rPr>
          <w:b/>
          <w:bCs/>
          <w:caps/>
        </w:rPr>
        <w:t>1</w:t>
      </w:r>
      <w:r w:rsidR="0028625B">
        <w:rPr>
          <w:b/>
          <w:bCs/>
          <w:caps/>
        </w:rPr>
        <w:t>9</w:t>
      </w:r>
    </w:p>
    <w:p w14:paraId="6E2A1ABA" w14:textId="77777777" w:rsidR="00EC249E" w:rsidRDefault="00EC249E" w:rsidP="00E5341E">
      <w:pPr>
        <w:spacing w:after="120"/>
        <w:jc w:val="both"/>
        <w:rPr>
          <w:b/>
          <w:lang w:val="en-NZ"/>
        </w:rPr>
      </w:pPr>
    </w:p>
    <w:p w14:paraId="60504901" w14:textId="177A8D24" w:rsidR="00EC249E" w:rsidRPr="00C17F93" w:rsidRDefault="00EC249E" w:rsidP="00EC249E">
      <w:pPr>
        <w:jc w:val="both"/>
      </w:pPr>
      <w:r w:rsidRPr="00C17F93">
        <w:t>(</w:t>
      </w:r>
      <w:r w:rsidR="00615999">
        <w:t xml:space="preserve">Note: </w:t>
      </w:r>
      <w:r w:rsidR="00615999" w:rsidRPr="00615999">
        <w:rPr>
          <w:i/>
          <w:iCs/>
        </w:rPr>
        <w:t>This brief was developed for information purpose only. It does not necessarily express the view of APG-23</w:t>
      </w:r>
      <w:r w:rsidRPr="00C17F93">
        <w:t>)</w:t>
      </w:r>
    </w:p>
    <w:p w14:paraId="030D99E3" w14:textId="77777777" w:rsidR="00EC249E" w:rsidRDefault="00EC249E" w:rsidP="00E5341E">
      <w:pPr>
        <w:spacing w:after="120"/>
        <w:jc w:val="both"/>
        <w:rPr>
          <w:b/>
        </w:rPr>
      </w:pPr>
    </w:p>
    <w:p w14:paraId="0A0277AD" w14:textId="1C6EC46B" w:rsidR="0028625B" w:rsidRDefault="00615999" w:rsidP="00615999">
      <w:pPr>
        <w:spacing w:after="120"/>
        <w:jc w:val="both"/>
        <w:rPr>
          <w:b/>
          <w:lang w:val="en-NZ"/>
        </w:rPr>
      </w:pPr>
      <w:r w:rsidRPr="00441526">
        <w:rPr>
          <w:b/>
          <w:lang w:val="en-NZ"/>
        </w:rPr>
        <w:t>Agenda Item 1.</w:t>
      </w:r>
      <w:r w:rsidR="00A52D63">
        <w:rPr>
          <w:b/>
          <w:lang w:val="en-NZ"/>
        </w:rPr>
        <w:t>1</w:t>
      </w:r>
      <w:r w:rsidR="0028625B">
        <w:rPr>
          <w:b/>
          <w:lang w:val="en-NZ"/>
        </w:rPr>
        <w:t>9</w:t>
      </w:r>
      <w:r w:rsidRPr="00441526">
        <w:rPr>
          <w:b/>
          <w:lang w:val="en-NZ"/>
        </w:rPr>
        <w:t>:</w:t>
      </w:r>
    </w:p>
    <w:p w14:paraId="4E1693DC" w14:textId="49773FD4" w:rsidR="00615999" w:rsidRDefault="0028625B" w:rsidP="00615999">
      <w:pPr>
        <w:spacing w:after="120"/>
        <w:jc w:val="both"/>
        <w:rPr>
          <w:b/>
          <w:lang w:val="en-NZ"/>
        </w:rPr>
      </w:pPr>
      <w:r w:rsidRPr="001F4171">
        <w:rPr>
          <w:rFonts w:eastAsia="Times New Roman" w:cstheme="minorHAnsi"/>
          <w:i/>
          <w:iCs/>
          <w:color w:val="000000"/>
        </w:rPr>
        <w:t xml:space="preserve">to consider a new primary allocation to the fixed-satellite service in the space-to-Earth direction in the frequency band 17.3-17.7 GHz in Region 2, while protecting existing primary services in the band, in accordance with Resolution </w:t>
      </w:r>
      <w:r w:rsidRPr="001F4171">
        <w:rPr>
          <w:rFonts w:eastAsia="Times New Roman" w:cstheme="minorHAnsi"/>
          <w:b/>
          <w:bCs/>
          <w:i/>
          <w:iCs/>
          <w:color w:val="000000"/>
        </w:rPr>
        <w:t>174</w:t>
      </w:r>
      <w:r w:rsidRPr="001F4171">
        <w:rPr>
          <w:rFonts w:eastAsia="Times New Roman" w:cstheme="minorHAnsi"/>
          <w:i/>
          <w:iCs/>
          <w:color w:val="000000"/>
        </w:rPr>
        <w:t xml:space="preserve"> </w:t>
      </w:r>
      <w:r w:rsidRPr="001F4171">
        <w:rPr>
          <w:rFonts w:eastAsia="Times New Roman" w:cstheme="minorHAnsi"/>
          <w:b/>
          <w:bCs/>
          <w:i/>
          <w:iCs/>
          <w:color w:val="000000"/>
        </w:rPr>
        <w:t>(WRC</w:t>
      </w:r>
      <w:r w:rsidRPr="001F4171">
        <w:rPr>
          <w:rFonts w:eastAsia="Times New Roman" w:cstheme="minorHAnsi"/>
          <w:b/>
          <w:bCs/>
          <w:i/>
          <w:iCs/>
          <w:color w:val="000000"/>
        </w:rPr>
        <w:noBreakHyphen/>
        <w:t>19)</w:t>
      </w:r>
      <w:r w:rsidRPr="001F4171">
        <w:rPr>
          <w:rFonts w:eastAsia="Times New Roman" w:cstheme="minorHAnsi"/>
          <w:i/>
          <w:iCs/>
          <w:color w:val="000000"/>
        </w:rPr>
        <w:t>.</w:t>
      </w:r>
      <w:r w:rsidR="00615999" w:rsidRPr="00441526">
        <w:rPr>
          <w:b/>
          <w:lang w:val="en-NZ"/>
        </w:rPr>
        <w:t xml:space="preserve"> </w:t>
      </w:r>
    </w:p>
    <w:p w14:paraId="7ED88958" w14:textId="77777777" w:rsidR="0028625B" w:rsidRPr="00441526" w:rsidRDefault="0028625B" w:rsidP="00615999">
      <w:pPr>
        <w:spacing w:after="120"/>
        <w:jc w:val="both"/>
        <w:rPr>
          <w:lang w:val="en-NZ"/>
        </w:rPr>
      </w:pPr>
    </w:p>
    <w:p w14:paraId="3DA40495" w14:textId="25DB76B0" w:rsidR="0037421D" w:rsidRPr="0028625B" w:rsidRDefault="00615999" w:rsidP="00E5341E">
      <w:pPr>
        <w:spacing w:after="120"/>
        <w:jc w:val="both"/>
        <w:rPr>
          <w:b/>
          <w:lang w:val="en-NZ"/>
        </w:rPr>
      </w:pPr>
      <w:r>
        <w:rPr>
          <w:b/>
          <w:lang w:val="en-NZ"/>
        </w:rPr>
        <w:t>Relevant Resolutions and Responsible/Contributing ITU-R Groups</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7"/>
        <w:gridCol w:w="6922"/>
      </w:tblGrid>
      <w:tr w:rsidR="00D06742" w:rsidRPr="00D06742" w14:paraId="4A1CA755" w14:textId="77777777" w:rsidTr="00395A72">
        <w:trPr>
          <w:jc w:val="center"/>
        </w:trPr>
        <w:tc>
          <w:tcPr>
            <w:tcW w:w="2287" w:type="dxa"/>
          </w:tcPr>
          <w:p w14:paraId="1F8A49AC" w14:textId="30631F16" w:rsidR="0028625B" w:rsidRPr="001E268A" w:rsidRDefault="0028625B" w:rsidP="0028625B">
            <w:pPr>
              <w:autoSpaceDE w:val="0"/>
              <w:autoSpaceDN w:val="0"/>
              <w:adjustRightInd w:val="0"/>
              <w:rPr>
                <w:rFonts w:cstheme="minorHAnsi"/>
                <w:b/>
                <w:bCs/>
                <w:color w:val="231F20"/>
                <w:lang w:val="en-ID"/>
              </w:rPr>
            </w:pPr>
            <w:r w:rsidRPr="001E268A">
              <w:rPr>
                <w:rFonts w:cstheme="minorHAnsi"/>
                <w:b/>
                <w:bCs/>
                <w:color w:val="231F20"/>
                <w:lang w:val="en-ID"/>
              </w:rPr>
              <w:t>R</w:t>
            </w:r>
            <w:r>
              <w:rPr>
                <w:rFonts w:cstheme="minorHAnsi"/>
                <w:b/>
                <w:bCs/>
                <w:color w:val="231F20"/>
                <w:lang w:val="en-ID"/>
              </w:rPr>
              <w:t xml:space="preserve">esolution </w:t>
            </w:r>
            <w:r w:rsidRPr="001E268A">
              <w:rPr>
                <w:rFonts w:cstheme="minorHAnsi"/>
                <w:b/>
                <w:bCs/>
                <w:color w:val="231F20"/>
                <w:lang w:val="en-ID"/>
              </w:rPr>
              <w:t>174 (WRC-19)</w:t>
            </w:r>
          </w:p>
          <w:p w14:paraId="1738FE24" w14:textId="77777777" w:rsidR="0028625B" w:rsidRPr="001E268A" w:rsidRDefault="0028625B" w:rsidP="0028625B">
            <w:pPr>
              <w:autoSpaceDE w:val="0"/>
              <w:autoSpaceDN w:val="0"/>
              <w:adjustRightInd w:val="0"/>
              <w:rPr>
                <w:rFonts w:cstheme="minorHAnsi"/>
                <w:lang w:val="en-ID"/>
              </w:rPr>
            </w:pPr>
            <w:r w:rsidRPr="001E268A">
              <w:rPr>
                <w:rFonts w:cstheme="minorHAnsi"/>
                <w:color w:val="231F20"/>
                <w:lang w:val="en-ID"/>
              </w:rPr>
              <w:t xml:space="preserve">Primary allocation to the fixed-satellite service in the space-to-Earth direction </w:t>
            </w:r>
          </w:p>
          <w:p w14:paraId="17BFA2B7" w14:textId="007A5677" w:rsidR="00615999" w:rsidRPr="00D06742" w:rsidRDefault="0028625B" w:rsidP="002862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1E268A">
              <w:rPr>
                <w:rFonts w:cstheme="minorHAnsi"/>
                <w:color w:val="231F20"/>
                <w:lang w:val="en-ID"/>
              </w:rPr>
              <w:t>in the frequency band 17.3-17.7 GHz in Region 2</w:t>
            </w:r>
          </w:p>
        </w:tc>
        <w:tc>
          <w:tcPr>
            <w:tcW w:w="6922" w:type="dxa"/>
          </w:tcPr>
          <w:p w14:paraId="16F39D8B" w14:textId="77777777" w:rsidR="0028625B" w:rsidRDefault="0028625B" w:rsidP="0028625B">
            <w:pPr>
              <w:autoSpaceDE w:val="0"/>
              <w:autoSpaceDN w:val="0"/>
              <w:adjustRightInd w:val="0"/>
              <w:jc w:val="both"/>
              <w:rPr>
                <w:rFonts w:cstheme="minorHAnsi"/>
                <w:color w:val="231F20"/>
                <w:lang w:val="en-ID"/>
              </w:rPr>
            </w:pPr>
            <w:r w:rsidRPr="001E268A">
              <w:rPr>
                <w:rFonts w:cstheme="minorHAnsi"/>
                <w:color w:val="231F20"/>
                <w:lang w:val="en-ID"/>
              </w:rPr>
              <w:t>The World Radiocommunication Conference (Sharm el-Sheikh, 2019),</w:t>
            </w:r>
          </w:p>
          <w:p w14:paraId="1AEF988B" w14:textId="77777777" w:rsidR="0028625B" w:rsidRPr="001E268A" w:rsidRDefault="0028625B" w:rsidP="0028625B">
            <w:pPr>
              <w:autoSpaceDE w:val="0"/>
              <w:autoSpaceDN w:val="0"/>
              <w:adjustRightInd w:val="0"/>
              <w:jc w:val="both"/>
              <w:rPr>
                <w:rFonts w:cstheme="minorHAnsi"/>
                <w:color w:val="231F20"/>
                <w:lang w:val="en-ID"/>
              </w:rPr>
            </w:pPr>
          </w:p>
          <w:p w14:paraId="74BBC510" w14:textId="77777777" w:rsidR="0028625B" w:rsidRPr="001E268A" w:rsidRDefault="0028625B" w:rsidP="0028625B">
            <w:pPr>
              <w:autoSpaceDE w:val="0"/>
              <w:autoSpaceDN w:val="0"/>
              <w:adjustRightInd w:val="0"/>
              <w:jc w:val="both"/>
              <w:rPr>
                <w:rFonts w:cstheme="minorHAnsi"/>
                <w:lang w:val="en-ID"/>
              </w:rPr>
            </w:pPr>
            <w:r w:rsidRPr="001E268A">
              <w:rPr>
                <w:rFonts w:cstheme="minorHAnsi"/>
                <w:i/>
                <w:iCs/>
                <w:color w:val="231F20"/>
                <w:lang w:val="en-ID"/>
              </w:rPr>
              <w:t xml:space="preserve">considering </w:t>
            </w:r>
          </w:p>
          <w:p w14:paraId="6283FC55" w14:textId="77777777" w:rsidR="0028625B" w:rsidRPr="001E268A" w:rsidRDefault="0028625B" w:rsidP="0028625B">
            <w:pPr>
              <w:autoSpaceDE w:val="0"/>
              <w:autoSpaceDN w:val="0"/>
              <w:adjustRightInd w:val="0"/>
              <w:jc w:val="both"/>
              <w:rPr>
                <w:rFonts w:cstheme="minorHAnsi"/>
                <w:color w:val="231F20"/>
                <w:lang w:val="en-ID"/>
              </w:rPr>
            </w:pPr>
            <w:r w:rsidRPr="001E268A">
              <w:rPr>
                <w:rFonts w:cstheme="minorHAnsi"/>
                <w:i/>
                <w:iCs/>
                <w:color w:val="231F20"/>
                <w:lang w:val="en-ID"/>
              </w:rPr>
              <w:t xml:space="preserve">a) </w:t>
            </w:r>
            <w:r w:rsidRPr="001E268A">
              <w:rPr>
                <w:rFonts w:cstheme="minorHAnsi"/>
                <w:color w:val="231F20"/>
                <w:lang w:val="en-ID"/>
              </w:rPr>
              <w:t xml:space="preserve">the need to encourage the development and implementation of new technologies in the fixed-satellite service (FSS) for broadband applications; </w:t>
            </w:r>
          </w:p>
          <w:p w14:paraId="7C743D17" w14:textId="77777777" w:rsidR="0028625B" w:rsidRPr="001E268A" w:rsidRDefault="0028625B" w:rsidP="0028625B">
            <w:pPr>
              <w:autoSpaceDE w:val="0"/>
              <w:autoSpaceDN w:val="0"/>
              <w:adjustRightInd w:val="0"/>
              <w:jc w:val="both"/>
              <w:rPr>
                <w:rFonts w:cstheme="minorHAnsi"/>
                <w:color w:val="231F20"/>
                <w:lang w:val="en-ID"/>
              </w:rPr>
            </w:pPr>
            <w:r w:rsidRPr="001E268A">
              <w:rPr>
                <w:rFonts w:cstheme="minorHAnsi"/>
                <w:i/>
                <w:iCs/>
                <w:color w:val="231F20"/>
                <w:lang w:val="en-ID"/>
              </w:rPr>
              <w:t>b)</w:t>
            </w:r>
            <w:r w:rsidRPr="001E268A">
              <w:rPr>
                <w:rFonts w:cstheme="minorHAnsi"/>
                <w:color w:val="231F20"/>
                <w:lang w:val="en-ID"/>
              </w:rPr>
              <w:t xml:space="preserve"> that FSS systems based on the use of new technologies associated with geostationary-satellite systems are capable of providing high-capacity and low-cost means of broadband communication even to the most isolated regions of the world; </w:t>
            </w:r>
          </w:p>
          <w:p w14:paraId="125890FF" w14:textId="77777777" w:rsidR="0028625B" w:rsidRPr="001E268A" w:rsidRDefault="0028625B" w:rsidP="0028625B">
            <w:pPr>
              <w:autoSpaceDE w:val="0"/>
              <w:autoSpaceDN w:val="0"/>
              <w:adjustRightInd w:val="0"/>
              <w:jc w:val="both"/>
              <w:rPr>
                <w:rFonts w:cstheme="minorHAnsi"/>
                <w:color w:val="231F20"/>
                <w:lang w:val="en-ID"/>
              </w:rPr>
            </w:pPr>
            <w:r w:rsidRPr="001E268A">
              <w:rPr>
                <w:rFonts w:cstheme="minorHAnsi"/>
                <w:i/>
                <w:iCs/>
                <w:color w:val="231F20"/>
                <w:lang w:val="en-ID"/>
              </w:rPr>
              <w:t>c)</w:t>
            </w:r>
            <w:r w:rsidRPr="001E268A">
              <w:rPr>
                <w:rFonts w:cstheme="minorHAnsi"/>
                <w:color w:val="231F20"/>
                <w:lang w:val="en-ID"/>
              </w:rPr>
              <w:t xml:space="preserve"> that the Radio Regulations should enable the introduction of new applications of radiocommunication technology to ensure the operation of as many systems as possible in order to ensure efficient use of the spectrum; </w:t>
            </w:r>
          </w:p>
          <w:p w14:paraId="6ABF4101" w14:textId="77777777" w:rsidR="0028625B" w:rsidRPr="001E268A" w:rsidRDefault="0028625B" w:rsidP="0028625B">
            <w:pPr>
              <w:autoSpaceDE w:val="0"/>
              <w:autoSpaceDN w:val="0"/>
              <w:adjustRightInd w:val="0"/>
              <w:jc w:val="both"/>
              <w:rPr>
                <w:rFonts w:cstheme="minorHAnsi"/>
                <w:color w:val="231F20"/>
                <w:lang w:val="en-ID"/>
              </w:rPr>
            </w:pPr>
            <w:r w:rsidRPr="001E268A">
              <w:rPr>
                <w:rFonts w:cstheme="minorHAnsi"/>
                <w:i/>
                <w:iCs/>
                <w:color w:val="231F20"/>
                <w:lang w:val="en-ID"/>
              </w:rPr>
              <w:t xml:space="preserve">d) </w:t>
            </w:r>
            <w:r w:rsidRPr="001E268A">
              <w:rPr>
                <w:rFonts w:cstheme="minorHAnsi"/>
                <w:color w:val="231F20"/>
                <w:lang w:val="en-ID"/>
              </w:rPr>
              <w:t xml:space="preserve">that the frequency band 17.3-17.7 GHz is allocated in Region 2 on a primary basis to the broadcasting-satellite service (BSS) (space-to-Earth) and to the FSS (Earth-to-space), subject to the application of No. 5.516, </w:t>
            </w:r>
          </w:p>
          <w:p w14:paraId="462DB04F" w14:textId="77777777" w:rsidR="0028625B" w:rsidRPr="001E268A" w:rsidRDefault="0028625B" w:rsidP="0028625B">
            <w:pPr>
              <w:autoSpaceDE w:val="0"/>
              <w:autoSpaceDN w:val="0"/>
              <w:adjustRightInd w:val="0"/>
              <w:jc w:val="both"/>
              <w:rPr>
                <w:rFonts w:cstheme="minorHAnsi"/>
                <w:color w:val="231F20"/>
                <w:lang w:val="en-ID"/>
              </w:rPr>
            </w:pPr>
          </w:p>
          <w:p w14:paraId="61D1A495" w14:textId="77777777" w:rsidR="0028625B" w:rsidRPr="001E268A" w:rsidRDefault="0028625B" w:rsidP="0028625B">
            <w:pPr>
              <w:autoSpaceDE w:val="0"/>
              <w:autoSpaceDN w:val="0"/>
              <w:adjustRightInd w:val="0"/>
              <w:jc w:val="both"/>
              <w:rPr>
                <w:rFonts w:cstheme="minorHAnsi"/>
                <w:i/>
                <w:iCs/>
                <w:color w:val="231F20"/>
                <w:lang w:val="en-ID"/>
              </w:rPr>
            </w:pPr>
            <w:r w:rsidRPr="001E268A">
              <w:rPr>
                <w:rFonts w:cstheme="minorHAnsi"/>
                <w:i/>
                <w:iCs/>
                <w:color w:val="231F20"/>
                <w:lang w:val="en-ID"/>
              </w:rPr>
              <w:t>recognizing</w:t>
            </w:r>
          </w:p>
          <w:p w14:paraId="42A3D8D2" w14:textId="77777777" w:rsidR="0028625B" w:rsidRPr="001E268A" w:rsidRDefault="0028625B" w:rsidP="0028625B">
            <w:pPr>
              <w:autoSpaceDE w:val="0"/>
              <w:autoSpaceDN w:val="0"/>
              <w:adjustRightInd w:val="0"/>
              <w:jc w:val="both"/>
              <w:rPr>
                <w:rFonts w:cstheme="minorHAnsi"/>
                <w:color w:val="231F20"/>
                <w:lang w:val="en-ID"/>
              </w:rPr>
            </w:pPr>
            <w:r w:rsidRPr="001E268A">
              <w:rPr>
                <w:rFonts w:cstheme="minorHAnsi"/>
                <w:color w:val="231F20"/>
                <w:lang w:val="en-ID"/>
              </w:rPr>
              <w:t xml:space="preserve">the need to preserve and protect frequencies subject to the application of Appendix 30A, </w:t>
            </w:r>
          </w:p>
          <w:p w14:paraId="22C1D153" w14:textId="77777777" w:rsidR="0028625B" w:rsidRPr="001E268A" w:rsidRDefault="0028625B" w:rsidP="0028625B">
            <w:pPr>
              <w:autoSpaceDE w:val="0"/>
              <w:autoSpaceDN w:val="0"/>
              <w:adjustRightInd w:val="0"/>
              <w:jc w:val="both"/>
              <w:rPr>
                <w:rFonts w:cstheme="minorHAnsi"/>
                <w:lang w:val="en-ID"/>
              </w:rPr>
            </w:pPr>
          </w:p>
          <w:p w14:paraId="00881940" w14:textId="77777777" w:rsidR="0028625B" w:rsidRPr="001E268A" w:rsidRDefault="0028625B" w:rsidP="0028625B">
            <w:pPr>
              <w:autoSpaceDE w:val="0"/>
              <w:autoSpaceDN w:val="0"/>
              <w:adjustRightInd w:val="0"/>
              <w:jc w:val="both"/>
              <w:rPr>
                <w:rFonts w:cstheme="minorHAnsi"/>
                <w:i/>
                <w:iCs/>
                <w:color w:val="231F20"/>
                <w:lang w:val="en-ID"/>
              </w:rPr>
            </w:pPr>
            <w:r w:rsidRPr="001E268A">
              <w:rPr>
                <w:rFonts w:cstheme="minorHAnsi"/>
                <w:i/>
                <w:iCs/>
                <w:color w:val="231F20"/>
                <w:lang w:val="en-ID"/>
              </w:rPr>
              <w:t>noting</w:t>
            </w:r>
          </w:p>
          <w:p w14:paraId="003D534B" w14:textId="77777777" w:rsidR="0028625B" w:rsidRPr="001E268A" w:rsidRDefault="0028625B" w:rsidP="0028625B">
            <w:pPr>
              <w:autoSpaceDE w:val="0"/>
              <w:autoSpaceDN w:val="0"/>
              <w:adjustRightInd w:val="0"/>
              <w:jc w:val="both"/>
              <w:rPr>
                <w:rFonts w:cstheme="minorHAnsi"/>
                <w:color w:val="231F20"/>
                <w:lang w:val="en-ID"/>
              </w:rPr>
            </w:pPr>
            <w:r w:rsidRPr="001E268A">
              <w:rPr>
                <w:rFonts w:cstheme="minorHAnsi"/>
                <w:i/>
                <w:iCs/>
                <w:color w:val="231F20"/>
                <w:lang w:val="en-ID"/>
              </w:rPr>
              <w:t>a)</w:t>
            </w:r>
            <w:r w:rsidRPr="001E268A">
              <w:rPr>
                <w:rFonts w:cstheme="minorHAnsi"/>
                <w:color w:val="231F20"/>
                <w:lang w:val="en-ID"/>
              </w:rPr>
              <w:t xml:space="preserve"> that technology has been developed to provide more efficient use of the spectrum;</w:t>
            </w:r>
          </w:p>
          <w:p w14:paraId="4BB109B6" w14:textId="77777777" w:rsidR="0028625B" w:rsidRPr="001E268A" w:rsidRDefault="0028625B" w:rsidP="0028625B">
            <w:pPr>
              <w:autoSpaceDE w:val="0"/>
              <w:autoSpaceDN w:val="0"/>
              <w:adjustRightInd w:val="0"/>
              <w:jc w:val="both"/>
              <w:rPr>
                <w:rFonts w:cstheme="minorHAnsi"/>
                <w:lang w:val="en-ID"/>
              </w:rPr>
            </w:pPr>
            <w:r w:rsidRPr="001E268A">
              <w:rPr>
                <w:rFonts w:cstheme="minorHAnsi"/>
                <w:i/>
                <w:iCs/>
                <w:color w:val="231F20"/>
                <w:lang w:val="en-ID"/>
              </w:rPr>
              <w:t>b)</w:t>
            </w:r>
            <w:r w:rsidRPr="001E268A">
              <w:rPr>
                <w:rFonts w:cstheme="minorHAnsi"/>
                <w:color w:val="231F20"/>
                <w:lang w:val="en-ID"/>
              </w:rPr>
              <w:t xml:space="preserve"> that sharing of FSS (Earth-to-space) and FSS (space-to-Earth) is already considered in Region 1 for the frequency band 17.3-17.7 GHz;</w:t>
            </w:r>
          </w:p>
          <w:p w14:paraId="61CE698F" w14:textId="77777777" w:rsidR="0028625B" w:rsidRPr="001E268A" w:rsidRDefault="0028625B" w:rsidP="0028625B">
            <w:pPr>
              <w:autoSpaceDE w:val="0"/>
              <w:autoSpaceDN w:val="0"/>
              <w:adjustRightInd w:val="0"/>
              <w:jc w:val="both"/>
              <w:rPr>
                <w:rFonts w:cstheme="minorHAnsi"/>
                <w:lang w:val="en-ID"/>
              </w:rPr>
            </w:pPr>
            <w:r w:rsidRPr="001E268A">
              <w:rPr>
                <w:rFonts w:cstheme="minorHAnsi"/>
                <w:i/>
                <w:iCs/>
                <w:color w:val="231F20"/>
                <w:lang w:val="en-ID"/>
              </w:rPr>
              <w:lastRenderedPageBreak/>
              <w:t>c)</w:t>
            </w:r>
            <w:r w:rsidRPr="001E268A">
              <w:rPr>
                <w:rFonts w:cstheme="minorHAnsi"/>
                <w:color w:val="231F20"/>
                <w:lang w:val="en-ID"/>
              </w:rPr>
              <w:t xml:space="preserve"> that there is no other primary service in the frequency band 17.3-17.7 GHz apart from the FSS and the BSS,</w:t>
            </w:r>
          </w:p>
          <w:p w14:paraId="46B4909B" w14:textId="77777777" w:rsidR="0028625B" w:rsidRPr="001E268A" w:rsidRDefault="0028625B" w:rsidP="0028625B">
            <w:pPr>
              <w:autoSpaceDE w:val="0"/>
              <w:autoSpaceDN w:val="0"/>
              <w:adjustRightInd w:val="0"/>
              <w:jc w:val="both"/>
              <w:rPr>
                <w:rFonts w:cstheme="minorHAnsi"/>
                <w:i/>
                <w:iCs/>
                <w:color w:val="231F20"/>
                <w:lang w:val="en-ID"/>
              </w:rPr>
            </w:pPr>
          </w:p>
          <w:p w14:paraId="181C553D" w14:textId="77777777" w:rsidR="0028625B" w:rsidRPr="001E268A" w:rsidRDefault="0028625B" w:rsidP="0028625B">
            <w:pPr>
              <w:autoSpaceDE w:val="0"/>
              <w:autoSpaceDN w:val="0"/>
              <w:adjustRightInd w:val="0"/>
              <w:jc w:val="both"/>
              <w:rPr>
                <w:rFonts w:cstheme="minorHAnsi"/>
                <w:lang w:val="en-ID"/>
              </w:rPr>
            </w:pPr>
            <w:r w:rsidRPr="001E268A">
              <w:rPr>
                <w:rFonts w:cstheme="minorHAnsi"/>
                <w:i/>
                <w:iCs/>
                <w:color w:val="231F20"/>
                <w:lang w:val="en-ID"/>
              </w:rPr>
              <w:t xml:space="preserve">resolves </w:t>
            </w:r>
          </w:p>
          <w:p w14:paraId="11FED137" w14:textId="77777777" w:rsidR="0028625B" w:rsidRPr="001E268A" w:rsidRDefault="0028625B" w:rsidP="0028625B">
            <w:pPr>
              <w:autoSpaceDE w:val="0"/>
              <w:autoSpaceDN w:val="0"/>
              <w:adjustRightInd w:val="0"/>
              <w:jc w:val="both"/>
              <w:rPr>
                <w:rFonts w:cstheme="minorHAnsi"/>
                <w:color w:val="231F20"/>
                <w:lang w:val="en-ID"/>
              </w:rPr>
            </w:pPr>
            <w:r w:rsidRPr="001E268A">
              <w:rPr>
                <w:rFonts w:cstheme="minorHAnsi"/>
                <w:color w:val="231F20"/>
                <w:lang w:val="en-ID"/>
              </w:rPr>
              <w:t xml:space="preserve">that the studies referred in </w:t>
            </w:r>
            <w:r w:rsidRPr="001E268A">
              <w:rPr>
                <w:rFonts w:cstheme="minorHAnsi"/>
                <w:i/>
                <w:iCs/>
                <w:color w:val="231F20"/>
                <w:lang w:val="en-ID"/>
              </w:rPr>
              <w:t xml:space="preserve">invites the ITU Radiocommunication Sector </w:t>
            </w:r>
            <w:r w:rsidRPr="001E268A">
              <w:rPr>
                <w:rFonts w:cstheme="minorHAnsi"/>
                <w:color w:val="231F20"/>
                <w:lang w:val="en-ID"/>
              </w:rPr>
              <w:t xml:space="preserve">below shall protect radiocommunication services to which the frequency band is allocated on primary basis, in particular assignments contained in Appendix 30A, </w:t>
            </w:r>
          </w:p>
          <w:p w14:paraId="77ACEC77" w14:textId="77777777" w:rsidR="0028625B" w:rsidRPr="001E268A" w:rsidRDefault="0028625B" w:rsidP="0028625B">
            <w:pPr>
              <w:autoSpaceDE w:val="0"/>
              <w:autoSpaceDN w:val="0"/>
              <w:adjustRightInd w:val="0"/>
              <w:jc w:val="both"/>
              <w:rPr>
                <w:rFonts w:cstheme="minorHAnsi"/>
                <w:i/>
                <w:iCs/>
                <w:color w:val="231F20"/>
                <w:lang w:val="en-ID"/>
              </w:rPr>
            </w:pPr>
          </w:p>
          <w:p w14:paraId="3FF887FE" w14:textId="77777777" w:rsidR="0028625B" w:rsidRPr="001E268A" w:rsidRDefault="0028625B" w:rsidP="0028625B">
            <w:pPr>
              <w:autoSpaceDE w:val="0"/>
              <w:autoSpaceDN w:val="0"/>
              <w:adjustRightInd w:val="0"/>
              <w:jc w:val="both"/>
              <w:rPr>
                <w:rFonts w:cstheme="minorHAnsi"/>
                <w:i/>
                <w:iCs/>
                <w:color w:val="231F20"/>
                <w:lang w:val="en-ID"/>
              </w:rPr>
            </w:pPr>
            <w:r w:rsidRPr="001E268A">
              <w:rPr>
                <w:rFonts w:cstheme="minorHAnsi"/>
                <w:i/>
                <w:iCs/>
                <w:color w:val="231F20"/>
                <w:lang w:val="en-ID"/>
              </w:rPr>
              <w:t>invites the ITU Radiocommunication Sector</w:t>
            </w:r>
          </w:p>
          <w:p w14:paraId="3C85F15E" w14:textId="16CF7534" w:rsidR="0028625B" w:rsidRPr="001E268A" w:rsidRDefault="0028625B" w:rsidP="0028625B">
            <w:pPr>
              <w:autoSpaceDE w:val="0"/>
              <w:autoSpaceDN w:val="0"/>
              <w:adjustRightInd w:val="0"/>
              <w:jc w:val="both"/>
              <w:rPr>
                <w:rFonts w:cstheme="minorHAnsi"/>
                <w:lang w:val="en-ID"/>
              </w:rPr>
            </w:pPr>
            <w:r w:rsidRPr="001E268A">
              <w:rPr>
                <w:rFonts w:cstheme="minorHAnsi"/>
                <w:color w:val="231F20"/>
                <w:lang w:val="en-ID"/>
              </w:rPr>
              <w:t>to conduct, and complete in time for WRC-23, sharing and compatibility studies between the FSS (space-to-Earth) and the BSS (space-to-Earth) and between the FSS (space-to-Earth) and the FSS</w:t>
            </w:r>
            <w:r w:rsidRPr="001E268A">
              <w:rPr>
                <w:rFonts w:cstheme="minorHAnsi"/>
                <w:lang w:val="en-ID"/>
              </w:rPr>
              <w:t xml:space="preserve"> </w:t>
            </w:r>
            <w:r w:rsidRPr="001E268A">
              <w:rPr>
                <w:rFonts w:cstheme="minorHAnsi"/>
                <w:color w:val="231F20"/>
                <w:lang w:val="en-ID"/>
              </w:rPr>
              <w:t>(Earth-to-space), in order to consider a possible new primary allocation to the FSS (space-to-Earth)</w:t>
            </w:r>
            <w:r w:rsidRPr="001E268A">
              <w:rPr>
                <w:rFonts w:cstheme="minorHAnsi"/>
                <w:lang w:val="en-ID"/>
              </w:rPr>
              <w:t xml:space="preserve"> </w:t>
            </w:r>
            <w:r w:rsidRPr="001E268A">
              <w:rPr>
                <w:rFonts w:cstheme="minorHAnsi"/>
                <w:color w:val="231F20"/>
                <w:lang w:val="en-ID"/>
              </w:rPr>
              <w:t>in the frequency band 17.3-17.7 GHz for Region 2, while ensuring the protection of existing primary</w:t>
            </w:r>
            <w:r w:rsidRPr="001E268A">
              <w:rPr>
                <w:rFonts w:cstheme="minorHAnsi"/>
                <w:lang w:val="en-ID"/>
              </w:rPr>
              <w:t xml:space="preserve"> </w:t>
            </w:r>
            <w:r w:rsidRPr="001E268A">
              <w:rPr>
                <w:rFonts w:cstheme="minorHAnsi"/>
                <w:color w:val="231F20"/>
                <w:lang w:val="en-ID"/>
              </w:rPr>
              <w:t>allocations in the same and adjacent frequency bands, as appropriate, and without imposing any</w:t>
            </w:r>
            <w:r w:rsidRPr="001E268A">
              <w:rPr>
                <w:rFonts w:cstheme="minorHAnsi"/>
                <w:lang w:val="en-ID"/>
              </w:rPr>
              <w:t xml:space="preserve"> </w:t>
            </w:r>
            <w:r w:rsidRPr="001E268A">
              <w:rPr>
                <w:rFonts w:cstheme="minorHAnsi"/>
                <w:color w:val="231F20"/>
                <w:lang w:val="en-ID"/>
              </w:rPr>
              <w:t>additional constraints on existing allocations to the BSS (space-to-Earth) and the FSS (Earth-to</w:t>
            </w:r>
            <w:r w:rsidR="00A52D63">
              <w:rPr>
                <w:rFonts w:cstheme="minorHAnsi"/>
                <w:color w:val="231F20"/>
                <w:lang w:val="en-ID"/>
              </w:rPr>
              <w:t>-</w:t>
            </w:r>
            <w:r w:rsidRPr="001E268A">
              <w:rPr>
                <w:rFonts w:cstheme="minorHAnsi"/>
                <w:color w:val="231F20"/>
                <w:lang w:val="en-ID"/>
              </w:rPr>
              <w:t>space),</w:t>
            </w:r>
          </w:p>
          <w:p w14:paraId="798971AC" w14:textId="77777777" w:rsidR="0028625B" w:rsidRPr="001E268A" w:rsidRDefault="0028625B" w:rsidP="0028625B">
            <w:pPr>
              <w:autoSpaceDE w:val="0"/>
              <w:autoSpaceDN w:val="0"/>
              <w:adjustRightInd w:val="0"/>
              <w:jc w:val="both"/>
              <w:rPr>
                <w:rFonts w:cstheme="minorHAnsi"/>
                <w:i/>
                <w:iCs/>
                <w:color w:val="231F20"/>
                <w:lang w:val="en-ID"/>
              </w:rPr>
            </w:pPr>
          </w:p>
          <w:p w14:paraId="28DABB1D" w14:textId="77777777" w:rsidR="0028625B" w:rsidRPr="001E268A" w:rsidRDefault="0028625B" w:rsidP="0028625B">
            <w:pPr>
              <w:autoSpaceDE w:val="0"/>
              <w:autoSpaceDN w:val="0"/>
              <w:adjustRightInd w:val="0"/>
              <w:jc w:val="both"/>
              <w:rPr>
                <w:rFonts w:cstheme="minorHAnsi"/>
                <w:i/>
                <w:iCs/>
                <w:color w:val="231F20"/>
                <w:lang w:val="en-ID"/>
              </w:rPr>
            </w:pPr>
            <w:r w:rsidRPr="001E268A">
              <w:rPr>
                <w:rFonts w:cstheme="minorHAnsi"/>
                <w:i/>
                <w:iCs/>
                <w:color w:val="231F20"/>
                <w:lang w:val="en-ID"/>
              </w:rPr>
              <w:t>invites the 2023 World Radiocommunication Conference</w:t>
            </w:r>
          </w:p>
          <w:p w14:paraId="6A49031A" w14:textId="77777777" w:rsidR="0028625B" w:rsidRPr="001E268A" w:rsidRDefault="0028625B" w:rsidP="0028625B">
            <w:pPr>
              <w:autoSpaceDE w:val="0"/>
              <w:autoSpaceDN w:val="0"/>
              <w:adjustRightInd w:val="0"/>
              <w:jc w:val="both"/>
              <w:rPr>
                <w:rFonts w:cstheme="minorHAnsi"/>
                <w:lang w:val="en-ID"/>
              </w:rPr>
            </w:pPr>
            <w:r w:rsidRPr="001E268A">
              <w:rPr>
                <w:rFonts w:cstheme="minorHAnsi"/>
                <w:color w:val="231F20"/>
                <w:lang w:val="en-ID"/>
              </w:rPr>
              <w:t xml:space="preserve">to consider the results of the above studies and take necessary actions, as appropriate, </w:t>
            </w:r>
          </w:p>
          <w:p w14:paraId="0E08E5CC" w14:textId="77777777" w:rsidR="0028625B" w:rsidRPr="001E268A" w:rsidRDefault="0028625B" w:rsidP="0028625B">
            <w:pPr>
              <w:autoSpaceDE w:val="0"/>
              <w:autoSpaceDN w:val="0"/>
              <w:adjustRightInd w:val="0"/>
              <w:jc w:val="both"/>
              <w:rPr>
                <w:rFonts w:cstheme="minorHAnsi"/>
                <w:i/>
                <w:iCs/>
                <w:color w:val="231F20"/>
                <w:lang w:val="en-ID"/>
              </w:rPr>
            </w:pPr>
          </w:p>
          <w:p w14:paraId="0664856D" w14:textId="77777777" w:rsidR="0028625B" w:rsidRPr="001E268A" w:rsidRDefault="0028625B" w:rsidP="0028625B">
            <w:pPr>
              <w:autoSpaceDE w:val="0"/>
              <w:autoSpaceDN w:val="0"/>
              <w:adjustRightInd w:val="0"/>
              <w:jc w:val="both"/>
              <w:rPr>
                <w:rFonts w:cstheme="minorHAnsi"/>
                <w:i/>
                <w:iCs/>
                <w:color w:val="231F20"/>
                <w:lang w:val="en-ID"/>
              </w:rPr>
            </w:pPr>
            <w:r w:rsidRPr="001E268A">
              <w:rPr>
                <w:rFonts w:cstheme="minorHAnsi"/>
                <w:i/>
                <w:iCs/>
                <w:color w:val="231F20"/>
                <w:lang w:val="en-ID"/>
              </w:rPr>
              <w:t>invites administrations</w:t>
            </w:r>
          </w:p>
          <w:p w14:paraId="23E60363" w14:textId="595F508E" w:rsidR="00615999" w:rsidRPr="00D06742" w:rsidRDefault="0028625B" w:rsidP="002862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textAlignment w:val="baseline"/>
              <w:rPr>
                <w:rFonts w:eastAsia="Batang"/>
                <w:color w:val="FF0000"/>
                <w:lang w:eastAsia="nl-NL"/>
              </w:rPr>
            </w:pPr>
            <w:r w:rsidRPr="001E268A">
              <w:rPr>
                <w:rFonts w:cstheme="minorHAnsi"/>
                <w:color w:val="231F20"/>
                <w:lang w:val="en-ID"/>
              </w:rPr>
              <w:t>to participate actively in the studies and provide the technical and operational characteristics of the systems involved by submitting contributions to the ITU Radiocommunication Sector.</w:t>
            </w:r>
          </w:p>
        </w:tc>
      </w:tr>
    </w:tbl>
    <w:p w14:paraId="5850A44A" w14:textId="7DE88827" w:rsidR="0037421D" w:rsidRDefault="0037421D" w:rsidP="00E5341E">
      <w:pPr>
        <w:spacing w:after="120"/>
        <w:jc w:val="both"/>
        <w:rPr>
          <w:b/>
        </w:rPr>
      </w:pPr>
    </w:p>
    <w:tbl>
      <w:tblPr>
        <w:tblStyle w:val="TableGrid"/>
        <w:tblW w:w="0" w:type="auto"/>
        <w:tblInd w:w="-5" w:type="dxa"/>
        <w:tblLook w:val="04A0" w:firstRow="1" w:lastRow="0" w:firstColumn="1" w:lastColumn="0" w:noHBand="0" w:noVBand="1"/>
      </w:tblPr>
      <w:tblGrid>
        <w:gridCol w:w="5113"/>
        <w:gridCol w:w="3908"/>
      </w:tblGrid>
      <w:tr w:rsidR="0028625B" w:rsidRPr="00D06742" w14:paraId="201407FC" w14:textId="77777777" w:rsidTr="00395A72">
        <w:tc>
          <w:tcPr>
            <w:tcW w:w="5113" w:type="dxa"/>
          </w:tcPr>
          <w:p w14:paraId="49F372C5" w14:textId="72A71CEA" w:rsidR="0028625B" w:rsidRPr="00D06742" w:rsidRDefault="0028625B" w:rsidP="0028625B">
            <w:pPr>
              <w:jc w:val="center"/>
              <w:rPr>
                <w:color w:val="FF0000"/>
              </w:rPr>
            </w:pPr>
            <w:r>
              <w:br w:type="page"/>
            </w:r>
            <w:r>
              <w:rPr>
                <w:rFonts w:eastAsia="MS Mincho"/>
                <w:b/>
                <w:bCs/>
                <w:i/>
                <w:iCs/>
                <w:szCs w:val="20"/>
              </w:rPr>
              <w:t>Responsible Group</w:t>
            </w:r>
          </w:p>
        </w:tc>
        <w:tc>
          <w:tcPr>
            <w:tcW w:w="3908" w:type="dxa"/>
          </w:tcPr>
          <w:p w14:paraId="1B86DE8A" w14:textId="63A21870" w:rsidR="0028625B" w:rsidRPr="00D06742" w:rsidRDefault="0028625B" w:rsidP="0028625B">
            <w:pPr>
              <w:jc w:val="center"/>
              <w:rPr>
                <w:color w:val="FF0000"/>
              </w:rPr>
            </w:pPr>
            <w:r>
              <w:rPr>
                <w:rFonts w:eastAsia="MS Mincho"/>
                <w:b/>
                <w:bCs/>
                <w:i/>
                <w:iCs/>
                <w:szCs w:val="20"/>
              </w:rPr>
              <w:t>Contributing Group</w:t>
            </w:r>
          </w:p>
        </w:tc>
      </w:tr>
      <w:tr w:rsidR="0028625B" w:rsidRPr="00D06742" w14:paraId="62627DE7" w14:textId="77777777" w:rsidTr="00395A72">
        <w:tc>
          <w:tcPr>
            <w:tcW w:w="5113" w:type="dxa"/>
          </w:tcPr>
          <w:p w14:paraId="2FF0C3D0" w14:textId="2CD331D7" w:rsidR="0028625B" w:rsidRPr="00D06742" w:rsidRDefault="0028625B" w:rsidP="0028625B">
            <w:pPr>
              <w:rPr>
                <w:color w:val="FF0000"/>
              </w:rPr>
            </w:pPr>
            <w:r>
              <w:rPr>
                <w:rFonts w:eastAsia="MS Mincho"/>
                <w:i/>
                <w:iCs/>
                <w:szCs w:val="20"/>
              </w:rPr>
              <w:t>WP4A</w:t>
            </w:r>
          </w:p>
        </w:tc>
        <w:tc>
          <w:tcPr>
            <w:tcW w:w="3908" w:type="dxa"/>
          </w:tcPr>
          <w:p w14:paraId="4294D2A9" w14:textId="556E2E99" w:rsidR="0028625B" w:rsidRPr="00D06742" w:rsidRDefault="0028625B" w:rsidP="0028625B">
            <w:pPr>
              <w:tabs>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pacing w:before="40" w:after="40"/>
              <w:jc w:val="center"/>
              <w:textAlignment w:val="baseline"/>
              <w:rPr>
                <w:color w:val="FF0000"/>
              </w:rPr>
            </w:pPr>
            <w:r>
              <w:rPr>
                <w:rFonts w:eastAsia="MS Mincho"/>
                <w:i/>
                <w:iCs/>
                <w:szCs w:val="20"/>
              </w:rPr>
              <w:t>-</w:t>
            </w:r>
          </w:p>
        </w:tc>
      </w:tr>
    </w:tbl>
    <w:p w14:paraId="5CBC4012" w14:textId="77777777" w:rsidR="00615999" w:rsidRDefault="00615999" w:rsidP="00E5341E">
      <w:pPr>
        <w:spacing w:after="120"/>
        <w:jc w:val="both"/>
        <w:rPr>
          <w:b/>
        </w:rPr>
      </w:pPr>
    </w:p>
    <w:p w14:paraId="680D33FF" w14:textId="2DE29977" w:rsidR="0028625B" w:rsidRPr="0028625B" w:rsidRDefault="00D06742" w:rsidP="00B1497D">
      <w:pPr>
        <w:spacing w:after="120"/>
        <w:jc w:val="both"/>
        <w:rPr>
          <w:b/>
          <w:lang w:val="en-NZ" w:eastAsia="ko-KR"/>
        </w:rPr>
      </w:pPr>
      <w:r w:rsidRPr="00441526">
        <w:rPr>
          <w:b/>
          <w:lang w:val="en-NZ" w:eastAsia="ko-KR"/>
        </w:rPr>
        <w:t xml:space="preserve">1. </w:t>
      </w:r>
      <w:r w:rsidRPr="00441526">
        <w:rPr>
          <w:b/>
          <w:lang w:val="en-NZ" w:eastAsia="ko-KR"/>
        </w:rPr>
        <w:tab/>
        <w:t>Background</w:t>
      </w:r>
      <w:r>
        <w:rPr>
          <w:b/>
          <w:lang w:val="en-NZ" w:eastAsia="ko-KR"/>
        </w:rPr>
        <w:t xml:space="preserve"> Information</w:t>
      </w:r>
    </w:p>
    <w:p w14:paraId="5D909CDE" w14:textId="77777777" w:rsidR="0028625B" w:rsidRDefault="0028625B" w:rsidP="00B1497D">
      <w:pPr>
        <w:numPr>
          <w:ilvl w:val="0"/>
          <w:numId w:val="22"/>
        </w:numPr>
        <w:spacing w:after="120"/>
        <w:jc w:val="both"/>
        <w:textAlignment w:val="baseline"/>
        <w:rPr>
          <w:rFonts w:eastAsia="Times New Roman" w:cstheme="minorHAnsi"/>
          <w:color w:val="000000"/>
        </w:rPr>
      </w:pPr>
      <w:r w:rsidRPr="001F4171">
        <w:rPr>
          <w:rFonts w:eastAsia="Times New Roman" w:cstheme="minorHAnsi"/>
          <w:color w:val="000000"/>
        </w:rPr>
        <w:t>CITEL proposed this agenda item at WRC-19.</w:t>
      </w:r>
      <w:r>
        <w:rPr>
          <w:rFonts w:eastAsia="Times New Roman" w:cstheme="minorHAnsi"/>
          <w:color w:val="000000"/>
        </w:rPr>
        <w:t xml:space="preserve"> </w:t>
      </w:r>
    </w:p>
    <w:p w14:paraId="0FDEEBAF" w14:textId="77777777" w:rsidR="0028625B" w:rsidRPr="00A34991" w:rsidRDefault="0028625B" w:rsidP="00B1497D">
      <w:pPr>
        <w:numPr>
          <w:ilvl w:val="0"/>
          <w:numId w:val="22"/>
        </w:numPr>
        <w:spacing w:after="120"/>
        <w:jc w:val="both"/>
        <w:textAlignment w:val="baseline"/>
        <w:rPr>
          <w:rFonts w:eastAsia="Times New Roman" w:cstheme="minorHAnsi"/>
          <w:color w:val="000000"/>
        </w:rPr>
      </w:pPr>
      <w:r>
        <w:rPr>
          <w:rFonts w:eastAsia="Times New Roman" w:cstheme="minorHAnsi"/>
          <w:color w:val="000000"/>
        </w:rPr>
        <w:t xml:space="preserve">WRC-23 agenda item 1.19, </w:t>
      </w:r>
      <w:r w:rsidRPr="00A34991">
        <w:rPr>
          <w:rFonts w:eastAsia="Times New Roman" w:cstheme="minorHAnsi"/>
          <w:color w:val="000000"/>
        </w:rPr>
        <w:t>in accordance with Resolution</w:t>
      </w:r>
      <w:r>
        <w:rPr>
          <w:rFonts w:eastAsia="Times New Roman" w:cstheme="minorHAnsi"/>
          <w:color w:val="000000"/>
        </w:rPr>
        <w:t xml:space="preserve"> </w:t>
      </w:r>
      <w:r w:rsidRPr="00F97146">
        <w:rPr>
          <w:rFonts w:eastAsia="Times New Roman" w:cstheme="minorHAnsi"/>
          <w:b/>
          <w:bCs/>
          <w:color w:val="000000"/>
        </w:rPr>
        <w:t>174 (WRC-19)</w:t>
      </w:r>
      <w:r>
        <w:rPr>
          <w:rFonts w:eastAsia="Times New Roman" w:cstheme="minorHAnsi"/>
          <w:color w:val="000000"/>
        </w:rPr>
        <w:t>,</w:t>
      </w:r>
      <w:r w:rsidRPr="00A34991">
        <w:rPr>
          <w:rFonts w:eastAsia="Times New Roman" w:cstheme="minorHAnsi"/>
          <w:color w:val="000000"/>
        </w:rPr>
        <w:t xml:space="preserve"> </w:t>
      </w:r>
      <w:r>
        <w:rPr>
          <w:rFonts w:eastAsia="Times New Roman" w:cstheme="minorHAnsi"/>
          <w:color w:val="000000"/>
        </w:rPr>
        <w:t xml:space="preserve">invites ITU-R Sector </w:t>
      </w:r>
      <w:r w:rsidRPr="00A34991">
        <w:rPr>
          <w:rFonts w:eastAsia="Times New Roman" w:cstheme="minorHAnsi"/>
          <w:color w:val="000000"/>
        </w:rPr>
        <w:t xml:space="preserve">to conduct, and complete in time for WRC-23, sharing and compatibility studies between the </w:t>
      </w:r>
      <w:bookmarkStart w:id="0" w:name="_Hlk65488639"/>
      <w:r w:rsidRPr="00A34991">
        <w:rPr>
          <w:rFonts w:eastAsia="Times New Roman" w:cstheme="minorHAnsi"/>
          <w:color w:val="000000"/>
        </w:rPr>
        <w:t>FSS</w:t>
      </w:r>
      <w:r>
        <w:rPr>
          <w:rFonts w:eastAsia="Times New Roman" w:cstheme="minorHAnsi"/>
          <w:color w:val="000000"/>
        </w:rPr>
        <w:t xml:space="preserve"> </w:t>
      </w:r>
      <w:r w:rsidRPr="00A34991">
        <w:rPr>
          <w:rFonts w:eastAsia="Times New Roman" w:cstheme="minorHAnsi"/>
          <w:color w:val="000000"/>
        </w:rPr>
        <w:t xml:space="preserve">(space-to-Earth) </w:t>
      </w:r>
      <w:bookmarkEnd w:id="0"/>
      <w:r w:rsidRPr="00A34991">
        <w:rPr>
          <w:rFonts w:eastAsia="Times New Roman" w:cstheme="minorHAnsi"/>
          <w:color w:val="000000"/>
        </w:rPr>
        <w:t xml:space="preserve">and the BSS </w:t>
      </w:r>
      <w:bookmarkStart w:id="1" w:name="_Hlk65488656"/>
      <w:r w:rsidRPr="00A34991">
        <w:rPr>
          <w:rFonts w:eastAsia="Times New Roman" w:cstheme="minorHAnsi"/>
          <w:color w:val="000000"/>
        </w:rPr>
        <w:t xml:space="preserve">(space-to-Earth) </w:t>
      </w:r>
      <w:bookmarkEnd w:id="1"/>
      <w:r w:rsidRPr="00A34991">
        <w:rPr>
          <w:rFonts w:eastAsia="Times New Roman" w:cstheme="minorHAnsi"/>
          <w:color w:val="000000"/>
        </w:rPr>
        <w:t xml:space="preserve">and between the </w:t>
      </w:r>
      <w:bookmarkStart w:id="2" w:name="_Hlk65488683"/>
      <w:r w:rsidRPr="00A34991">
        <w:rPr>
          <w:rFonts w:eastAsia="Times New Roman" w:cstheme="minorHAnsi"/>
          <w:color w:val="000000"/>
        </w:rPr>
        <w:t>FSS (space-to-Earth) and the FSS</w:t>
      </w:r>
      <w:r>
        <w:rPr>
          <w:rFonts w:eastAsia="Times New Roman" w:cstheme="minorHAnsi"/>
          <w:color w:val="000000"/>
        </w:rPr>
        <w:t xml:space="preserve"> </w:t>
      </w:r>
      <w:r w:rsidRPr="00A34991">
        <w:rPr>
          <w:rFonts w:eastAsia="Times New Roman" w:cstheme="minorHAnsi"/>
          <w:color w:val="000000"/>
        </w:rPr>
        <w:t>(Earth-to-space)</w:t>
      </w:r>
      <w:bookmarkEnd w:id="2"/>
      <w:r w:rsidRPr="00A34991">
        <w:rPr>
          <w:rFonts w:eastAsia="Times New Roman" w:cstheme="minorHAnsi"/>
          <w:color w:val="000000"/>
        </w:rPr>
        <w:t>, in order to consider a possible new primary allocation to the FSS (space-to-Earth)</w:t>
      </w:r>
      <w:r>
        <w:rPr>
          <w:rFonts w:eastAsia="Times New Roman" w:cstheme="minorHAnsi"/>
          <w:color w:val="000000"/>
        </w:rPr>
        <w:t xml:space="preserve"> </w:t>
      </w:r>
      <w:r w:rsidRPr="00A34991">
        <w:rPr>
          <w:rFonts w:eastAsia="Times New Roman" w:cstheme="minorHAnsi"/>
          <w:color w:val="000000"/>
        </w:rPr>
        <w:t>in the frequency band 17.3-17.7 GHz for Region 2, while ensuring the protection of existing primary</w:t>
      </w:r>
      <w:r>
        <w:rPr>
          <w:rFonts w:eastAsia="Times New Roman" w:cstheme="minorHAnsi"/>
          <w:color w:val="000000"/>
        </w:rPr>
        <w:t xml:space="preserve"> </w:t>
      </w:r>
      <w:r w:rsidRPr="00A34991">
        <w:rPr>
          <w:rFonts w:eastAsia="Times New Roman" w:cstheme="minorHAnsi"/>
          <w:color w:val="000000"/>
        </w:rPr>
        <w:t>allocations in the same and adjacent frequency bands, as appropriate, and without imposing an</w:t>
      </w:r>
      <w:r>
        <w:rPr>
          <w:rFonts w:eastAsia="Times New Roman" w:cstheme="minorHAnsi"/>
          <w:color w:val="000000"/>
        </w:rPr>
        <w:t xml:space="preserve">y </w:t>
      </w:r>
      <w:r w:rsidRPr="00A34991">
        <w:rPr>
          <w:rFonts w:eastAsia="Times New Roman" w:cstheme="minorHAnsi"/>
          <w:color w:val="000000"/>
        </w:rPr>
        <w:t>additional constraints on existing allocations to the BSS (space-to-Earth) and the FSS (Earth-to</w:t>
      </w:r>
      <w:r>
        <w:rPr>
          <w:rFonts w:eastAsia="Times New Roman" w:cstheme="minorHAnsi"/>
          <w:color w:val="000000"/>
        </w:rPr>
        <w:t>-</w:t>
      </w:r>
      <w:r w:rsidRPr="00A34991">
        <w:rPr>
          <w:rFonts w:eastAsia="Times New Roman" w:cstheme="minorHAnsi"/>
          <w:color w:val="000000"/>
        </w:rPr>
        <w:t>space)</w:t>
      </w:r>
      <w:r>
        <w:rPr>
          <w:rFonts w:eastAsia="Times New Roman" w:cstheme="minorHAnsi"/>
          <w:color w:val="000000"/>
        </w:rPr>
        <w:t>.</w:t>
      </w:r>
    </w:p>
    <w:p w14:paraId="760455CA" w14:textId="77777777" w:rsidR="0028625B" w:rsidRPr="001F4171" w:rsidRDefault="0028625B" w:rsidP="00B1497D">
      <w:pPr>
        <w:numPr>
          <w:ilvl w:val="0"/>
          <w:numId w:val="22"/>
        </w:numPr>
        <w:spacing w:after="120"/>
        <w:jc w:val="both"/>
        <w:textAlignment w:val="baseline"/>
        <w:rPr>
          <w:rFonts w:eastAsia="Times New Roman" w:cstheme="minorHAnsi"/>
          <w:color w:val="000000"/>
        </w:rPr>
      </w:pPr>
      <w:r w:rsidRPr="001F4171">
        <w:rPr>
          <w:rFonts w:eastAsia="Times New Roman" w:cstheme="minorHAnsi"/>
          <w:color w:val="000000"/>
        </w:rPr>
        <w:t xml:space="preserve">The frequency band 17.3-17.7 GHz is allocated in Region 2 on a primary basis to the broadcasting-satellite service (BSS) (space-to-Earth) and to the FSS (Earth-to-space), subject to the application of No. 5.516. </w:t>
      </w:r>
      <w:r>
        <w:rPr>
          <w:rFonts w:eastAsia="Times New Roman" w:cstheme="minorHAnsi"/>
          <w:color w:val="000000"/>
        </w:rPr>
        <w:t>Meanwhile, t</w:t>
      </w:r>
      <w:r w:rsidRPr="001F4171">
        <w:rPr>
          <w:rFonts w:eastAsia="Times New Roman" w:cstheme="minorHAnsi"/>
          <w:color w:val="000000"/>
        </w:rPr>
        <w:t xml:space="preserve">he frequency band 17.3-17.7 GHz in Region 1 is </w:t>
      </w:r>
      <w:r>
        <w:rPr>
          <w:rFonts w:eastAsia="Times New Roman" w:cstheme="minorHAnsi"/>
          <w:color w:val="000000"/>
        </w:rPr>
        <w:t xml:space="preserve">already </w:t>
      </w:r>
      <w:r w:rsidRPr="001F4171">
        <w:rPr>
          <w:rFonts w:eastAsia="Times New Roman" w:cstheme="minorHAnsi"/>
          <w:color w:val="000000"/>
        </w:rPr>
        <w:t>allocated to the FSS (</w:t>
      </w:r>
      <w:r>
        <w:rPr>
          <w:rFonts w:eastAsia="Times New Roman" w:cstheme="minorHAnsi"/>
          <w:color w:val="000000"/>
        </w:rPr>
        <w:t>Earth-to-space) and FSS (</w:t>
      </w:r>
      <w:r w:rsidRPr="001F4171">
        <w:rPr>
          <w:rFonts w:eastAsia="Times New Roman" w:cstheme="minorHAnsi"/>
          <w:color w:val="000000"/>
        </w:rPr>
        <w:t>space-to-Earth)</w:t>
      </w:r>
      <w:r>
        <w:rPr>
          <w:rFonts w:eastAsia="Times New Roman" w:cstheme="minorHAnsi"/>
          <w:color w:val="000000"/>
        </w:rPr>
        <w:t xml:space="preserve"> on a primary basis.</w:t>
      </w:r>
    </w:p>
    <w:p w14:paraId="1F5C0F96" w14:textId="77777777" w:rsidR="0028625B" w:rsidRPr="00805C65" w:rsidRDefault="0028625B" w:rsidP="00B1497D">
      <w:pPr>
        <w:numPr>
          <w:ilvl w:val="0"/>
          <w:numId w:val="22"/>
        </w:numPr>
        <w:spacing w:after="120"/>
        <w:jc w:val="both"/>
        <w:textAlignment w:val="baseline"/>
        <w:rPr>
          <w:rFonts w:eastAsia="Times New Roman" w:cstheme="minorHAnsi"/>
          <w:color w:val="000000"/>
        </w:rPr>
      </w:pPr>
      <w:r>
        <w:rPr>
          <w:rFonts w:eastAsia="Times New Roman" w:cstheme="minorHAnsi"/>
          <w:color w:val="000000"/>
        </w:rPr>
        <w:lastRenderedPageBreak/>
        <w:t>This new allocation</w:t>
      </w:r>
      <w:r w:rsidRPr="001F4171">
        <w:rPr>
          <w:rFonts w:eastAsia="Times New Roman" w:cstheme="minorHAnsi"/>
          <w:color w:val="000000"/>
        </w:rPr>
        <w:t xml:space="preserve"> </w:t>
      </w:r>
      <w:r w:rsidRPr="00805C65">
        <w:rPr>
          <w:rFonts w:eastAsia="Times New Roman" w:cstheme="minorHAnsi"/>
          <w:color w:val="000000"/>
        </w:rPr>
        <w:t>would benefit the international community</w:t>
      </w:r>
      <w:r>
        <w:rPr>
          <w:rFonts w:eastAsia="Times New Roman" w:cstheme="minorHAnsi"/>
          <w:color w:val="000000"/>
        </w:rPr>
        <w:t xml:space="preserve"> and </w:t>
      </w:r>
      <w:r w:rsidRPr="001F4171">
        <w:rPr>
          <w:rFonts w:cstheme="minorHAnsi"/>
        </w:rPr>
        <w:t>progress the principle of Regional harmonization</w:t>
      </w:r>
      <w:r>
        <w:rPr>
          <w:rFonts w:cstheme="minorHAnsi"/>
        </w:rPr>
        <w:t xml:space="preserve">. In addition, it allows </w:t>
      </w:r>
      <w:r w:rsidRPr="001F4171">
        <w:rPr>
          <w:rFonts w:cstheme="minorHAnsi"/>
        </w:rPr>
        <w:t xml:space="preserve">the spectrum to be used in a more efficient </w:t>
      </w:r>
      <w:r w:rsidRPr="00805C65">
        <w:rPr>
          <w:rFonts w:eastAsia="Times New Roman" w:cstheme="minorHAnsi"/>
          <w:color w:val="000000"/>
        </w:rPr>
        <w:t xml:space="preserve">and optimized </w:t>
      </w:r>
      <w:r w:rsidRPr="001F4171">
        <w:rPr>
          <w:rFonts w:cstheme="minorHAnsi"/>
        </w:rPr>
        <w:t>way because BSS or FSS service demand could be satisfied by using the same frequency band indistinctly.</w:t>
      </w:r>
      <w:r w:rsidRPr="00805C65">
        <w:rPr>
          <w:rFonts w:eastAsia="Times New Roman" w:cstheme="minorHAnsi"/>
          <w:color w:val="000000"/>
        </w:rPr>
        <w:t xml:space="preserve"> With respect to end users, there would be more capacity available for FSS, with the consequent benefits in prices or quality of service</w:t>
      </w:r>
      <w:r>
        <w:rPr>
          <w:rFonts w:eastAsia="Times New Roman" w:cstheme="minorHAnsi"/>
          <w:color w:val="000000"/>
        </w:rPr>
        <w:t>.</w:t>
      </w:r>
    </w:p>
    <w:p w14:paraId="28BBA039" w14:textId="7BC848DF" w:rsidR="0037421D" w:rsidRPr="0028625B" w:rsidRDefault="0028625B" w:rsidP="00B1497D">
      <w:pPr>
        <w:numPr>
          <w:ilvl w:val="0"/>
          <w:numId w:val="22"/>
        </w:numPr>
        <w:spacing w:after="120"/>
        <w:jc w:val="both"/>
        <w:textAlignment w:val="baseline"/>
        <w:rPr>
          <w:rFonts w:cstheme="minorHAnsi"/>
        </w:rPr>
      </w:pPr>
      <w:r w:rsidRPr="00D10C61">
        <w:rPr>
          <w:rFonts w:eastAsia="Times New Roman" w:cstheme="minorHAnsi"/>
          <w:color w:val="000000"/>
        </w:rPr>
        <w:t>A new primary allocation</w:t>
      </w:r>
      <w:r w:rsidRPr="00D10C61">
        <w:rPr>
          <w:rFonts w:cstheme="minorHAnsi"/>
        </w:rPr>
        <w:t xml:space="preserve"> needs to preserve and protect frequencies subject to the application of Appendix 30A.</w:t>
      </w:r>
    </w:p>
    <w:p w14:paraId="38194476" w14:textId="6B09EB44" w:rsidR="00E41BE2" w:rsidRPr="00441526" w:rsidRDefault="00E41BE2" w:rsidP="00B1497D">
      <w:pPr>
        <w:spacing w:after="120"/>
        <w:jc w:val="both"/>
        <w:rPr>
          <w:b/>
          <w:lang w:val="en-NZ" w:eastAsia="ko-KR"/>
        </w:rPr>
      </w:pPr>
      <w:r>
        <w:rPr>
          <w:b/>
          <w:lang w:val="en-NZ" w:eastAsia="ko-KR"/>
        </w:rPr>
        <w:t>2</w:t>
      </w:r>
      <w:r w:rsidRPr="00441526">
        <w:rPr>
          <w:b/>
          <w:lang w:val="en-NZ" w:eastAsia="ko-KR"/>
        </w:rPr>
        <w:t xml:space="preserve">. </w:t>
      </w:r>
      <w:r w:rsidRPr="00441526">
        <w:rPr>
          <w:b/>
          <w:lang w:val="en-NZ" w:eastAsia="ko-KR"/>
        </w:rPr>
        <w:tab/>
      </w:r>
      <w:r>
        <w:rPr>
          <w:b/>
          <w:lang w:val="en-NZ" w:eastAsia="ko-KR"/>
        </w:rPr>
        <w:t>Information on on-going ITU-R Study</w:t>
      </w:r>
    </w:p>
    <w:p w14:paraId="2B687401" w14:textId="77777777" w:rsidR="0028625B" w:rsidRDefault="0028625B" w:rsidP="00B1497D">
      <w:pPr>
        <w:numPr>
          <w:ilvl w:val="0"/>
          <w:numId w:val="22"/>
        </w:numPr>
        <w:spacing w:after="120"/>
        <w:jc w:val="both"/>
        <w:textAlignment w:val="baseline"/>
        <w:rPr>
          <w:rFonts w:eastAsia="Times New Roman" w:cstheme="minorHAnsi"/>
          <w:color w:val="000000"/>
        </w:rPr>
      </w:pPr>
      <w:r>
        <w:rPr>
          <w:rFonts w:eastAsia="Times New Roman" w:cstheme="minorHAnsi"/>
          <w:color w:val="000000"/>
        </w:rPr>
        <w:t xml:space="preserve">The </w:t>
      </w:r>
      <w:r w:rsidRPr="001F4171">
        <w:rPr>
          <w:rFonts w:eastAsia="Times New Roman" w:cstheme="minorHAnsi"/>
          <w:color w:val="000000"/>
        </w:rPr>
        <w:t>ITU WP4A Study Group is</w:t>
      </w:r>
      <w:r>
        <w:rPr>
          <w:rFonts w:eastAsia="Times New Roman" w:cstheme="minorHAnsi"/>
          <w:color w:val="000000"/>
        </w:rPr>
        <w:t xml:space="preserve"> preparing a </w:t>
      </w:r>
      <w:r w:rsidRPr="00F94510">
        <w:rPr>
          <w:rFonts w:eastAsia="Times New Roman" w:cstheme="minorHAnsi"/>
          <w:i/>
          <w:iCs/>
          <w:color w:val="000000"/>
        </w:rPr>
        <w:t>“Working Document towards a Preliminary Draft CPM Text for WRC-23 Agenda Item 1.19”</w:t>
      </w:r>
      <w:r>
        <w:rPr>
          <w:rFonts w:eastAsia="Times New Roman" w:cstheme="minorHAnsi"/>
          <w:color w:val="000000"/>
        </w:rPr>
        <w:t xml:space="preserve"> and proposing</w:t>
      </w:r>
      <w:r w:rsidRPr="001F4171">
        <w:rPr>
          <w:rFonts w:eastAsia="Times New Roman" w:cstheme="minorHAnsi"/>
          <w:color w:val="000000"/>
        </w:rPr>
        <w:t xml:space="preserve"> </w:t>
      </w:r>
      <w:r>
        <w:rPr>
          <w:rFonts w:eastAsia="Times New Roman" w:cstheme="minorHAnsi"/>
          <w:color w:val="000000"/>
        </w:rPr>
        <w:t>an</w:t>
      </w:r>
      <w:r w:rsidRPr="001F4171">
        <w:rPr>
          <w:rFonts w:eastAsia="Times New Roman" w:cstheme="minorHAnsi"/>
          <w:color w:val="000000"/>
        </w:rPr>
        <w:t xml:space="preserve"> </w:t>
      </w:r>
      <w:r>
        <w:rPr>
          <w:rFonts w:eastAsia="Times New Roman" w:cstheme="minorHAnsi"/>
          <w:color w:val="000000"/>
        </w:rPr>
        <w:t>“</w:t>
      </w:r>
      <w:r w:rsidRPr="001C71B8">
        <w:rPr>
          <w:rFonts w:eastAsia="Times New Roman" w:cstheme="minorHAnsi"/>
          <w:i/>
          <w:iCs/>
          <w:color w:val="000000"/>
        </w:rPr>
        <w:t>Elements for a</w:t>
      </w:r>
      <w:r w:rsidRPr="00C21B90">
        <w:rPr>
          <w:rFonts w:eastAsia="Times New Roman" w:cstheme="minorHAnsi"/>
          <w:color w:val="000000"/>
        </w:rPr>
        <w:t xml:space="preserve"> </w:t>
      </w:r>
      <w:r w:rsidRPr="00F94510">
        <w:rPr>
          <w:rFonts w:eastAsia="Times New Roman" w:cstheme="minorHAnsi"/>
          <w:i/>
          <w:iCs/>
          <w:color w:val="000000"/>
        </w:rPr>
        <w:t>Working Document Relating to WRC-23 Agenda Item 1.19”</w:t>
      </w:r>
      <w:r w:rsidRPr="00C21B90">
        <w:rPr>
          <w:rFonts w:eastAsia="Times New Roman" w:cstheme="minorHAnsi"/>
          <w:color w:val="000000"/>
        </w:rPr>
        <w:t xml:space="preserve"> as a compilation of all the input contributions related to this agenda item. However, its content </w:t>
      </w:r>
      <w:r>
        <w:rPr>
          <w:rFonts w:eastAsia="Times New Roman" w:cstheme="minorHAnsi"/>
          <w:color w:val="000000"/>
        </w:rPr>
        <w:t>was</w:t>
      </w:r>
      <w:r w:rsidRPr="00C21B90">
        <w:rPr>
          <w:rFonts w:eastAsia="Times New Roman" w:cstheme="minorHAnsi"/>
          <w:color w:val="000000"/>
        </w:rPr>
        <w:t xml:space="preserve"> reviewed </w:t>
      </w:r>
      <w:r>
        <w:rPr>
          <w:rFonts w:eastAsia="Times New Roman" w:cstheme="minorHAnsi"/>
          <w:color w:val="000000"/>
        </w:rPr>
        <w:t xml:space="preserve">during the meeting but </w:t>
      </w:r>
      <w:r w:rsidRPr="00C21B90">
        <w:rPr>
          <w:rFonts w:eastAsia="Times New Roman" w:cstheme="minorHAnsi"/>
          <w:color w:val="000000"/>
        </w:rPr>
        <w:t xml:space="preserve">yet to be agreed </w:t>
      </w:r>
      <w:r>
        <w:rPr>
          <w:rFonts w:eastAsia="Times New Roman" w:cstheme="minorHAnsi"/>
          <w:color w:val="000000"/>
        </w:rPr>
        <w:t xml:space="preserve">upon </w:t>
      </w:r>
      <w:r w:rsidRPr="00C21B90">
        <w:rPr>
          <w:rFonts w:eastAsia="Times New Roman" w:cstheme="minorHAnsi"/>
          <w:color w:val="000000"/>
        </w:rPr>
        <w:t xml:space="preserve">by WP 4A at this stage. </w:t>
      </w:r>
      <w:r w:rsidRPr="00A651F2">
        <w:rPr>
          <w:lang w:eastAsia="zh-CN"/>
        </w:rPr>
        <w:t>The document is being carried forward for consideration by the next WP 4A meeting, as appropriate</w:t>
      </w:r>
      <w:r>
        <w:rPr>
          <w:lang w:eastAsia="zh-CN"/>
        </w:rPr>
        <w:t>.</w:t>
      </w:r>
    </w:p>
    <w:p w14:paraId="1C551893" w14:textId="77777777" w:rsidR="0028625B" w:rsidRDefault="0028625B" w:rsidP="00B1497D">
      <w:pPr>
        <w:numPr>
          <w:ilvl w:val="0"/>
          <w:numId w:val="22"/>
        </w:numPr>
        <w:spacing w:after="120"/>
        <w:jc w:val="both"/>
        <w:textAlignment w:val="baseline"/>
        <w:rPr>
          <w:rFonts w:eastAsia="Times New Roman" w:cstheme="minorHAnsi"/>
          <w:color w:val="000000"/>
        </w:rPr>
      </w:pPr>
      <w:r w:rsidRPr="0028625B">
        <w:rPr>
          <w:rFonts w:eastAsia="Times New Roman" w:cstheme="minorHAnsi"/>
          <w:color w:val="000000"/>
        </w:rPr>
        <w:t xml:space="preserve">In accordance with Resolution </w:t>
      </w:r>
      <w:r w:rsidRPr="0028625B">
        <w:rPr>
          <w:rFonts w:eastAsia="Times New Roman" w:cstheme="minorHAnsi"/>
          <w:b/>
          <w:bCs/>
          <w:color w:val="000000"/>
        </w:rPr>
        <w:t>174 (WRC-19)</w:t>
      </w:r>
      <w:r w:rsidRPr="0028625B">
        <w:rPr>
          <w:rFonts w:eastAsia="Times New Roman" w:cstheme="minorHAnsi"/>
          <w:color w:val="000000"/>
        </w:rPr>
        <w:t>, the sharing and studies of WRC-23 Agenda Item 1.19 have to be done with the existing services in the frequency band 17.3-17.7 GHz; Fixed Satellite Service (Earth-to-space) and Broadcasting Satellite Service (space-to-Earth) and the existing services in adjacent frequency bands; Earth Exploration Satellite Service, Space Research Service, Radio Location Service, Fixed Service, and Mobile Service.</w:t>
      </w:r>
    </w:p>
    <w:p w14:paraId="33995B61" w14:textId="7FFCB267" w:rsidR="0028625B" w:rsidRPr="0028625B" w:rsidRDefault="0028625B" w:rsidP="00B1497D">
      <w:pPr>
        <w:numPr>
          <w:ilvl w:val="0"/>
          <w:numId w:val="22"/>
        </w:numPr>
        <w:spacing w:after="120"/>
        <w:jc w:val="both"/>
        <w:textAlignment w:val="baseline"/>
        <w:rPr>
          <w:rFonts w:eastAsia="Times New Roman" w:cstheme="minorHAnsi"/>
          <w:color w:val="000000"/>
        </w:rPr>
      </w:pPr>
      <w:r w:rsidRPr="0028625B">
        <w:rPr>
          <w:rFonts w:eastAsia="Times New Roman" w:cstheme="minorHAnsi"/>
          <w:color w:val="000000"/>
        </w:rPr>
        <w:t xml:space="preserve">The allocation information for the 17.3-17.7 GHz and adjacent bands is provided at </w:t>
      </w:r>
      <w:r w:rsidRPr="0028625B">
        <w:rPr>
          <w:rFonts w:eastAsia="Times New Roman" w:cstheme="minorHAnsi"/>
          <w:color w:val="000000"/>
        </w:rPr>
        <w:fldChar w:fldCharType="begin"/>
      </w:r>
      <w:r w:rsidRPr="0028625B">
        <w:rPr>
          <w:rFonts w:eastAsia="Times New Roman" w:cstheme="minorHAnsi"/>
          <w:color w:val="000000"/>
        </w:rPr>
        <w:instrText xml:space="preserve"> REF _Ref65745963 \h  \* MERGEFORMAT </w:instrText>
      </w:r>
      <w:r w:rsidRPr="0028625B">
        <w:rPr>
          <w:rFonts w:eastAsia="Times New Roman" w:cstheme="minorHAnsi"/>
          <w:color w:val="000000"/>
        </w:rPr>
      </w:r>
      <w:r w:rsidRPr="0028625B">
        <w:rPr>
          <w:rFonts w:eastAsia="Times New Roman" w:cstheme="minorHAnsi"/>
          <w:color w:val="000000"/>
        </w:rPr>
        <w:fldChar w:fldCharType="separate"/>
      </w:r>
      <w:r w:rsidRPr="0028625B">
        <w:rPr>
          <w:rFonts w:cstheme="minorHAnsi"/>
          <w:color w:val="000000" w:themeColor="text1"/>
        </w:rPr>
        <w:t>Table 1</w:t>
      </w:r>
      <w:r w:rsidRPr="0028625B">
        <w:rPr>
          <w:rFonts w:eastAsia="Times New Roman" w:cstheme="minorHAnsi"/>
          <w:color w:val="000000"/>
        </w:rPr>
        <w:fldChar w:fldCharType="end"/>
      </w:r>
      <w:r w:rsidRPr="0028625B">
        <w:rPr>
          <w:rFonts w:eastAsia="Times New Roman" w:cstheme="minorHAnsi"/>
          <w:color w:val="000000"/>
        </w:rPr>
        <w:t>.</w:t>
      </w:r>
    </w:p>
    <w:p w14:paraId="1D537467" w14:textId="77777777" w:rsidR="0028625B" w:rsidRPr="0028625B" w:rsidRDefault="0028625B" w:rsidP="0028625B">
      <w:pPr>
        <w:pStyle w:val="Caption"/>
        <w:keepNext/>
        <w:jc w:val="center"/>
        <w:rPr>
          <w:rFonts w:cstheme="minorHAnsi"/>
          <w:b/>
          <w:bCs/>
          <w:color w:val="000000" w:themeColor="text1"/>
          <w:sz w:val="21"/>
          <w:szCs w:val="21"/>
        </w:rPr>
      </w:pPr>
      <w:bookmarkStart w:id="3" w:name="_Ref65745963"/>
      <w:r w:rsidRPr="0028625B">
        <w:rPr>
          <w:rFonts w:cstheme="minorHAnsi"/>
          <w:b/>
          <w:bCs/>
          <w:color w:val="000000" w:themeColor="text1"/>
          <w:sz w:val="21"/>
          <w:szCs w:val="21"/>
        </w:rPr>
        <w:t xml:space="preserve">Table </w:t>
      </w:r>
      <w:r w:rsidRPr="0028625B">
        <w:rPr>
          <w:rFonts w:cstheme="minorHAnsi"/>
          <w:b/>
          <w:bCs/>
          <w:color w:val="000000" w:themeColor="text1"/>
          <w:sz w:val="21"/>
          <w:szCs w:val="21"/>
        </w:rPr>
        <w:fldChar w:fldCharType="begin"/>
      </w:r>
      <w:r w:rsidRPr="0028625B">
        <w:rPr>
          <w:rFonts w:cstheme="minorHAnsi"/>
          <w:b/>
          <w:bCs/>
          <w:color w:val="000000" w:themeColor="text1"/>
          <w:sz w:val="21"/>
          <w:szCs w:val="21"/>
        </w:rPr>
        <w:instrText xml:space="preserve"> SEQ Table \* ARABIC </w:instrText>
      </w:r>
      <w:r w:rsidRPr="0028625B">
        <w:rPr>
          <w:rFonts w:cstheme="minorHAnsi"/>
          <w:b/>
          <w:bCs/>
          <w:color w:val="000000" w:themeColor="text1"/>
          <w:sz w:val="21"/>
          <w:szCs w:val="21"/>
        </w:rPr>
        <w:fldChar w:fldCharType="separate"/>
      </w:r>
      <w:r w:rsidRPr="0028625B">
        <w:rPr>
          <w:rFonts w:cstheme="minorHAnsi"/>
          <w:b/>
          <w:bCs/>
          <w:color w:val="000000" w:themeColor="text1"/>
          <w:sz w:val="21"/>
          <w:szCs w:val="21"/>
        </w:rPr>
        <w:t>1</w:t>
      </w:r>
      <w:r w:rsidRPr="0028625B">
        <w:rPr>
          <w:rFonts w:cstheme="minorHAnsi"/>
          <w:b/>
          <w:bCs/>
          <w:color w:val="000000" w:themeColor="text1"/>
          <w:sz w:val="21"/>
          <w:szCs w:val="21"/>
        </w:rPr>
        <w:fldChar w:fldCharType="end"/>
      </w:r>
      <w:bookmarkEnd w:id="3"/>
      <w:r w:rsidRPr="0028625B">
        <w:rPr>
          <w:rFonts w:cstheme="minorHAnsi"/>
          <w:b/>
          <w:bCs/>
          <w:color w:val="000000" w:themeColor="text1"/>
          <w:sz w:val="21"/>
          <w:szCs w:val="21"/>
        </w:rPr>
        <w:t xml:space="preserve"> Allocation Information for 17.3-17.7 GHz and Adjacent Bands</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2694"/>
        <w:gridCol w:w="3113"/>
        <w:gridCol w:w="2415"/>
      </w:tblGrid>
      <w:tr w:rsidR="0028625B" w:rsidRPr="002E2067" w14:paraId="5304B530" w14:textId="77777777" w:rsidTr="008573EC">
        <w:trPr>
          <w:cantSplit/>
          <w:tblHeader/>
          <w:jc w:val="center"/>
        </w:trPr>
        <w:tc>
          <w:tcPr>
            <w:tcW w:w="8222" w:type="dxa"/>
            <w:gridSpan w:val="3"/>
            <w:hideMark/>
          </w:tcPr>
          <w:p w14:paraId="25A556EE" w14:textId="77777777" w:rsidR="0028625B" w:rsidRPr="002E2067" w:rsidRDefault="0028625B" w:rsidP="008573EC">
            <w:pPr>
              <w:keepNext/>
              <w:spacing w:before="80" w:after="80"/>
              <w:jc w:val="center"/>
              <w:rPr>
                <w:rFonts w:ascii="Times New Roman Bold" w:hAnsi="Times New Roman Bold" w:cs="Times New Roman Bold"/>
                <w:b/>
                <w:sz w:val="20"/>
              </w:rPr>
            </w:pPr>
            <w:r w:rsidRPr="002E2067">
              <w:rPr>
                <w:rFonts w:ascii="Times New Roman Bold" w:hAnsi="Times New Roman Bold" w:cs="Times New Roman Bold"/>
                <w:b/>
                <w:sz w:val="20"/>
              </w:rPr>
              <w:t>Allocation to services</w:t>
            </w:r>
          </w:p>
        </w:tc>
      </w:tr>
      <w:tr w:rsidR="0028625B" w:rsidRPr="002E2067" w14:paraId="719670BA" w14:textId="77777777" w:rsidTr="008573EC">
        <w:trPr>
          <w:cantSplit/>
          <w:tblHeader/>
          <w:jc w:val="center"/>
        </w:trPr>
        <w:tc>
          <w:tcPr>
            <w:tcW w:w="2694" w:type="dxa"/>
            <w:hideMark/>
          </w:tcPr>
          <w:p w14:paraId="76A7CC46" w14:textId="77777777" w:rsidR="0028625B" w:rsidRPr="002E2067" w:rsidRDefault="0028625B" w:rsidP="008573EC">
            <w:pPr>
              <w:keepNext/>
              <w:spacing w:before="80" w:after="80"/>
              <w:jc w:val="center"/>
              <w:rPr>
                <w:rFonts w:ascii="Times New Roman Bold" w:hAnsi="Times New Roman Bold" w:cs="Times New Roman Bold"/>
                <w:b/>
                <w:sz w:val="20"/>
              </w:rPr>
            </w:pPr>
            <w:r w:rsidRPr="002E2067">
              <w:rPr>
                <w:rFonts w:ascii="Times New Roman Bold" w:hAnsi="Times New Roman Bold" w:cs="Times New Roman Bold"/>
                <w:b/>
                <w:sz w:val="20"/>
              </w:rPr>
              <w:t>Region 1</w:t>
            </w:r>
          </w:p>
        </w:tc>
        <w:tc>
          <w:tcPr>
            <w:tcW w:w="3113" w:type="dxa"/>
            <w:hideMark/>
          </w:tcPr>
          <w:p w14:paraId="1E549178" w14:textId="77777777" w:rsidR="0028625B" w:rsidRPr="002E2067" w:rsidRDefault="0028625B" w:rsidP="008573EC">
            <w:pPr>
              <w:keepNext/>
              <w:spacing w:before="80" w:after="80"/>
              <w:jc w:val="center"/>
              <w:rPr>
                <w:rFonts w:ascii="Times New Roman Bold" w:hAnsi="Times New Roman Bold" w:cs="Times New Roman Bold"/>
                <w:b/>
                <w:sz w:val="20"/>
              </w:rPr>
            </w:pPr>
            <w:r w:rsidRPr="002E2067">
              <w:rPr>
                <w:rFonts w:ascii="Times New Roman Bold" w:hAnsi="Times New Roman Bold" w:cs="Times New Roman Bold"/>
                <w:b/>
                <w:sz w:val="20"/>
              </w:rPr>
              <w:t>Region 2</w:t>
            </w:r>
          </w:p>
        </w:tc>
        <w:tc>
          <w:tcPr>
            <w:tcW w:w="2415" w:type="dxa"/>
            <w:hideMark/>
          </w:tcPr>
          <w:p w14:paraId="2D5D5BC5" w14:textId="77777777" w:rsidR="0028625B" w:rsidRPr="002E2067" w:rsidRDefault="0028625B" w:rsidP="008573EC">
            <w:pPr>
              <w:keepNext/>
              <w:spacing w:before="80" w:after="80"/>
              <w:jc w:val="center"/>
              <w:rPr>
                <w:rFonts w:ascii="Times New Roman Bold" w:hAnsi="Times New Roman Bold" w:cs="Times New Roman Bold"/>
                <w:b/>
                <w:sz w:val="20"/>
              </w:rPr>
            </w:pPr>
            <w:r w:rsidRPr="002E2067">
              <w:rPr>
                <w:rFonts w:ascii="Times New Roman Bold" w:hAnsi="Times New Roman Bold" w:cs="Times New Roman Bold"/>
                <w:b/>
                <w:sz w:val="20"/>
              </w:rPr>
              <w:t>Region 3</w:t>
            </w:r>
          </w:p>
        </w:tc>
      </w:tr>
      <w:tr w:rsidR="0028625B" w:rsidRPr="002E2067" w14:paraId="3912F597" w14:textId="77777777" w:rsidTr="008573EC">
        <w:trPr>
          <w:cantSplit/>
          <w:trHeight w:val="1292"/>
          <w:jc w:val="center"/>
        </w:trPr>
        <w:tc>
          <w:tcPr>
            <w:tcW w:w="8222" w:type="dxa"/>
            <w:gridSpan w:val="3"/>
          </w:tcPr>
          <w:p w14:paraId="336F7972"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17.2-17.3</w:t>
            </w:r>
            <w:r w:rsidRPr="002E2067">
              <w:rPr>
                <w:sz w:val="20"/>
              </w:rPr>
              <w:tab/>
              <w:t xml:space="preserve">EARTH EXPLORATION-SATELLITE (active) </w:t>
            </w:r>
          </w:p>
          <w:p w14:paraId="5692D737"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ab/>
            </w:r>
            <w:r w:rsidRPr="002E2067">
              <w:rPr>
                <w:sz w:val="20"/>
              </w:rPr>
              <w:tab/>
            </w:r>
            <w:r w:rsidRPr="002E2067">
              <w:rPr>
                <w:sz w:val="20"/>
              </w:rPr>
              <w:tab/>
            </w:r>
            <w:r w:rsidRPr="002E2067">
              <w:rPr>
                <w:sz w:val="20"/>
              </w:rPr>
              <w:tab/>
              <w:t xml:space="preserve">RADIOLOCATION </w:t>
            </w:r>
          </w:p>
          <w:p w14:paraId="5A5739C9"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ab/>
            </w:r>
            <w:r w:rsidRPr="002E2067">
              <w:rPr>
                <w:sz w:val="20"/>
              </w:rPr>
              <w:tab/>
            </w:r>
            <w:r w:rsidRPr="002E2067">
              <w:rPr>
                <w:sz w:val="20"/>
              </w:rPr>
              <w:tab/>
            </w:r>
            <w:r w:rsidRPr="002E2067">
              <w:rPr>
                <w:sz w:val="20"/>
              </w:rPr>
              <w:tab/>
              <w:t xml:space="preserve">SPACE RESEARCH (active) </w:t>
            </w:r>
          </w:p>
          <w:p w14:paraId="5F50C7EF" w14:textId="77777777" w:rsidR="0028625B" w:rsidRPr="002E2067" w:rsidRDefault="0028625B" w:rsidP="008573EC">
            <w:pPr>
              <w:tabs>
                <w:tab w:val="left" w:pos="170"/>
                <w:tab w:val="left" w:pos="567"/>
                <w:tab w:val="left" w:pos="737"/>
                <w:tab w:val="left" w:pos="2977"/>
                <w:tab w:val="left" w:pos="3266"/>
              </w:tabs>
              <w:spacing w:before="30" w:after="30"/>
              <w:ind w:left="170" w:hanging="170"/>
              <w:rPr>
                <w:b/>
                <w:sz w:val="20"/>
              </w:rPr>
            </w:pPr>
            <w:r w:rsidRPr="002E2067">
              <w:rPr>
                <w:sz w:val="20"/>
              </w:rPr>
              <w:tab/>
            </w:r>
            <w:r w:rsidRPr="002E2067">
              <w:rPr>
                <w:sz w:val="20"/>
              </w:rPr>
              <w:tab/>
            </w:r>
            <w:r w:rsidRPr="002E2067">
              <w:rPr>
                <w:sz w:val="20"/>
              </w:rPr>
              <w:tab/>
            </w:r>
            <w:r w:rsidRPr="002E2067">
              <w:rPr>
                <w:sz w:val="20"/>
              </w:rPr>
              <w:tab/>
            </w:r>
            <w:r w:rsidRPr="002E2067">
              <w:rPr>
                <w:sz w:val="20"/>
              </w:rPr>
              <w:tab/>
              <w:t>5.512 5.513 5.513A</w:t>
            </w:r>
          </w:p>
        </w:tc>
      </w:tr>
      <w:tr w:rsidR="0028625B" w:rsidRPr="002E2067" w14:paraId="42313827" w14:textId="77777777" w:rsidTr="008573EC">
        <w:trPr>
          <w:cantSplit/>
          <w:trHeight w:val="1860"/>
          <w:jc w:val="center"/>
        </w:trPr>
        <w:tc>
          <w:tcPr>
            <w:tcW w:w="2694" w:type="dxa"/>
            <w:hideMark/>
          </w:tcPr>
          <w:p w14:paraId="27646C90" w14:textId="77777777" w:rsidR="0028625B" w:rsidRPr="002E2067" w:rsidRDefault="0028625B" w:rsidP="008573EC">
            <w:pPr>
              <w:tabs>
                <w:tab w:val="left" w:pos="170"/>
                <w:tab w:val="left" w:pos="567"/>
                <w:tab w:val="left" w:pos="737"/>
                <w:tab w:val="left" w:pos="2977"/>
                <w:tab w:val="left" w:pos="3266"/>
              </w:tabs>
              <w:spacing w:before="30" w:after="30"/>
              <w:ind w:left="170" w:hanging="170"/>
              <w:rPr>
                <w:b/>
                <w:sz w:val="20"/>
              </w:rPr>
            </w:pPr>
            <w:r w:rsidRPr="002E2067">
              <w:rPr>
                <w:b/>
                <w:sz w:val="20"/>
              </w:rPr>
              <w:t>17.3-17.7</w:t>
            </w:r>
          </w:p>
          <w:p w14:paraId="52A58775"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r w:rsidRPr="002E2067">
              <w:rPr>
                <w:color w:val="000000"/>
                <w:sz w:val="20"/>
              </w:rPr>
              <w:t>FIXED-SATELLITE</w:t>
            </w:r>
            <w:r w:rsidRPr="002E2067">
              <w:rPr>
                <w:color w:val="000000"/>
                <w:sz w:val="20"/>
              </w:rPr>
              <w:br/>
              <w:t>(Earth-to-space</w:t>
            </w:r>
            <w:proofErr w:type="gramStart"/>
            <w:r w:rsidRPr="002E2067">
              <w:rPr>
                <w:color w:val="000000"/>
                <w:sz w:val="20"/>
              </w:rPr>
              <w:t>)  5.516</w:t>
            </w:r>
            <w:proofErr w:type="gramEnd"/>
          </w:p>
          <w:p w14:paraId="334A87B8"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r w:rsidRPr="002E2067">
              <w:rPr>
                <w:color w:val="000000"/>
                <w:sz w:val="20"/>
              </w:rPr>
              <w:t xml:space="preserve">   (space-to-</w:t>
            </w:r>
            <w:proofErr w:type="gramStart"/>
            <w:r w:rsidRPr="002E2067">
              <w:rPr>
                <w:color w:val="000000"/>
                <w:sz w:val="20"/>
              </w:rPr>
              <w:t>Earth)  5.516A</w:t>
            </w:r>
            <w:proofErr w:type="gramEnd"/>
            <w:r w:rsidRPr="002E2067">
              <w:rPr>
                <w:color w:val="000000"/>
                <w:sz w:val="20"/>
              </w:rPr>
              <w:t xml:space="preserve">  5.516B</w:t>
            </w:r>
          </w:p>
          <w:p w14:paraId="4D456D1E"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r w:rsidRPr="002E2067">
              <w:rPr>
                <w:color w:val="000000"/>
                <w:sz w:val="20"/>
              </w:rPr>
              <w:t>Radiolocation</w:t>
            </w:r>
          </w:p>
          <w:p w14:paraId="7B77F87A"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r w:rsidRPr="002E2067">
              <w:rPr>
                <w:color w:val="000000"/>
                <w:sz w:val="20"/>
              </w:rPr>
              <w:t>5.514</w:t>
            </w:r>
          </w:p>
        </w:tc>
        <w:tc>
          <w:tcPr>
            <w:tcW w:w="3113" w:type="dxa"/>
            <w:hideMark/>
          </w:tcPr>
          <w:p w14:paraId="448465B1" w14:textId="77777777" w:rsidR="0028625B" w:rsidRPr="002E2067" w:rsidRDefault="0028625B" w:rsidP="008573EC">
            <w:pPr>
              <w:tabs>
                <w:tab w:val="left" w:pos="170"/>
                <w:tab w:val="left" w:pos="567"/>
                <w:tab w:val="left" w:pos="737"/>
                <w:tab w:val="left" w:pos="2977"/>
                <w:tab w:val="left" w:pos="3266"/>
              </w:tabs>
              <w:spacing w:before="30" w:after="30"/>
              <w:ind w:left="170" w:hanging="170"/>
              <w:rPr>
                <w:b/>
                <w:sz w:val="20"/>
              </w:rPr>
            </w:pPr>
            <w:r w:rsidRPr="002E2067">
              <w:rPr>
                <w:b/>
                <w:sz w:val="20"/>
              </w:rPr>
              <w:t>17.3-17.7</w:t>
            </w:r>
          </w:p>
          <w:p w14:paraId="263E1D6E"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r w:rsidRPr="002E2067">
              <w:rPr>
                <w:color w:val="000000"/>
                <w:sz w:val="20"/>
              </w:rPr>
              <w:t>FIXED-SATELLITE</w:t>
            </w:r>
            <w:r w:rsidRPr="002E2067">
              <w:rPr>
                <w:color w:val="000000"/>
                <w:sz w:val="20"/>
              </w:rPr>
              <w:br/>
              <w:t>(Earth-to-space</w:t>
            </w:r>
            <w:proofErr w:type="gramStart"/>
            <w:r w:rsidRPr="002E2067">
              <w:rPr>
                <w:color w:val="000000"/>
                <w:sz w:val="20"/>
              </w:rPr>
              <w:t>)  5.516</w:t>
            </w:r>
            <w:proofErr w:type="gramEnd"/>
          </w:p>
          <w:p w14:paraId="37FBCE8B"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r w:rsidRPr="002E2067">
              <w:rPr>
                <w:color w:val="000000"/>
                <w:sz w:val="20"/>
              </w:rPr>
              <w:t>BROADCASTING-SATELLITE</w:t>
            </w:r>
          </w:p>
          <w:p w14:paraId="522F6C35"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r w:rsidRPr="002E2067">
              <w:rPr>
                <w:color w:val="000000"/>
                <w:sz w:val="20"/>
              </w:rPr>
              <w:t>Radiolocation</w:t>
            </w:r>
          </w:p>
          <w:p w14:paraId="00571290"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r w:rsidRPr="002E2067">
              <w:rPr>
                <w:color w:val="000000"/>
                <w:sz w:val="20"/>
              </w:rPr>
              <w:t>5.514   5.515</w:t>
            </w:r>
          </w:p>
        </w:tc>
        <w:tc>
          <w:tcPr>
            <w:tcW w:w="2415" w:type="dxa"/>
            <w:hideMark/>
          </w:tcPr>
          <w:p w14:paraId="276FC19B" w14:textId="77777777" w:rsidR="0028625B" w:rsidRPr="002E2067" w:rsidRDefault="0028625B" w:rsidP="008573EC">
            <w:pPr>
              <w:tabs>
                <w:tab w:val="left" w:pos="170"/>
                <w:tab w:val="left" w:pos="567"/>
                <w:tab w:val="left" w:pos="737"/>
                <w:tab w:val="left" w:pos="2977"/>
                <w:tab w:val="left" w:pos="3266"/>
              </w:tabs>
              <w:spacing w:before="30" w:after="30"/>
              <w:ind w:left="170" w:hanging="170"/>
              <w:rPr>
                <w:b/>
                <w:sz w:val="20"/>
              </w:rPr>
            </w:pPr>
            <w:r w:rsidRPr="002E2067">
              <w:rPr>
                <w:b/>
                <w:sz w:val="20"/>
              </w:rPr>
              <w:t>17.3-17.7</w:t>
            </w:r>
          </w:p>
          <w:p w14:paraId="05631FFF"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r w:rsidRPr="002E2067">
              <w:rPr>
                <w:color w:val="000000"/>
                <w:sz w:val="20"/>
              </w:rPr>
              <w:t>FIXED-SATELLITE</w:t>
            </w:r>
            <w:r w:rsidRPr="002E2067">
              <w:rPr>
                <w:color w:val="000000"/>
                <w:sz w:val="20"/>
              </w:rPr>
              <w:br/>
              <w:t>(Earth-to-space</w:t>
            </w:r>
            <w:proofErr w:type="gramStart"/>
            <w:r w:rsidRPr="002E2067">
              <w:rPr>
                <w:color w:val="000000"/>
                <w:sz w:val="20"/>
              </w:rPr>
              <w:t>)  5.516</w:t>
            </w:r>
            <w:proofErr w:type="gramEnd"/>
          </w:p>
          <w:p w14:paraId="46CF1C7A"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r w:rsidRPr="002E2067">
              <w:rPr>
                <w:color w:val="000000"/>
                <w:sz w:val="20"/>
              </w:rPr>
              <w:t>Radiolocation</w:t>
            </w:r>
          </w:p>
          <w:p w14:paraId="12845FEC"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p>
          <w:p w14:paraId="7B608DEA" w14:textId="77777777" w:rsidR="0028625B" w:rsidRPr="002E2067" w:rsidRDefault="0028625B" w:rsidP="008573EC">
            <w:pPr>
              <w:tabs>
                <w:tab w:val="left" w:pos="170"/>
                <w:tab w:val="left" w:pos="567"/>
                <w:tab w:val="left" w:pos="737"/>
                <w:tab w:val="left" w:pos="2977"/>
                <w:tab w:val="left" w:pos="3266"/>
              </w:tabs>
              <w:spacing w:before="30" w:after="30"/>
              <w:ind w:left="170" w:hanging="170"/>
              <w:rPr>
                <w:color w:val="000000"/>
                <w:sz w:val="20"/>
              </w:rPr>
            </w:pPr>
            <w:r w:rsidRPr="002E2067">
              <w:rPr>
                <w:color w:val="000000"/>
                <w:sz w:val="20"/>
              </w:rPr>
              <w:t>5.514</w:t>
            </w:r>
          </w:p>
        </w:tc>
      </w:tr>
      <w:tr w:rsidR="0028625B" w:rsidRPr="002E2067" w14:paraId="6C763644" w14:textId="77777777" w:rsidTr="008573EC">
        <w:trPr>
          <w:cantSplit/>
          <w:trHeight w:val="1860"/>
          <w:jc w:val="center"/>
        </w:trPr>
        <w:tc>
          <w:tcPr>
            <w:tcW w:w="2694" w:type="dxa"/>
            <w:vMerge w:val="restart"/>
          </w:tcPr>
          <w:p w14:paraId="75440A9A"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17.7-18.1 </w:t>
            </w:r>
          </w:p>
          <w:p w14:paraId="4E57BF5D"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FIXED </w:t>
            </w:r>
          </w:p>
          <w:p w14:paraId="175531B9"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FIXED-SATELLITE </w:t>
            </w:r>
            <w:r w:rsidRPr="002E2067">
              <w:rPr>
                <w:sz w:val="20"/>
              </w:rPr>
              <w:br/>
              <w:t xml:space="preserve">(space-to-Earth) 5.484A 5.517A   </w:t>
            </w:r>
            <w:proofErr w:type="gramStart"/>
            <w:r w:rsidRPr="002E2067">
              <w:rPr>
                <w:sz w:val="20"/>
              </w:rPr>
              <w:t xml:space="preserve">   (</w:t>
            </w:r>
            <w:proofErr w:type="gramEnd"/>
            <w:r w:rsidRPr="002E2067">
              <w:rPr>
                <w:sz w:val="20"/>
              </w:rPr>
              <w:t xml:space="preserve">Earth-to-space) 5.516 </w:t>
            </w:r>
          </w:p>
          <w:p w14:paraId="3A613F01" w14:textId="77777777" w:rsidR="0028625B" w:rsidRPr="002E2067" w:rsidRDefault="0028625B" w:rsidP="008573EC">
            <w:pPr>
              <w:tabs>
                <w:tab w:val="left" w:pos="170"/>
                <w:tab w:val="left" w:pos="567"/>
                <w:tab w:val="left" w:pos="737"/>
                <w:tab w:val="left" w:pos="2977"/>
                <w:tab w:val="left" w:pos="3266"/>
              </w:tabs>
              <w:spacing w:before="30" w:after="30"/>
              <w:ind w:left="170" w:hanging="170"/>
              <w:rPr>
                <w:b/>
                <w:sz w:val="20"/>
              </w:rPr>
            </w:pPr>
            <w:r w:rsidRPr="002E2067">
              <w:rPr>
                <w:sz w:val="20"/>
              </w:rPr>
              <w:t>MOBILE</w:t>
            </w:r>
          </w:p>
        </w:tc>
        <w:tc>
          <w:tcPr>
            <w:tcW w:w="3113" w:type="dxa"/>
          </w:tcPr>
          <w:p w14:paraId="3FBAD710"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17.7-17.8 </w:t>
            </w:r>
          </w:p>
          <w:p w14:paraId="7DD96883"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FIXED </w:t>
            </w:r>
          </w:p>
          <w:p w14:paraId="188B526B"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FIXED-SATELLITE </w:t>
            </w:r>
            <w:r w:rsidRPr="002E2067">
              <w:rPr>
                <w:sz w:val="20"/>
              </w:rPr>
              <w:br/>
              <w:t>(space-to-Earth) 5.517 5.517</w:t>
            </w:r>
            <w:proofErr w:type="gramStart"/>
            <w:r w:rsidRPr="002E2067">
              <w:rPr>
                <w:sz w:val="20"/>
              </w:rPr>
              <w:t>A  (</w:t>
            </w:r>
            <w:proofErr w:type="gramEnd"/>
            <w:r w:rsidRPr="002E2067">
              <w:rPr>
                <w:sz w:val="20"/>
              </w:rPr>
              <w:t xml:space="preserve">Earth-to-space) 5.516 </w:t>
            </w:r>
          </w:p>
          <w:p w14:paraId="33E58AD8"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BROADCASTING-SATELLITE</w:t>
            </w:r>
          </w:p>
          <w:p w14:paraId="080C4E40"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Mobile </w:t>
            </w:r>
          </w:p>
          <w:p w14:paraId="5B228F31" w14:textId="77777777" w:rsidR="0028625B" w:rsidRPr="002E2067" w:rsidRDefault="0028625B" w:rsidP="008573EC">
            <w:pPr>
              <w:tabs>
                <w:tab w:val="left" w:pos="170"/>
                <w:tab w:val="left" w:pos="567"/>
                <w:tab w:val="left" w:pos="737"/>
                <w:tab w:val="left" w:pos="2977"/>
                <w:tab w:val="left" w:pos="3266"/>
              </w:tabs>
              <w:spacing w:before="30" w:after="30"/>
              <w:ind w:left="170" w:hanging="170"/>
              <w:rPr>
                <w:b/>
                <w:sz w:val="20"/>
              </w:rPr>
            </w:pPr>
            <w:r w:rsidRPr="002E2067">
              <w:rPr>
                <w:sz w:val="20"/>
              </w:rPr>
              <w:t>5.515</w:t>
            </w:r>
          </w:p>
        </w:tc>
        <w:tc>
          <w:tcPr>
            <w:tcW w:w="2415" w:type="dxa"/>
            <w:vMerge w:val="restart"/>
          </w:tcPr>
          <w:p w14:paraId="57DC2F81"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17.7-18.1 </w:t>
            </w:r>
          </w:p>
          <w:p w14:paraId="35174680"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FIXED </w:t>
            </w:r>
          </w:p>
          <w:p w14:paraId="58F85FC9"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FIXED-SATELLITE </w:t>
            </w:r>
          </w:p>
          <w:p w14:paraId="4B7F8034"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   (space-to-Earth) 5.484A 5.517A (Earth-to-space) 5.516 </w:t>
            </w:r>
          </w:p>
          <w:p w14:paraId="75663117" w14:textId="77777777" w:rsidR="0028625B" w:rsidRPr="002E2067" w:rsidRDefault="0028625B" w:rsidP="008573EC">
            <w:pPr>
              <w:tabs>
                <w:tab w:val="left" w:pos="170"/>
                <w:tab w:val="left" w:pos="567"/>
                <w:tab w:val="left" w:pos="737"/>
                <w:tab w:val="left" w:pos="2977"/>
                <w:tab w:val="left" w:pos="3266"/>
              </w:tabs>
              <w:spacing w:before="30" w:after="30"/>
              <w:ind w:left="170" w:hanging="170"/>
              <w:rPr>
                <w:b/>
                <w:sz w:val="20"/>
              </w:rPr>
            </w:pPr>
            <w:r w:rsidRPr="002E2067">
              <w:rPr>
                <w:sz w:val="20"/>
              </w:rPr>
              <w:t>MOBILE</w:t>
            </w:r>
          </w:p>
        </w:tc>
      </w:tr>
      <w:tr w:rsidR="0028625B" w:rsidRPr="002E2067" w14:paraId="4CE58381" w14:textId="77777777" w:rsidTr="008573EC">
        <w:trPr>
          <w:cantSplit/>
          <w:trHeight w:val="1860"/>
          <w:jc w:val="center"/>
        </w:trPr>
        <w:tc>
          <w:tcPr>
            <w:tcW w:w="2694" w:type="dxa"/>
            <w:vMerge/>
          </w:tcPr>
          <w:p w14:paraId="0E0CB2BC"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p>
        </w:tc>
        <w:tc>
          <w:tcPr>
            <w:tcW w:w="3113" w:type="dxa"/>
          </w:tcPr>
          <w:p w14:paraId="18319CA8"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17.8-18.1 </w:t>
            </w:r>
          </w:p>
          <w:p w14:paraId="4253A203"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FIXED </w:t>
            </w:r>
          </w:p>
          <w:p w14:paraId="1D7B23C9"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FIXED-SATELLITE</w:t>
            </w:r>
            <w:r w:rsidRPr="002E2067">
              <w:rPr>
                <w:sz w:val="20"/>
              </w:rPr>
              <w:br/>
              <w:t>(space-to-Earth) 5.484A 5.517A</w:t>
            </w:r>
            <w:r w:rsidRPr="002E2067">
              <w:rPr>
                <w:sz w:val="20"/>
              </w:rPr>
              <w:br/>
              <w:t xml:space="preserve">(Earth-to-space) 5.516 </w:t>
            </w:r>
          </w:p>
          <w:p w14:paraId="18188F91"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 xml:space="preserve">MOBILE </w:t>
            </w:r>
          </w:p>
          <w:p w14:paraId="01487456" w14:textId="77777777" w:rsidR="0028625B" w:rsidRPr="002E2067" w:rsidRDefault="0028625B" w:rsidP="008573EC">
            <w:pPr>
              <w:tabs>
                <w:tab w:val="left" w:pos="170"/>
                <w:tab w:val="left" w:pos="567"/>
                <w:tab w:val="left" w:pos="737"/>
                <w:tab w:val="left" w:pos="2977"/>
                <w:tab w:val="left" w:pos="3266"/>
              </w:tabs>
              <w:spacing w:before="30" w:after="30"/>
              <w:ind w:left="170" w:hanging="170"/>
              <w:rPr>
                <w:sz w:val="20"/>
              </w:rPr>
            </w:pPr>
            <w:r w:rsidRPr="002E2067">
              <w:rPr>
                <w:sz w:val="20"/>
              </w:rPr>
              <w:t>5.519</w:t>
            </w:r>
          </w:p>
        </w:tc>
        <w:tc>
          <w:tcPr>
            <w:tcW w:w="2415" w:type="dxa"/>
            <w:vMerge/>
          </w:tcPr>
          <w:p w14:paraId="53A3C5BB" w14:textId="77777777" w:rsidR="0028625B" w:rsidRPr="002E2067" w:rsidRDefault="0028625B" w:rsidP="008573EC">
            <w:pPr>
              <w:tabs>
                <w:tab w:val="left" w:pos="170"/>
                <w:tab w:val="left" w:pos="567"/>
                <w:tab w:val="left" w:pos="737"/>
                <w:tab w:val="left" w:pos="2977"/>
                <w:tab w:val="left" w:pos="3266"/>
              </w:tabs>
              <w:spacing w:before="30" w:after="30"/>
              <w:ind w:left="170" w:hanging="170"/>
              <w:rPr>
                <w:b/>
                <w:sz w:val="20"/>
              </w:rPr>
            </w:pPr>
          </w:p>
        </w:tc>
      </w:tr>
    </w:tbl>
    <w:p w14:paraId="1BF2D8BD" w14:textId="77777777" w:rsidR="0028625B" w:rsidRDefault="0028625B" w:rsidP="0028625B">
      <w:pPr>
        <w:pStyle w:val="ListParagraph"/>
        <w:jc w:val="both"/>
        <w:rPr>
          <w:rFonts w:eastAsia="Times New Roman" w:cstheme="minorHAnsi"/>
          <w:color w:val="000000"/>
        </w:rPr>
      </w:pPr>
    </w:p>
    <w:p w14:paraId="4E717B37" w14:textId="77777777" w:rsidR="0028625B" w:rsidRPr="00C21B90" w:rsidRDefault="0028625B" w:rsidP="00B1497D">
      <w:pPr>
        <w:numPr>
          <w:ilvl w:val="0"/>
          <w:numId w:val="22"/>
        </w:numPr>
        <w:spacing w:after="120"/>
        <w:jc w:val="both"/>
        <w:textAlignment w:val="baseline"/>
        <w:rPr>
          <w:rFonts w:cstheme="minorHAnsi"/>
          <w:bCs/>
          <w:color w:val="000000" w:themeColor="text1"/>
        </w:rPr>
      </w:pPr>
      <w:r w:rsidRPr="00B81563">
        <w:rPr>
          <w:rFonts w:eastAsia="Times New Roman" w:cstheme="minorHAnsi"/>
          <w:color w:val="000000"/>
        </w:rPr>
        <w:t>To ensure the protection of existing operation in the primary allocations in the same and adjacent frequency bands, the technical characteristics of BSS Feeder Link, BSS reverse direction, and non-GSO and GSO FSS are provided</w:t>
      </w:r>
      <w:r>
        <w:rPr>
          <w:rFonts w:eastAsia="Times New Roman" w:cstheme="minorHAnsi"/>
          <w:color w:val="000000"/>
        </w:rPr>
        <w:t xml:space="preserve"> in the </w:t>
      </w:r>
      <w:r w:rsidRPr="0002402A">
        <w:rPr>
          <w:rFonts w:eastAsia="Times New Roman" w:cstheme="minorHAnsi"/>
          <w:i/>
          <w:iCs/>
          <w:color w:val="000000"/>
        </w:rPr>
        <w:t>“Elements for a Working Document Relating to WRC-23 Agenda Item 1.19”</w:t>
      </w:r>
      <w:r>
        <w:rPr>
          <w:rFonts w:eastAsia="Times New Roman" w:cstheme="minorHAnsi"/>
          <w:color w:val="000000"/>
        </w:rPr>
        <w:t>.</w:t>
      </w:r>
      <w:r w:rsidRPr="0002402A">
        <w:rPr>
          <w:rFonts w:eastAsia="Times New Roman" w:cstheme="minorHAnsi"/>
          <w:color w:val="000000"/>
        </w:rPr>
        <w:t xml:space="preserve"> </w:t>
      </w:r>
      <w:r w:rsidRPr="0047474D">
        <w:rPr>
          <w:rFonts w:eastAsia="Times New Roman" w:cstheme="minorHAnsi"/>
          <w:bCs/>
          <w:color w:val="000000"/>
        </w:rPr>
        <w:fldChar w:fldCharType="begin"/>
      </w:r>
      <w:r w:rsidRPr="00C21B90">
        <w:rPr>
          <w:rFonts w:eastAsia="Times New Roman" w:cstheme="minorHAnsi"/>
          <w:bCs/>
          <w:color w:val="000000"/>
        </w:rPr>
        <w:instrText xml:space="preserve"> REF _Ref64280257 \h  \* MERGEFORMAT </w:instrText>
      </w:r>
      <w:r w:rsidRPr="0047474D">
        <w:rPr>
          <w:rFonts w:eastAsia="Times New Roman" w:cstheme="minorHAnsi"/>
          <w:bCs/>
          <w:color w:val="000000"/>
        </w:rPr>
      </w:r>
      <w:r w:rsidRPr="0047474D">
        <w:rPr>
          <w:rFonts w:eastAsia="Times New Roman" w:cstheme="minorHAnsi"/>
          <w:bCs/>
          <w:color w:val="000000"/>
        </w:rPr>
        <w:fldChar w:fldCharType="separate"/>
      </w:r>
    </w:p>
    <w:p w14:paraId="7290BB6D" w14:textId="77777777" w:rsidR="0028625B" w:rsidRDefault="0028625B" w:rsidP="00B1497D">
      <w:pPr>
        <w:numPr>
          <w:ilvl w:val="0"/>
          <w:numId w:val="22"/>
        </w:numPr>
        <w:spacing w:after="120"/>
        <w:jc w:val="both"/>
        <w:textAlignment w:val="baseline"/>
        <w:rPr>
          <w:rFonts w:eastAsia="Times New Roman" w:cstheme="minorHAnsi"/>
          <w:bCs/>
          <w:color w:val="000000"/>
        </w:rPr>
      </w:pPr>
      <w:r w:rsidRPr="00B81563">
        <w:rPr>
          <w:rFonts w:cstheme="minorHAnsi"/>
          <w:bCs/>
          <w:color w:val="000000" w:themeColor="text1"/>
        </w:rPr>
        <w:t>Table</w:t>
      </w:r>
      <w:r w:rsidRPr="00B81563">
        <w:rPr>
          <w:rFonts w:cstheme="minorHAnsi"/>
          <w:bCs/>
          <w:noProof/>
          <w:color w:val="000000" w:themeColor="text1"/>
        </w:rPr>
        <w:t xml:space="preserve"> </w:t>
      </w:r>
      <w:r w:rsidRPr="00B81563">
        <w:rPr>
          <w:rFonts w:cstheme="minorHAnsi"/>
          <w:noProof/>
          <w:color w:val="000000" w:themeColor="text1"/>
        </w:rPr>
        <w:t>2</w:t>
      </w:r>
      <w:r w:rsidRPr="0047474D">
        <w:rPr>
          <w:rFonts w:eastAsia="Times New Roman" w:cstheme="minorHAnsi"/>
          <w:bCs/>
          <w:color w:val="000000"/>
        </w:rPr>
        <w:fldChar w:fldCharType="end"/>
      </w:r>
      <w:r>
        <w:rPr>
          <w:rFonts w:eastAsia="Times New Roman" w:cstheme="minorHAnsi"/>
          <w:bCs/>
          <w:color w:val="000000"/>
        </w:rPr>
        <w:t xml:space="preserve"> </w:t>
      </w:r>
      <w:r w:rsidRPr="0028625B">
        <w:rPr>
          <w:rFonts w:eastAsia="Times New Roman" w:cstheme="minorHAnsi"/>
          <w:color w:val="000000"/>
        </w:rPr>
        <w:t>indicates</w:t>
      </w:r>
      <w:r w:rsidRPr="00B32AC9">
        <w:rPr>
          <w:rFonts w:eastAsia="Times New Roman" w:cstheme="minorHAnsi"/>
          <w:bCs/>
          <w:color w:val="000000"/>
        </w:rPr>
        <w:t xml:space="preserve"> differen</w:t>
      </w:r>
      <w:r>
        <w:rPr>
          <w:rFonts w:eastAsia="Times New Roman" w:cstheme="minorHAnsi"/>
          <w:bCs/>
          <w:color w:val="000000"/>
        </w:rPr>
        <w:t>ces in band</w:t>
      </w:r>
      <w:r w:rsidRPr="00B32AC9">
        <w:rPr>
          <w:rFonts w:eastAsia="Times New Roman" w:cstheme="minorHAnsi"/>
          <w:bCs/>
          <w:color w:val="000000"/>
        </w:rPr>
        <w:t xml:space="preserve"> sharing scenarios of the fixed</w:t>
      </w:r>
      <w:r>
        <w:rPr>
          <w:rFonts w:eastAsia="Times New Roman" w:cstheme="minorHAnsi"/>
          <w:bCs/>
          <w:color w:val="000000"/>
        </w:rPr>
        <w:t>-</w:t>
      </w:r>
      <w:r w:rsidRPr="00B32AC9">
        <w:rPr>
          <w:rFonts w:eastAsia="Times New Roman" w:cstheme="minorHAnsi"/>
          <w:bCs/>
          <w:color w:val="000000"/>
        </w:rPr>
        <w:t>satellite service (space</w:t>
      </w:r>
      <w:r>
        <w:rPr>
          <w:rFonts w:eastAsia="Times New Roman" w:cstheme="minorHAnsi"/>
          <w:bCs/>
          <w:color w:val="000000"/>
        </w:rPr>
        <w:t>-to</w:t>
      </w:r>
      <w:r w:rsidRPr="00B32AC9">
        <w:rPr>
          <w:rFonts w:eastAsia="Times New Roman" w:cstheme="minorHAnsi"/>
          <w:bCs/>
          <w:color w:val="000000"/>
        </w:rPr>
        <w:t>-</w:t>
      </w:r>
      <w:r>
        <w:rPr>
          <w:rFonts w:eastAsia="Times New Roman" w:cstheme="minorHAnsi"/>
          <w:bCs/>
          <w:color w:val="000000"/>
        </w:rPr>
        <w:t>E</w:t>
      </w:r>
      <w:r w:rsidRPr="00B32AC9">
        <w:rPr>
          <w:rFonts w:eastAsia="Times New Roman" w:cstheme="minorHAnsi"/>
          <w:bCs/>
          <w:color w:val="000000"/>
        </w:rPr>
        <w:t>arth) with the existing services in the frequency band 17.3-17.7 GHz.</w:t>
      </w:r>
      <w:bookmarkStart w:id="4" w:name="_Ref64280257"/>
    </w:p>
    <w:p w14:paraId="35734B9F" w14:textId="77777777" w:rsidR="0028625B" w:rsidRPr="0028625B" w:rsidRDefault="0028625B" w:rsidP="0028625B">
      <w:pPr>
        <w:pStyle w:val="Caption"/>
        <w:keepNext/>
        <w:jc w:val="center"/>
        <w:rPr>
          <w:rFonts w:cstheme="minorHAnsi"/>
          <w:b/>
          <w:bCs/>
          <w:color w:val="000000" w:themeColor="text1"/>
          <w:sz w:val="22"/>
          <w:szCs w:val="22"/>
        </w:rPr>
      </w:pPr>
      <w:r w:rsidRPr="0028625B">
        <w:rPr>
          <w:rFonts w:cstheme="minorHAnsi"/>
          <w:b/>
          <w:bCs/>
          <w:color w:val="000000" w:themeColor="text1"/>
          <w:sz w:val="22"/>
          <w:szCs w:val="22"/>
        </w:rPr>
        <w:t xml:space="preserve">Table </w:t>
      </w:r>
      <w:r w:rsidRPr="0028625B">
        <w:rPr>
          <w:rFonts w:cstheme="minorHAnsi"/>
          <w:b/>
          <w:bCs/>
          <w:color w:val="000000" w:themeColor="text1"/>
          <w:sz w:val="22"/>
          <w:szCs w:val="22"/>
        </w:rPr>
        <w:fldChar w:fldCharType="begin"/>
      </w:r>
      <w:r w:rsidRPr="0028625B">
        <w:rPr>
          <w:rFonts w:cstheme="minorHAnsi"/>
          <w:b/>
          <w:bCs/>
          <w:color w:val="000000" w:themeColor="text1"/>
          <w:sz w:val="22"/>
          <w:szCs w:val="22"/>
        </w:rPr>
        <w:instrText xml:space="preserve"> SEQ Table \* ARABIC </w:instrText>
      </w:r>
      <w:r w:rsidRPr="0028625B">
        <w:rPr>
          <w:rFonts w:cstheme="minorHAnsi"/>
          <w:b/>
          <w:bCs/>
          <w:color w:val="000000" w:themeColor="text1"/>
          <w:sz w:val="22"/>
          <w:szCs w:val="22"/>
        </w:rPr>
        <w:fldChar w:fldCharType="separate"/>
      </w:r>
      <w:r w:rsidRPr="0028625B">
        <w:rPr>
          <w:rFonts w:cstheme="minorHAnsi"/>
          <w:b/>
          <w:bCs/>
          <w:noProof/>
          <w:color w:val="000000" w:themeColor="text1"/>
          <w:sz w:val="22"/>
          <w:szCs w:val="22"/>
        </w:rPr>
        <w:t>2</w:t>
      </w:r>
      <w:r w:rsidRPr="0028625B">
        <w:rPr>
          <w:rFonts w:cstheme="minorHAnsi"/>
          <w:b/>
          <w:bCs/>
          <w:color w:val="000000" w:themeColor="text1"/>
          <w:sz w:val="22"/>
          <w:szCs w:val="22"/>
        </w:rPr>
        <w:fldChar w:fldCharType="end"/>
      </w:r>
      <w:bookmarkEnd w:id="4"/>
      <w:r w:rsidRPr="0028625B">
        <w:rPr>
          <w:rFonts w:cstheme="minorHAnsi"/>
          <w:b/>
          <w:bCs/>
          <w:color w:val="000000" w:themeColor="text1"/>
          <w:sz w:val="22"/>
          <w:szCs w:val="22"/>
        </w:rPr>
        <w:t xml:space="preserve"> Sharing Scenarios for the Frequency Range 17.3-17.7 GHz (space-to-Earth)</w:t>
      </w:r>
    </w:p>
    <w:tbl>
      <w:tblPr>
        <w:tblStyle w:val="TableGrid"/>
        <w:tblW w:w="0" w:type="auto"/>
        <w:jc w:val="center"/>
        <w:tblLook w:val="04A0" w:firstRow="1" w:lastRow="0" w:firstColumn="1" w:lastColumn="0" w:noHBand="0" w:noVBand="1"/>
      </w:tblPr>
      <w:tblGrid>
        <w:gridCol w:w="1838"/>
        <w:gridCol w:w="3260"/>
        <w:gridCol w:w="3918"/>
      </w:tblGrid>
      <w:tr w:rsidR="0028625B" w:rsidRPr="00B81563" w14:paraId="3E03241F" w14:textId="77777777" w:rsidTr="008573EC">
        <w:trPr>
          <w:jc w:val="center"/>
        </w:trPr>
        <w:tc>
          <w:tcPr>
            <w:tcW w:w="1838" w:type="dxa"/>
            <w:vAlign w:val="center"/>
          </w:tcPr>
          <w:p w14:paraId="2328D287" w14:textId="77777777" w:rsidR="0028625B" w:rsidRPr="00B81563" w:rsidRDefault="0028625B" w:rsidP="008573EC">
            <w:pPr>
              <w:pStyle w:val="Tablehead"/>
              <w:rPr>
                <w:rFonts w:asciiTheme="minorHAnsi" w:hAnsiTheme="minorHAnsi" w:cstheme="minorHAnsi"/>
                <w:lang w:val="en-US"/>
              </w:rPr>
            </w:pPr>
            <w:bookmarkStart w:id="5" w:name="_Hlk65508745"/>
            <w:r w:rsidRPr="00B81563">
              <w:rPr>
                <w:rFonts w:asciiTheme="minorHAnsi" w:hAnsiTheme="minorHAnsi" w:cstheme="minorHAnsi"/>
                <w:lang w:val="en-US"/>
              </w:rPr>
              <w:t>Scenario #</w:t>
            </w:r>
          </w:p>
        </w:tc>
        <w:tc>
          <w:tcPr>
            <w:tcW w:w="3260" w:type="dxa"/>
            <w:vAlign w:val="center"/>
          </w:tcPr>
          <w:p w14:paraId="70214E9F" w14:textId="77777777" w:rsidR="0028625B" w:rsidRPr="00B81563" w:rsidRDefault="0028625B" w:rsidP="008573EC">
            <w:pPr>
              <w:pStyle w:val="Tablehead"/>
              <w:rPr>
                <w:rFonts w:asciiTheme="minorHAnsi" w:hAnsiTheme="minorHAnsi" w:cstheme="minorHAnsi"/>
                <w:lang w:val="en-US"/>
              </w:rPr>
            </w:pPr>
            <w:r w:rsidRPr="00B81563">
              <w:rPr>
                <w:rFonts w:asciiTheme="minorHAnsi" w:hAnsiTheme="minorHAnsi" w:cstheme="minorHAnsi"/>
                <w:lang w:val="en-US"/>
              </w:rPr>
              <w:t>Proposed new allocation in the frequency band 17.3-17.7 GHz in region 2 (Interferer)</w:t>
            </w:r>
          </w:p>
        </w:tc>
        <w:tc>
          <w:tcPr>
            <w:tcW w:w="3918" w:type="dxa"/>
            <w:vAlign w:val="center"/>
          </w:tcPr>
          <w:p w14:paraId="48D211D6" w14:textId="77777777" w:rsidR="0028625B" w:rsidRPr="00B81563" w:rsidRDefault="0028625B" w:rsidP="008573EC">
            <w:pPr>
              <w:pStyle w:val="Tablehead"/>
              <w:rPr>
                <w:rFonts w:asciiTheme="minorHAnsi" w:hAnsiTheme="minorHAnsi" w:cstheme="minorHAnsi"/>
                <w:lang w:val="en-US"/>
              </w:rPr>
            </w:pPr>
            <w:r w:rsidRPr="00B81563">
              <w:rPr>
                <w:rFonts w:asciiTheme="minorHAnsi" w:hAnsiTheme="minorHAnsi" w:cstheme="minorHAnsi"/>
                <w:lang w:val="en-US"/>
              </w:rPr>
              <w:t xml:space="preserve">Existing allocations in the frequency band 17.3-17.7 </w:t>
            </w:r>
            <w:proofErr w:type="gramStart"/>
            <w:r w:rsidRPr="00B81563">
              <w:rPr>
                <w:rFonts w:asciiTheme="minorHAnsi" w:hAnsiTheme="minorHAnsi" w:cstheme="minorHAnsi"/>
                <w:lang w:val="en-US"/>
              </w:rPr>
              <w:t>GHz  (</w:t>
            </w:r>
            <w:proofErr w:type="gramEnd"/>
            <w:r w:rsidRPr="00B81563">
              <w:rPr>
                <w:rFonts w:asciiTheme="minorHAnsi" w:hAnsiTheme="minorHAnsi" w:cstheme="minorHAnsi"/>
                <w:lang w:val="en-US"/>
              </w:rPr>
              <w:t>Victim)</w:t>
            </w:r>
          </w:p>
        </w:tc>
      </w:tr>
      <w:tr w:rsidR="0028625B" w:rsidRPr="00B81563" w14:paraId="51A0E22B" w14:textId="77777777" w:rsidTr="008573EC">
        <w:trPr>
          <w:jc w:val="center"/>
        </w:trPr>
        <w:tc>
          <w:tcPr>
            <w:tcW w:w="1838" w:type="dxa"/>
            <w:vAlign w:val="center"/>
          </w:tcPr>
          <w:p w14:paraId="198D89E3"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1</w:t>
            </w:r>
          </w:p>
        </w:tc>
        <w:tc>
          <w:tcPr>
            <w:tcW w:w="3260" w:type="dxa"/>
            <w:vAlign w:val="center"/>
          </w:tcPr>
          <w:p w14:paraId="65EF8E06"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NGSO FSS (Space-earth) in the 17.3-17.7 GHz</w:t>
            </w:r>
          </w:p>
        </w:tc>
        <w:tc>
          <w:tcPr>
            <w:tcW w:w="3918" w:type="dxa"/>
            <w:vAlign w:val="center"/>
          </w:tcPr>
          <w:p w14:paraId="32285DBD"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GSO BSS feeder-link operating in accordance with App30A in the 17.3-17.7 GHz</w:t>
            </w:r>
          </w:p>
        </w:tc>
      </w:tr>
      <w:tr w:rsidR="0028625B" w:rsidRPr="00B81563" w14:paraId="496A2EFF" w14:textId="77777777" w:rsidTr="008573EC">
        <w:trPr>
          <w:jc w:val="center"/>
        </w:trPr>
        <w:tc>
          <w:tcPr>
            <w:tcW w:w="1838" w:type="dxa"/>
            <w:vAlign w:val="center"/>
          </w:tcPr>
          <w:p w14:paraId="2411628A"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2</w:t>
            </w:r>
          </w:p>
        </w:tc>
        <w:tc>
          <w:tcPr>
            <w:tcW w:w="3260" w:type="dxa"/>
            <w:vAlign w:val="center"/>
          </w:tcPr>
          <w:p w14:paraId="49FE1695"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GSO FSS (Space-earth) in the 17.3-17.7 GHz</w:t>
            </w:r>
          </w:p>
        </w:tc>
        <w:tc>
          <w:tcPr>
            <w:tcW w:w="3918" w:type="dxa"/>
            <w:vAlign w:val="center"/>
          </w:tcPr>
          <w:p w14:paraId="33B532CA"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GSO BSS feeder-link operating in accordance with App30A in the 17.3-17.7 GHz</w:t>
            </w:r>
          </w:p>
        </w:tc>
      </w:tr>
      <w:tr w:rsidR="0028625B" w:rsidRPr="00B81563" w14:paraId="5F49923C" w14:textId="77777777" w:rsidTr="008573EC">
        <w:trPr>
          <w:jc w:val="center"/>
        </w:trPr>
        <w:tc>
          <w:tcPr>
            <w:tcW w:w="1838" w:type="dxa"/>
            <w:vAlign w:val="center"/>
          </w:tcPr>
          <w:p w14:paraId="0999CEA6"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3</w:t>
            </w:r>
          </w:p>
        </w:tc>
        <w:tc>
          <w:tcPr>
            <w:tcW w:w="3260" w:type="dxa"/>
            <w:vAlign w:val="center"/>
          </w:tcPr>
          <w:p w14:paraId="6C9959E5"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GSO FSS (Space-earth) in the 17.3-17.7 GHz</w:t>
            </w:r>
          </w:p>
        </w:tc>
        <w:tc>
          <w:tcPr>
            <w:tcW w:w="3918" w:type="dxa"/>
            <w:vAlign w:val="center"/>
          </w:tcPr>
          <w:p w14:paraId="521A8ABF"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NGSO FSS (Earth-space) in the 17.3-17.7 GHz</w:t>
            </w:r>
          </w:p>
        </w:tc>
      </w:tr>
      <w:tr w:rsidR="0028625B" w:rsidRPr="00B81563" w14:paraId="61BB6AC5" w14:textId="77777777" w:rsidTr="008573EC">
        <w:trPr>
          <w:jc w:val="center"/>
        </w:trPr>
        <w:tc>
          <w:tcPr>
            <w:tcW w:w="1838" w:type="dxa"/>
            <w:vAlign w:val="center"/>
          </w:tcPr>
          <w:p w14:paraId="247BE143"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4</w:t>
            </w:r>
          </w:p>
        </w:tc>
        <w:tc>
          <w:tcPr>
            <w:tcW w:w="3260" w:type="dxa"/>
            <w:vAlign w:val="center"/>
          </w:tcPr>
          <w:p w14:paraId="3F7D9C89"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NGSO FSS (Space-earth) in the 17.3-17.7 GHz</w:t>
            </w:r>
          </w:p>
        </w:tc>
        <w:tc>
          <w:tcPr>
            <w:tcW w:w="3918" w:type="dxa"/>
            <w:vAlign w:val="center"/>
          </w:tcPr>
          <w:p w14:paraId="50EAFB66"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NGSO FSS (Earth-space) in the 17.3-17.7 GHz</w:t>
            </w:r>
          </w:p>
        </w:tc>
      </w:tr>
      <w:tr w:rsidR="0028625B" w:rsidRPr="00B81563" w14:paraId="07EF7C1C" w14:textId="77777777" w:rsidTr="008573EC">
        <w:trPr>
          <w:jc w:val="center"/>
        </w:trPr>
        <w:tc>
          <w:tcPr>
            <w:tcW w:w="1838" w:type="dxa"/>
            <w:vAlign w:val="center"/>
          </w:tcPr>
          <w:p w14:paraId="6DFBE4ED"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5</w:t>
            </w:r>
          </w:p>
        </w:tc>
        <w:tc>
          <w:tcPr>
            <w:tcW w:w="3260" w:type="dxa"/>
            <w:vAlign w:val="center"/>
          </w:tcPr>
          <w:p w14:paraId="738A3E5F"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GSO FSS (Space-earth) in the 17.3-17.7 GHz</w:t>
            </w:r>
          </w:p>
        </w:tc>
        <w:tc>
          <w:tcPr>
            <w:tcW w:w="3918" w:type="dxa"/>
            <w:vAlign w:val="center"/>
          </w:tcPr>
          <w:p w14:paraId="1987C078"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GSO BSS (Space-earth) in the 17.3-17.7 GHz</w:t>
            </w:r>
          </w:p>
        </w:tc>
      </w:tr>
      <w:tr w:rsidR="0028625B" w:rsidRPr="00B81563" w14:paraId="0D109C9B" w14:textId="77777777" w:rsidTr="008573EC">
        <w:trPr>
          <w:jc w:val="center"/>
        </w:trPr>
        <w:tc>
          <w:tcPr>
            <w:tcW w:w="1838" w:type="dxa"/>
            <w:vAlign w:val="center"/>
          </w:tcPr>
          <w:p w14:paraId="097900B6"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6</w:t>
            </w:r>
          </w:p>
        </w:tc>
        <w:tc>
          <w:tcPr>
            <w:tcW w:w="3260" w:type="dxa"/>
            <w:vAlign w:val="center"/>
          </w:tcPr>
          <w:p w14:paraId="021D04FC"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NGSO FSS (Space-earth) in the 17.3-17.7 GHz</w:t>
            </w:r>
          </w:p>
        </w:tc>
        <w:tc>
          <w:tcPr>
            <w:tcW w:w="3918" w:type="dxa"/>
            <w:vAlign w:val="center"/>
          </w:tcPr>
          <w:p w14:paraId="2E54FA3C"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GSO BSS (Space-earth) in the 17.3-17.7 GHz</w:t>
            </w:r>
          </w:p>
        </w:tc>
      </w:tr>
      <w:bookmarkEnd w:id="5"/>
    </w:tbl>
    <w:p w14:paraId="51549164" w14:textId="77777777" w:rsidR="0028625B" w:rsidRPr="00B81563" w:rsidRDefault="0028625B" w:rsidP="0028625B">
      <w:pPr>
        <w:spacing w:after="120"/>
        <w:rPr>
          <w:rFonts w:cstheme="minorHAnsi"/>
        </w:rPr>
      </w:pPr>
    </w:p>
    <w:p w14:paraId="345A942D" w14:textId="77777777" w:rsidR="0028625B" w:rsidRPr="00A70276" w:rsidRDefault="0028625B" w:rsidP="00B1497D">
      <w:pPr>
        <w:numPr>
          <w:ilvl w:val="0"/>
          <w:numId w:val="22"/>
        </w:numPr>
        <w:spacing w:after="120"/>
        <w:jc w:val="both"/>
        <w:textAlignment w:val="baseline"/>
        <w:rPr>
          <w:lang w:eastAsia="zh-CN"/>
        </w:rPr>
      </w:pPr>
      <w:r w:rsidRPr="0047474D">
        <w:rPr>
          <w:lang w:eastAsia="zh-CN"/>
        </w:rPr>
        <w:fldChar w:fldCharType="begin"/>
      </w:r>
      <w:r w:rsidRPr="00F97146">
        <w:rPr>
          <w:lang w:eastAsia="zh-CN"/>
        </w:rPr>
        <w:instrText xml:space="preserve"> REF _Ref65509152 \h  \* MERGEFORMAT </w:instrText>
      </w:r>
      <w:r w:rsidRPr="0047474D">
        <w:rPr>
          <w:lang w:eastAsia="zh-CN"/>
        </w:rPr>
      </w:r>
      <w:r w:rsidRPr="0047474D">
        <w:rPr>
          <w:lang w:eastAsia="zh-CN"/>
        </w:rPr>
        <w:fldChar w:fldCharType="separate"/>
      </w:r>
      <w:r w:rsidRPr="00B81563">
        <w:rPr>
          <w:rFonts w:cstheme="minorHAnsi"/>
          <w:color w:val="000000" w:themeColor="text1"/>
        </w:rPr>
        <w:t>Table 3</w:t>
      </w:r>
      <w:r w:rsidRPr="0047474D">
        <w:rPr>
          <w:lang w:eastAsia="zh-CN"/>
        </w:rPr>
        <w:fldChar w:fldCharType="end"/>
      </w:r>
      <w:r w:rsidRPr="00A70276">
        <w:rPr>
          <w:lang w:eastAsia="zh-CN"/>
        </w:rPr>
        <w:t xml:space="preserve"> </w:t>
      </w:r>
      <w:r w:rsidRPr="0028625B">
        <w:rPr>
          <w:rFonts w:eastAsia="Times New Roman" w:cstheme="minorHAnsi"/>
          <w:color w:val="000000"/>
        </w:rPr>
        <w:t>indicates</w:t>
      </w:r>
      <w:r w:rsidRPr="00A70276">
        <w:rPr>
          <w:lang w:eastAsia="zh-CN"/>
        </w:rPr>
        <w:t xml:space="preserve"> different </w:t>
      </w:r>
      <w:r>
        <w:rPr>
          <w:lang w:eastAsia="zh-CN"/>
        </w:rPr>
        <w:t xml:space="preserve">adjacent band </w:t>
      </w:r>
      <w:r w:rsidRPr="00A70276">
        <w:rPr>
          <w:lang w:eastAsia="zh-CN"/>
        </w:rPr>
        <w:t xml:space="preserve">sharing scenarios </w:t>
      </w:r>
      <w:r>
        <w:rPr>
          <w:lang w:eastAsia="zh-CN"/>
        </w:rPr>
        <w:t>o</w:t>
      </w:r>
      <w:r w:rsidRPr="00A70276">
        <w:rPr>
          <w:lang w:eastAsia="zh-CN"/>
        </w:rPr>
        <w:t>f the fixed</w:t>
      </w:r>
      <w:r>
        <w:rPr>
          <w:lang w:eastAsia="zh-CN"/>
        </w:rPr>
        <w:t>-</w:t>
      </w:r>
      <w:r w:rsidRPr="00A70276">
        <w:rPr>
          <w:lang w:eastAsia="zh-CN"/>
        </w:rPr>
        <w:t>satellite service (</w:t>
      </w:r>
      <w:r w:rsidRPr="0047474D">
        <w:rPr>
          <w:i/>
        </w:rPr>
        <w:t>space-to-Earth</w:t>
      </w:r>
      <w:r w:rsidRPr="00A70276">
        <w:rPr>
          <w:lang w:eastAsia="zh-CN"/>
        </w:rPr>
        <w:t xml:space="preserve">) with the </w:t>
      </w:r>
      <w:r>
        <w:rPr>
          <w:lang w:eastAsia="zh-CN"/>
        </w:rPr>
        <w:t xml:space="preserve">existing </w:t>
      </w:r>
      <w:r w:rsidRPr="00A70276">
        <w:rPr>
          <w:lang w:eastAsia="zh-CN"/>
        </w:rPr>
        <w:t>services in the adjacent frequency bands</w:t>
      </w:r>
      <w:r>
        <w:rPr>
          <w:lang w:eastAsia="zh-CN"/>
        </w:rPr>
        <w:t>.</w:t>
      </w:r>
    </w:p>
    <w:p w14:paraId="11F35CF0" w14:textId="77777777" w:rsidR="0028625B" w:rsidRPr="0028625B" w:rsidRDefault="0028625B" w:rsidP="00B1497D">
      <w:pPr>
        <w:pStyle w:val="Caption"/>
        <w:keepNext/>
        <w:jc w:val="center"/>
        <w:rPr>
          <w:sz w:val="22"/>
          <w:szCs w:val="22"/>
        </w:rPr>
      </w:pPr>
      <w:bookmarkStart w:id="6" w:name="_Ref65509152"/>
      <w:r w:rsidRPr="0028625B">
        <w:rPr>
          <w:rFonts w:cstheme="minorHAnsi"/>
          <w:b/>
          <w:bCs/>
          <w:color w:val="000000" w:themeColor="text1"/>
          <w:sz w:val="22"/>
          <w:szCs w:val="22"/>
        </w:rPr>
        <w:t xml:space="preserve">Table </w:t>
      </w:r>
      <w:r w:rsidRPr="0028625B">
        <w:rPr>
          <w:rFonts w:cstheme="minorHAnsi"/>
          <w:b/>
          <w:bCs/>
          <w:color w:val="000000" w:themeColor="text1"/>
          <w:sz w:val="22"/>
          <w:szCs w:val="22"/>
        </w:rPr>
        <w:fldChar w:fldCharType="begin"/>
      </w:r>
      <w:r w:rsidRPr="0028625B">
        <w:rPr>
          <w:rFonts w:cstheme="minorHAnsi"/>
          <w:b/>
          <w:bCs/>
          <w:color w:val="000000" w:themeColor="text1"/>
          <w:sz w:val="22"/>
          <w:szCs w:val="22"/>
        </w:rPr>
        <w:instrText xml:space="preserve"> SEQ Table \* ARABIC </w:instrText>
      </w:r>
      <w:r w:rsidRPr="0028625B">
        <w:rPr>
          <w:rFonts w:cstheme="minorHAnsi"/>
          <w:b/>
          <w:bCs/>
          <w:color w:val="000000" w:themeColor="text1"/>
          <w:sz w:val="22"/>
          <w:szCs w:val="22"/>
        </w:rPr>
        <w:fldChar w:fldCharType="separate"/>
      </w:r>
      <w:r w:rsidRPr="0028625B">
        <w:rPr>
          <w:rFonts w:cstheme="minorHAnsi"/>
          <w:b/>
          <w:bCs/>
          <w:noProof/>
          <w:color w:val="000000" w:themeColor="text1"/>
          <w:sz w:val="22"/>
          <w:szCs w:val="22"/>
        </w:rPr>
        <w:t>3</w:t>
      </w:r>
      <w:r w:rsidRPr="0028625B">
        <w:rPr>
          <w:rFonts w:cstheme="minorHAnsi"/>
          <w:b/>
          <w:bCs/>
          <w:color w:val="000000" w:themeColor="text1"/>
          <w:sz w:val="22"/>
          <w:szCs w:val="22"/>
        </w:rPr>
        <w:fldChar w:fldCharType="end"/>
      </w:r>
      <w:bookmarkEnd w:id="6"/>
      <w:r w:rsidRPr="0028625B">
        <w:rPr>
          <w:rFonts w:cstheme="minorHAnsi"/>
          <w:b/>
          <w:bCs/>
          <w:color w:val="000000" w:themeColor="text1"/>
          <w:sz w:val="22"/>
          <w:szCs w:val="22"/>
        </w:rPr>
        <w:t xml:space="preserve"> Sharing Scenarios for the Adjacent Frequency Bands</w:t>
      </w:r>
    </w:p>
    <w:tbl>
      <w:tblPr>
        <w:tblStyle w:val="TableGrid"/>
        <w:tblW w:w="0" w:type="auto"/>
        <w:jc w:val="center"/>
        <w:tblLook w:val="04A0" w:firstRow="1" w:lastRow="0" w:firstColumn="1" w:lastColumn="0" w:noHBand="0" w:noVBand="1"/>
      </w:tblPr>
      <w:tblGrid>
        <w:gridCol w:w="1838"/>
        <w:gridCol w:w="3260"/>
        <w:gridCol w:w="3918"/>
      </w:tblGrid>
      <w:tr w:rsidR="0028625B" w:rsidRPr="00B81563" w14:paraId="12624B94" w14:textId="77777777" w:rsidTr="008573EC">
        <w:trPr>
          <w:jc w:val="center"/>
        </w:trPr>
        <w:tc>
          <w:tcPr>
            <w:tcW w:w="1838" w:type="dxa"/>
            <w:vAlign w:val="center"/>
          </w:tcPr>
          <w:p w14:paraId="40412DD1" w14:textId="77777777" w:rsidR="0028625B" w:rsidRPr="00B81563" w:rsidRDefault="0028625B" w:rsidP="008573EC">
            <w:pPr>
              <w:pStyle w:val="Tablehead"/>
              <w:rPr>
                <w:rFonts w:asciiTheme="minorHAnsi" w:hAnsiTheme="minorHAnsi" w:cstheme="minorHAnsi"/>
                <w:lang w:val="en-US"/>
              </w:rPr>
            </w:pPr>
            <w:bookmarkStart w:id="7" w:name="_Hlk65509242"/>
            <w:r w:rsidRPr="00B81563">
              <w:rPr>
                <w:rFonts w:asciiTheme="minorHAnsi" w:hAnsiTheme="minorHAnsi" w:cstheme="minorHAnsi"/>
                <w:lang w:val="en-US"/>
              </w:rPr>
              <w:t>Scenario #</w:t>
            </w:r>
          </w:p>
        </w:tc>
        <w:tc>
          <w:tcPr>
            <w:tcW w:w="3260" w:type="dxa"/>
            <w:vAlign w:val="center"/>
          </w:tcPr>
          <w:p w14:paraId="1F878178" w14:textId="77777777" w:rsidR="0028625B" w:rsidRPr="00B81563" w:rsidRDefault="0028625B" w:rsidP="008573EC">
            <w:pPr>
              <w:pStyle w:val="Tablehead"/>
              <w:rPr>
                <w:rFonts w:asciiTheme="minorHAnsi" w:hAnsiTheme="minorHAnsi" w:cstheme="minorHAnsi"/>
                <w:lang w:val="en-US"/>
              </w:rPr>
            </w:pPr>
            <w:r w:rsidRPr="00B81563">
              <w:rPr>
                <w:rFonts w:asciiTheme="minorHAnsi" w:hAnsiTheme="minorHAnsi" w:cstheme="minorHAnsi"/>
                <w:lang w:val="en-US"/>
              </w:rPr>
              <w:t>Proposed new allocation in the frequency band 17.3-17.7 GHz in region 2 (Interferer)</w:t>
            </w:r>
          </w:p>
        </w:tc>
        <w:tc>
          <w:tcPr>
            <w:tcW w:w="3918" w:type="dxa"/>
            <w:vAlign w:val="center"/>
          </w:tcPr>
          <w:p w14:paraId="2C7EAA91" w14:textId="77777777" w:rsidR="0028625B" w:rsidRPr="00B81563" w:rsidRDefault="0028625B" w:rsidP="008573EC">
            <w:pPr>
              <w:pStyle w:val="Tablehead"/>
              <w:rPr>
                <w:rFonts w:asciiTheme="minorHAnsi" w:hAnsiTheme="minorHAnsi" w:cstheme="minorHAnsi"/>
                <w:lang w:val="en-US"/>
              </w:rPr>
            </w:pPr>
            <w:r w:rsidRPr="00B81563">
              <w:rPr>
                <w:rFonts w:asciiTheme="minorHAnsi" w:hAnsiTheme="minorHAnsi" w:cstheme="minorHAnsi"/>
                <w:lang w:val="en-US"/>
              </w:rPr>
              <w:t xml:space="preserve">Existing allocations in the adjacent frequency </w:t>
            </w:r>
            <w:proofErr w:type="gramStart"/>
            <w:r w:rsidRPr="00B81563">
              <w:rPr>
                <w:rFonts w:asciiTheme="minorHAnsi" w:hAnsiTheme="minorHAnsi" w:cstheme="minorHAnsi"/>
                <w:lang w:val="en-US"/>
              </w:rPr>
              <w:t>bands  (</w:t>
            </w:r>
            <w:proofErr w:type="gramEnd"/>
            <w:r w:rsidRPr="00B81563">
              <w:rPr>
                <w:rFonts w:asciiTheme="minorHAnsi" w:hAnsiTheme="minorHAnsi" w:cstheme="minorHAnsi"/>
                <w:lang w:val="en-US"/>
              </w:rPr>
              <w:t>Victim)</w:t>
            </w:r>
          </w:p>
        </w:tc>
      </w:tr>
      <w:tr w:rsidR="0028625B" w:rsidRPr="00B81563" w14:paraId="5E313897" w14:textId="77777777" w:rsidTr="008573EC">
        <w:trPr>
          <w:jc w:val="center"/>
        </w:trPr>
        <w:tc>
          <w:tcPr>
            <w:tcW w:w="1838" w:type="dxa"/>
            <w:vAlign w:val="center"/>
          </w:tcPr>
          <w:p w14:paraId="5FFA2A81"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7</w:t>
            </w:r>
          </w:p>
        </w:tc>
        <w:tc>
          <w:tcPr>
            <w:tcW w:w="3260" w:type="dxa"/>
            <w:vAlign w:val="center"/>
          </w:tcPr>
          <w:p w14:paraId="1B3D8A7B"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GSO FSS (Space-earth) in the 17.3-17.7 GHz</w:t>
            </w:r>
          </w:p>
        </w:tc>
        <w:tc>
          <w:tcPr>
            <w:tcW w:w="3918" w:type="dxa"/>
            <w:vAlign w:val="center"/>
          </w:tcPr>
          <w:p w14:paraId="22F64E94"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Earth Exploration satellite service in the frequency band 17.2-17.3 GHz</w:t>
            </w:r>
          </w:p>
        </w:tc>
      </w:tr>
      <w:tr w:rsidR="0028625B" w:rsidRPr="00B81563" w14:paraId="21CB7EF6" w14:textId="77777777" w:rsidTr="008573EC">
        <w:trPr>
          <w:jc w:val="center"/>
        </w:trPr>
        <w:tc>
          <w:tcPr>
            <w:tcW w:w="1838" w:type="dxa"/>
            <w:vAlign w:val="center"/>
          </w:tcPr>
          <w:p w14:paraId="2154D4DF"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8</w:t>
            </w:r>
          </w:p>
        </w:tc>
        <w:tc>
          <w:tcPr>
            <w:tcW w:w="3260" w:type="dxa"/>
            <w:vAlign w:val="center"/>
          </w:tcPr>
          <w:p w14:paraId="4E772496"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NGSO FSS (Space-earth) in the 17.3-17.7 GHz</w:t>
            </w:r>
          </w:p>
        </w:tc>
        <w:tc>
          <w:tcPr>
            <w:tcW w:w="3918" w:type="dxa"/>
            <w:vAlign w:val="center"/>
          </w:tcPr>
          <w:p w14:paraId="4BC36376"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Earth Exploration satellite service in the frequency band 17.2-17.3 GHz</w:t>
            </w:r>
          </w:p>
        </w:tc>
      </w:tr>
      <w:tr w:rsidR="0028625B" w:rsidRPr="00B81563" w14:paraId="1EB0FAC8" w14:textId="77777777" w:rsidTr="008573EC">
        <w:trPr>
          <w:jc w:val="center"/>
        </w:trPr>
        <w:tc>
          <w:tcPr>
            <w:tcW w:w="1838" w:type="dxa"/>
            <w:vAlign w:val="center"/>
          </w:tcPr>
          <w:p w14:paraId="16D255B9"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9</w:t>
            </w:r>
          </w:p>
        </w:tc>
        <w:tc>
          <w:tcPr>
            <w:tcW w:w="3260" w:type="dxa"/>
            <w:vAlign w:val="center"/>
          </w:tcPr>
          <w:p w14:paraId="1E2F5015"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GSO FSS (Space-earth) in the 17.3-17.7 GHz</w:t>
            </w:r>
          </w:p>
        </w:tc>
        <w:tc>
          <w:tcPr>
            <w:tcW w:w="3918" w:type="dxa"/>
            <w:vAlign w:val="center"/>
          </w:tcPr>
          <w:p w14:paraId="1820001C"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Space research service in the frequency band 17.2-17.3 GHz</w:t>
            </w:r>
          </w:p>
        </w:tc>
      </w:tr>
      <w:tr w:rsidR="0028625B" w:rsidRPr="00B81563" w14:paraId="4012D347" w14:textId="77777777" w:rsidTr="008573EC">
        <w:trPr>
          <w:jc w:val="center"/>
        </w:trPr>
        <w:tc>
          <w:tcPr>
            <w:tcW w:w="1838" w:type="dxa"/>
            <w:vAlign w:val="center"/>
          </w:tcPr>
          <w:p w14:paraId="06917E83"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lastRenderedPageBreak/>
              <w:t>10</w:t>
            </w:r>
          </w:p>
        </w:tc>
        <w:tc>
          <w:tcPr>
            <w:tcW w:w="3260" w:type="dxa"/>
            <w:vAlign w:val="center"/>
          </w:tcPr>
          <w:p w14:paraId="16AF0F61"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NGSO FSS (Space-earth) in the 17.3-17.7 GHz</w:t>
            </w:r>
          </w:p>
        </w:tc>
        <w:tc>
          <w:tcPr>
            <w:tcW w:w="3918" w:type="dxa"/>
            <w:vAlign w:val="center"/>
          </w:tcPr>
          <w:p w14:paraId="54EDC106"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Space research service in the frequency band 17.2-17.3 GHz</w:t>
            </w:r>
          </w:p>
        </w:tc>
      </w:tr>
      <w:tr w:rsidR="0028625B" w:rsidRPr="00B81563" w14:paraId="441A64CF" w14:textId="77777777" w:rsidTr="008573EC">
        <w:trPr>
          <w:jc w:val="center"/>
        </w:trPr>
        <w:tc>
          <w:tcPr>
            <w:tcW w:w="1838" w:type="dxa"/>
            <w:vAlign w:val="center"/>
          </w:tcPr>
          <w:p w14:paraId="2D402B4D"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11</w:t>
            </w:r>
          </w:p>
        </w:tc>
        <w:tc>
          <w:tcPr>
            <w:tcW w:w="3260" w:type="dxa"/>
            <w:vAlign w:val="center"/>
          </w:tcPr>
          <w:p w14:paraId="11CA0104"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NGSO FSS (Space-earth) in the 17.3-17.7 GHz</w:t>
            </w:r>
          </w:p>
        </w:tc>
        <w:tc>
          <w:tcPr>
            <w:tcW w:w="3918" w:type="dxa"/>
            <w:vAlign w:val="center"/>
          </w:tcPr>
          <w:p w14:paraId="0D95BA57"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 xml:space="preserve">Radio location service in the frequency band 17.2-17.3 GHz </w:t>
            </w:r>
          </w:p>
        </w:tc>
      </w:tr>
      <w:tr w:rsidR="0028625B" w:rsidRPr="00B81563" w14:paraId="36F44ADA" w14:textId="77777777" w:rsidTr="008573EC">
        <w:trPr>
          <w:jc w:val="center"/>
        </w:trPr>
        <w:tc>
          <w:tcPr>
            <w:tcW w:w="1838" w:type="dxa"/>
            <w:vAlign w:val="center"/>
          </w:tcPr>
          <w:p w14:paraId="439A44CC"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12</w:t>
            </w:r>
          </w:p>
        </w:tc>
        <w:tc>
          <w:tcPr>
            <w:tcW w:w="3260" w:type="dxa"/>
            <w:vAlign w:val="center"/>
          </w:tcPr>
          <w:p w14:paraId="104E19A8"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GSO FSS (Space-earth) in the 17.3-17.7 GHz</w:t>
            </w:r>
          </w:p>
        </w:tc>
        <w:tc>
          <w:tcPr>
            <w:tcW w:w="3918" w:type="dxa"/>
            <w:vAlign w:val="center"/>
          </w:tcPr>
          <w:p w14:paraId="1F3B09D1"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 xml:space="preserve">Radio location service in the frequency band 17.2-17.3 GHz </w:t>
            </w:r>
          </w:p>
        </w:tc>
      </w:tr>
      <w:tr w:rsidR="0028625B" w:rsidRPr="00B81563" w14:paraId="17D98A27" w14:textId="77777777" w:rsidTr="008573EC">
        <w:trPr>
          <w:jc w:val="center"/>
        </w:trPr>
        <w:tc>
          <w:tcPr>
            <w:tcW w:w="1838" w:type="dxa"/>
            <w:vAlign w:val="center"/>
          </w:tcPr>
          <w:p w14:paraId="54E86250"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13</w:t>
            </w:r>
          </w:p>
        </w:tc>
        <w:tc>
          <w:tcPr>
            <w:tcW w:w="3260" w:type="dxa"/>
            <w:vAlign w:val="center"/>
          </w:tcPr>
          <w:p w14:paraId="72107E16"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GSO FSS (Space-earth) in the 17.3-17.7 GHz</w:t>
            </w:r>
          </w:p>
        </w:tc>
        <w:tc>
          <w:tcPr>
            <w:tcW w:w="3918" w:type="dxa"/>
            <w:vAlign w:val="center"/>
          </w:tcPr>
          <w:p w14:paraId="7DC208D3"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 xml:space="preserve">Fixed service in the frequency band 17.7-17.8 GHz </w:t>
            </w:r>
          </w:p>
        </w:tc>
      </w:tr>
      <w:tr w:rsidR="0028625B" w:rsidRPr="00B81563" w14:paraId="15FED8EF" w14:textId="77777777" w:rsidTr="008573EC">
        <w:trPr>
          <w:jc w:val="center"/>
        </w:trPr>
        <w:tc>
          <w:tcPr>
            <w:tcW w:w="1838" w:type="dxa"/>
            <w:vAlign w:val="center"/>
          </w:tcPr>
          <w:p w14:paraId="0F95CB9E"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14</w:t>
            </w:r>
          </w:p>
        </w:tc>
        <w:tc>
          <w:tcPr>
            <w:tcW w:w="3260" w:type="dxa"/>
            <w:vAlign w:val="center"/>
          </w:tcPr>
          <w:p w14:paraId="00B130E3"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NGSO FSS (Space-earth) in the 17.3-17.7 GHz</w:t>
            </w:r>
          </w:p>
        </w:tc>
        <w:tc>
          <w:tcPr>
            <w:tcW w:w="3918" w:type="dxa"/>
            <w:vAlign w:val="center"/>
          </w:tcPr>
          <w:p w14:paraId="28AD28B1"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lang w:val="en-US"/>
              </w:rPr>
              <w:t xml:space="preserve">Fixed service in the frequency band 17.7-17.8 GHz </w:t>
            </w:r>
          </w:p>
        </w:tc>
      </w:tr>
      <w:tr w:rsidR="0028625B" w:rsidRPr="00B81563" w14:paraId="140F0F3F" w14:textId="77777777" w:rsidTr="008573EC">
        <w:trPr>
          <w:jc w:val="center"/>
        </w:trPr>
        <w:tc>
          <w:tcPr>
            <w:tcW w:w="1838" w:type="dxa"/>
            <w:vAlign w:val="center"/>
          </w:tcPr>
          <w:p w14:paraId="6CD50481"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15</w:t>
            </w:r>
          </w:p>
        </w:tc>
        <w:tc>
          <w:tcPr>
            <w:tcW w:w="3260" w:type="dxa"/>
            <w:vAlign w:val="center"/>
          </w:tcPr>
          <w:p w14:paraId="431AA97C"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GSO FSS (Space-earth) in the 17.3-17.7 GHz</w:t>
            </w:r>
          </w:p>
        </w:tc>
        <w:tc>
          <w:tcPr>
            <w:tcW w:w="3918" w:type="dxa"/>
            <w:vAlign w:val="center"/>
          </w:tcPr>
          <w:p w14:paraId="70E4C965"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 xml:space="preserve">Mobile service in the frequency band 17.7-17.8 GHz </w:t>
            </w:r>
          </w:p>
        </w:tc>
      </w:tr>
      <w:tr w:rsidR="0028625B" w:rsidRPr="00B81563" w14:paraId="02C4DBAA" w14:textId="77777777" w:rsidTr="008573EC">
        <w:trPr>
          <w:jc w:val="center"/>
        </w:trPr>
        <w:tc>
          <w:tcPr>
            <w:tcW w:w="1838" w:type="dxa"/>
            <w:vAlign w:val="center"/>
          </w:tcPr>
          <w:p w14:paraId="20C89890"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16</w:t>
            </w:r>
          </w:p>
        </w:tc>
        <w:tc>
          <w:tcPr>
            <w:tcW w:w="3260" w:type="dxa"/>
            <w:vAlign w:val="center"/>
          </w:tcPr>
          <w:p w14:paraId="4A919A63"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NGSO FSS (Space-earth) in the 17.3-17.7 GHz</w:t>
            </w:r>
          </w:p>
        </w:tc>
        <w:tc>
          <w:tcPr>
            <w:tcW w:w="3918" w:type="dxa"/>
            <w:vAlign w:val="center"/>
          </w:tcPr>
          <w:p w14:paraId="4EDCAC25"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 xml:space="preserve">Mobile service in the frequency band 17.7-17.8 GHz </w:t>
            </w:r>
          </w:p>
        </w:tc>
      </w:tr>
      <w:tr w:rsidR="0028625B" w:rsidRPr="00B81563" w14:paraId="3907921A" w14:textId="77777777" w:rsidTr="008573EC">
        <w:trPr>
          <w:jc w:val="center"/>
        </w:trPr>
        <w:tc>
          <w:tcPr>
            <w:tcW w:w="1838" w:type="dxa"/>
            <w:vAlign w:val="center"/>
          </w:tcPr>
          <w:p w14:paraId="552BC287"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17</w:t>
            </w:r>
          </w:p>
        </w:tc>
        <w:tc>
          <w:tcPr>
            <w:tcW w:w="3260" w:type="dxa"/>
            <w:vAlign w:val="center"/>
          </w:tcPr>
          <w:p w14:paraId="0AD2909C"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GSO FSS (Space-earth) in the 17.3-17.7 GHz</w:t>
            </w:r>
          </w:p>
        </w:tc>
        <w:tc>
          <w:tcPr>
            <w:tcW w:w="3918" w:type="dxa"/>
            <w:vAlign w:val="center"/>
          </w:tcPr>
          <w:p w14:paraId="4B0279CD"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Fixed service in the frequency band 15.7-17.3 GHz</w:t>
            </w:r>
          </w:p>
        </w:tc>
      </w:tr>
      <w:tr w:rsidR="0028625B" w:rsidRPr="00B81563" w14:paraId="0366FC05" w14:textId="77777777" w:rsidTr="008573EC">
        <w:trPr>
          <w:jc w:val="center"/>
        </w:trPr>
        <w:tc>
          <w:tcPr>
            <w:tcW w:w="1838" w:type="dxa"/>
            <w:vAlign w:val="center"/>
          </w:tcPr>
          <w:p w14:paraId="727CC71C"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18</w:t>
            </w:r>
          </w:p>
        </w:tc>
        <w:tc>
          <w:tcPr>
            <w:tcW w:w="3260" w:type="dxa"/>
            <w:vAlign w:val="center"/>
          </w:tcPr>
          <w:p w14:paraId="37EF6AF1"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NGSO FSS (Space-earth) in the 17.3-17.7 GHz</w:t>
            </w:r>
          </w:p>
        </w:tc>
        <w:tc>
          <w:tcPr>
            <w:tcW w:w="3918" w:type="dxa"/>
            <w:vAlign w:val="center"/>
          </w:tcPr>
          <w:p w14:paraId="76E67D6F"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Fixed service in the frequency band 15.7-17.3 GHz</w:t>
            </w:r>
          </w:p>
        </w:tc>
      </w:tr>
      <w:tr w:rsidR="0028625B" w:rsidRPr="00B81563" w14:paraId="5D69E387" w14:textId="77777777" w:rsidTr="008573EC">
        <w:trPr>
          <w:jc w:val="center"/>
        </w:trPr>
        <w:tc>
          <w:tcPr>
            <w:tcW w:w="1838" w:type="dxa"/>
            <w:vAlign w:val="center"/>
          </w:tcPr>
          <w:p w14:paraId="20DF067D"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19</w:t>
            </w:r>
          </w:p>
        </w:tc>
        <w:tc>
          <w:tcPr>
            <w:tcW w:w="3260" w:type="dxa"/>
            <w:vAlign w:val="center"/>
          </w:tcPr>
          <w:p w14:paraId="2708A581"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GSO FSS (Space-earth) in the 17.3-17.7 GHz</w:t>
            </w:r>
          </w:p>
        </w:tc>
        <w:tc>
          <w:tcPr>
            <w:tcW w:w="3918" w:type="dxa"/>
            <w:vAlign w:val="center"/>
          </w:tcPr>
          <w:p w14:paraId="11C21344"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Mobile service in the frequency band 15.7-17.3 GHz</w:t>
            </w:r>
          </w:p>
        </w:tc>
      </w:tr>
      <w:tr w:rsidR="0028625B" w:rsidRPr="00B81563" w14:paraId="2B641C2D" w14:textId="77777777" w:rsidTr="008573EC">
        <w:trPr>
          <w:jc w:val="center"/>
        </w:trPr>
        <w:tc>
          <w:tcPr>
            <w:tcW w:w="1838" w:type="dxa"/>
            <w:vAlign w:val="center"/>
          </w:tcPr>
          <w:p w14:paraId="424AAB5A" w14:textId="77777777" w:rsidR="0028625B" w:rsidRPr="00B81563" w:rsidRDefault="0028625B" w:rsidP="008573EC">
            <w:pPr>
              <w:pStyle w:val="Tabletext"/>
              <w:jc w:val="center"/>
              <w:rPr>
                <w:rFonts w:asciiTheme="minorHAnsi" w:hAnsiTheme="minorHAnsi" w:cstheme="minorHAnsi"/>
                <w:lang w:val="en-US"/>
              </w:rPr>
            </w:pPr>
            <w:r w:rsidRPr="00B81563">
              <w:rPr>
                <w:rFonts w:asciiTheme="minorHAnsi" w:hAnsiTheme="minorHAnsi" w:cstheme="minorHAnsi"/>
                <w:lang w:val="en-US"/>
              </w:rPr>
              <w:t>20</w:t>
            </w:r>
          </w:p>
        </w:tc>
        <w:tc>
          <w:tcPr>
            <w:tcW w:w="3260" w:type="dxa"/>
            <w:vAlign w:val="center"/>
          </w:tcPr>
          <w:p w14:paraId="459C7875"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NGSO FSS (Space-earth) in the 17.3-17.7 GHz</w:t>
            </w:r>
          </w:p>
        </w:tc>
        <w:tc>
          <w:tcPr>
            <w:tcW w:w="3918" w:type="dxa"/>
            <w:vAlign w:val="center"/>
          </w:tcPr>
          <w:p w14:paraId="1EC5F566" w14:textId="77777777" w:rsidR="0028625B" w:rsidRPr="00B81563" w:rsidRDefault="0028625B" w:rsidP="008573EC">
            <w:pPr>
              <w:pStyle w:val="Tabletext"/>
              <w:rPr>
                <w:rFonts w:asciiTheme="minorHAnsi" w:hAnsiTheme="minorHAnsi" w:cstheme="minorHAnsi"/>
                <w:lang w:val="en-US"/>
              </w:rPr>
            </w:pPr>
            <w:r w:rsidRPr="00B81563">
              <w:rPr>
                <w:rFonts w:asciiTheme="minorHAnsi" w:hAnsiTheme="minorHAnsi" w:cstheme="minorHAnsi"/>
              </w:rPr>
              <w:t>Mobile service in the frequency band 15.7-17.3 GHz</w:t>
            </w:r>
          </w:p>
        </w:tc>
      </w:tr>
      <w:bookmarkEnd w:id="7"/>
    </w:tbl>
    <w:p w14:paraId="3A99C72F" w14:textId="77777777" w:rsidR="0028625B" w:rsidRDefault="0028625B" w:rsidP="0028625B">
      <w:pPr>
        <w:spacing w:after="120"/>
        <w:rPr>
          <w:rFonts w:cstheme="minorHAnsi"/>
        </w:rPr>
      </w:pPr>
    </w:p>
    <w:p w14:paraId="387B31F0" w14:textId="77777777" w:rsidR="0028625B" w:rsidRPr="00F97146" w:rsidRDefault="0028625B" w:rsidP="00B1497D">
      <w:pPr>
        <w:numPr>
          <w:ilvl w:val="0"/>
          <w:numId w:val="22"/>
        </w:numPr>
        <w:spacing w:after="120"/>
        <w:jc w:val="both"/>
        <w:textAlignment w:val="baseline"/>
        <w:rPr>
          <w:rFonts w:eastAsia="Times New Roman" w:cstheme="minorHAnsi"/>
          <w:color w:val="000000"/>
        </w:rPr>
      </w:pPr>
      <w:r>
        <w:rPr>
          <w:rFonts w:eastAsia="Times New Roman" w:cstheme="minorHAnsi"/>
          <w:color w:val="000000"/>
        </w:rPr>
        <w:t>WRC-23 agenda item 1.19 p</w:t>
      </w:r>
      <w:r w:rsidRPr="00F97146">
        <w:rPr>
          <w:rFonts w:eastAsia="Times New Roman" w:cstheme="minorHAnsi"/>
          <w:color w:val="000000"/>
        </w:rPr>
        <w:t>ropose</w:t>
      </w:r>
      <w:r>
        <w:rPr>
          <w:rFonts w:eastAsia="Times New Roman" w:cstheme="minorHAnsi"/>
          <w:color w:val="000000"/>
        </w:rPr>
        <w:t>s some</w:t>
      </w:r>
      <w:r w:rsidRPr="00F97146">
        <w:rPr>
          <w:rFonts w:eastAsia="Times New Roman" w:cstheme="minorHAnsi"/>
          <w:color w:val="000000"/>
        </w:rPr>
        <w:t xml:space="preserve"> modifications to the </w:t>
      </w:r>
      <w:r>
        <w:rPr>
          <w:rFonts w:eastAsia="Times New Roman" w:cstheme="minorHAnsi"/>
          <w:color w:val="000000"/>
        </w:rPr>
        <w:t xml:space="preserve">ITU Radio </w:t>
      </w:r>
      <w:r w:rsidRPr="00F97146">
        <w:rPr>
          <w:rFonts w:eastAsia="Times New Roman" w:cstheme="minorHAnsi"/>
          <w:color w:val="000000"/>
        </w:rPr>
        <w:t>Regulations:</w:t>
      </w:r>
    </w:p>
    <w:p w14:paraId="69379230" w14:textId="77777777" w:rsidR="0028625B" w:rsidRPr="00F97146" w:rsidRDefault="0028625B" w:rsidP="00B1497D">
      <w:pPr>
        <w:pStyle w:val="ListParagraph"/>
        <w:numPr>
          <w:ilvl w:val="1"/>
          <w:numId w:val="27"/>
        </w:numPr>
        <w:spacing w:after="160"/>
        <w:ind w:left="1134"/>
        <w:contextualSpacing/>
        <w:jc w:val="both"/>
        <w:rPr>
          <w:rFonts w:eastAsia="Times New Roman" w:cstheme="minorHAnsi"/>
          <w:color w:val="000000"/>
        </w:rPr>
      </w:pPr>
      <w:r w:rsidRPr="00F97146">
        <w:rPr>
          <w:rFonts w:eastAsia="Times New Roman" w:cstheme="minorHAnsi"/>
          <w:color w:val="000000"/>
        </w:rPr>
        <w:t>New primary FSS (space-to-Earth) allocation in Region 2 in the frequency allocation table in the 17.3-17.7 GHz band. For the inclusion of this service.</w:t>
      </w:r>
    </w:p>
    <w:p w14:paraId="13F018A7" w14:textId="77777777" w:rsidR="0028625B" w:rsidRPr="00F97146" w:rsidRDefault="0028625B" w:rsidP="00B1497D">
      <w:pPr>
        <w:pStyle w:val="ListParagraph"/>
        <w:numPr>
          <w:ilvl w:val="1"/>
          <w:numId w:val="27"/>
        </w:numPr>
        <w:spacing w:after="160"/>
        <w:ind w:left="1134"/>
        <w:contextualSpacing/>
        <w:jc w:val="both"/>
        <w:rPr>
          <w:rFonts w:eastAsia="Times New Roman" w:cstheme="minorHAnsi"/>
          <w:color w:val="000000"/>
        </w:rPr>
      </w:pPr>
      <w:r w:rsidRPr="00F97146">
        <w:rPr>
          <w:rFonts w:eastAsia="Times New Roman" w:cstheme="minorHAnsi"/>
          <w:color w:val="000000"/>
        </w:rPr>
        <w:t>Modification to RR footnote No. 5.515: Introduce the FSS (space-to-Earth) to protect the existing FSS AP30A (Earth-to-space) in the same way that BSS protects FSS (Earth-to-space) today.</w:t>
      </w:r>
    </w:p>
    <w:p w14:paraId="7CEE70A4" w14:textId="77777777" w:rsidR="0028625B" w:rsidRPr="00F97146" w:rsidRDefault="0028625B" w:rsidP="00B1497D">
      <w:pPr>
        <w:pStyle w:val="ListParagraph"/>
        <w:numPr>
          <w:ilvl w:val="1"/>
          <w:numId w:val="27"/>
        </w:numPr>
        <w:spacing w:after="160"/>
        <w:ind w:left="1134" w:hanging="357"/>
        <w:contextualSpacing/>
        <w:jc w:val="both"/>
        <w:rPr>
          <w:rFonts w:eastAsia="Times New Roman" w:cstheme="minorHAnsi"/>
          <w:color w:val="000000"/>
        </w:rPr>
      </w:pPr>
      <w:r w:rsidRPr="00F97146">
        <w:rPr>
          <w:rFonts w:eastAsia="Times New Roman" w:cstheme="minorHAnsi"/>
          <w:color w:val="000000"/>
        </w:rPr>
        <w:t>Extend the use of RR footnote No. 5.516A to Region 2 to not limit the deployment of FSS AP30A, earth stations in Region 2.</w:t>
      </w:r>
    </w:p>
    <w:p w14:paraId="626449B3" w14:textId="77777777" w:rsidR="0028625B" w:rsidRDefault="0028625B" w:rsidP="00B1497D">
      <w:pPr>
        <w:pStyle w:val="ListParagraph"/>
        <w:numPr>
          <w:ilvl w:val="1"/>
          <w:numId w:val="27"/>
        </w:numPr>
        <w:spacing w:after="160"/>
        <w:ind w:left="1134"/>
        <w:contextualSpacing/>
        <w:jc w:val="both"/>
        <w:rPr>
          <w:rFonts w:eastAsia="Times New Roman" w:cstheme="minorHAnsi"/>
          <w:color w:val="000000"/>
        </w:rPr>
      </w:pPr>
      <w:r w:rsidRPr="00F97146">
        <w:rPr>
          <w:rFonts w:eastAsia="Times New Roman" w:cstheme="minorHAnsi"/>
          <w:color w:val="000000"/>
        </w:rPr>
        <w:t xml:space="preserve">Extend the Article 22 framework to include Limits to the </w:t>
      </w:r>
      <w:proofErr w:type="spellStart"/>
      <w:r w:rsidRPr="00F97146">
        <w:rPr>
          <w:rFonts w:eastAsia="Times New Roman" w:cstheme="minorHAnsi"/>
          <w:color w:val="000000"/>
        </w:rPr>
        <w:t>epfd</w:t>
      </w:r>
      <w:proofErr w:type="spellEnd"/>
      <w:r w:rsidRPr="00F97146">
        <w:rPr>
          <w:rFonts w:eastAsia="Times New Roman" w:cstheme="minorHAnsi"/>
          <w:color w:val="000000"/>
        </w:rPr>
        <w:t xml:space="preserve">↓ and </w:t>
      </w:r>
      <w:proofErr w:type="spellStart"/>
      <w:r w:rsidRPr="00F97146">
        <w:rPr>
          <w:rFonts w:eastAsia="Times New Roman" w:cstheme="minorHAnsi"/>
          <w:color w:val="000000"/>
        </w:rPr>
        <w:t>epfd</w:t>
      </w:r>
      <w:proofErr w:type="spellEnd"/>
      <w:r>
        <w:rPr>
          <w:rFonts w:eastAsia="Times New Roman" w:cstheme="minorHAnsi"/>
          <w:color w:val="000000"/>
        </w:rPr>
        <w:t xml:space="preserve"> </w:t>
      </w:r>
      <w:r w:rsidRPr="00F97146">
        <w:rPr>
          <w:rFonts w:eastAsia="Times New Roman" w:cstheme="minorHAnsi"/>
          <w:color w:val="000000"/>
        </w:rPr>
        <w:t>is radiated by non-geostationary-satellite systems in the fixed-satellite service for the frequency range 17.3-17.8 GHz for protection of GSO FSS/BSS and FSS limited to BSS Feeder link satellite systems, respectively.</w:t>
      </w:r>
    </w:p>
    <w:p w14:paraId="129F2AF4" w14:textId="77777777" w:rsidR="0028625B" w:rsidRDefault="0028625B" w:rsidP="00B1497D">
      <w:pPr>
        <w:numPr>
          <w:ilvl w:val="0"/>
          <w:numId w:val="22"/>
        </w:numPr>
        <w:spacing w:after="120"/>
        <w:jc w:val="both"/>
        <w:textAlignment w:val="baseline"/>
        <w:rPr>
          <w:rFonts w:eastAsia="Times New Roman" w:cstheme="minorHAnsi"/>
          <w:color w:val="000000"/>
        </w:rPr>
      </w:pPr>
      <w:r>
        <w:rPr>
          <w:rFonts w:eastAsia="Times New Roman" w:cstheme="minorHAnsi"/>
          <w:color w:val="000000"/>
        </w:rPr>
        <w:t xml:space="preserve">The next </w:t>
      </w:r>
      <w:r w:rsidRPr="00C21B90">
        <w:rPr>
          <w:rFonts w:eastAsia="Times New Roman" w:cstheme="minorHAnsi"/>
          <w:color w:val="000000"/>
        </w:rPr>
        <w:t>scheduled virtual meeting of WP 4A</w:t>
      </w:r>
      <w:r>
        <w:rPr>
          <w:rFonts w:eastAsia="Times New Roman" w:cstheme="minorHAnsi"/>
          <w:color w:val="000000"/>
        </w:rPr>
        <w:t xml:space="preserve"> </w:t>
      </w:r>
      <w:r w:rsidRPr="00C21B90">
        <w:rPr>
          <w:rFonts w:eastAsia="Times New Roman" w:cstheme="minorHAnsi"/>
          <w:color w:val="000000"/>
        </w:rPr>
        <w:t>in July 2021</w:t>
      </w:r>
      <w:r>
        <w:rPr>
          <w:rFonts w:eastAsia="Times New Roman" w:cstheme="minorHAnsi"/>
          <w:color w:val="000000"/>
        </w:rPr>
        <w:t xml:space="preserve"> will focus on continuing</w:t>
      </w:r>
      <w:r w:rsidRPr="00C21B90">
        <w:rPr>
          <w:rFonts w:eastAsia="Times New Roman" w:cstheme="minorHAnsi"/>
          <w:color w:val="000000"/>
        </w:rPr>
        <w:t xml:space="preserve"> study and compilation of the draft technical and operational characteristics of the systems in the frequency band 17.3-17.7 GHz and in adjacent frequency bands to 17.3-17.7 GHz, involved in this agenda item</w:t>
      </w:r>
      <w:r>
        <w:rPr>
          <w:rFonts w:eastAsia="Times New Roman" w:cstheme="minorHAnsi"/>
          <w:color w:val="000000"/>
        </w:rPr>
        <w:t>. Another work will be to update the draft CPM text.</w:t>
      </w:r>
      <w:bookmarkStart w:id="8" w:name="_Hlk64281359"/>
    </w:p>
    <w:p w14:paraId="19F8B9F0" w14:textId="74F84B65" w:rsidR="0028625B" w:rsidRPr="0028625B" w:rsidRDefault="0028625B" w:rsidP="00B1497D">
      <w:pPr>
        <w:numPr>
          <w:ilvl w:val="0"/>
          <w:numId w:val="22"/>
        </w:numPr>
        <w:spacing w:after="120"/>
        <w:jc w:val="both"/>
        <w:textAlignment w:val="baseline"/>
        <w:rPr>
          <w:rFonts w:eastAsia="Times New Roman" w:cstheme="minorHAnsi"/>
          <w:color w:val="000000"/>
        </w:rPr>
      </w:pPr>
      <w:r w:rsidRPr="0028625B">
        <w:rPr>
          <w:rFonts w:eastAsia="Times New Roman" w:cstheme="minorHAnsi"/>
          <w:color w:val="000000"/>
        </w:rPr>
        <w:t xml:space="preserve">Hyperlink </w:t>
      </w:r>
      <w:r w:rsidR="00CE17F0">
        <w:rPr>
          <w:rFonts w:eastAsia="Times New Roman" w:cstheme="minorHAnsi"/>
          <w:color w:val="000000"/>
        </w:rPr>
        <w:t>related to</w:t>
      </w:r>
      <w:r w:rsidRPr="0028625B">
        <w:rPr>
          <w:rFonts w:eastAsia="Times New Roman" w:cstheme="minorHAnsi"/>
          <w:color w:val="000000"/>
        </w:rPr>
        <w:t xml:space="preserve"> Agenda Item 1.19 WRC 23:</w:t>
      </w:r>
    </w:p>
    <w:bookmarkEnd w:id="8"/>
    <w:p w14:paraId="7601DC97" w14:textId="77777777" w:rsidR="0028625B" w:rsidRPr="0028625B" w:rsidRDefault="0028625B" w:rsidP="00B1497D">
      <w:pPr>
        <w:pStyle w:val="ListParagraph"/>
        <w:numPr>
          <w:ilvl w:val="1"/>
          <w:numId w:val="31"/>
        </w:numPr>
        <w:spacing w:after="160"/>
        <w:ind w:left="1134"/>
        <w:contextualSpacing/>
        <w:jc w:val="both"/>
        <w:rPr>
          <w:rFonts w:eastAsia="Times New Roman" w:cstheme="minorHAnsi"/>
          <w:color w:val="000000"/>
        </w:rPr>
      </w:pPr>
      <w:r w:rsidRPr="0028625B">
        <w:rPr>
          <w:rFonts w:eastAsia="Times New Roman" w:cstheme="minorHAnsi"/>
          <w:color w:val="000000"/>
        </w:rPr>
        <w:t>CITEL Proposal at WRC-19, DRAFT NEW RESOLUTION [IAP/10(L)-17.3-17.7S-E] (WRC-19)] Primary allocation to the fixed satellite service in the space-to-Earth direction in the 17.3-17.7 GHz band in Region 2 (13 September 2019):</w:t>
      </w:r>
    </w:p>
    <w:p w14:paraId="407873BB" w14:textId="5B2F0998" w:rsidR="0028625B" w:rsidRPr="0028625B" w:rsidRDefault="00825CB7" w:rsidP="00B1497D">
      <w:pPr>
        <w:pStyle w:val="ListParagraph"/>
        <w:spacing w:after="160"/>
        <w:ind w:left="1134"/>
        <w:contextualSpacing/>
        <w:jc w:val="both"/>
        <w:rPr>
          <w:rFonts w:eastAsia="Times New Roman" w:cstheme="minorHAnsi"/>
          <w:color w:val="000000"/>
        </w:rPr>
      </w:pPr>
      <w:hyperlink r:id="rId9" w:history="1">
        <w:r w:rsidR="0028625B" w:rsidRPr="005F3750">
          <w:rPr>
            <w:rStyle w:val="Hyperlink"/>
            <w:rFonts w:eastAsia="Times New Roman"/>
          </w:rPr>
          <w:t>https://www.itu.int/net4/proposals/WRC19/Detail/Index?idProposal=50467</w:t>
        </w:r>
      </w:hyperlink>
      <w:r w:rsidR="0028625B" w:rsidRPr="0028625B">
        <w:rPr>
          <w:rFonts w:eastAsia="Times New Roman" w:cstheme="minorHAnsi"/>
          <w:color w:val="000000"/>
        </w:rPr>
        <w:t xml:space="preserve">  </w:t>
      </w:r>
    </w:p>
    <w:p w14:paraId="67FCB5E8" w14:textId="6A1F5421" w:rsidR="0028625B" w:rsidRPr="0028625B" w:rsidRDefault="0028625B" w:rsidP="00B1497D">
      <w:pPr>
        <w:pStyle w:val="ListParagraph"/>
        <w:numPr>
          <w:ilvl w:val="1"/>
          <w:numId w:val="31"/>
        </w:numPr>
        <w:spacing w:after="160"/>
        <w:ind w:left="1134"/>
        <w:contextualSpacing/>
        <w:jc w:val="both"/>
        <w:rPr>
          <w:rFonts w:eastAsia="Times New Roman" w:cstheme="minorHAnsi"/>
          <w:color w:val="000000"/>
        </w:rPr>
      </w:pPr>
      <w:r w:rsidRPr="0028625B">
        <w:rPr>
          <w:rFonts w:eastAsia="Times New Roman" w:cstheme="minorHAnsi"/>
          <w:color w:val="000000"/>
        </w:rPr>
        <w:t>Resolution 174 (WRC-19)</w:t>
      </w:r>
      <w:r>
        <w:rPr>
          <w:rFonts w:eastAsia="Times New Roman" w:cstheme="minorHAnsi"/>
          <w:color w:val="000000"/>
        </w:rPr>
        <w:t>:</w:t>
      </w:r>
    </w:p>
    <w:p w14:paraId="64DB717A" w14:textId="48034E21" w:rsidR="0028625B" w:rsidRPr="0028625B" w:rsidRDefault="00825CB7" w:rsidP="00B1497D">
      <w:pPr>
        <w:pStyle w:val="ListParagraph"/>
        <w:spacing w:after="160"/>
        <w:ind w:left="1134"/>
        <w:contextualSpacing/>
        <w:jc w:val="both"/>
        <w:rPr>
          <w:rFonts w:eastAsia="Times New Roman" w:cstheme="minorHAnsi"/>
          <w:color w:val="000000"/>
        </w:rPr>
      </w:pPr>
      <w:hyperlink r:id="rId10" w:history="1">
        <w:r w:rsidR="0028625B" w:rsidRPr="005F3750">
          <w:rPr>
            <w:rStyle w:val="Hyperlink"/>
            <w:rFonts w:eastAsia="Times New Roman"/>
          </w:rPr>
          <w:t>https://www.itu.int/dms_pub/itu-r/oth/0C/0A/R0C0A00000F0061PDFE.pdf</w:t>
        </w:r>
      </w:hyperlink>
      <w:r w:rsidR="0028625B" w:rsidRPr="0028625B">
        <w:rPr>
          <w:rFonts w:eastAsia="Times New Roman" w:cstheme="minorHAnsi"/>
          <w:color w:val="000000"/>
        </w:rPr>
        <w:t xml:space="preserve"> </w:t>
      </w:r>
    </w:p>
    <w:p w14:paraId="519D3A3F" w14:textId="4EEB6DB9" w:rsidR="0028625B" w:rsidRPr="0028625B" w:rsidRDefault="0028625B" w:rsidP="00B1497D">
      <w:pPr>
        <w:pStyle w:val="ListParagraph"/>
        <w:numPr>
          <w:ilvl w:val="1"/>
          <w:numId w:val="31"/>
        </w:numPr>
        <w:spacing w:after="160"/>
        <w:ind w:left="1134"/>
        <w:contextualSpacing/>
        <w:jc w:val="both"/>
        <w:rPr>
          <w:rFonts w:eastAsia="Times New Roman" w:cstheme="minorHAnsi"/>
          <w:color w:val="000000"/>
        </w:rPr>
      </w:pPr>
      <w:r w:rsidRPr="0028625B">
        <w:rPr>
          <w:rFonts w:eastAsia="Times New Roman" w:cstheme="minorHAnsi"/>
          <w:color w:val="000000"/>
        </w:rPr>
        <w:t xml:space="preserve">Report of activities of the Correspondence Group on WRC-23 agenda item 1.19 to Working Party 4A (Source: Chairman, CG on WRC-23 </w:t>
      </w:r>
      <w:proofErr w:type="spellStart"/>
      <w:r w:rsidRPr="0028625B">
        <w:rPr>
          <w:rFonts w:eastAsia="Times New Roman" w:cstheme="minorHAnsi"/>
          <w:color w:val="000000"/>
        </w:rPr>
        <w:t>a.i.</w:t>
      </w:r>
      <w:proofErr w:type="spellEnd"/>
      <w:r w:rsidRPr="0028625B">
        <w:rPr>
          <w:rFonts w:eastAsia="Times New Roman" w:cstheme="minorHAnsi"/>
          <w:color w:val="000000"/>
        </w:rPr>
        <w:t xml:space="preserve"> 1.19; 2 February 2021)</w:t>
      </w:r>
      <w:r>
        <w:rPr>
          <w:rFonts w:eastAsia="Times New Roman" w:cstheme="minorHAnsi"/>
          <w:color w:val="000000"/>
        </w:rPr>
        <w:t>:</w:t>
      </w:r>
    </w:p>
    <w:p w14:paraId="17D0766E" w14:textId="6085050B" w:rsidR="0028625B" w:rsidRPr="0028625B" w:rsidRDefault="00825CB7" w:rsidP="00B1497D">
      <w:pPr>
        <w:pStyle w:val="ListParagraph"/>
        <w:spacing w:after="160"/>
        <w:ind w:left="1134"/>
        <w:contextualSpacing/>
        <w:jc w:val="both"/>
        <w:rPr>
          <w:rFonts w:eastAsia="Times New Roman" w:cstheme="minorHAnsi"/>
          <w:color w:val="000000"/>
        </w:rPr>
      </w:pPr>
      <w:hyperlink r:id="rId11" w:history="1">
        <w:r w:rsidR="0028625B" w:rsidRPr="005F3750">
          <w:rPr>
            <w:rStyle w:val="Hyperlink"/>
            <w:rFonts w:eastAsia="Times New Roman"/>
          </w:rPr>
          <w:t>https://www.itu.int/md/meetingdoc.asp?lang=en&amp;parent=R19-WP4A-C-0176</w:t>
        </w:r>
      </w:hyperlink>
      <w:r w:rsidR="0028625B" w:rsidRPr="0028625B">
        <w:rPr>
          <w:rFonts w:eastAsia="Times New Roman" w:cstheme="minorHAnsi"/>
          <w:color w:val="000000"/>
        </w:rPr>
        <w:t xml:space="preserve"> </w:t>
      </w:r>
    </w:p>
    <w:p w14:paraId="335C10E2" w14:textId="38DD3616" w:rsidR="0028625B" w:rsidRPr="0028625B" w:rsidRDefault="0028625B" w:rsidP="00B1497D">
      <w:pPr>
        <w:pStyle w:val="ListParagraph"/>
        <w:numPr>
          <w:ilvl w:val="1"/>
          <w:numId w:val="31"/>
        </w:numPr>
        <w:spacing w:after="160"/>
        <w:ind w:left="1134"/>
        <w:contextualSpacing/>
        <w:jc w:val="both"/>
        <w:rPr>
          <w:rFonts w:eastAsia="Times New Roman" w:cstheme="minorHAnsi"/>
          <w:color w:val="000000"/>
        </w:rPr>
      </w:pPr>
      <w:r w:rsidRPr="0028625B">
        <w:rPr>
          <w:rFonts w:eastAsia="Times New Roman" w:cstheme="minorHAnsi"/>
          <w:color w:val="000000"/>
        </w:rPr>
        <w:t xml:space="preserve">Characteristics of space and terrestrial frequency assignments which may be used in sharing and compatibility studies under WRC-23 agenda items 1.16, 1.17 and 1.19 (Source: </w:t>
      </w:r>
      <w:proofErr w:type="spellStart"/>
      <w:proofErr w:type="gramStart"/>
      <w:r w:rsidRPr="0028625B">
        <w:rPr>
          <w:rFonts w:eastAsia="Times New Roman" w:cstheme="minorHAnsi"/>
          <w:color w:val="000000"/>
        </w:rPr>
        <w:t>Director,BR</w:t>
      </w:r>
      <w:proofErr w:type="spellEnd"/>
      <w:proofErr w:type="gramEnd"/>
      <w:r w:rsidRPr="0028625B">
        <w:rPr>
          <w:rFonts w:eastAsia="Times New Roman" w:cstheme="minorHAnsi"/>
          <w:color w:val="000000"/>
        </w:rPr>
        <w:t>; 2 February 2021)</w:t>
      </w:r>
      <w:r>
        <w:rPr>
          <w:rFonts w:eastAsia="Times New Roman" w:cstheme="minorHAnsi"/>
          <w:color w:val="000000"/>
        </w:rPr>
        <w:t>:</w:t>
      </w:r>
    </w:p>
    <w:p w14:paraId="6E008D68" w14:textId="0E9BB67E" w:rsidR="0028625B" w:rsidRPr="0028625B" w:rsidRDefault="00825CB7" w:rsidP="00B1497D">
      <w:pPr>
        <w:pStyle w:val="ListParagraph"/>
        <w:spacing w:after="160"/>
        <w:ind w:left="1134"/>
        <w:contextualSpacing/>
        <w:jc w:val="both"/>
        <w:rPr>
          <w:rFonts w:eastAsia="Times New Roman" w:cstheme="minorHAnsi"/>
          <w:color w:val="000000"/>
        </w:rPr>
      </w:pPr>
      <w:hyperlink r:id="rId12" w:history="1">
        <w:r w:rsidR="0028625B" w:rsidRPr="005F3750">
          <w:rPr>
            <w:rStyle w:val="Hyperlink"/>
            <w:rFonts w:eastAsia="Times New Roman"/>
          </w:rPr>
          <w:t>https://www.itu.int/md/meetingdoc.asp?lang=en&amp;parent=R19-WP4A-C-0175</w:t>
        </w:r>
      </w:hyperlink>
      <w:r w:rsidR="0028625B" w:rsidRPr="0028625B">
        <w:rPr>
          <w:rFonts w:eastAsia="Times New Roman" w:cstheme="minorHAnsi"/>
          <w:color w:val="000000"/>
        </w:rPr>
        <w:t xml:space="preserve"> </w:t>
      </w:r>
    </w:p>
    <w:p w14:paraId="263DD0C9" w14:textId="06B4AA30" w:rsidR="0028625B" w:rsidRPr="0028625B" w:rsidRDefault="0028625B" w:rsidP="00B1497D">
      <w:pPr>
        <w:pStyle w:val="ListParagraph"/>
        <w:numPr>
          <w:ilvl w:val="1"/>
          <w:numId w:val="31"/>
        </w:numPr>
        <w:spacing w:after="160"/>
        <w:ind w:left="1134"/>
        <w:contextualSpacing/>
        <w:jc w:val="both"/>
        <w:rPr>
          <w:rFonts w:eastAsia="Times New Roman" w:cstheme="minorHAnsi"/>
          <w:color w:val="000000"/>
        </w:rPr>
      </w:pPr>
      <w:r w:rsidRPr="0028625B">
        <w:rPr>
          <w:rFonts w:eastAsia="Times New Roman" w:cstheme="minorHAnsi"/>
          <w:color w:val="000000"/>
        </w:rPr>
        <w:t>Proposed working document for sharing and compatibility studies of FSS systems in response to WRC-23 agenda item 1.19 (Source: China; 21 October 2020)</w:t>
      </w:r>
      <w:r>
        <w:rPr>
          <w:rFonts w:eastAsia="Times New Roman" w:cstheme="minorHAnsi"/>
          <w:color w:val="000000"/>
        </w:rPr>
        <w:t>:</w:t>
      </w:r>
    </w:p>
    <w:p w14:paraId="2C7F6831" w14:textId="6CC9DDFB" w:rsidR="0028625B" w:rsidRPr="0028625B" w:rsidRDefault="00825CB7" w:rsidP="00B1497D">
      <w:pPr>
        <w:pStyle w:val="ListParagraph"/>
        <w:spacing w:after="160"/>
        <w:ind w:left="1134"/>
        <w:contextualSpacing/>
        <w:jc w:val="both"/>
        <w:rPr>
          <w:rFonts w:eastAsia="Times New Roman" w:cstheme="minorHAnsi"/>
          <w:color w:val="000000"/>
        </w:rPr>
      </w:pPr>
      <w:hyperlink r:id="rId13" w:history="1">
        <w:r w:rsidR="0028625B" w:rsidRPr="005F3750">
          <w:rPr>
            <w:rStyle w:val="Hyperlink"/>
            <w:rFonts w:eastAsia="Times New Roman"/>
          </w:rPr>
          <w:t>https://www.itu.int/md/meetingdoc.asp?lang=en&amp;parent=R19-WP4A-C-0133</w:t>
        </w:r>
      </w:hyperlink>
      <w:r w:rsidR="0028625B" w:rsidRPr="0028625B">
        <w:rPr>
          <w:rFonts w:eastAsia="Times New Roman" w:cstheme="minorHAnsi"/>
          <w:color w:val="000000"/>
        </w:rPr>
        <w:t xml:space="preserve"> </w:t>
      </w:r>
    </w:p>
    <w:p w14:paraId="2ECCE9FB" w14:textId="1755D023" w:rsidR="0028625B" w:rsidRPr="0028625B" w:rsidRDefault="0028625B" w:rsidP="00B1497D">
      <w:pPr>
        <w:pStyle w:val="ListParagraph"/>
        <w:numPr>
          <w:ilvl w:val="1"/>
          <w:numId w:val="31"/>
        </w:numPr>
        <w:spacing w:after="160"/>
        <w:ind w:left="1134"/>
        <w:contextualSpacing/>
        <w:jc w:val="both"/>
        <w:rPr>
          <w:rFonts w:eastAsia="Times New Roman" w:cstheme="minorHAnsi"/>
          <w:color w:val="000000"/>
        </w:rPr>
      </w:pPr>
      <w:r w:rsidRPr="0028625B">
        <w:rPr>
          <w:rFonts w:eastAsia="Times New Roman" w:cstheme="minorHAnsi"/>
          <w:color w:val="000000"/>
        </w:rPr>
        <w:t>Working document towards a preliminary draft new Report ITU-R S.[FSS 17.3-17.7 GHZ] for compatibility studies in the frequency bands 17.3-17.7 GHz (space-to-Earth) to consider a primary allocation, while ensuring protection of incumbent services (Source: USA; 21 October 2020)</w:t>
      </w:r>
      <w:r>
        <w:rPr>
          <w:rFonts w:eastAsia="Times New Roman" w:cstheme="minorHAnsi"/>
          <w:color w:val="000000"/>
        </w:rPr>
        <w:t>:</w:t>
      </w:r>
    </w:p>
    <w:p w14:paraId="06391548" w14:textId="69A53BB3" w:rsidR="0028625B" w:rsidRPr="0028625B" w:rsidRDefault="00825CB7" w:rsidP="00B1497D">
      <w:pPr>
        <w:pStyle w:val="ListParagraph"/>
        <w:spacing w:after="160"/>
        <w:ind w:left="1134"/>
        <w:contextualSpacing/>
        <w:jc w:val="both"/>
        <w:rPr>
          <w:rFonts w:eastAsia="Times New Roman" w:cstheme="minorHAnsi"/>
          <w:color w:val="000000"/>
        </w:rPr>
      </w:pPr>
      <w:hyperlink r:id="rId14" w:history="1">
        <w:r w:rsidR="0028625B" w:rsidRPr="005F3750">
          <w:rPr>
            <w:rStyle w:val="Hyperlink"/>
            <w:rFonts w:eastAsia="Times New Roman"/>
          </w:rPr>
          <w:t>https://www.itu.int/md/meetingdoc.asp?lang=en&amp;parent=R19-WP4A-C-0113</w:t>
        </w:r>
      </w:hyperlink>
      <w:r w:rsidR="0028625B" w:rsidRPr="0028625B">
        <w:rPr>
          <w:rFonts w:eastAsia="Times New Roman" w:cstheme="minorHAnsi"/>
          <w:color w:val="000000"/>
        </w:rPr>
        <w:t xml:space="preserve"> </w:t>
      </w:r>
    </w:p>
    <w:p w14:paraId="56F22F7D" w14:textId="02F02A68" w:rsidR="0028625B" w:rsidRPr="0028625B" w:rsidRDefault="0028625B" w:rsidP="00B1497D">
      <w:pPr>
        <w:pStyle w:val="ListParagraph"/>
        <w:numPr>
          <w:ilvl w:val="1"/>
          <w:numId w:val="31"/>
        </w:numPr>
        <w:spacing w:after="160"/>
        <w:ind w:left="1134"/>
        <w:contextualSpacing/>
        <w:jc w:val="both"/>
        <w:rPr>
          <w:rFonts w:eastAsia="Times New Roman" w:cstheme="minorHAnsi"/>
          <w:color w:val="000000"/>
        </w:rPr>
      </w:pPr>
      <w:r w:rsidRPr="0028625B">
        <w:rPr>
          <w:rFonts w:eastAsia="Times New Roman" w:cstheme="minorHAnsi"/>
          <w:color w:val="000000"/>
        </w:rPr>
        <w:t xml:space="preserve">Reply liaison statement to Working Party 4A (copy to Working Parties 3M, 5A, 5B, and 5C for information) - WRC-23 agenda item </w:t>
      </w:r>
      <w:proofErr w:type="gramStart"/>
      <w:r w:rsidRPr="0028625B">
        <w:rPr>
          <w:rFonts w:eastAsia="Times New Roman" w:cstheme="minorHAnsi"/>
          <w:color w:val="000000"/>
        </w:rPr>
        <w:t>1.19  (</w:t>
      </w:r>
      <w:proofErr w:type="gramEnd"/>
      <w:r w:rsidRPr="0028625B">
        <w:rPr>
          <w:rFonts w:eastAsia="Times New Roman" w:cstheme="minorHAnsi"/>
          <w:color w:val="000000"/>
        </w:rPr>
        <w:t>Source: WP7B; 28 September 2020)</w:t>
      </w:r>
      <w:r>
        <w:rPr>
          <w:rFonts w:eastAsia="Times New Roman" w:cstheme="minorHAnsi"/>
          <w:color w:val="000000"/>
        </w:rPr>
        <w:t>:</w:t>
      </w:r>
    </w:p>
    <w:p w14:paraId="2414C16D" w14:textId="5092C4AB" w:rsidR="0028625B" w:rsidRPr="0028625B" w:rsidRDefault="00825CB7" w:rsidP="00B1497D">
      <w:pPr>
        <w:pStyle w:val="ListParagraph"/>
        <w:spacing w:after="160"/>
        <w:ind w:left="1134"/>
        <w:contextualSpacing/>
        <w:jc w:val="both"/>
        <w:rPr>
          <w:rFonts w:eastAsia="Times New Roman" w:cstheme="minorHAnsi"/>
          <w:color w:val="000000"/>
        </w:rPr>
      </w:pPr>
      <w:hyperlink r:id="rId15" w:history="1">
        <w:r w:rsidR="0028625B" w:rsidRPr="005F3750">
          <w:rPr>
            <w:rStyle w:val="Hyperlink"/>
            <w:rFonts w:eastAsia="Times New Roman"/>
          </w:rPr>
          <w:t>https://www.itu.int/md/meetingdoc.asp?lang=en&amp;parent=R19-WP4A-C-0072</w:t>
        </w:r>
      </w:hyperlink>
      <w:r w:rsidR="0028625B" w:rsidRPr="0028625B">
        <w:rPr>
          <w:rFonts w:eastAsia="Times New Roman" w:cstheme="minorHAnsi"/>
          <w:color w:val="000000"/>
        </w:rPr>
        <w:t xml:space="preserve"> </w:t>
      </w:r>
    </w:p>
    <w:p w14:paraId="4B4D4578" w14:textId="298FC3B1" w:rsidR="0028625B" w:rsidRPr="0028625B" w:rsidRDefault="0028625B" w:rsidP="00B1497D">
      <w:pPr>
        <w:pStyle w:val="ListParagraph"/>
        <w:numPr>
          <w:ilvl w:val="1"/>
          <w:numId w:val="31"/>
        </w:numPr>
        <w:spacing w:after="160"/>
        <w:ind w:left="1134"/>
        <w:contextualSpacing/>
        <w:jc w:val="both"/>
        <w:rPr>
          <w:rFonts w:eastAsia="Times New Roman" w:cstheme="minorHAnsi"/>
          <w:color w:val="000000"/>
        </w:rPr>
      </w:pPr>
      <w:r w:rsidRPr="0028625B">
        <w:rPr>
          <w:rFonts w:eastAsia="Times New Roman" w:cstheme="minorHAnsi"/>
          <w:color w:val="000000"/>
        </w:rPr>
        <w:t xml:space="preserve">Reply liaison statement to Working Party 4A (copy to Working Parties 3M, 5A, 5B, and 7B for information) - WRC-23 agenda item </w:t>
      </w:r>
      <w:proofErr w:type="gramStart"/>
      <w:r w:rsidRPr="0028625B">
        <w:rPr>
          <w:rFonts w:eastAsia="Times New Roman" w:cstheme="minorHAnsi"/>
          <w:color w:val="000000"/>
        </w:rPr>
        <w:t>1.19  (</w:t>
      </w:r>
      <w:proofErr w:type="gramEnd"/>
      <w:r w:rsidRPr="0028625B">
        <w:rPr>
          <w:rFonts w:eastAsia="Times New Roman" w:cstheme="minorHAnsi"/>
          <w:color w:val="000000"/>
        </w:rPr>
        <w:t>Source: WP5C; 6 August 2020)</w:t>
      </w:r>
      <w:r>
        <w:rPr>
          <w:rFonts w:eastAsia="Times New Roman" w:cstheme="minorHAnsi"/>
          <w:color w:val="000000"/>
        </w:rPr>
        <w:t>:</w:t>
      </w:r>
    </w:p>
    <w:p w14:paraId="6E6EE262" w14:textId="3A1D0627" w:rsidR="0028625B" w:rsidRPr="0028625B" w:rsidRDefault="00825CB7" w:rsidP="00B1497D">
      <w:pPr>
        <w:pStyle w:val="ListParagraph"/>
        <w:spacing w:after="160"/>
        <w:ind w:left="1134"/>
        <w:contextualSpacing/>
        <w:jc w:val="both"/>
        <w:rPr>
          <w:rFonts w:eastAsia="Times New Roman" w:cstheme="minorHAnsi"/>
          <w:color w:val="000000"/>
        </w:rPr>
      </w:pPr>
      <w:hyperlink r:id="rId16" w:history="1">
        <w:r w:rsidR="0028625B" w:rsidRPr="005F3750">
          <w:rPr>
            <w:rStyle w:val="Hyperlink"/>
            <w:rFonts w:eastAsia="Times New Roman"/>
          </w:rPr>
          <w:t>https://www.itu.int/md/meetingdoc.asp?lang=en&amp;parent=R19-WP4A-C-0044</w:t>
        </w:r>
      </w:hyperlink>
      <w:r w:rsidR="0028625B" w:rsidRPr="0028625B">
        <w:rPr>
          <w:rFonts w:eastAsia="Times New Roman" w:cstheme="minorHAnsi"/>
          <w:color w:val="000000"/>
        </w:rPr>
        <w:t xml:space="preserve"> </w:t>
      </w:r>
    </w:p>
    <w:p w14:paraId="2EEFC8FB" w14:textId="0681CB08" w:rsidR="0028625B" w:rsidRPr="0028625B" w:rsidRDefault="0028625B" w:rsidP="00B1497D">
      <w:pPr>
        <w:pStyle w:val="ListParagraph"/>
        <w:numPr>
          <w:ilvl w:val="1"/>
          <w:numId w:val="31"/>
        </w:numPr>
        <w:spacing w:after="160"/>
        <w:ind w:left="1134"/>
        <w:contextualSpacing/>
        <w:jc w:val="both"/>
        <w:rPr>
          <w:rFonts w:eastAsia="Times New Roman" w:cstheme="minorHAnsi"/>
          <w:color w:val="000000"/>
        </w:rPr>
      </w:pPr>
      <w:r w:rsidRPr="0028625B">
        <w:rPr>
          <w:rFonts w:eastAsia="Times New Roman" w:cstheme="minorHAnsi"/>
          <w:color w:val="000000"/>
        </w:rPr>
        <w:t xml:space="preserve">Reply liaison statement to Working Party 4A - WRC-23 agenda item 1.19 - Characteristics of radiodetermination systems operation in frequency bands adjacent to frequency band 17.3-17.7 </w:t>
      </w:r>
      <w:proofErr w:type="gramStart"/>
      <w:r w:rsidRPr="0028625B">
        <w:rPr>
          <w:rFonts w:eastAsia="Times New Roman" w:cstheme="minorHAnsi"/>
          <w:color w:val="000000"/>
        </w:rPr>
        <w:t>GHz  (</w:t>
      </w:r>
      <w:proofErr w:type="gramEnd"/>
      <w:r w:rsidRPr="0028625B">
        <w:rPr>
          <w:rFonts w:eastAsia="Times New Roman" w:cstheme="minorHAnsi"/>
          <w:color w:val="000000"/>
        </w:rPr>
        <w:t>Source: WP5B; 5 August 2020)</w:t>
      </w:r>
      <w:r>
        <w:rPr>
          <w:rFonts w:eastAsia="Times New Roman" w:cstheme="minorHAnsi"/>
          <w:color w:val="000000"/>
        </w:rPr>
        <w:t>:</w:t>
      </w:r>
    </w:p>
    <w:p w14:paraId="0129B534" w14:textId="6E8CB5A7" w:rsidR="00E41BE2" w:rsidRPr="0028625B" w:rsidRDefault="00825CB7" w:rsidP="00B1497D">
      <w:pPr>
        <w:pStyle w:val="ListParagraph"/>
        <w:spacing w:after="160"/>
        <w:ind w:left="1134"/>
        <w:contextualSpacing/>
        <w:jc w:val="both"/>
        <w:rPr>
          <w:rFonts w:eastAsia="Times New Roman" w:cstheme="minorHAnsi"/>
          <w:color w:val="000000"/>
        </w:rPr>
      </w:pPr>
      <w:hyperlink r:id="rId17" w:history="1">
        <w:r w:rsidR="0028625B" w:rsidRPr="005F3750">
          <w:rPr>
            <w:rStyle w:val="Hyperlink"/>
            <w:rFonts w:eastAsia="Times New Roman"/>
          </w:rPr>
          <w:t>https://www.itu.int/md/meetingdoc.asp?lang=en&amp;parent=R19-WP4A-C-0039</w:t>
        </w:r>
      </w:hyperlink>
      <w:r w:rsidR="0028625B" w:rsidRPr="0028625B">
        <w:rPr>
          <w:rFonts w:eastAsia="Times New Roman" w:cstheme="minorHAnsi"/>
          <w:color w:val="000000"/>
        </w:rPr>
        <w:t xml:space="preserve"> </w:t>
      </w:r>
    </w:p>
    <w:p w14:paraId="433969AB" w14:textId="465E26B0" w:rsidR="00957294" w:rsidRPr="0028625B" w:rsidRDefault="00957294" w:rsidP="00B1497D">
      <w:pPr>
        <w:spacing w:after="120"/>
        <w:jc w:val="both"/>
        <w:rPr>
          <w:b/>
          <w:lang w:val="en-NZ" w:eastAsia="ko-KR"/>
        </w:rPr>
      </w:pPr>
      <w:r>
        <w:rPr>
          <w:b/>
          <w:lang w:val="en-NZ" w:eastAsia="ko-KR"/>
        </w:rPr>
        <w:t>3</w:t>
      </w:r>
      <w:r w:rsidRPr="00441526">
        <w:rPr>
          <w:b/>
          <w:lang w:val="en-NZ" w:eastAsia="ko-KR"/>
        </w:rPr>
        <w:t xml:space="preserve">. </w:t>
      </w:r>
      <w:r w:rsidRPr="00441526">
        <w:rPr>
          <w:b/>
          <w:lang w:val="en-NZ" w:eastAsia="ko-KR"/>
        </w:rPr>
        <w:tab/>
      </w:r>
      <w:r>
        <w:rPr>
          <w:b/>
          <w:lang w:val="en-NZ" w:eastAsia="ko-KR"/>
        </w:rPr>
        <w:t>Position of the Regional Group</w:t>
      </w:r>
    </w:p>
    <w:p w14:paraId="5E36463A" w14:textId="00607247" w:rsidR="0028625B" w:rsidRPr="0028625B" w:rsidRDefault="0028625B" w:rsidP="00B1497D">
      <w:pPr>
        <w:numPr>
          <w:ilvl w:val="0"/>
          <w:numId w:val="22"/>
        </w:numPr>
        <w:spacing w:after="160"/>
        <w:jc w:val="both"/>
        <w:textAlignment w:val="baseline"/>
        <w:rPr>
          <w:rFonts w:eastAsia="Times New Roman" w:cstheme="minorHAnsi"/>
          <w:b/>
          <w:bCs/>
          <w:color w:val="000000"/>
        </w:rPr>
      </w:pPr>
      <w:r w:rsidRPr="0028625B">
        <w:rPr>
          <w:rFonts w:eastAsia="Times New Roman" w:cstheme="minorHAnsi"/>
          <w:b/>
          <w:bCs/>
          <w:color w:val="000000"/>
        </w:rPr>
        <w:t xml:space="preserve">CEPT </w:t>
      </w:r>
      <w:bookmarkStart w:id="9" w:name="_Hlk64281246"/>
      <w:r w:rsidRPr="0028625B">
        <w:rPr>
          <w:rFonts w:eastAsia="Times New Roman" w:cstheme="minorHAnsi"/>
          <w:b/>
          <w:bCs/>
          <w:color w:val="000000"/>
        </w:rPr>
        <w:t>(European Conference of Postal and Telecommunications Administrations):</w:t>
      </w:r>
      <w:bookmarkEnd w:id="9"/>
    </w:p>
    <w:p w14:paraId="63310439" w14:textId="3F05DDBB" w:rsidR="0028625B" w:rsidRPr="0028625B" w:rsidRDefault="0028625B" w:rsidP="00B1497D">
      <w:pPr>
        <w:spacing w:after="160"/>
        <w:ind w:left="720"/>
        <w:jc w:val="both"/>
        <w:textAlignment w:val="baseline"/>
        <w:rPr>
          <w:rFonts w:eastAsia="Times New Roman" w:cstheme="minorHAnsi"/>
          <w:color w:val="000000"/>
        </w:rPr>
      </w:pPr>
      <w:r w:rsidRPr="0028625B">
        <w:rPr>
          <w:rFonts w:eastAsia="Times New Roman" w:cstheme="minorHAnsi"/>
          <w:color w:val="000000"/>
        </w:rPr>
        <w:t>Given that frequency band 17.3‐17.7 GHz is allocated to FSS (space to Earth) in Region 1, CEPT would support a similar allocation in Region 2 which facilitates the use of spectrum available to networks and systems in the FSS in different Regions, if the studies show that the new allocation is feasible.</w:t>
      </w:r>
    </w:p>
    <w:p w14:paraId="09BD0881" w14:textId="77777777" w:rsidR="0028625B" w:rsidRDefault="0028625B" w:rsidP="00B1497D">
      <w:pPr>
        <w:spacing w:after="160"/>
        <w:ind w:left="720"/>
        <w:jc w:val="both"/>
        <w:textAlignment w:val="baseline"/>
        <w:rPr>
          <w:rFonts w:eastAsia="Times New Roman" w:cstheme="minorHAnsi"/>
          <w:color w:val="000000"/>
        </w:rPr>
      </w:pPr>
      <w:r w:rsidRPr="0028625B">
        <w:rPr>
          <w:rFonts w:eastAsia="Times New Roman" w:cstheme="minorHAnsi"/>
          <w:color w:val="000000"/>
        </w:rPr>
        <w:t>Source: Status of CEPT Preparation For WRC-23 / RA-23, December 2020</w:t>
      </w:r>
      <w:r>
        <w:rPr>
          <w:rFonts w:eastAsia="Times New Roman" w:cstheme="minorHAnsi"/>
          <w:color w:val="000000"/>
        </w:rPr>
        <w:t>:</w:t>
      </w:r>
    </w:p>
    <w:p w14:paraId="2D6B764F" w14:textId="40439A19" w:rsidR="0028625B" w:rsidRPr="0028625B" w:rsidRDefault="00825CB7" w:rsidP="00B1497D">
      <w:pPr>
        <w:spacing w:after="160"/>
        <w:ind w:left="720"/>
        <w:jc w:val="both"/>
        <w:textAlignment w:val="baseline"/>
        <w:rPr>
          <w:rFonts w:eastAsia="Times New Roman" w:cstheme="minorHAnsi"/>
          <w:color w:val="000000"/>
        </w:rPr>
      </w:pPr>
      <w:hyperlink r:id="rId18" w:history="1">
        <w:r w:rsidR="0028625B" w:rsidRPr="005F3750">
          <w:rPr>
            <w:rStyle w:val="Hyperlink"/>
          </w:rPr>
          <w:t>https://cept.org/files/4200/2021-01-14%20Status%20of%20CEPT%20prepararation%20for%20WRC-23%20(December%202020).pdf</w:t>
        </w:r>
      </w:hyperlink>
      <w:r w:rsidR="0028625B" w:rsidRPr="00C0660C">
        <w:rPr>
          <w:rFonts w:eastAsia="Times New Roman" w:cstheme="minorHAnsi"/>
        </w:rPr>
        <w:t xml:space="preserve"> </w:t>
      </w:r>
    </w:p>
    <w:p w14:paraId="0EA66EC6" w14:textId="77777777" w:rsidR="0028625B" w:rsidRPr="0028625B" w:rsidRDefault="0028625B" w:rsidP="00B1497D">
      <w:pPr>
        <w:numPr>
          <w:ilvl w:val="0"/>
          <w:numId w:val="22"/>
        </w:numPr>
        <w:spacing w:after="160"/>
        <w:jc w:val="both"/>
        <w:textAlignment w:val="baseline"/>
        <w:rPr>
          <w:rFonts w:eastAsia="Times New Roman" w:cstheme="minorHAnsi"/>
          <w:b/>
          <w:bCs/>
          <w:color w:val="000000"/>
        </w:rPr>
      </w:pPr>
      <w:bookmarkStart w:id="10" w:name="_Hlk64281316"/>
      <w:r w:rsidRPr="0028625B">
        <w:rPr>
          <w:rFonts w:eastAsia="Times New Roman" w:cstheme="minorHAnsi"/>
          <w:b/>
          <w:bCs/>
          <w:color w:val="000000"/>
        </w:rPr>
        <w:t>CITEL (Inter-American Telecommunication Commission):</w:t>
      </w:r>
    </w:p>
    <w:bookmarkEnd w:id="10"/>
    <w:p w14:paraId="21F44CA4" w14:textId="2644D2CC" w:rsidR="0028625B" w:rsidRPr="0028625B" w:rsidRDefault="0028625B" w:rsidP="00B1497D">
      <w:pPr>
        <w:spacing w:after="160"/>
        <w:ind w:left="720"/>
        <w:jc w:val="both"/>
        <w:textAlignment w:val="baseline"/>
        <w:rPr>
          <w:rFonts w:eastAsia="Times New Roman" w:cstheme="minorHAnsi"/>
          <w:color w:val="000000"/>
        </w:rPr>
      </w:pPr>
      <w:r w:rsidRPr="0028625B">
        <w:rPr>
          <w:rFonts w:eastAsia="Times New Roman" w:cstheme="minorHAnsi"/>
          <w:color w:val="000000"/>
        </w:rPr>
        <w:t>Some administrations support the proposal to study a new FSS allocation in the space-to-Earth direction in the frequency band 17.3-17.7 GHz for Region 2 while ensuring the protection of existing primary services in this band and the adjacent bands.</w:t>
      </w:r>
    </w:p>
    <w:p w14:paraId="342CF796" w14:textId="5119A741" w:rsidR="0028625B" w:rsidRPr="0028625B" w:rsidRDefault="0028625B" w:rsidP="00B1497D">
      <w:pPr>
        <w:spacing w:after="160"/>
        <w:ind w:left="720"/>
        <w:jc w:val="both"/>
        <w:textAlignment w:val="baseline"/>
        <w:rPr>
          <w:rFonts w:eastAsia="Times New Roman" w:cstheme="minorHAnsi"/>
          <w:color w:val="000000"/>
        </w:rPr>
      </w:pPr>
      <w:r w:rsidRPr="0028625B">
        <w:rPr>
          <w:rFonts w:eastAsia="Times New Roman" w:cstheme="minorHAnsi"/>
          <w:color w:val="000000"/>
        </w:rPr>
        <w:t>An Administration supports studies, in accordance with Resolution 174 (WRC-19), to develop appropriate regulatory provisions and coordination mechanisms to protect Appendix 30A BSS feeder links, BSS downlinks while also ensuring the protection of existing primary services in this band and the adjacent bands, as appropriate, to facilitate a new FSS downlink allocation in the frequency range 17.3-17.7 GHz in Region 2.</w:t>
      </w:r>
    </w:p>
    <w:p w14:paraId="3C22FE53" w14:textId="0220D9D8" w:rsidR="0028625B" w:rsidRPr="00567B5B" w:rsidRDefault="0028625B" w:rsidP="00B1497D">
      <w:pPr>
        <w:spacing w:after="160"/>
        <w:ind w:left="426" w:firstLine="294"/>
        <w:jc w:val="both"/>
        <w:rPr>
          <w:rFonts w:eastAsia="Times New Roman" w:cstheme="minorHAnsi"/>
        </w:rPr>
      </w:pPr>
      <w:r w:rsidRPr="00567B5B">
        <w:rPr>
          <w:rFonts w:eastAsia="Times New Roman" w:cstheme="minorHAnsi"/>
        </w:rPr>
        <w:t xml:space="preserve">Source: </w:t>
      </w:r>
      <w:r w:rsidRPr="0067172B">
        <w:rPr>
          <w:rFonts w:eastAsia="Times New Roman" w:cstheme="minorHAnsi"/>
        </w:rPr>
        <w:t>36 Meeting of PCC.II</w:t>
      </w:r>
      <w:r w:rsidRPr="00567B5B">
        <w:rPr>
          <w:rFonts w:eastAsia="Times New Roman" w:cstheme="minorHAnsi"/>
        </w:rPr>
        <w:t>,</w:t>
      </w:r>
      <w:r w:rsidRPr="0067172B">
        <w:rPr>
          <w:rFonts w:eastAsia="Times New Roman" w:cstheme="minorHAnsi"/>
        </w:rPr>
        <w:t xml:space="preserve"> </w:t>
      </w:r>
      <w:r w:rsidRPr="00567B5B">
        <w:rPr>
          <w:rFonts w:eastAsia="Times New Roman" w:cstheme="minorHAnsi"/>
        </w:rPr>
        <w:t xml:space="preserve">30 </w:t>
      </w:r>
      <w:r w:rsidRPr="0067172B">
        <w:rPr>
          <w:rFonts w:eastAsia="Times New Roman" w:cstheme="minorHAnsi"/>
        </w:rPr>
        <w:t xml:space="preserve">November to </w:t>
      </w:r>
      <w:r w:rsidRPr="00567B5B">
        <w:rPr>
          <w:rFonts w:eastAsia="Times New Roman" w:cstheme="minorHAnsi"/>
        </w:rPr>
        <w:t xml:space="preserve">4 </w:t>
      </w:r>
      <w:proofErr w:type="gramStart"/>
      <w:r w:rsidRPr="0067172B">
        <w:rPr>
          <w:rFonts w:eastAsia="Times New Roman" w:cstheme="minorHAnsi"/>
        </w:rPr>
        <w:t>December,</w:t>
      </w:r>
      <w:proofErr w:type="gramEnd"/>
      <w:r w:rsidRPr="0067172B">
        <w:rPr>
          <w:rFonts w:eastAsia="Times New Roman" w:cstheme="minorHAnsi"/>
        </w:rPr>
        <w:t xml:space="preserve"> 2020</w:t>
      </w:r>
      <w:r>
        <w:rPr>
          <w:rFonts w:eastAsia="Times New Roman" w:cstheme="minorHAnsi"/>
        </w:rPr>
        <w:t>:</w:t>
      </w:r>
    </w:p>
    <w:p w14:paraId="25837EE9" w14:textId="2D9E4E52" w:rsidR="0028625B" w:rsidRDefault="00825CB7" w:rsidP="00B1497D">
      <w:pPr>
        <w:spacing w:after="160"/>
        <w:ind w:left="709"/>
        <w:jc w:val="both"/>
        <w:rPr>
          <w:rFonts w:eastAsia="Times New Roman" w:cstheme="minorHAnsi"/>
          <w:lang w:val="en-GB"/>
        </w:rPr>
      </w:pPr>
      <w:hyperlink r:id="rId19" w:history="1">
        <w:r w:rsidR="0028625B" w:rsidRPr="005F3750">
          <w:rPr>
            <w:rStyle w:val="Hyperlink"/>
            <w:rFonts w:eastAsia="Times New Roman" w:cstheme="minorHAnsi"/>
            <w:lang w:val="en-GB"/>
          </w:rPr>
          <w:t>https://cept.org/Documents/cpg/61939/cpg-20-info-26_citels-preparation-for-world-radiocommunication-conferences</w:t>
        </w:r>
      </w:hyperlink>
      <w:r w:rsidR="0028625B">
        <w:rPr>
          <w:rFonts w:eastAsia="Times New Roman" w:cstheme="minorHAnsi"/>
          <w:lang w:val="en-GB"/>
        </w:rPr>
        <w:t xml:space="preserve"> </w:t>
      </w:r>
    </w:p>
    <w:p w14:paraId="40A8726F" w14:textId="77777777" w:rsidR="0028625B" w:rsidRPr="0028625B" w:rsidRDefault="0028625B" w:rsidP="00B1497D">
      <w:pPr>
        <w:numPr>
          <w:ilvl w:val="0"/>
          <w:numId w:val="22"/>
        </w:numPr>
        <w:spacing w:after="160"/>
        <w:jc w:val="both"/>
        <w:textAlignment w:val="baseline"/>
        <w:rPr>
          <w:rFonts w:eastAsia="Times New Roman" w:cstheme="minorHAnsi"/>
          <w:b/>
          <w:bCs/>
          <w:color w:val="000000"/>
        </w:rPr>
      </w:pPr>
      <w:bookmarkStart w:id="11" w:name="_Hlk64281339"/>
      <w:r w:rsidRPr="0028625B">
        <w:rPr>
          <w:rFonts w:eastAsia="Times New Roman" w:cstheme="minorHAnsi"/>
          <w:b/>
          <w:bCs/>
          <w:color w:val="000000"/>
        </w:rPr>
        <w:t>RCC (Regional Commonwealth in the Field of Communications):</w:t>
      </w:r>
    </w:p>
    <w:bookmarkEnd w:id="11"/>
    <w:p w14:paraId="193AD23C" w14:textId="748A61A0" w:rsidR="0028625B" w:rsidRPr="0028625B" w:rsidRDefault="0028625B" w:rsidP="00B1497D">
      <w:pPr>
        <w:spacing w:after="160"/>
        <w:ind w:left="720"/>
        <w:jc w:val="both"/>
        <w:textAlignment w:val="baseline"/>
        <w:rPr>
          <w:rFonts w:eastAsia="Times New Roman" w:cstheme="minorHAnsi"/>
          <w:color w:val="000000"/>
        </w:rPr>
      </w:pPr>
      <w:r w:rsidRPr="0028625B">
        <w:rPr>
          <w:rFonts w:eastAsia="Times New Roman" w:cstheme="minorHAnsi"/>
          <w:color w:val="000000"/>
        </w:rPr>
        <w:t>The RCC Administrations consider it reasonable to study sharing possibilities between FSS in Region 2 and existing services in Region 1 in the frequency band 17.3-17.7 GHz and in the adjacent bands.</w:t>
      </w:r>
    </w:p>
    <w:p w14:paraId="00A00D56" w14:textId="49835D23" w:rsidR="0028625B" w:rsidRPr="0028625B" w:rsidRDefault="0028625B" w:rsidP="00B1497D">
      <w:pPr>
        <w:spacing w:after="160"/>
        <w:ind w:left="709"/>
        <w:jc w:val="both"/>
        <w:rPr>
          <w:rFonts w:eastAsia="Times New Roman" w:cstheme="minorHAnsi"/>
        </w:rPr>
      </w:pPr>
      <w:r w:rsidRPr="0028625B">
        <w:rPr>
          <w:rFonts w:eastAsia="Times New Roman" w:cstheme="minorHAnsi"/>
        </w:rPr>
        <w:t>Source: Preliminary Position of the RCC Administrations on Agenda Items of the World Radiocommunication Conference 2023, 4 September 2020</w:t>
      </w:r>
      <w:r>
        <w:rPr>
          <w:rFonts w:eastAsia="Times New Roman" w:cstheme="minorHAnsi"/>
        </w:rPr>
        <w:t>:</w:t>
      </w:r>
    </w:p>
    <w:p w14:paraId="172C3EF0" w14:textId="566A4B3A" w:rsidR="0028625B" w:rsidRDefault="00825CB7" w:rsidP="00B1497D">
      <w:pPr>
        <w:spacing w:after="160"/>
        <w:ind w:firstLine="709"/>
        <w:rPr>
          <w:rStyle w:val="Hyperlink"/>
          <w:rFonts w:eastAsia="Times New Roman" w:cstheme="minorHAnsi"/>
        </w:rPr>
      </w:pPr>
      <w:hyperlink r:id="rId20" w:history="1">
        <w:r w:rsidR="0028625B" w:rsidRPr="005F3750">
          <w:rPr>
            <w:rStyle w:val="Hyperlink"/>
            <w:rFonts w:eastAsia="Times New Roman" w:cstheme="minorHAnsi"/>
          </w:rPr>
          <w:t>https://www.itu.int/oth/R0A0200000B/en</w:t>
        </w:r>
      </w:hyperlink>
    </w:p>
    <w:p w14:paraId="1777347D" w14:textId="3D15A375" w:rsidR="0028625B" w:rsidRPr="0028625B" w:rsidRDefault="0028625B" w:rsidP="00B1497D">
      <w:pPr>
        <w:numPr>
          <w:ilvl w:val="0"/>
          <w:numId w:val="22"/>
        </w:numPr>
        <w:spacing w:after="160"/>
        <w:jc w:val="both"/>
        <w:textAlignment w:val="baseline"/>
        <w:rPr>
          <w:rFonts w:eastAsia="Times New Roman" w:cstheme="minorHAnsi"/>
          <w:b/>
          <w:bCs/>
          <w:color w:val="000000"/>
        </w:rPr>
      </w:pPr>
      <w:r w:rsidRPr="0028625B">
        <w:rPr>
          <w:rFonts w:eastAsia="Times New Roman" w:cstheme="minorHAnsi"/>
          <w:b/>
          <w:bCs/>
          <w:color w:val="000000"/>
        </w:rPr>
        <w:t>ASMG (Arab Spectrum Management Group):</w:t>
      </w:r>
    </w:p>
    <w:p w14:paraId="53256056" w14:textId="38B1BA39" w:rsidR="0028625B" w:rsidRPr="0028625B" w:rsidRDefault="0028625B" w:rsidP="00B1497D">
      <w:pPr>
        <w:spacing w:after="160"/>
        <w:ind w:left="720"/>
        <w:jc w:val="both"/>
        <w:textAlignment w:val="baseline"/>
        <w:rPr>
          <w:rFonts w:eastAsia="Times New Roman" w:cstheme="minorHAnsi"/>
          <w:color w:val="000000"/>
        </w:rPr>
      </w:pPr>
      <w:r w:rsidRPr="0028625B">
        <w:rPr>
          <w:rFonts w:eastAsia="Times New Roman" w:cstheme="minorHAnsi"/>
          <w:color w:val="000000"/>
        </w:rPr>
        <w:t>Follow-up studies and make sure that any new allocation in Region 2 will ensure the protection of existing services in the frequency band and adjacent bands in Region 1.</w:t>
      </w:r>
    </w:p>
    <w:p w14:paraId="5BED98EC" w14:textId="7C8FEE31" w:rsidR="0028625B" w:rsidRDefault="0028625B" w:rsidP="00B1497D">
      <w:pPr>
        <w:spacing w:after="160"/>
        <w:ind w:left="720"/>
        <w:jc w:val="both"/>
        <w:textAlignment w:val="baseline"/>
        <w:rPr>
          <w:rFonts w:eastAsia="Times New Roman" w:cstheme="minorHAnsi"/>
          <w:color w:val="000000"/>
        </w:rPr>
      </w:pPr>
      <w:r>
        <w:rPr>
          <w:rFonts w:eastAsia="Times New Roman" w:cstheme="minorHAnsi"/>
          <w:color w:val="000000"/>
        </w:rPr>
        <w:t xml:space="preserve">Source: </w:t>
      </w:r>
      <w:r w:rsidRPr="0046102C">
        <w:rPr>
          <w:rFonts w:eastAsia="Times New Roman" w:cstheme="minorHAnsi"/>
          <w:color w:val="000000"/>
        </w:rPr>
        <w:t>26th ASMG Meeting</w:t>
      </w:r>
      <w:r>
        <w:rPr>
          <w:rFonts w:eastAsia="Times New Roman" w:cstheme="minorHAnsi"/>
          <w:color w:val="000000"/>
        </w:rPr>
        <w:t>, 9-11 February 2020:</w:t>
      </w:r>
    </w:p>
    <w:p w14:paraId="4A980740" w14:textId="7732D200" w:rsidR="005263C8" w:rsidRDefault="00825CB7" w:rsidP="00B1497D">
      <w:pPr>
        <w:spacing w:after="160"/>
        <w:ind w:left="709"/>
        <w:contextualSpacing/>
        <w:jc w:val="both"/>
        <w:rPr>
          <w:rFonts w:eastAsia="Times New Roman" w:cstheme="minorHAnsi"/>
          <w:color w:val="000000"/>
        </w:rPr>
      </w:pPr>
      <w:hyperlink r:id="rId21" w:history="1">
        <w:r w:rsidR="0028625B" w:rsidRPr="005F3750">
          <w:rPr>
            <w:rStyle w:val="Hyperlink"/>
            <w:rFonts w:eastAsia="Times New Roman" w:cstheme="minorHAnsi"/>
          </w:rPr>
          <w:t>https://www.cept.org/Documents/cpg/59739/cpg-20-info-10_asmg-structure-and-preliminary-positions-for-wrc-23</w:t>
        </w:r>
      </w:hyperlink>
      <w:r w:rsidR="0028625B">
        <w:rPr>
          <w:rFonts w:eastAsia="Times New Roman" w:cstheme="minorHAnsi"/>
          <w:color w:val="000000"/>
        </w:rPr>
        <w:t xml:space="preserve"> </w:t>
      </w:r>
    </w:p>
    <w:p w14:paraId="73AF4DB9" w14:textId="77777777" w:rsidR="0028625B" w:rsidRPr="0028625B" w:rsidRDefault="0028625B" w:rsidP="00B1497D">
      <w:pPr>
        <w:spacing w:after="160"/>
        <w:ind w:left="709"/>
        <w:contextualSpacing/>
        <w:jc w:val="both"/>
        <w:rPr>
          <w:rFonts w:eastAsia="Times New Roman" w:cstheme="minorHAnsi"/>
          <w:color w:val="000000"/>
        </w:rPr>
      </w:pPr>
    </w:p>
    <w:p w14:paraId="32715F49" w14:textId="25E5E5CF" w:rsidR="00957294" w:rsidRPr="00441526" w:rsidRDefault="00957294" w:rsidP="00B1497D">
      <w:pPr>
        <w:spacing w:after="120"/>
        <w:jc w:val="both"/>
        <w:rPr>
          <w:b/>
          <w:lang w:val="en-NZ" w:eastAsia="ko-KR"/>
        </w:rPr>
      </w:pPr>
      <w:r>
        <w:rPr>
          <w:b/>
          <w:lang w:val="en-NZ" w:eastAsia="ko-KR"/>
        </w:rPr>
        <w:t>4</w:t>
      </w:r>
      <w:r w:rsidRPr="00441526">
        <w:rPr>
          <w:b/>
          <w:lang w:val="en-NZ" w:eastAsia="ko-KR"/>
        </w:rPr>
        <w:t xml:space="preserve">. </w:t>
      </w:r>
      <w:r w:rsidRPr="00441526">
        <w:rPr>
          <w:b/>
          <w:lang w:val="en-NZ" w:eastAsia="ko-KR"/>
        </w:rPr>
        <w:tab/>
      </w:r>
      <w:r w:rsidR="005263C8">
        <w:rPr>
          <w:b/>
          <w:lang w:val="en-NZ" w:eastAsia="ko-KR"/>
        </w:rPr>
        <w:t>Position of International Organizations</w:t>
      </w:r>
    </w:p>
    <w:p w14:paraId="1BAB55AA" w14:textId="4F9C6FFE" w:rsidR="0037421D" w:rsidRDefault="0028625B" w:rsidP="00B1497D">
      <w:pPr>
        <w:spacing w:after="160"/>
        <w:ind w:left="720"/>
        <w:jc w:val="both"/>
        <w:textAlignment w:val="baseline"/>
        <w:rPr>
          <w:b/>
        </w:rPr>
      </w:pPr>
      <w:bookmarkStart w:id="12" w:name="_Hlk64281030"/>
      <w:r w:rsidRPr="0028625B">
        <w:rPr>
          <w:rFonts w:eastAsia="Times New Roman" w:cstheme="minorHAnsi"/>
          <w:color w:val="000000"/>
        </w:rPr>
        <w:t>There is no available information regarding the position of International Organizations towards WRC-23 Agenda Item 1.19 at the time this document is created.</w:t>
      </w:r>
      <w:bookmarkEnd w:id="12"/>
    </w:p>
    <w:p w14:paraId="17021774" w14:textId="77777777" w:rsidR="0037421D" w:rsidRPr="00EC249E" w:rsidRDefault="0037421D" w:rsidP="00E5341E">
      <w:pPr>
        <w:spacing w:after="120"/>
        <w:jc w:val="both"/>
        <w:rPr>
          <w:b/>
        </w:rPr>
      </w:pPr>
    </w:p>
    <w:sectPr w:rsidR="0037421D" w:rsidRPr="00EC249E" w:rsidSect="00FF72BB">
      <w:headerReference w:type="default" r:id="rId22"/>
      <w:footerReference w:type="even" r:id="rId23"/>
      <w:footerReference w:type="default" r:id="rId24"/>
      <w:footerReference w:type="first" r:id="rId25"/>
      <w:pgSz w:w="11909" w:h="16834" w:code="9"/>
      <w:pgMar w:top="1152" w:right="1296"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10BF15" w14:textId="77777777" w:rsidR="00825CB7" w:rsidRDefault="00825CB7">
      <w:r>
        <w:separator/>
      </w:r>
    </w:p>
  </w:endnote>
  <w:endnote w:type="continuationSeparator" w:id="0">
    <w:p w14:paraId="1C1D07DC" w14:textId="77777777" w:rsidR="00825CB7" w:rsidRDefault="00825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GulimChe">
    <w:charset w:val="81"/>
    <w:family w:val="modern"/>
    <w:pitch w:val="fixed"/>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Segoe Prin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2CB8" w14:textId="77777777" w:rsidR="00B54758" w:rsidRDefault="00B54758" w:rsidP="002C07D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A54FB" w14:textId="77777777" w:rsidR="00B54758" w:rsidRDefault="00B54758" w:rsidP="00DB0A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42807" w14:textId="2A3615DD" w:rsidR="00051E1E" w:rsidRDefault="00051E1E">
    <w:pPr>
      <w:pStyle w:val="Footer"/>
    </w:pPr>
    <w:r>
      <w:t>A</w:t>
    </w:r>
    <w:r w:rsidR="001E1432">
      <w:t>PG23-</w:t>
    </w:r>
    <w:r w:rsidR="008624ED">
      <w:t>2</w:t>
    </w:r>
    <w:r>
      <w:t>/IN</w:t>
    </w:r>
    <w:r w:rsidR="00445D9A">
      <w:t>F</w:t>
    </w:r>
    <w:r>
      <w:t>-</w:t>
    </w:r>
    <w:r w:rsidR="00445D9A">
      <w:t>21</w:t>
    </w:r>
    <w:r>
      <w:tab/>
    </w:r>
    <w:r>
      <w:tab/>
      <w:t xml:space="preserve">Page </w:t>
    </w:r>
    <w:r>
      <w:rPr>
        <w:b/>
        <w:bCs/>
      </w:rPr>
      <w:fldChar w:fldCharType="begin"/>
    </w:r>
    <w:r>
      <w:rPr>
        <w:b/>
        <w:bCs/>
      </w:rPr>
      <w:instrText xml:space="preserve"> PAGE  \* Arabic  \* MERGEFORMAT </w:instrText>
    </w:r>
    <w:r>
      <w:rPr>
        <w:b/>
        <w:bCs/>
      </w:rPr>
      <w:fldChar w:fldCharType="separate"/>
    </w:r>
    <w:r w:rsidR="00FF72BB">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F72BB">
      <w:rPr>
        <w:b/>
        <w:bCs/>
        <w:noProof/>
      </w:rPr>
      <w:t>3</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214" w:type="dxa"/>
      <w:jc w:val="center"/>
      <w:tblBorders>
        <w:top w:val="single" w:sz="8" w:space="0" w:color="auto"/>
      </w:tblBorders>
      <w:tblLayout w:type="fixed"/>
      <w:tblCellMar>
        <w:left w:w="29" w:type="dxa"/>
        <w:right w:w="29" w:type="dxa"/>
      </w:tblCellMar>
      <w:tblLook w:val="0000" w:firstRow="0" w:lastRow="0" w:firstColumn="0" w:lastColumn="0" w:noHBand="0" w:noVBand="0"/>
    </w:tblPr>
    <w:tblGrid>
      <w:gridCol w:w="1152"/>
      <w:gridCol w:w="4802"/>
      <w:gridCol w:w="3260"/>
    </w:tblGrid>
    <w:tr w:rsidR="0028625B" w14:paraId="7EF20505" w14:textId="77777777" w:rsidTr="0028625B">
      <w:trPr>
        <w:cantSplit/>
        <w:trHeight w:val="204"/>
        <w:jc w:val="center"/>
      </w:trPr>
      <w:tc>
        <w:tcPr>
          <w:tcW w:w="1152" w:type="dxa"/>
        </w:tcPr>
        <w:p w14:paraId="7C14EC98" w14:textId="77777777" w:rsidR="00B54758" w:rsidRDefault="00B54758" w:rsidP="007E7497">
          <w:pPr>
            <w:rPr>
              <w:b/>
              <w:bCs/>
            </w:rPr>
          </w:pPr>
          <w:r>
            <w:rPr>
              <w:b/>
              <w:bCs/>
            </w:rPr>
            <w:t>Contact:</w:t>
          </w:r>
        </w:p>
      </w:tc>
      <w:tc>
        <w:tcPr>
          <w:tcW w:w="4802" w:type="dxa"/>
        </w:tcPr>
        <w:p w14:paraId="49C5867E" w14:textId="4DD2D2AF" w:rsidR="00B54758" w:rsidRDefault="0028625B" w:rsidP="007E7497">
          <w:pPr>
            <w:pStyle w:val="Equation"/>
            <w:tabs>
              <w:tab w:val="clear" w:pos="794"/>
              <w:tab w:val="clear" w:pos="4820"/>
              <w:tab w:val="clear" w:pos="9639"/>
            </w:tabs>
            <w:spacing w:beforeLines="0"/>
            <w:rPr>
              <w:rFonts w:eastAsia="Batang"/>
            </w:rPr>
          </w:pPr>
          <w:r>
            <w:rPr>
              <w:rFonts w:eastAsia="Batang"/>
            </w:rPr>
            <w:t>Risdianto Hermansyah</w:t>
          </w:r>
        </w:p>
        <w:p w14:paraId="39C5729B" w14:textId="5C41CC45" w:rsidR="00EC249E" w:rsidRDefault="0028625B" w:rsidP="007E7497">
          <w:pPr>
            <w:pStyle w:val="Equation"/>
            <w:tabs>
              <w:tab w:val="clear" w:pos="794"/>
              <w:tab w:val="clear" w:pos="4820"/>
              <w:tab w:val="clear" w:pos="9639"/>
            </w:tabs>
            <w:spacing w:beforeLines="0"/>
            <w:rPr>
              <w:rFonts w:eastAsia="Batang"/>
            </w:rPr>
          </w:pPr>
          <w:proofErr w:type="spellStart"/>
          <w:r>
            <w:rPr>
              <w:rFonts w:eastAsia="Batang"/>
            </w:rPr>
            <w:t>Telkomsat</w:t>
          </w:r>
          <w:proofErr w:type="spellEnd"/>
          <w:r w:rsidR="00EC249E">
            <w:rPr>
              <w:rFonts w:eastAsia="Batang"/>
            </w:rPr>
            <w:t xml:space="preserve">, </w:t>
          </w:r>
          <w:r>
            <w:rPr>
              <w:rFonts w:eastAsia="Batang"/>
            </w:rPr>
            <w:t>Indonesia</w:t>
          </w:r>
        </w:p>
      </w:tc>
      <w:tc>
        <w:tcPr>
          <w:tcW w:w="3260" w:type="dxa"/>
        </w:tcPr>
        <w:p w14:paraId="66CA6E30" w14:textId="215C6043" w:rsidR="00B54758" w:rsidRDefault="00B54758" w:rsidP="0028625B">
          <w:pPr>
            <w:ind w:right="-34"/>
            <w:rPr>
              <w:lang w:eastAsia="ja-JP"/>
            </w:rPr>
          </w:pPr>
          <w:r>
            <w:t>Email</w:t>
          </w:r>
          <w:r>
            <w:rPr>
              <w:rFonts w:hint="eastAsia"/>
            </w:rPr>
            <w:t>:</w:t>
          </w:r>
          <w:r>
            <w:t xml:space="preserve"> </w:t>
          </w:r>
          <w:r w:rsidR="0028625B">
            <w:t>risdianto@telkomsat.co.id</w:t>
          </w:r>
        </w:p>
      </w:tc>
    </w:tr>
  </w:tbl>
  <w:p w14:paraId="25B78C00" w14:textId="77777777" w:rsidR="00B54758" w:rsidRPr="007E7497" w:rsidRDefault="00B54758" w:rsidP="007E1FDD">
    <w:pPr>
      <w:pStyle w:val="Footer"/>
      <w:tabs>
        <w:tab w:val="clear" w:pos="4320"/>
        <w:tab w:val="clear" w:pos="864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ED82B" w14:textId="77777777" w:rsidR="00825CB7" w:rsidRDefault="00825CB7">
      <w:r>
        <w:separator/>
      </w:r>
    </w:p>
  </w:footnote>
  <w:footnote w:type="continuationSeparator" w:id="0">
    <w:p w14:paraId="6BD87EDA" w14:textId="77777777" w:rsidR="00825CB7" w:rsidRDefault="00825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A6AB3" w14:textId="77777777" w:rsidR="00B54758" w:rsidRDefault="00B54758" w:rsidP="008E3821">
    <w:pPr>
      <w:pStyle w:val="Header"/>
      <w:tabs>
        <w:tab w:val="clear" w:pos="4320"/>
        <w:tab w:val="clear" w:pos="8640"/>
      </w:tabs>
      <w:rPr>
        <w:lang w:eastAsia="ko-KR"/>
      </w:rPr>
    </w:pPr>
  </w:p>
  <w:p w14:paraId="122BFF37" w14:textId="77777777" w:rsidR="00B54758" w:rsidRDefault="00B54758" w:rsidP="008E3821">
    <w:pPr>
      <w:pStyle w:val="Header"/>
      <w:tabs>
        <w:tab w:val="clear" w:pos="4320"/>
        <w:tab w:val="clear" w:pos="8640"/>
      </w:tabs>
      <w:rPr>
        <w:lang w:eastAsia="ko-K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63BC1"/>
    <w:multiLevelType w:val="hybridMultilevel"/>
    <w:tmpl w:val="13E48E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7C7968"/>
    <w:multiLevelType w:val="multilevel"/>
    <w:tmpl w:val="A67C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5E695D"/>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160"/>
        </w:tabs>
        <w:ind w:left="1160" w:hanging="360"/>
      </w:pPr>
      <w:rPr>
        <w:rFonts w:ascii="Symbol" w:hAnsi="Symbol"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 w15:restartNumberingAfterBreak="0">
    <w:nsid w:val="0F0C76D4"/>
    <w:multiLevelType w:val="multilevel"/>
    <w:tmpl w:val="B55E58A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AB1526"/>
    <w:multiLevelType w:val="multilevel"/>
    <w:tmpl w:val="A67C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631CC"/>
    <w:multiLevelType w:val="hybridMultilevel"/>
    <w:tmpl w:val="178EE0B8"/>
    <w:lvl w:ilvl="0" w:tplc="55088718">
      <w:start w:val="1"/>
      <w:numFmt w:val="bullet"/>
      <w:lvlText w:val="–"/>
      <w:lvlJc w:val="left"/>
      <w:pPr>
        <w:ind w:left="1040" w:hanging="400"/>
      </w:pPr>
      <w:rPr>
        <w:rFonts w:ascii="BatangChe" w:eastAsia="BatangChe" w:hAnsi="BatangChe"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66F5F4D"/>
    <w:multiLevelType w:val="multilevel"/>
    <w:tmpl w:val="A67C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17199A"/>
    <w:multiLevelType w:val="hybridMultilevel"/>
    <w:tmpl w:val="78B8B7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42327F"/>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0848EE"/>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0" w15:restartNumberingAfterBreak="0">
    <w:nsid w:val="21D34771"/>
    <w:multiLevelType w:val="hybridMultilevel"/>
    <w:tmpl w:val="764E0C76"/>
    <w:lvl w:ilvl="0" w:tplc="81F65682">
      <w:start w:val="1"/>
      <w:numFmt w:val="bullet"/>
      <w:lvlText w:val=""/>
      <w:lvlJc w:val="left"/>
      <w:pPr>
        <w:tabs>
          <w:tab w:val="num" w:pos="720"/>
        </w:tabs>
        <w:ind w:left="720" w:hanging="360"/>
      </w:pPr>
      <w:rPr>
        <w:rFonts w:ascii="Symbol" w:hAnsi="Symbol" w:hint="default"/>
      </w:rPr>
    </w:lvl>
    <w:lvl w:ilvl="1" w:tplc="722A45E8">
      <w:start w:val="2"/>
      <w:numFmt w:val="bullet"/>
      <w:suff w:val="space"/>
      <w:lvlText w:val="-"/>
      <w:lvlJc w:val="left"/>
      <w:pPr>
        <w:ind w:left="1340" w:hanging="180"/>
      </w:pPr>
      <w:rPr>
        <w:rFonts w:ascii="Times New Roman" w:eastAsia="GulimChe" w:hAnsi="Times New Roman" w:cs="Times New Roman"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1" w15:restartNumberingAfterBreak="0">
    <w:nsid w:val="22497039"/>
    <w:multiLevelType w:val="hybridMultilevel"/>
    <w:tmpl w:val="0E728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5001BAB"/>
    <w:multiLevelType w:val="hybridMultilevel"/>
    <w:tmpl w:val="53F8C2D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3" w15:restartNumberingAfterBreak="0">
    <w:nsid w:val="29100AE5"/>
    <w:multiLevelType w:val="hybridMultilevel"/>
    <w:tmpl w:val="0964BC38"/>
    <w:lvl w:ilvl="0" w:tplc="2D0A661E">
      <w:start w:val="1"/>
      <w:numFmt w:val="bullet"/>
      <w:lvlText w:val="-"/>
      <w:lvlJc w:val="left"/>
      <w:pPr>
        <w:ind w:left="720" w:hanging="360"/>
      </w:pPr>
      <w:rPr>
        <w:rFonts w:ascii="Times New Roman" w:eastAsia="BatangChe" w:hAnsi="Times New Roman" w:cs="Times New Roman" w:hint="default"/>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70862"/>
    <w:multiLevelType w:val="hybridMultilevel"/>
    <w:tmpl w:val="A6E6643C"/>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641696"/>
    <w:multiLevelType w:val="hybridMultilevel"/>
    <w:tmpl w:val="EFDC8FF6"/>
    <w:lvl w:ilvl="0" w:tplc="81F65682">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520"/>
        </w:tabs>
        <w:ind w:left="1520" w:hanging="360"/>
      </w:pPr>
      <w:rPr>
        <w:rFonts w:ascii="Symbol" w:hAnsi="Symbol" w:hint="default"/>
      </w:rPr>
    </w:lvl>
    <w:lvl w:ilvl="2" w:tplc="04090005" w:tentative="1">
      <w:start w:val="1"/>
      <w:numFmt w:val="bullet"/>
      <w:lvlText w:val=""/>
      <w:lvlJc w:val="left"/>
      <w:pPr>
        <w:tabs>
          <w:tab w:val="num" w:pos="1960"/>
        </w:tabs>
        <w:ind w:left="1960" w:hanging="400"/>
      </w:pPr>
      <w:rPr>
        <w:rFonts w:ascii="Wingdings" w:hAnsi="Wingdings" w:hint="default"/>
      </w:rPr>
    </w:lvl>
    <w:lvl w:ilvl="3" w:tplc="04090001" w:tentative="1">
      <w:start w:val="1"/>
      <w:numFmt w:val="bullet"/>
      <w:lvlText w:val=""/>
      <w:lvlJc w:val="left"/>
      <w:pPr>
        <w:tabs>
          <w:tab w:val="num" w:pos="2360"/>
        </w:tabs>
        <w:ind w:left="2360" w:hanging="400"/>
      </w:pPr>
      <w:rPr>
        <w:rFonts w:ascii="Wingdings" w:hAnsi="Wingdings" w:hint="default"/>
      </w:rPr>
    </w:lvl>
    <w:lvl w:ilvl="4" w:tplc="04090003" w:tentative="1">
      <w:start w:val="1"/>
      <w:numFmt w:val="bullet"/>
      <w:lvlText w:val=""/>
      <w:lvlJc w:val="left"/>
      <w:pPr>
        <w:tabs>
          <w:tab w:val="num" w:pos="2760"/>
        </w:tabs>
        <w:ind w:left="2760" w:hanging="400"/>
      </w:pPr>
      <w:rPr>
        <w:rFonts w:ascii="Wingdings" w:hAnsi="Wingdings" w:hint="default"/>
      </w:rPr>
    </w:lvl>
    <w:lvl w:ilvl="5" w:tplc="04090005" w:tentative="1">
      <w:start w:val="1"/>
      <w:numFmt w:val="bullet"/>
      <w:lvlText w:val=""/>
      <w:lvlJc w:val="left"/>
      <w:pPr>
        <w:tabs>
          <w:tab w:val="num" w:pos="3160"/>
        </w:tabs>
        <w:ind w:left="3160" w:hanging="400"/>
      </w:pPr>
      <w:rPr>
        <w:rFonts w:ascii="Wingdings" w:hAnsi="Wingdings" w:hint="default"/>
      </w:rPr>
    </w:lvl>
    <w:lvl w:ilvl="6" w:tplc="04090001" w:tentative="1">
      <w:start w:val="1"/>
      <w:numFmt w:val="bullet"/>
      <w:lvlText w:val=""/>
      <w:lvlJc w:val="left"/>
      <w:pPr>
        <w:tabs>
          <w:tab w:val="num" w:pos="3560"/>
        </w:tabs>
        <w:ind w:left="3560" w:hanging="400"/>
      </w:pPr>
      <w:rPr>
        <w:rFonts w:ascii="Wingdings" w:hAnsi="Wingdings" w:hint="default"/>
      </w:rPr>
    </w:lvl>
    <w:lvl w:ilvl="7" w:tplc="04090003" w:tentative="1">
      <w:start w:val="1"/>
      <w:numFmt w:val="bullet"/>
      <w:lvlText w:val=""/>
      <w:lvlJc w:val="left"/>
      <w:pPr>
        <w:tabs>
          <w:tab w:val="num" w:pos="3960"/>
        </w:tabs>
        <w:ind w:left="3960" w:hanging="400"/>
      </w:pPr>
      <w:rPr>
        <w:rFonts w:ascii="Wingdings" w:hAnsi="Wingdings" w:hint="default"/>
      </w:rPr>
    </w:lvl>
    <w:lvl w:ilvl="8" w:tplc="04090005" w:tentative="1">
      <w:start w:val="1"/>
      <w:numFmt w:val="bullet"/>
      <w:lvlText w:val=""/>
      <w:lvlJc w:val="left"/>
      <w:pPr>
        <w:tabs>
          <w:tab w:val="num" w:pos="4360"/>
        </w:tabs>
        <w:ind w:left="4360" w:hanging="400"/>
      </w:pPr>
      <w:rPr>
        <w:rFonts w:ascii="Wingdings" w:hAnsi="Wingdings" w:hint="default"/>
      </w:rPr>
    </w:lvl>
  </w:abstractNum>
  <w:abstractNum w:abstractNumId="16" w15:restartNumberingAfterBreak="0">
    <w:nsid w:val="34682ABA"/>
    <w:multiLevelType w:val="hybridMultilevel"/>
    <w:tmpl w:val="5EBCD294"/>
    <w:lvl w:ilvl="0" w:tplc="1D70BA1C">
      <w:start w:val="1"/>
      <w:numFmt w:val="bullet"/>
      <w:lvlText w:val="-"/>
      <w:lvlJc w:val="left"/>
      <w:pPr>
        <w:ind w:left="1080" w:hanging="360"/>
      </w:pPr>
      <w:rPr>
        <w:rFonts w:ascii="Times New Roman" w:eastAsia="BatangChe"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79553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47D6A7A"/>
    <w:multiLevelType w:val="hybridMultilevel"/>
    <w:tmpl w:val="65A833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6A91D3F"/>
    <w:multiLevelType w:val="multilevel"/>
    <w:tmpl w:val="A67C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6EE16D3"/>
    <w:multiLevelType w:val="hybridMultilevel"/>
    <w:tmpl w:val="764E0C76"/>
    <w:lvl w:ilvl="0" w:tplc="04090001">
      <w:start w:val="1"/>
      <w:numFmt w:val="bullet"/>
      <w:lvlText w:val=""/>
      <w:lvlJc w:val="left"/>
      <w:pPr>
        <w:tabs>
          <w:tab w:val="num" w:pos="360"/>
        </w:tabs>
        <w:ind w:left="360" w:hanging="360"/>
      </w:pPr>
      <w:rPr>
        <w:rFonts w:ascii="Symbol" w:hAnsi="Symbol" w:hint="default"/>
      </w:rPr>
    </w:lvl>
    <w:lvl w:ilvl="1" w:tplc="722A45E8">
      <w:start w:val="2"/>
      <w:numFmt w:val="bullet"/>
      <w:suff w:val="space"/>
      <w:lvlText w:val="-"/>
      <w:lvlJc w:val="left"/>
      <w:pPr>
        <w:ind w:left="980" w:hanging="180"/>
      </w:pPr>
      <w:rPr>
        <w:rFonts w:ascii="Times New Roman" w:eastAsia="GulimChe" w:hAnsi="Times New Roman" w:cs="Times New Roman"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1" w15:restartNumberingAfterBreak="0">
    <w:nsid w:val="36F050AC"/>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22" w15:restartNumberingAfterBreak="0">
    <w:nsid w:val="39801948"/>
    <w:multiLevelType w:val="hybridMultilevel"/>
    <w:tmpl w:val="AB7681C2"/>
    <w:lvl w:ilvl="0" w:tplc="B0426F7E">
      <w:start w:val="1"/>
      <w:numFmt w:val="bullet"/>
      <w:lvlText w:val="-"/>
      <w:lvlJc w:val="left"/>
      <w:pPr>
        <w:ind w:left="1120" w:hanging="360"/>
      </w:pPr>
      <w:rPr>
        <w:rFonts w:ascii="Calibri" w:eastAsiaTheme="minorEastAsia" w:hAnsi="Calibri" w:cs="Calibri"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23" w15:restartNumberingAfterBreak="0">
    <w:nsid w:val="3A5D38B9"/>
    <w:multiLevelType w:val="hybridMultilevel"/>
    <w:tmpl w:val="93129F6C"/>
    <w:lvl w:ilvl="0" w:tplc="2AD81D4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3CBF2B1A"/>
    <w:multiLevelType w:val="hybridMultilevel"/>
    <w:tmpl w:val="5C34D028"/>
    <w:lvl w:ilvl="0" w:tplc="F0104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275DE5"/>
    <w:multiLevelType w:val="hybridMultilevel"/>
    <w:tmpl w:val="C01A37A6"/>
    <w:lvl w:ilvl="0" w:tplc="81F65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C6704"/>
    <w:multiLevelType w:val="hybridMultilevel"/>
    <w:tmpl w:val="BB8C8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904C7"/>
    <w:multiLevelType w:val="multilevel"/>
    <w:tmpl w:val="B55E58A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5C228C1"/>
    <w:multiLevelType w:val="multilevel"/>
    <w:tmpl w:val="A67C4E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A4D0BA6"/>
    <w:multiLevelType w:val="multilevel"/>
    <w:tmpl w:val="37263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AE529A"/>
    <w:multiLevelType w:val="multilevel"/>
    <w:tmpl w:val="DF9C0844"/>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0152CE8"/>
    <w:multiLevelType w:val="multilevel"/>
    <w:tmpl w:val="0C54427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18A1258"/>
    <w:multiLevelType w:val="hybridMultilevel"/>
    <w:tmpl w:val="EFDC8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33" w15:restartNumberingAfterBreak="0">
    <w:nsid w:val="776A69F8"/>
    <w:multiLevelType w:val="hybridMultilevel"/>
    <w:tmpl w:val="7F1CC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A2C3B6C"/>
    <w:multiLevelType w:val="singleLevel"/>
    <w:tmpl w:val="A01AB2EA"/>
    <w:lvl w:ilvl="0">
      <w:start w:val="1"/>
      <w:numFmt w:val="decimal"/>
      <w:lvlText w:val="%1.  "/>
      <w:legacy w:legacy="1" w:legacySpace="0" w:legacyIndent="283"/>
      <w:lvlJc w:val="left"/>
      <w:pPr>
        <w:ind w:left="283" w:hanging="283"/>
      </w:pPr>
    </w:lvl>
  </w:abstractNum>
  <w:num w:numId="1">
    <w:abstractNumId w:val="20"/>
  </w:num>
  <w:num w:numId="2">
    <w:abstractNumId w:val="12"/>
  </w:num>
  <w:num w:numId="3">
    <w:abstractNumId w:val="10"/>
  </w:num>
  <w:num w:numId="4">
    <w:abstractNumId w:val="32"/>
  </w:num>
  <w:num w:numId="5">
    <w:abstractNumId w:val="15"/>
  </w:num>
  <w:num w:numId="6">
    <w:abstractNumId w:val="21"/>
  </w:num>
  <w:num w:numId="7">
    <w:abstractNumId w:val="9"/>
  </w:num>
  <w:num w:numId="8">
    <w:abstractNumId w:val="2"/>
  </w:num>
  <w:num w:numId="9">
    <w:abstractNumId w:val="34"/>
  </w:num>
  <w:num w:numId="10">
    <w:abstractNumId w:val="0"/>
  </w:num>
  <w:num w:numId="11">
    <w:abstractNumId w:val="33"/>
  </w:num>
  <w:num w:numId="12">
    <w:abstractNumId w:val="16"/>
  </w:num>
  <w:num w:numId="13">
    <w:abstractNumId w:val="23"/>
  </w:num>
  <w:num w:numId="14">
    <w:abstractNumId w:val="13"/>
  </w:num>
  <w:num w:numId="15">
    <w:abstractNumId w:val="7"/>
  </w:num>
  <w:num w:numId="16">
    <w:abstractNumId w:val="5"/>
  </w:num>
  <w:num w:numId="17">
    <w:abstractNumId w:val="8"/>
  </w:num>
  <w:num w:numId="18">
    <w:abstractNumId w:val="18"/>
  </w:num>
  <w:num w:numId="19">
    <w:abstractNumId w:val="24"/>
  </w:num>
  <w:num w:numId="20">
    <w:abstractNumId w:val="22"/>
  </w:num>
  <w:num w:numId="21">
    <w:abstractNumId w:val="11"/>
  </w:num>
  <w:num w:numId="22">
    <w:abstractNumId w:val="14"/>
  </w:num>
  <w:num w:numId="23">
    <w:abstractNumId w:val="25"/>
  </w:num>
  <w:num w:numId="24">
    <w:abstractNumId w:val="29"/>
  </w:num>
  <w:num w:numId="25">
    <w:abstractNumId w:val="31"/>
  </w:num>
  <w:num w:numId="26">
    <w:abstractNumId w:val="6"/>
  </w:num>
  <w:num w:numId="27">
    <w:abstractNumId w:val="4"/>
  </w:num>
  <w:num w:numId="28">
    <w:abstractNumId w:val="26"/>
  </w:num>
  <w:num w:numId="29">
    <w:abstractNumId w:val="19"/>
  </w:num>
  <w:num w:numId="30">
    <w:abstractNumId w:val="1"/>
  </w:num>
  <w:num w:numId="31">
    <w:abstractNumId w:val="28"/>
  </w:num>
  <w:num w:numId="32">
    <w:abstractNumId w:val="3"/>
  </w:num>
  <w:num w:numId="33">
    <w:abstractNumId w:val="30"/>
  </w:num>
  <w:num w:numId="34">
    <w:abstractNumId w:val="17"/>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0MjU1Njc2MTUxNzJW0lEKTi0uzszPAykwrAUA6jdUgiwAAAA="/>
  </w:docVars>
  <w:rsids>
    <w:rsidRoot w:val="00705C2D"/>
    <w:rsid w:val="00000B9E"/>
    <w:rsid w:val="0003595B"/>
    <w:rsid w:val="00036385"/>
    <w:rsid w:val="00051E1E"/>
    <w:rsid w:val="00054C56"/>
    <w:rsid w:val="00063DF8"/>
    <w:rsid w:val="000713CF"/>
    <w:rsid w:val="00075C14"/>
    <w:rsid w:val="00094B87"/>
    <w:rsid w:val="000964D0"/>
    <w:rsid w:val="000A1F8C"/>
    <w:rsid w:val="000A5418"/>
    <w:rsid w:val="000A754D"/>
    <w:rsid w:val="000B1E8C"/>
    <w:rsid w:val="000B595C"/>
    <w:rsid w:val="000D7C75"/>
    <w:rsid w:val="000F517C"/>
    <w:rsid w:val="000F5540"/>
    <w:rsid w:val="00106B56"/>
    <w:rsid w:val="00122653"/>
    <w:rsid w:val="00125217"/>
    <w:rsid w:val="00130A94"/>
    <w:rsid w:val="00131FCA"/>
    <w:rsid w:val="00133947"/>
    <w:rsid w:val="00134CC7"/>
    <w:rsid w:val="00135C32"/>
    <w:rsid w:val="001433F1"/>
    <w:rsid w:val="001539DD"/>
    <w:rsid w:val="00164353"/>
    <w:rsid w:val="00175BD2"/>
    <w:rsid w:val="0018114D"/>
    <w:rsid w:val="001832C2"/>
    <w:rsid w:val="001923E8"/>
    <w:rsid w:val="00196568"/>
    <w:rsid w:val="00197B92"/>
    <w:rsid w:val="001A2F16"/>
    <w:rsid w:val="001A34FF"/>
    <w:rsid w:val="001B18C2"/>
    <w:rsid w:val="001D5D7E"/>
    <w:rsid w:val="001E1432"/>
    <w:rsid w:val="001F5947"/>
    <w:rsid w:val="0021588B"/>
    <w:rsid w:val="002216AC"/>
    <w:rsid w:val="002219FD"/>
    <w:rsid w:val="0023010A"/>
    <w:rsid w:val="00230738"/>
    <w:rsid w:val="00234735"/>
    <w:rsid w:val="00241BCF"/>
    <w:rsid w:val="00254A1B"/>
    <w:rsid w:val="0026736F"/>
    <w:rsid w:val="00275ED2"/>
    <w:rsid w:val="0028454D"/>
    <w:rsid w:val="0028625B"/>
    <w:rsid w:val="00286912"/>
    <w:rsid w:val="00287A2A"/>
    <w:rsid w:val="00291C9E"/>
    <w:rsid w:val="002926D4"/>
    <w:rsid w:val="002C07DA"/>
    <w:rsid w:val="002C7EA9"/>
    <w:rsid w:val="002F2F9A"/>
    <w:rsid w:val="003131A3"/>
    <w:rsid w:val="00336A0D"/>
    <w:rsid w:val="0034292E"/>
    <w:rsid w:val="00342F20"/>
    <w:rsid w:val="00343067"/>
    <w:rsid w:val="00350EC2"/>
    <w:rsid w:val="003540E0"/>
    <w:rsid w:val="003548C2"/>
    <w:rsid w:val="0037421D"/>
    <w:rsid w:val="003809C7"/>
    <w:rsid w:val="003829E0"/>
    <w:rsid w:val="003A3AE3"/>
    <w:rsid w:val="003B03B2"/>
    <w:rsid w:val="003B6263"/>
    <w:rsid w:val="003B6428"/>
    <w:rsid w:val="003C64A7"/>
    <w:rsid w:val="003D25E1"/>
    <w:rsid w:val="003D3FDA"/>
    <w:rsid w:val="003F6D48"/>
    <w:rsid w:val="00403CE4"/>
    <w:rsid w:val="00420822"/>
    <w:rsid w:val="0042126E"/>
    <w:rsid w:val="004323BB"/>
    <w:rsid w:val="00433925"/>
    <w:rsid w:val="004404C0"/>
    <w:rsid w:val="00440BEE"/>
    <w:rsid w:val="00444170"/>
    <w:rsid w:val="00445D9A"/>
    <w:rsid w:val="0045458F"/>
    <w:rsid w:val="00455FD4"/>
    <w:rsid w:val="004633B4"/>
    <w:rsid w:val="00483317"/>
    <w:rsid w:val="004854EE"/>
    <w:rsid w:val="004A4DE4"/>
    <w:rsid w:val="004B3553"/>
    <w:rsid w:val="004F733C"/>
    <w:rsid w:val="00515050"/>
    <w:rsid w:val="0051686D"/>
    <w:rsid w:val="005201CA"/>
    <w:rsid w:val="00521BF0"/>
    <w:rsid w:val="005263C8"/>
    <w:rsid w:val="00530E8C"/>
    <w:rsid w:val="005442A4"/>
    <w:rsid w:val="00545933"/>
    <w:rsid w:val="0054610B"/>
    <w:rsid w:val="005549C9"/>
    <w:rsid w:val="00557544"/>
    <w:rsid w:val="005606F6"/>
    <w:rsid w:val="005614DC"/>
    <w:rsid w:val="00575CDC"/>
    <w:rsid w:val="00577C0A"/>
    <w:rsid w:val="00587875"/>
    <w:rsid w:val="005B1E77"/>
    <w:rsid w:val="005B244E"/>
    <w:rsid w:val="005C5EB6"/>
    <w:rsid w:val="005D3914"/>
    <w:rsid w:val="005D6B2F"/>
    <w:rsid w:val="005E3896"/>
    <w:rsid w:val="005E6C90"/>
    <w:rsid w:val="00607E2B"/>
    <w:rsid w:val="006139D6"/>
    <w:rsid w:val="00615999"/>
    <w:rsid w:val="00623CE1"/>
    <w:rsid w:val="0063062B"/>
    <w:rsid w:val="00636BAD"/>
    <w:rsid w:val="00654524"/>
    <w:rsid w:val="0066388B"/>
    <w:rsid w:val="00667229"/>
    <w:rsid w:val="00675C31"/>
    <w:rsid w:val="006769C2"/>
    <w:rsid w:val="00682BE5"/>
    <w:rsid w:val="006843DA"/>
    <w:rsid w:val="00690FED"/>
    <w:rsid w:val="006939A5"/>
    <w:rsid w:val="006A15A4"/>
    <w:rsid w:val="006B6778"/>
    <w:rsid w:val="006C2D39"/>
    <w:rsid w:val="006E12FC"/>
    <w:rsid w:val="006F375E"/>
    <w:rsid w:val="00705C2D"/>
    <w:rsid w:val="00705E61"/>
    <w:rsid w:val="00712451"/>
    <w:rsid w:val="00731041"/>
    <w:rsid w:val="00732F08"/>
    <w:rsid w:val="007350E2"/>
    <w:rsid w:val="0074190C"/>
    <w:rsid w:val="00762576"/>
    <w:rsid w:val="00791060"/>
    <w:rsid w:val="007A1BDE"/>
    <w:rsid w:val="007A3E29"/>
    <w:rsid w:val="007B3299"/>
    <w:rsid w:val="007B3D18"/>
    <w:rsid w:val="007B5626"/>
    <w:rsid w:val="007B5E37"/>
    <w:rsid w:val="007D29E5"/>
    <w:rsid w:val="007E1FDD"/>
    <w:rsid w:val="007E7497"/>
    <w:rsid w:val="007F08FF"/>
    <w:rsid w:val="007F1651"/>
    <w:rsid w:val="00803C99"/>
    <w:rsid w:val="0080570B"/>
    <w:rsid w:val="008148E1"/>
    <w:rsid w:val="00816F4E"/>
    <w:rsid w:val="00825CB7"/>
    <w:rsid w:val="00831716"/>
    <w:rsid w:val="008319BF"/>
    <w:rsid w:val="008337EA"/>
    <w:rsid w:val="00850E1C"/>
    <w:rsid w:val="008624ED"/>
    <w:rsid w:val="00870944"/>
    <w:rsid w:val="008950FB"/>
    <w:rsid w:val="00897849"/>
    <w:rsid w:val="008A423E"/>
    <w:rsid w:val="008A73CD"/>
    <w:rsid w:val="008D084B"/>
    <w:rsid w:val="008D0E09"/>
    <w:rsid w:val="008E3821"/>
    <w:rsid w:val="008F2153"/>
    <w:rsid w:val="008F301D"/>
    <w:rsid w:val="009306C7"/>
    <w:rsid w:val="00953737"/>
    <w:rsid w:val="00957294"/>
    <w:rsid w:val="00972289"/>
    <w:rsid w:val="0097693B"/>
    <w:rsid w:val="00993355"/>
    <w:rsid w:val="009A46BF"/>
    <w:rsid w:val="009A4A6D"/>
    <w:rsid w:val="009B74AC"/>
    <w:rsid w:val="009C0B35"/>
    <w:rsid w:val="009C361C"/>
    <w:rsid w:val="00A0503B"/>
    <w:rsid w:val="00A13265"/>
    <w:rsid w:val="00A20980"/>
    <w:rsid w:val="00A31185"/>
    <w:rsid w:val="00A52D63"/>
    <w:rsid w:val="00A61885"/>
    <w:rsid w:val="00A71136"/>
    <w:rsid w:val="00AA2D8E"/>
    <w:rsid w:val="00AA474C"/>
    <w:rsid w:val="00AB0EAD"/>
    <w:rsid w:val="00AB2572"/>
    <w:rsid w:val="00AC19BB"/>
    <w:rsid w:val="00AD7E5F"/>
    <w:rsid w:val="00AF6E67"/>
    <w:rsid w:val="00B01AA1"/>
    <w:rsid w:val="00B1497D"/>
    <w:rsid w:val="00B24089"/>
    <w:rsid w:val="00B30C81"/>
    <w:rsid w:val="00B34275"/>
    <w:rsid w:val="00B3474C"/>
    <w:rsid w:val="00B4793B"/>
    <w:rsid w:val="00B54758"/>
    <w:rsid w:val="00B66740"/>
    <w:rsid w:val="00B676EF"/>
    <w:rsid w:val="00B97AC9"/>
    <w:rsid w:val="00BB7E96"/>
    <w:rsid w:val="00BC7506"/>
    <w:rsid w:val="00C15633"/>
    <w:rsid w:val="00C15799"/>
    <w:rsid w:val="00C20F4D"/>
    <w:rsid w:val="00C256E8"/>
    <w:rsid w:val="00C26745"/>
    <w:rsid w:val="00C357AD"/>
    <w:rsid w:val="00C3644A"/>
    <w:rsid w:val="00C6069C"/>
    <w:rsid w:val="00C73F61"/>
    <w:rsid w:val="00C75805"/>
    <w:rsid w:val="00C85119"/>
    <w:rsid w:val="00CC56C6"/>
    <w:rsid w:val="00CD5431"/>
    <w:rsid w:val="00CE17F0"/>
    <w:rsid w:val="00CE6DD9"/>
    <w:rsid w:val="00CF2491"/>
    <w:rsid w:val="00CF2CBA"/>
    <w:rsid w:val="00CF3030"/>
    <w:rsid w:val="00CF5DDC"/>
    <w:rsid w:val="00D06742"/>
    <w:rsid w:val="00D1252E"/>
    <w:rsid w:val="00D12CE1"/>
    <w:rsid w:val="00D2444D"/>
    <w:rsid w:val="00D31452"/>
    <w:rsid w:val="00D500B1"/>
    <w:rsid w:val="00D5307B"/>
    <w:rsid w:val="00D57772"/>
    <w:rsid w:val="00D651AB"/>
    <w:rsid w:val="00D72AE3"/>
    <w:rsid w:val="00D75A4D"/>
    <w:rsid w:val="00D8478B"/>
    <w:rsid w:val="00D84CEE"/>
    <w:rsid w:val="00D86151"/>
    <w:rsid w:val="00D91215"/>
    <w:rsid w:val="00DA3CC4"/>
    <w:rsid w:val="00DA7595"/>
    <w:rsid w:val="00DB0A68"/>
    <w:rsid w:val="00DB13B0"/>
    <w:rsid w:val="00DB28C8"/>
    <w:rsid w:val="00DB4A1C"/>
    <w:rsid w:val="00DC43A3"/>
    <w:rsid w:val="00DD7C09"/>
    <w:rsid w:val="00DE54CF"/>
    <w:rsid w:val="00DF791C"/>
    <w:rsid w:val="00E0124F"/>
    <w:rsid w:val="00E02E0D"/>
    <w:rsid w:val="00E06286"/>
    <w:rsid w:val="00E17376"/>
    <w:rsid w:val="00E23D98"/>
    <w:rsid w:val="00E403B9"/>
    <w:rsid w:val="00E41BE2"/>
    <w:rsid w:val="00E5341E"/>
    <w:rsid w:val="00E545D9"/>
    <w:rsid w:val="00E65FC2"/>
    <w:rsid w:val="00E674D3"/>
    <w:rsid w:val="00E70FD0"/>
    <w:rsid w:val="00E80263"/>
    <w:rsid w:val="00EA0BBD"/>
    <w:rsid w:val="00EA7027"/>
    <w:rsid w:val="00EB2081"/>
    <w:rsid w:val="00EC249E"/>
    <w:rsid w:val="00EE3496"/>
    <w:rsid w:val="00EF2406"/>
    <w:rsid w:val="00F00257"/>
    <w:rsid w:val="00F27A79"/>
    <w:rsid w:val="00F5332C"/>
    <w:rsid w:val="00F55E0A"/>
    <w:rsid w:val="00F626B7"/>
    <w:rsid w:val="00F650EB"/>
    <w:rsid w:val="00F84067"/>
    <w:rsid w:val="00F871F5"/>
    <w:rsid w:val="00F92D18"/>
    <w:rsid w:val="00FC156A"/>
    <w:rsid w:val="00FC7A38"/>
    <w:rsid w:val="00FE3DE5"/>
    <w:rsid w:val="00FF72BB"/>
    <w:rsid w:val="00FF7960"/>
  </w:rsids>
  <m:mathPr>
    <m:mathFont m:val="Cambria Math"/>
    <m:brkBin m:val="before"/>
    <m:brkBinSub m:val="--"/>
    <m:smallFrac m:val="0"/>
    <m:dispDef/>
    <m:lMargin m:val="0"/>
    <m:rMargin m:val="0"/>
    <m:defJc m:val="centerGroup"/>
    <m:wrapIndent m:val="1440"/>
    <m:intLim m:val="subSup"/>
    <m:naryLim m:val="undOvr"/>
  </m:mathPr>
  <w:themeFontLang w:val="en-NZ" w:eastAsia="ko-KR"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2590F"/>
  <w15:docId w15:val="{89C1F0ED-BF91-4B70-983E-58AEFC26C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A7595"/>
    <w:rPr>
      <w:rFonts w:eastAsia="BatangChe"/>
      <w:sz w:val="24"/>
      <w:szCs w:val="24"/>
    </w:rPr>
  </w:style>
  <w:style w:type="paragraph" w:styleId="Heading1">
    <w:name w:val="heading 1"/>
    <w:basedOn w:val="Normal"/>
    <w:next w:val="Normal"/>
    <w:qFormat/>
    <w:rsid w:val="00DA7595"/>
    <w:pPr>
      <w:keepNext/>
      <w:jc w:val="center"/>
      <w:outlineLvl w:val="0"/>
    </w:pPr>
    <w:rPr>
      <w:b/>
      <w:bCs/>
      <w:u w:val="single"/>
    </w:rPr>
  </w:style>
  <w:style w:type="paragraph" w:styleId="Heading8">
    <w:name w:val="heading 8"/>
    <w:basedOn w:val="Normal"/>
    <w:next w:val="Normal"/>
    <w:link w:val="Heading8Char"/>
    <w:qFormat/>
    <w:rsid w:val="00DA7595"/>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7595"/>
    <w:pPr>
      <w:tabs>
        <w:tab w:val="center" w:pos="4320"/>
        <w:tab w:val="right" w:pos="8640"/>
      </w:tabs>
    </w:pPr>
  </w:style>
  <w:style w:type="paragraph" w:customStyle="1" w:styleId="a">
    <w:name w:val="표"/>
    <w:basedOn w:val="Normal"/>
    <w:next w:val="Normal"/>
    <w:autoRedefine/>
    <w:rsid w:val="00DA7595"/>
    <w:pPr>
      <w:widowControl w:val="0"/>
      <w:wordWrap w:val="0"/>
      <w:autoSpaceDE w:val="0"/>
      <w:autoSpaceDN w:val="0"/>
      <w:jc w:val="both"/>
    </w:pPr>
    <w:rPr>
      <w:rFonts w:ascii="Book Antiqua" w:eastAsia="GulimChe" w:hAnsi="Book Antiqua"/>
      <w:b/>
      <w:bCs/>
      <w:kern w:val="2"/>
      <w:sz w:val="28"/>
      <w:lang w:eastAsia="ko-KR"/>
    </w:rPr>
  </w:style>
  <w:style w:type="character" w:styleId="PageNumber">
    <w:name w:val="page number"/>
    <w:basedOn w:val="DefaultParagraphFont"/>
    <w:rsid w:val="00DA7595"/>
  </w:style>
  <w:style w:type="paragraph" w:styleId="NormalIndent">
    <w:name w:val="Normal Indent"/>
    <w:basedOn w:val="Normal"/>
    <w:rsid w:val="00DA7595"/>
    <w:pPr>
      <w:widowControl w:val="0"/>
      <w:wordWrap w:val="0"/>
      <w:ind w:left="851"/>
      <w:jc w:val="both"/>
    </w:pPr>
    <w:rPr>
      <w:kern w:val="2"/>
      <w:sz w:val="20"/>
      <w:szCs w:val="20"/>
      <w:lang w:eastAsia="ko-KR"/>
    </w:rPr>
  </w:style>
  <w:style w:type="paragraph" w:customStyle="1" w:styleId="Note">
    <w:name w:val="Note"/>
    <w:basedOn w:val="Normal"/>
    <w:rsid w:val="00DA7595"/>
    <w:pPr>
      <w:tabs>
        <w:tab w:val="left" w:pos="284"/>
        <w:tab w:val="left" w:pos="1134"/>
        <w:tab w:val="left" w:pos="1871"/>
        <w:tab w:val="left" w:pos="2268"/>
      </w:tabs>
      <w:spacing w:before="160"/>
      <w:jc w:val="both"/>
    </w:pPr>
    <w:rPr>
      <w:noProof/>
      <w:sz w:val="20"/>
      <w:szCs w:val="20"/>
      <w:lang w:eastAsia="ko-KR"/>
    </w:rPr>
  </w:style>
  <w:style w:type="paragraph" w:styleId="Header">
    <w:name w:val="header"/>
    <w:basedOn w:val="Normal"/>
    <w:rsid w:val="0080570B"/>
    <w:pPr>
      <w:tabs>
        <w:tab w:val="center" w:pos="4320"/>
        <w:tab w:val="right" w:pos="8640"/>
      </w:tabs>
    </w:pPr>
  </w:style>
  <w:style w:type="paragraph" w:customStyle="1" w:styleId="Equation">
    <w:name w:val="Equation"/>
    <w:basedOn w:val="Normal"/>
    <w:rsid w:val="00AD7E5F"/>
    <w:pPr>
      <w:tabs>
        <w:tab w:val="left" w:pos="794"/>
        <w:tab w:val="center" w:pos="4820"/>
        <w:tab w:val="right" w:pos="9639"/>
      </w:tabs>
      <w:overflowPunct w:val="0"/>
      <w:autoSpaceDE w:val="0"/>
      <w:autoSpaceDN w:val="0"/>
      <w:adjustRightInd w:val="0"/>
      <w:spacing w:beforeLines="50" w:line="240" w:lineRule="atLeast"/>
      <w:textAlignment w:val="baseline"/>
    </w:pPr>
    <w:rPr>
      <w:rFonts w:eastAsia="MS Mincho"/>
      <w:szCs w:val="22"/>
      <w:lang w:val="en-GB"/>
    </w:rPr>
  </w:style>
  <w:style w:type="paragraph" w:styleId="ListParagraph">
    <w:name w:val="List Paragraph"/>
    <w:basedOn w:val="Normal"/>
    <w:link w:val="ListParagraphChar"/>
    <w:uiPriority w:val="34"/>
    <w:qFormat/>
    <w:rsid w:val="001F5947"/>
    <w:pPr>
      <w:ind w:left="720"/>
    </w:pPr>
  </w:style>
  <w:style w:type="character" w:styleId="Strong">
    <w:name w:val="Strong"/>
    <w:basedOn w:val="DefaultParagraphFont"/>
    <w:uiPriority w:val="22"/>
    <w:qFormat/>
    <w:rsid w:val="001F5947"/>
    <w:rPr>
      <w:b/>
      <w:bCs/>
    </w:rPr>
  </w:style>
  <w:style w:type="paragraph" w:styleId="BalloonText">
    <w:name w:val="Balloon Text"/>
    <w:basedOn w:val="Normal"/>
    <w:link w:val="BalloonTextChar"/>
    <w:rsid w:val="0054610B"/>
    <w:rPr>
      <w:rFonts w:ascii="Tahoma" w:hAnsi="Tahoma" w:cs="Tahoma"/>
      <w:sz w:val="16"/>
      <w:szCs w:val="16"/>
    </w:rPr>
  </w:style>
  <w:style w:type="character" w:customStyle="1" w:styleId="BalloonTextChar">
    <w:name w:val="Balloon Text Char"/>
    <w:basedOn w:val="DefaultParagraphFont"/>
    <w:link w:val="BalloonText"/>
    <w:rsid w:val="0054610B"/>
    <w:rPr>
      <w:rFonts w:ascii="Tahoma" w:eastAsia="BatangChe" w:hAnsi="Tahoma" w:cs="Tahoma"/>
      <w:sz w:val="16"/>
      <w:szCs w:val="16"/>
    </w:rPr>
  </w:style>
  <w:style w:type="character" w:customStyle="1" w:styleId="Heading8Char">
    <w:name w:val="Heading 8 Char"/>
    <w:basedOn w:val="DefaultParagraphFont"/>
    <w:link w:val="Heading8"/>
    <w:rsid w:val="003D25E1"/>
    <w:rPr>
      <w:rFonts w:eastAsia="BatangChe"/>
      <w:b/>
      <w:bCs/>
      <w:kern w:val="2"/>
      <w:lang w:eastAsia="ko-KR"/>
    </w:rPr>
  </w:style>
  <w:style w:type="character" w:styleId="Hyperlink">
    <w:name w:val="Hyperlink"/>
    <w:basedOn w:val="DefaultParagraphFont"/>
    <w:uiPriority w:val="99"/>
    <w:unhideWhenUsed/>
    <w:rsid w:val="00E65FC2"/>
    <w:rPr>
      <w:color w:val="0000FF" w:themeColor="hyperlink"/>
      <w:u w:val="single"/>
    </w:rPr>
  </w:style>
  <w:style w:type="paragraph" w:styleId="FootnoteText">
    <w:name w:val="footnote text"/>
    <w:aliases w:val="ECC Footnote,ALTS FOOTNOTE,Footnote Text Char1,Footnote Text Char Char1,Footnote Text Char4 Char Char,Footnote Text Char1 Char1 Char1 Char,Footnote Text Char Char1 Char1 Char Char,Footnote Text Char1 Char1 Char1 Char Char Char1,DN,DNV-FT"/>
    <w:basedOn w:val="Normal"/>
    <w:link w:val="FootnoteTextChar"/>
    <w:uiPriority w:val="99"/>
    <w:unhideWhenUsed/>
    <w:qFormat/>
    <w:rsid w:val="00A61885"/>
    <w:rPr>
      <w:sz w:val="20"/>
      <w:szCs w:val="20"/>
    </w:rPr>
  </w:style>
  <w:style w:type="character" w:customStyle="1" w:styleId="FootnoteTextChar">
    <w:name w:val="Footnote Text Char"/>
    <w:aliases w:val="ECC Footnote Char,ALTS FOOTNOTE Char,Footnote Text Char1 Char,Footnote Text Char Char1 Char,Footnote Text Char4 Char Char Char,Footnote Text Char1 Char1 Char1 Char Char,Footnote Text Char Char1 Char1 Char Char Char,DN Char,DNV-FT Char"/>
    <w:basedOn w:val="DefaultParagraphFont"/>
    <w:link w:val="FootnoteText"/>
    <w:uiPriority w:val="99"/>
    <w:rsid w:val="00A61885"/>
    <w:rPr>
      <w:rFonts w:eastAsia="BatangChe"/>
    </w:rPr>
  </w:style>
  <w:style w:type="character" w:styleId="FootnoteReference">
    <w:name w:val="footnote reference"/>
    <w:aliases w:val="ECC Footnote number,Appel note de bas de p,Footnote Reference/,Footnote symbol,Style 12,(NECG) Footnote Reference,Style 124,o,fr,Style 13,FR,Style 17,Style 3,Appel note de bas de p + 11 pt,Italic,Appel note de bas de p1,Footnote,Ref,R"/>
    <w:basedOn w:val="DefaultParagraphFont"/>
    <w:unhideWhenUsed/>
    <w:qFormat/>
    <w:rsid w:val="00A61885"/>
    <w:rPr>
      <w:vertAlign w:val="superscript"/>
    </w:rPr>
  </w:style>
  <w:style w:type="paragraph" w:customStyle="1" w:styleId="enumlev1">
    <w:name w:val="enumlev1"/>
    <w:basedOn w:val="Normal"/>
    <w:link w:val="enumlev1Char"/>
    <w:qFormat/>
    <w:rsid w:val="00A61885"/>
    <w:pPr>
      <w:tabs>
        <w:tab w:val="left" w:pos="1134"/>
        <w:tab w:val="left" w:pos="1871"/>
        <w:tab w:val="left" w:pos="2608"/>
        <w:tab w:val="left" w:pos="3345"/>
      </w:tabs>
      <w:overflowPunct w:val="0"/>
      <w:autoSpaceDE w:val="0"/>
      <w:autoSpaceDN w:val="0"/>
      <w:adjustRightInd w:val="0"/>
      <w:spacing w:before="80"/>
      <w:ind w:left="1134" w:hanging="1134"/>
      <w:textAlignment w:val="baseline"/>
    </w:pPr>
    <w:rPr>
      <w:rFonts w:eastAsia="MS Mincho"/>
      <w:szCs w:val="20"/>
      <w:lang w:val="en-GB"/>
    </w:rPr>
  </w:style>
  <w:style w:type="character" w:customStyle="1" w:styleId="enumlev1Char">
    <w:name w:val="enumlev1 Char"/>
    <w:basedOn w:val="DefaultParagraphFont"/>
    <w:link w:val="enumlev1"/>
    <w:qFormat/>
    <w:locked/>
    <w:rsid w:val="00A61885"/>
    <w:rPr>
      <w:rFonts w:eastAsia="MS Mincho"/>
      <w:sz w:val="24"/>
      <w:lang w:val="en-GB"/>
    </w:rPr>
  </w:style>
  <w:style w:type="character" w:customStyle="1" w:styleId="ListParagraphChar">
    <w:name w:val="List Paragraph Char"/>
    <w:basedOn w:val="DefaultParagraphFont"/>
    <w:link w:val="ListParagraph"/>
    <w:uiPriority w:val="34"/>
    <w:locked/>
    <w:rsid w:val="00D31452"/>
    <w:rPr>
      <w:rFonts w:eastAsia="BatangChe"/>
      <w:sz w:val="24"/>
      <w:szCs w:val="24"/>
    </w:rPr>
  </w:style>
  <w:style w:type="paragraph" w:customStyle="1" w:styleId="Default">
    <w:name w:val="Default"/>
    <w:rsid w:val="00000B9E"/>
    <w:pPr>
      <w:autoSpaceDE w:val="0"/>
      <w:autoSpaceDN w:val="0"/>
      <w:adjustRightInd w:val="0"/>
    </w:pPr>
    <w:rPr>
      <w:color w:val="000000"/>
      <w:sz w:val="24"/>
      <w:szCs w:val="24"/>
    </w:rPr>
  </w:style>
  <w:style w:type="paragraph" w:styleId="NormalWeb">
    <w:name w:val="Normal (Web)"/>
    <w:basedOn w:val="Normal"/>
    <w:uiPriority w:val="99"/>
    <w:unhideWhenUsed/>
    <w:rsid w:val="00575CDC"/>
    <w:pPr>
      <w:spacing w:before="100" w:beforeAutospacing="1" w:after="100" w:afterAutospacing="1"/>
    </w:pPr>
    <w:rPr>
      <w:rFonts w:eastAsia="Times New Roman"/>
    </w:rPr>
  </w:style>
  <w:style w:type="table" w:customStyle="1" w:styleId="2">
    <w:name w:val="表 (格子)2"/>
    <w:basedOn w:val="TableNormal"/>
    <w:next w:val="TableGrid"/>
    <w:rsid w:val="0066388B"/>
    <w:rPr>
      <w:rFonts w:ascii="CG Times" w:eastAsia="MS Mincho" w:hAnsi="CG Times"/>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663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CCHLbold">
    <w:name w:val="ECC HL bold"/>
    <w:basedOn w:val="DefaultParagraphFont"/>
    <w:uiPriority w:val="1"/>
    <w:qFormat/>
    <w:rsid w:val="00EF2406"/>
    <w:rPr>
      <w:b/>
      <w:bCs/>
    </w:rPr>
  </w:style>
  <w:style w:type="character" w:customStyle="1" w:styleId="ECCParagraph">
    <w:name w:val="ECC Paragraph"/>
    <w:basedOn w:val="DefaultParagraphFont"/>
    <w:uiPriority w:val="1"/>
    <w:qFormat/>
    <w:rsid w:val="00EF2406"/>
    <w:rPr>
      <w:rFonts w:ascii="Arial" w:hAnsi="Arial" w:cs="Arial" w:hint="default"/>
      <w:noProof w:val="0"/>
      <w:sz w:val="20"/>
      <w:bdr w:val="none" w:sz="0" w:space="0" w:color="auto" w:frame="1"/>
      <w:lang w:val="en-GB"/>
    </w:rPr>
  </w:style>
  <w:style w:type="character" w:styleId="UnresolvedMention">
    <w:name w:val="Unresolved Mention"/>
    <w:basedOn w:val="DefaultParagraphFont"/>
    <w:uiPriority w:val="99"/>
    <w:semiHidden/>
    <w:unhideWhenUsed/>
    <w:rsid w:val="009306C7"/>
    <w:rPr>
      <w:color w:val="605E5C"/>
      <w:shd w:val="clear" w:color="auto" w:fill="E1DFDD"/>
    </w:rPr>
  </w:style>
  <w:style w:type="paragraph" w:styleId="Caption">
    <w:name w:val="caption"/>
    <w:basedOn w:val="Normal"/>
    <w:next w:val="Normal"/>
    <w:uiPriority w:val="35"/>
    <w:unhideWhenUsed/>
    <w:qFormat/>
    <w:rsid w:val="0028625B"/>
    <w:pPr>
      <w:spacing w:after="200"/>
    </w:pPr>
    <w:rPr>
      <w:rFonts w:asciiTheme="minorHAnsi" w:eastAsiaTheme="minorHAnsi" w:hAnsiTheme="minorHAnsi" w:cstheme="minorBidi"/>
      <w:i/>
      <w:iCs/>
      <w:color w:val="1F497D" w:themeColor="text2"/>
      <w:sz w:val="18"/>
      <w:szCs w:val="18"/>
    </w:rPr>
  </w:style>
  <w:style w:type="paragraph" w:customStyle="1" w:styleId="Tabletext">
    <w:name w:val="Table_text"/>
    <w:basedOn w:val="Normal"/>
    <w:link w:val="TabletextChar"/>
    <w:rsid w:val="0028625B"/>
    <w:pPr>
      <w:tabs>
        <w:tab w:val="left" w:pos="284"/>
        <w:tab w:val="left" w:pos="567"/>
        <w:tab w:val="left" w:pos="851"/>
        <w:tab w:val="left" w:pos="1134"/>
        <w:tab w:val="left" w:pos="1418"/>
        <w:tab w:val="left" w:pos="1701"/>
        <w:tab w:val="left" w:pos="187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sz w:val="20"/>
      <w:szCs w:val="20"/>
      <w:lang w:val="en-GB"/>
    </w:rPr>
  </w:style>
  <w:style w:type="paragraph" w:customStyle="1" w:styleId="Tablehead">
    <w:name w:val="Table_head"/>
    <w:basedOn w:val="Normal"/>
    <w:link w:val="TableheadChar"/>
    <w:rsid w:val="0028625B"/>
    <w:pPr>
      <w:keepNext/>
      <w:tabs>
        <w:tab w:val="left" w:pos="1134"/>
        <w:tab w:val="left" w:pos="1871"/>
        <w:tab w:val="left" w:pos="2268"/>
      </w:tabs>
      <w:overflowPunct w:val="0"/>
      <w:autoSpaceDE w:val="0"/>
      <w:autoSpaceDN w:val="0"/>
      <w:adjustRightInd w:val="0"/>
      <w:spacing w:before="80" w:after="80"/>
      <w:jc w:val="center"/>
      <w:textAlignment w:val="baseline"/>
    </w:pPr>
    <w:rPr>
      <w:rFonts w:ascii="Times New Roman Bold" w:eastAsia="Times New Roman" w:hAnsi="Times New Roman Bold" w:cs="Times New Roman Bold"/>
      <w:b/>
      <w:sz w:val="20"/>
      <w:szCs w:val="20"/>
      <w:lang w:val="en-GB"/>
    </w:rPr>
  </w:style>
  <w:style w:type="character" w:customStyle="1" w:styleId="TableheadChar">
    <w:name w:val="Table_head Char"/>
    <w:link w:val="Tablehead"/>
    <w:locked/>
    <w:rsid w:val="0028625B"/>
    <w:rPr>
      <w:rFonts w:ascii="Times New Roman Bold" w:eastAsia="Times New Roman" w:hAnsi="Times New Roman Bold" w:cs="Times New Roman Bold"/>
      <w:b/>
      <w:lang w:val="en-GB"/>
    </w:rPr>
  </w:style>
  <w:style w:type="character" w:customStyle="1" w:styleId="TabletextChar">
    <w:name w:val="Table_text Char"/>
    <w:basedOn w:val="DefaultParagraphFont"/>
    <w:link w:val="Tabletext"/>
    <w:locked/>
    <w:rsid w:val="0028625B"/>
    <w:rPr>
      <w:rFonts w:eastAsia="Times New Roman"/>
      <w:lang w:val="en-GB"/>
    </w:rPr>
  </w:style>
  <w:style w:type="character" w:styleId="FollowedHyperlink">
    <w:name w:val="FollowedHyperlink"/>
    <w:basedOn w:val="DefaultParagraphFont"/>
    <w:semiHidden/>
    <w:unhideWhenUsed/>
    <w:rsid w:val="002862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itu.int/md/meetingdoc.asp?lang=en&amp;parent=R19-WP4A-C-0133" TargetMode="External"/><Relationship Id="rId18" Type="http://schemas.openxmlformats.org/officeDocument/2006/relationships/hyperlink" Target="https://cept.org/files/4200/2021-01-14%20Status%20of%20CEPT%20prepararation%20for%20WRC-23%20(December%202020).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ept.org/Documents/cpg/59739/cpg-20-info-10_asmg-structure-and-preliminary-positions-for-wrc-23" TargetMode="External"/><Relationship Id="rId7" Type="http://schemas.openxmlformats.org/officeDocument/2006/relationships/endnotes" Target="endnotes.xml"/><Relationship Id="rId12" Type="http://schemas.openxmlformats.org/officeDocument/2006/relationships/hyperlink" Target="https://www.itu.int/md/meetingdoc.asp?lang=en&amp;parent=R19-WP4A-C-0175" TargetMode="External"/><Relationship Id="rId17" Type="http://schemas.openxmlformats.org/officeDocument/2006/relationships/hyperlink" Target="https://www.itu.int/md/meetingdoc.asp?lang=en&amp;parent=R19-WP4A-C-0039"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itu.int/md/meetingdoc.asp?lang=en&amp;parent=R19-WP4A-C-0044" TargetMode="External"/><Relationship Id="rId20" Type="http://schemas.openxmlformats.org/officeDocument/2006/relationships/hyperlink" Target="https://www.itu.int/oth/R0A0200000B/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tu.int/md/meetingdoc.asp?lang=en&amp;parent=R19-WP4A-C-0176"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itu.int/md/meetingdoc.asp?lang=en&amp;parent=R19-WP4A-C-0072" TargetMode="External"/><Relationship Id="rId23" Type="http://schemas.openxmlformats.org/officeDocument/2006/relationships/footer" Target="footer1.xml"/><Relationship Id="rId10" Type="http://schemas.openxmlformats.org/officeDocument/2006/relationships/hyperlink" Target="https://www.itu.int/dms_pub/itu-r/oth/0C/0A/R0C0A00000F0061PDFE.pdf" TargetMode="External"/><Relationship Id="rId19" Type="http://schemas.openxmlformats.org/officeDocument/2006/relationships/hyperlink" Target="https://cept.org/Documents/cpg/61939/cpg-20-info-26_citels-preparation-for-world-radiocommunication-conferences" TargetMode="External"/><Relationship Id="rId4" Type="http://schemas.openxmlformats.org/officeDocument/2006/relationships/settings" Target="settings.xml"/><Relationship Id="rId9" Type="http://schemas.openxmlformats.org/officeDocument/2006/relationships/hyperlink" Target="https://www.itu.int/net4/proposals/WRC19/Detail/Index?idProposal=50467" TargetMode="External"/><Relationship Id="rId14" Type="http://schemas.openxmlformats.org/officeDocument/2006/relationships/hyperlink" Target="https://www.itu.int/md/meetingdoc.asp?lang=en&amp;parent=R19-WP4A-C-0113"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PT%20Docs\APG\APG2023\APG23-2\APG23-2%20Document%20Template%20Other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81F3E-E75B-4637-BCAD-08C75B29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APG23-2 Document Template Others</Template>
  <TotalTime>3</TotalTime>
  <Pages>7</Pages>
  <Words>2640</Words>
  <Characters>15049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APT</Company>
  <LinksUpToDate>false</LinksUpToDate>
  <CharactersWithSpaces>17654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Forhadul Parvez</dc:creator>
  <cp:keywords/>
  <dc:description/>
  <cp:lastModifiedBy>Forhadul Parvez</cp:lastModifiedBy>
  <cp:revision>3</cp:revision>
  <cp:lastPrinted>2004-07-28T02:14:00Z</cp:lastPrinted>
  <dcterms:created xsi:type="dcterms:W3CDTF">2021-03-29T03:19:00Z</dcterms:created>
  <dcterms:modified xsi:type="dcterms:W3CDTF">2021-03-29T03:21:00Z</dcterms:modified>
</cp:coreProperties>
</file>