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030F0" w:rsidRPr="000030F0" w14:paraId="25B15063" w14:textId="77777777" w:rsidTr="007E1FDD">
        <w:trPr>
          <w:cantSplit/>
          <w:trHeight w:val="288"/>
        </w:trPr>
        <w:tc>
          <w:tcPr>
            <w:tcW w:w="1399" w:type="dxa"/>
            <w:vMerge w:val="restart"/>
          </w:tcPr>
          <w:p w14:paraId="35CB4FF6" w14:textId="77777777" w:rsidR="007E1FDD" w:rsidRPr="000030F0"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sidRPr="000030F0">
              <w:rPr>
                <w:kern w:val="2"/>
                <w:sz w:val="24"/>
                <w:szCs w:val="24"/>
              </w:rPr>
              <w:drawing>
                <wp:inline distT="0" distB="0" distL="0" distR="0" wp14:anchorId="464A7590" wp14:editId="318CE689">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3C757C6" w14:textId="77777777" w:rsidR="007E1FDD" w:rsidRPr="000030F0" w:rsidRDefault="007E1FDD" w:rsidP="007E7497">
            <w:pPr>
              <w:spacing w:before="40"/>
              <w:rPr>
                <w:sz w:val="22"/>
                <w:szCs w:val="22"/>
              </w:rPr>
            </w:pPr>
            <w:r w:rsidRPr="000030F0">
              <w:rPr>
                <w:sz w:val="22"/>
                <w:szCs w:val="22"/>
              </w:rPr>
              <w:t>ASIA-PACIFIC TELECOMMUNITY</w:t>
            </w:r>
          </w:p>
        </w:tc>
        <w:tc>
          <w:tcPr>
            <w:tcW w:w="2160" w:type="dxa"/>
          </w:tcPr>
          <w:p w14:paraId="217F24BE" w14:textId="77777777" w:rsidR="007E1FDD" w:rsidRPr="000030F0" w:rsidRDefault="007E1FDD" w:rsidP="007E7497">
            <w:pPr>
              <w:pStyle w:val="Heading8"/>
              <w:spacing w:before="40"/>
              <w:rPr>
                <w:sz w:val="24"/>
                <w:szCs w:val="24"/>
              </w:rPr>
            </w:pPr>
            <w:r w:rsidRPr="000030F0">
              <w:rPr>
                <w:sz w:val="24"/>
                <w:szCs w:val="24"/>
              </w:rPr>
              <w:t>Document No:</w:t>
            </w:r>
          </w:p>
        </w:tc>
      </w:tr>
      <w:tr w:rsidR="000030F0" w:rsidRPr="000030F0" w14:paraId="398213BF" w14:textId="77777777" w:rsidTr="007E7497">
        <w:trPr>
          <w:cantSplit/>
          <w:trHeight w:val="504"/>
        </w:trPr>
        <w:tc>
          <w:tcPr>
            <w:tcW w:w="1399" w:type="dxa"/>
            <w:vMerge/>
          </w:tcPr>
          <w:p w14:paraId="1E65A4C2" w14:textId="77777777" w:rsidR="003D25E1" w:rsidRPr="000030F0" w:rsidRDefault="003D25E1" w:rsidP="000D7C75"/>
        </w:tc>
        <w:tc>
          <w:tcPr>
            <w:tcW w:w="5760" w:type="dxa"/>
            <w:vAlign w:val="center"/>
          </w:tcPr>
          <w:p w14:paraId="3C6E6232" w14:textId="77777777" w:rsidR="003D25E1" w:rsidRPr="000030F0" w:rsidRDefault="00C73F61" w:rsidP="001E1432">
            <w:pPr>
              <w:spacing w:before="40"/>
            </w:pPr>
            <w:r w:rsidRPr="000030F0">
              <w:rPr>
                <w:b/>
              </w:rPr>
              <w:t xml:space="preserve">The </w:t>
            </w:r>
            <w:r w:rsidR="008624ED" w:rsidRPr="000030F0">
              <w:rPr>
                <w:b/>
              </w:rPr>
              <w:t>2nd</w:t>
            </w:r>
            <w:r w:rsidR="001E1432" w:rsidRPr="000030F0">
              <w:rPr>
                <w:b/>
              </w:rPr>
              <w:t xml:space="preserve"> </w:t>
            </w:r>
            <w:r w:rsidR="003D25E1" w:rsidRPr="000030F0">
              <w:rPr>
                <w:b/>
              </w:rPr>
              <w:t xml:space="preserve">Meeting of the APT </w:t>
            </w:r>
            <w:r w:rsidR="001E1432" w:rsidRPr="000030F0">
              <w:rPr>
                <w:b/>
              </w:rPr>
              <w:t xml:space="preserve">Conference Preparatory Group for WRC-23 </w:t>
            </w:r>
            <w:r w:rsidR="00EC249E" w:rsidRPr="000030F0">
              <w:rPr>
                <w:b/>
              </w:rPr>
              <w:t>(A</w:t>
            </w:r>
            <w:r w:rsidR="001E1432" w:rsidRPr="000030F0">
              <w:rPr>
                <w:b/>
              </w:rPr>
              <w:t>PG</w:t>
            </w:r>
            <w:r w:rsidR="00EC249E" w:rsidRPr="000030F0">
              <w:rPr>
                <w:b/>
              </w:rPr>
              <w:t>2</w:t>
            </w:r>
            <w:r w:rsidR="001E1432" w:rsidRPr="000030F0">
              <w:rPr>
                <w:b/>
              </w:rPr>
              <w:t>3-</w:t>
            </w:r>
            <w:r w:rsidR="008624ED" w:rsidRPr="000030F0">
              <w:rPr>
                <w:b/>
              </w:rPr>
              <w:t>2</w:t>
            </w:r>
            <w:r w:rsidR="003D25E1" w:rsidRPr="000030F0">
              <w:rPr>
                <w:b/>
              </w:rPr>
              <w:t>)</w:t>
            </w:r>
          </w:p>
        </w:tc>
        <w:tc>
          <w:tcPr>
            <w:tcW w:w="2160" w:type="dxa"/>
          </w:tcPr>
          <w:p w14:paraId="71B9E915" w14:textId="4ACAE62B" w:rsidR="007E1FDD" w:rsidRPr="000030F0" w:rsidRDefault="001E1432" w:rsidP="007E7497">
            <w:pPr>
              <w:spacing w:before="40"/>
              <w:rPr>
                <w:b/>
                <w:bCs/>
                <w:lang w:val="fr-FR"/>
              </w:rPr>
            </w:pPr>
            <w:r w:rsidRPr="000030F0">
              <w:rPr>
                <w:b/>
                <w:bCs/>
                <w:lang w:val="fr-FR"/>
              </w:rPr>
              <w:t>APG23-</w:t>
            </w:r>
            <w:r w:rsidR="008624ED" w:rsidRPr="000030F0">
              <w:rPr>
                <w:b/>
                <w:bCs/>
                <w:lang w:val="fr-FR"/>
              </w:rPr>
              <w:t>2</w:t>
            </w:r>
            <w:r w:rsidR="007E1FDD" w:rsidRPr="000030F0">
              <w:rPr>
                <w:b/>
                <w:bCs/>
                <w:lang w:val="fr-FR"/>
              </w:rPr>
              <w:t>/</w:t>
            </w:r>
            <w:r w:rsidR="00164353" w:rsidRPr="000030F0">
              <w:rPr>
                <w:b/>
                <w:bCs/>
                <w:lang w:val="fr-FR"/>
              </w:rPr>
              <w:t>IN</w:t>
            </w:r>
            <w:r w:rsidR="00EA0BBD" w:rsidRPr="000030F0">
              <w:rPr>
                <w:b/>
                <w:bCs/>
                <w:lang w:val="fr-FR"/>
              </w:rPr>
              <w:t>F</w:t>
            </w:r>
            <w:r w:rsidR="007E1FDD" w:rsidRPr="000030F0">
              <w:rPr>
                <w:b/>
                <w:bCs/>
                <w:lang w:val="fr-FR"/>
              </w:rPr>
              <w:t>-</w:t>
            </w:r>
            <w:r w:rsidR="00267E46" w:rsidRPr="000030F0">
              <w:rPr>
                <w:b/>
                <w:bCs/>
                <w:lang w:val="fr-FR"/>
              </w:rPr>
              <w:t>18</w:t>
            </w:r>
          </w:p>
          <w:p w14:paraId="042FD16E" w14:textId="4BA559D7" w:rsidR="003D25E1" w:rsidRPr="000030F0" w:rsidRDefault="006A501B" w:rsidP="007E1FDD">
            <w:pPr>
              <w:rPr>
                <w:b/>
                <w:bCs/>
                <w:lang w:val="en-GB"/>
              </w:rPr>
            </w:pPr>
            <w:r>
              <w:rPr>
                <w:b/>
                <w:bCs/>
                <w:lang w:val="en-GB"/>
              </w:rPr>
              <w:t>(Rev.1)</w:t>
            </w:r>
          </w:p>
        </w:tc>
      </w:tr>
      <w:tr w:rsidR="007E1FDD" w:rsidRPr="000030F0" w14:paraId="321CFF55" w14:textId="77777777" w:rsidTr="007E1FDD">
        <w:trPr>
          <w:cantSplit/>
          <w:trHeight w:val="288"/>
        </w:trPr>
        <w:tc>
          <w:tcPr>
            <w:tcW w:w="1399" w:type="dxa"/>
            <w:vMerge/>
          </w:tcPr>
          <w:p w14:paraId="4E3C555C" w14:textId="77777777" w:rsidR="007E1FDD" w:rsidRPr="000030F0" w:rsidRDefault="007E1FDD" w:rsidP="000D7C75">
            <w:pPr>
              <w:rPr>
                <w:lang w:val="en-GB"/>
              </w:rPr>
            </w:pPr>
          </w:p>
        </w:tc>
        <w:tc>
          <w:tcPr>
            <w:tcW w:w="5760" w:type="dxa"/>
            <w:vAlign w:val="bottom"/>
          </w:tcPr>
          <w:p w14:paraId="7BA3957E" w14:textId="77777777" w:rsidR="007E1FDD" w:rsidRPr="000030F0" w:rsidRDefault="008624ED" w:rsidP="00C73F61">
            <w:pPr>
              <w:spacing w:before="40"/>
              <w:rPr>
                <w:b/>
              </w:rPr>
            </w:pPr>
            <w:r w:rsidRPr="000030F0">
              <w:t>19</w:t>
            </w:r>
            <w:r w:rsidR="00C73F61" w:rsidRPr="000030F0">
              <w:t xml:space="preserve"> – </w:t>
            </w:r>
            <w:r w:rsidR="001E1432" w:rsidRPr="000030F0">
              <w:t>2</w:t>
            </w:r>
            <w:r w:rsidRPr="000030F0">
              <w:t>3</w:t>
            </w:r>
            <w:r w:rsidR="007E1FDD" w:rsidRPr="000030F0">
              <w:t xml:space="preserve"> </w:t>
            </w:r>
            <w:r w:rsidRPr="000030F0">
              <w:t>April</w:t>
            </w:r>
            <w:r w:rsidR="00EC249E" w:rsidRPr="000030F0">
              <w:t xml:space="preserve"> </w:t>
            </w:r>
            <w:r w:rsidR="007E1FDD" w:rsidRPr="000030F0">
              <w:t>20</w:t>
            </w:r>
            <w:r w:rsidR="00EC249E" w:rsidRPr="000030F0">
              <w:t>2</w:t>
            </w:r>
            <w:r w:rsidRPr="000030F0">
              <w:t>1</w:t>
            </w:r>
            <w:r w:rsidR="007E1FDD" w:rsidRPr="000030F0">
              <w:t xml:space="preserve">, </w:t>
            </w:r>
            <w:r w:rsidR="00EC249E" w:rsidRPr="000030F0">
              <w:rPr>
                <w:bCs/>
              </w:rPr>
              <w:t>Virtual</w:t>
            </w:r>
            <w:r w:rsidRPr="000030F0">
              <w:rPr>
                <w:bCs/>
              </w:rPr>
              <w:t>/Online</w:t>
            </w:r>
            <w:r w:rsidR="00EC249E" w:rsidRPr="000030F0">
              <w:rPr>
                <w:bCs/>
              </w:rPr>
              <w:t xml:space="preserve"> Meeting</w:t>
            </w:r>
          </w:p>
        </w:tc>
        <w:tc>
          <w:tcPr>
            <w:tcW w:w="2160" w:type="dxa"/>
            <w:vAlign w:val="bottom"/>
          </w:tcPr>
          <w:p w14:paraId="4DAAF244" w14:textId="16020B24" w:rsidR="007E1FDD" w:rsidRPr="000030F0" w:rsidRDefault="006A501B" w:rsidP="00251D3C">
            <w:pPr>
              <w:spacing w:before="40"/>
              <w:rPr>
                <w:bCs/>
              </w:rPr>
            </w:pPr>
            <w:r>
              <w:rPr>
                <w:bCs/>
              </w:rPr>
              <w:t>06</w:t>
            </w:r>
            <w:r w:rsidR="008624ED" w:rsidRPr="000030F0">
              <w:rPr>
                <w:bCs/>
              </w:rPr>
              <w:t xml:space="preserve"> </w:t>
            </w:r>
            <w:r>
              <w:rPr>
                <w:bCs/>
              </w:rPr>
              <w:t>April</w:t>
            </w:r>
            <w:r w:rsidR="00EA0BBD" w:rsidRPr="000030F0">
              <w:rPr>
                <w:bCs/>
              </w:rPr>
              <w:t xml:space="preserve"> </w:t>
            </w:r>
            <w:r w:rsidR="007E1FDD" w:rsidRPr="000030F0">
              <w:rPr>
                <w:bCs/>
              </w:rPr>
              <w:t>20</w:t>
            </w:r>
            <w:r w:rsidR="00EC249E" w:rsidRPr="000030F0">
              <w:rPr>
                <w:bCs/>
              </w:rPr>
              <w:t>2</w:t>
            </w:r>
            <w:r w:rsidR="008624ED" w:rsidRPr="000030F0">
              <w:rPr>
                <w:bCs/>
              </w:rPr>
              <w:t>1</w:t>
            </w:r>
          </w:p>
        </w:tc>
      </w:tr>
    </w:tbl>
    <w:p w14:paraId="1D7C378C" w14:textId="77777777" w:rsidR="007E7497" w:rsidRPr="000030F0" w:rsidRDefault="007E7497" w:rsidP="00DA7595">
      <w:pPr>
        <w:rPr>
          <w:lang w:eastAsia="ko-KR"/>
        </w:rPr>
      </w:pPr>
    </w:p>
    <w:p w14:paraId="416BBD44" w14:textId="77777777" w:rsidR="00FF72BB" w:rsidRPr="000030F0" w:rsidRDefault="00FF72BB" w:rsidP="00DA7595">
      <w:pPr>
        <w:jc w:val="center"/>
        <w:rPr>
          <w:lang w:eastAsia="ko-KR"/>
        </w:rPr>
      </w:pPr>
    </w:p>
    <w:p w14:paraId="5D48B783" w14:textId="321DA8CF" w:rsidR="00DA7595" w:rsidRPr="000030F0" w:rsidRDefault="00EA0BBD" w:rsidP="00DA7595">
      <w:pPr>
        <w:jc w:val="center"/>
        <w:rPr>
          <w:lang w:eastAsia="ko-KR"/>
        </w:rPr>
      </w:pPr>
      <w:r w:rsidRPr="000030F0">
        <w:rPr>
          <w:lang w:eastAsia="ko-KR"/>
        </w:rPr>
        <w:t xml:space="preserve">Chairman, DG on AI </w:t>
      </w:r>
      <w:r w:rsidR="00676CC1" w:rsidRPr="000030F0">
        <w:rPr>
          <w:lang w:eastAsia="ko-KR"/>
        </w:rPr>
        <w:t>10</w:t>
      </w:r>
    </w:p>
    <w:p w14:paraId="49B50650" w14:textId="77777777" w:rsidR="007E7497" w:rsidRPr="000030F0" w:rsidRDefault="007E7497" w:rsidP="007E7497">
      <w:pPr>
        <w:jc w:val="center"/>
        <w:rPr>
          <w:caps/>
        </w:rPr>
      </w:pPr>
    </w:p>
    <w:p w14:paraId="40C01037" w14:textId="0EC06CD9" w:rsidR="007E7497" w:rsidRPr="000030F0" w:rsidRDefault="00EA0BBD" w:rsidP="007E7497">
      <w:pPr>
        <w:jc w:val="center"/>
        <w:rPr>
          <w:b/>
          <w:bCs/>
          <w:caps/>
        </w:rPr>
      </w:pPr>
      <w:r w:rsidRPr="000030F0">
        <w:rPr>
          <w:b/>
          <w:bCs/>
          <w:caps/>
        </w:rPr>
        <w:t xml:space="preserve">brief </w:t>
      </w:r>
      <w:r w:rsidR="00EC249E" w:rsidRPr="000030F0">
        <w:rPr>
          <w:b/>
          <w:bCs/>
          <w:caps/>
        </w:rPr>
        <w:t>o</w:t>
      </w:r>
      <w:r w:rsidRPr="000030F0">
        <w:rPr>
          <w:b/>
          <w:bCs/>
          <w:caps/>
        </w:rPr>
        <w:t>n</w:t>
      </w:r>
      <w:r w:rsidR="00EC249E" w:rsidRPr="000030F0">
        <w:rPr>
          <w:b/>
          <w:bCs/>
          <w:caps/>
        </w:rPr>
        <w:t xml:space="preserve"> </w:t>
      </w:r>
      <w:r w:rsidRPr="000030F0">
        <w:rPr>
          <w:b/>
          <w:bCs/>
          <w:caps/>
        </w:rPr>
        <w:t>wrc-23</w:t>
      </w:r>
      <w:r w:rsidR="00EC249E" w:rsidRPr="000030F0">
        <w:rPr>
          <w:b/>
          <w:bCs/>
          <w:caps/>
        </w:rPr>
        <w:t xml:space="preserve"> </w:t>
      </w:r>
      <w:r w:rsidRPr="000030F0">
        <w:rPr>
          <w:b/>
          <w:bCs/>
          <w:caps/>
        </w:rPr>
        <w:t>agenda item 1</w:t>
      </w:r>
      <w:r w:rsidR="00676CC1" w:rsidRPr="000030F0">
        <w:rPr>
          <w:b/>
          <w:bCs/>
          <w:caps/>
        </w:rPr>
        <w:t>0</w:t>
      </w:r>
    </w:p>
    <w:p w14:paraId="233AF010" w14:textId="77777777" w:rsidR="007E7497" w:rsidRPr="000030F0" w:rsidRDefault="007E7497" w:rsidP="007E7497">
      <w:pPr>
        <w:jc w:val="both"/>
        <w:rPr>
          <w:bCs/>
          <w:sz w:val="6"/>
        </w:rPr>
      </w:pPr>
    </w:p>
    <w:p w14:paraId="271866BD" w14:textId="77777777" w:rsidR="00D84CEE" w:rsidRPr="000030F0" w:rsidRDefault="00D84CEE" w:rsidP="00D84CEE">
      <w:pPr>
        <w:jc w:val="both"/>
        <w:rPr>
          <w:sz w:val="10"/>
        </w:rPr>
      </w:pPr>
    </w:p>
    <w:p w14:paraId="6E2A1ABA" w14:textId="77777777" w:rsidR="00EC249E" w:rsidRPr="000030F0" w:rsidRDefault="00EC249E" w:rsidP="00E5341E">
      <w:pPr>
        <w:spacing w:after="120"/>
        <w:jc w:val="both"/>
        <w:rPr>
          <w:b/>
          <w:lang w:val="en-NZ"/>
        </w:rPr>
      </w:pPr>
    </w:p>
    <w:p w14:paraId="60504901" w14:textId="177A8D24" w:rsidR="00EC249E" w:rsidRPr="000030F0" w:rsidRDefault="00EC249E" w:rsidP="00EC249E">
      <w:pPr>
        <w:jc w:val="both"/>
      </w:pPr>
      <w:r w:rsidRPr="000030F0">
        <w:t>(</w:t>
      </w:r>
      <w:r w:rsidR="00615999" w:rsidRPr="000030F0">
        <w:t xml:space="preserve">Note: </w:t>
      </w:r>
      <w:r w:rsidR="00615999" w:rsidRPr="000030F0">
        <w:rPr>
          <w:i/>
          <w:iCs/>
        </w:rPr>
        <w:t>This brief was developed for information purpose only. It does not necessarily express the view of APG-23</w:t>
      </w:r>
      <w:r w:rsidRPr="000030F0">
        <w:t>)</w:t>
      </w:r>
    </w:p>
    <w:p w14:paraId="030D99E3" w14:textId="77777777" w:rsidR="00EC249E" w:rsidRPr="000030F0" w:rsidRDefault="00EC249E" w:rsidP="00E5341E">
      <w:pPr>
        <w:spacing w:after="120"/>
        <w:jc w:val="both"/>
        <w:rPr>
          <w:b/>
        </w:rPr>
      </w:pPr>
    </w:p>
    <w:p w14:paraId="4E1693DC" w14:textId="76D7F0D0" w:rsidR="00615999" w:rsidRPr="000030F0" w:rsidRDefault="00676CC1" w:rsidP="00615999">
      <w:pPr>
        <w:spacing w:after="120"/>
        <w:jc w:val="both"/>
        <w:rPr>
          <w:lang w:val="en-NZ"/>
        </w:rPr>
      </w:pPr>
      <w:r w:rsidRPr="000030F0">
        <w:rPr>
          <w:b/>
          <w:lang w:val="en-NZ"/>
        </w:rPr>
        <w:t>Agenda Item 10</w:t>
      </w:r>
      <w:r w:rsidR="00615999" w:rsidRPr="000030F0">
        <w:rPr>
          <w:b/>
          <w:lang w:val="en-NZ"/>
        </w:rPr>
        <w:t xml:space="preserve">: </w:t>
      </w:r>
    </w:p>
    <w:p w14:paraId="53333B28" w14:textId="0CB5E7C8" w:rsidR="00615999" w:rsidRPr="000030F0" w:rsidRDefault="00660EB7" w:rsidP="00615999">
      <w:pPr>
        <w:spacing w:after="120"/>
        <w:jc w:val="both"/>
        <w:rPr>
          <w:i/>
          <w:lang w:val="en-NZ"/>
        </w:rPr>
      </w:pPr>
      <w:r w:rsidRPr="000030F0">
        <w:rPr>
          <w:i/>
          <w:lang w:val="en-NZ"/>
        </w:rPr>
        <w:t xml:space="preserve">to recommend to the ITU Council items for inclusion in the agenda for the next world radiocommunication conference, and items for the preliminary agenda of future conferences, in accordance with Article 7 of the ITU Convention and Resolution </w:t>
      </w:r>
      <w:r w:rsidRPr="000030F0">
        <w:rPr>
          <w:b/>
          <w:i/>
          <w:lang w:val="en-NZ"/>
        </w:rPr>
        <w:t>804 (Rev.WRC-19)</w:t>
      </w:r>
    </w:p>
    <w:p w14:paraId="3BD549DE" w14:textId="56FA60BB" w:rsidR="0037421D" w:rsidRPr="000030F0" w:rsidRDefault="00615999" w:rsidP="00E5341E">
      <w:pPr>
        <w:spacing w:after="120"/>
        <w:jc w:val="both"/>
        <w:rPr>
          <w:b/>
          <w:lang w:val="en-NZ"/>
        </w:rPr>
      </w:pPr>
      <w:r w:rsidRPr="000030F0">
        <w:rPr>
          <w:b/>
          <w:lang w:val="en-NZ"/>
        </w:rPr>
        <w:t>Relevant Resolutions and Responsible/Contributing ITU-R Groups</w:t>
      </w:r>
    </w:p>
    <w:p w14:paraId="007FB088" w14:textId="6D900A4A" w:rsidR="0037421D" w:rsidRPr="000030F0" w:rsidRDefault="00615999" w:rsidP="00E5341E">
      <w:pPr>
        <w:spacing w:after="120"/>
        <w:jc w:val="both"/>
        <w:rPr>
          <w:bCs/>
        </w:rPr>
      </w:pPr>
      <w:r w:rsidRPr="000030F0">
        <w:rPr>
          <w:bCs/>
        </w:rPr>
        <w:t>[</w:t>
      </w:r>
      <w:r w:rsidRPr="000030F0">
        <w:rPr>
          <w:i/>
          <w:iCs/>
        </w:rPr>
        <w:t>The texts in this section should be the same as CA251, CA251A1 and CA 251C1. Cut and paste</w:t>
      </w:r>
      <w:r w:rsidRPr="000030F0">
        <w:rPr>
          <w:bCs/>
        </w:rPr>
        <w:t>]</w:t>
      </w:r>
    </w:p>
    <w:p w14:paraId="3DA40495" w14:textId="7BABE2C5" w:rsidR="0037421D" w:rsidRPr="000030F0" w:rsidRDefault="00615999" w:rsidP="00E5341E">
      <w:pPr>
        <w:spacing w:after="120"/>
        <w:jc w:val="both"/>
        <w:rPr>
          <w:bCs/>
        </w:rPr>
      </w:pPr>
      <w:r w:rsidRPr="000030F0">
        <w:rPr>
          <w:bCs/>
        </w:rPr>
        <w:t>Example: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6922"/>
      </w:tblGrid>
      <w:tr w:rsidR="00825ED6" w:rsidRPr="000030F0" w14:paraId="5424D907" w14:textId="77777777" w:rsidTr="00395A72">
        <w:trPr>
          <w:jc w:val="center"/>
        </w:trPr>
        <w:tc>
          <w:tcPr>
            <w:tcW w:w="2287" w:type="dxa"/>
          </w:tcPr>
          <w:p w14:paraId="13A6DCFA" w14:textId="77777777" w:rsidR="00825ED6" w:rsidRPr="000030F0" w:rsidRDefault="00825ED6" w:rsidP="00395A7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lang w:eastAsia="ko-KR"/>
              </w:rPr>
            </w:pPr>
            <w:r w:rsidRPr="000030F0">
              <w:rPr>
                <w:rFonts w:eastAsia="Batang" w:hint="eastAsia"/>
                <w:lang w:eastAsia="ko-KR"/>
              </w:rPr>
              <w:t>Reso</w:t>
            </w:r>
            <w:r w:rsidRPr="000030F0">
              <w:rPr>
                <w:rFonts w:eastAsia="Batang"/>
                <w:lang w:eastAsia="ko-KR"/>
              </w:rPr>
              <w:t xml:space="preserve">lution </w:t>
            </w:r>
            <w:r w:rsidRPr="000030F0">
              <w:rPr>
                <w:rFonts w:eastAsia="Batang"/>
                <w:b/>
                <w:lang w:eastAsia="ko-KR"/>
              </w:rPr>
              <w:t>804 (Rev.WRC-19)</w:t>
            </w:r>
          </w:p>
          <w:p w14:paraId="75815C5C" w14:textId="22B4A496" w:rsidR="00825ED6" w:rsidRPr="000030F0" w:rsidRDefault="00825ED6" w:rsidP="00395A7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lang w:eastAsia="ko-KR"/>
              </w:rPr>
            </w:pPr>
            <w:r w:rsidRPr="000030F0">
              <w:rPr>
                <w:rFonts w:eastAsia="Batang"/>
                <w:lang w:eastAsia="ko-KR"/>
              </w:rPr>
              <w:t>Principles for establishing agendas for world radiocommunication conferences</w:t>
            </w:r>
          </w:p>
        </w:tc>
        <w:tc>
          <w:tcPr>
            <w:tcW w:w="6922" w:type="dxa"/>
          </w:tcPr>
          <w:p w14:paraId="1CDF45E2" w14:textId="303546F6" w:rsidR="00825ED6" w:rsidRPr="000030F0" w:rsidRDefault="00825ED6" w:rsidP="00395A72">
            <w:pPr>
              <w:keepNext/>
              <w:keepLines/>
              <w:tabs>
                <w:tab w:val="left" w:pos="794"/>
                <w:tab w:val="left" w:pos="1191"/>
                <w:tab w:val="left" w:pos="1588"/>
                <w:tab w:val="left" w:pos="1985"/>
              </w:tabs>
              <w:overflowPunct w:val="0"/>
              <w:adjustRightInd w:val="0"/>
              <w:spacing w:before="40" w:after="40" w:line="280" w:lineRule="exact"/>
              <w:ind w:left="794"/>
              <w:textAlignment w:val="baseline"/>
              <w:rPr>
                <w:rFonts w:eastAsiaTheme="minorEastAsia"/>
                <w:i/>
                <w:iCs/>
                <w:lang w:eastAsia="ko-KR"/>
              </w:rPr>
            </w:pPr>
            <w:r w:rsidRPr="000030F0">
              <w:rPr>
                <w:rFonts w:eastAsiaTheme="minorEastAsia"/>
                <w:i/>
                <w:iCs/>
                <w:lang w:eastAsia="ko-KR"/>
              </w:rPr>
              <w:t>resolves</w:t>
            </w:r>
          </w:p>
          <w:p w14:paraId="640D0ADE" w14:textId="7BA87C53" w:rsidR="00825ED6" w:rsidRPr="000030F0" w:rsidRDefault="00825ED6" w:rsidP="00825ED6">
            <w:pPr>
              <w:keepNext/>
              <w:keepLines/>
              <w:tabs>
                <w:tab w:val="left" w:pos="794"/>
                <w:tab w:val="left" w:pos="1191"/>
                <w:tab w:val="left" w:pos="1588"/>
                <w:tab w:val="left" w:pos="1985"/>
              </w:tabs>
              <w:overflowPunct w:val="0"/>
              <w:adjustRightInd w:val="0"/>
              <w:spacing w:before="40" w:after="40" w:line="280" w:lineRule="exact"/>
              <w:textAlignment w:val="baseline"/>
              <w:rPr>
                <w:rFonts w:eastAsiaTheme="minorEastAsia"/>
                <w:iCs/>
                <w:lang w:eastAsia="ko-KR"/>
              </w:rPr>
            </w:pPr>
            <w:r w:rsidRPr="000030F0">
              <w:rPr>
                <w:rFonts w:eastAsiaTheme="minorEastAsia" w:hint="eastAsia"/>
                <w:iCs/>
                <w:lang w:eastAsia="ko-KR"/>
              </w:rPr>
              <w:t>1</w:t>
            </w:r>
            <w:r w:rsidRPr="000030F0">
              <w:rPr>
                <w:rFonts w:eastAsiaTheme="minorEastAsia"/>
                <w:iCs/>
                <w:lang w:eastAsia="ko-KR"/>
              </w:rPr>
              <w:tab/>
              <w:t>that recommended agendas for future WRCs shall include a standing agenda item for the establishment of preliminary agendas for subsequent WRCs;</w:t>
            </w:r>
          </w:p>
          <w:p w14:paraId="140DF084" w14:textId="77777777" w:rsidR="00825ED6" w:rsidRPr="000030F0" w:rsidRDefault="00825ED6" w:rsidP="00825ED6">
            <w:pPr>
              <w:rPr>
                <w:lang w:eastAsia="ko-KR"/>
              </w:rPr>
            </w:pPr>
            <w:r w:rsidRPr="000030F0">
              <w:rPr>
                <w:lang w:eastAsia="ko-KR"/>
              </w:rPr>
              <w:t>2</w:t>
            </w:r>
            <w:r w:rsidRPr="000030F0">
              <w:rPr>
                <w:lang w:eastAsia="ko-KR"/>
              </w:rPr>
              <w:tab/>
              <w:t>that the principles in Annex 1 to this Resolution should be used when developing future WRC agendas;</w:t>
            </w:r>
          </w:p>
          <w:p w14:paraId="15B2847E" w14:textId="77777777" w:rsidR="00825ED6" w:rsidRPr="000030F0" w:rsidRDefault="00825ED6" w:rsidP="00825ED6">
            <w:pPr>
              <w:rPr>
                <w:lang w:eastAsia="ko-KR"/>
              </w:rPr>
            </w:pPr>
            <w:r w:rsidRPr="000030F0">
              <w:rPr>
                <w:lang w:eastAsia="ko-KR"/>
              </w:rPr>
              <w:t>3</w:t>
            </w:r>
            <w:r w:rsidRPr="000030F0">
              <w:rPr>
                <w:lang w:eastAsia="ko-KR"/>
              </w:rPr>
              <w:tab/>
              <w:t xml:space="preserve">to encourage administrations and regional telecommunication organizations to submit, to the extent practicable, information on possible items/topics for the agenda of future WRCs under the WRC standing agenda item mentioned in </w:t>
            </w:r>
            <w:r w:rsidRPr="000030F0">
              <w:rPr>
                <w:i/>
                <w:lang w:eastAsia="ko-KR"/>
              </w:rPr>
              <w:t>resolves</w:t>
            </w:r>
            <w:r w:rsidRPr="000030F0">
              <w:rPr>
                <w:lang w:eastAsia="ko-KR"/>
              </w:rPr>
              <w:t xml:space="preserve"> 1 to the second session of CPM,</w:t>
            </w:r>
          </w:p>
          <w:p w14:paraId="7681CB76" w14:textId="77777777" w:rsidR="005471A0" w:rsidRPr="000030F0" w:rsidRDefault="005471A0" w:rsidP="00825ED6">
            <w:pPr>
              <w:rPr>
                <w:lang w:eastAsia="ko-KR"/>
              </w:rPr>
            </w:pPr>
          </w:p>
          <w:p w14:paraId="52C9A988" w14:textId="77777777" w:rsidR="005471A0" w:rsidRPr="000030F0" w:rsidRDefault="005471A0" w:rsidP="00825ED6">
            <w:pPr>
              <w:rPr>
                <w:i/>
                <w:lang w:eastAsia="ko-KR"/>
              </w:rPr>
            </w:pPr>
            <w:r w:rsidRPr="000030F0">
              <w:rPr>
                <w:i/>
                <w:lang w:eastAsia="ko-KR"/>
              </w:rPr>
              <w:tab/>
              <w:t>invites administrations</w:t>
            </w:r>
          </w:p>
          <w:p w14:paraId="1A731CED" w14:textId="7D4CCAA1" w:rsidR="005471A0" w:rsidRPr="000030F0" w:rsidRDefault="005471A0" w:rsidP="005471A0">
            <w:pPr>
              <w:rPr>
                <w:lang w:eastAsia="ko-KR"/>
              </w:rPr>
            </w:pPr>
            <w:r w:rsidRPr="000030F0">
              <w:rPr>
                <w:lang w:eastAsia="ko-KR"/>
              </w:rPr>
              <w:t>1</w:t>
            </w:r>
            <w:r w:rsidRPr="000030F0">
              <w:rPr>
                <w:lang w:eastAsia="ko-KR"/>
              </w:rPr>
              <w:tab/>
              <w:t>to use the template in Annex 2 to this Resolution in proposing agenda items for WRCs;</w:t>
            </w:r>
          </w:p>
          <w:p w14:paraId="7EC12E94" w14:textId="0076DA4C" w:rsidR="005471A0" w:rsidRPr="000030F0" w:rsidRDefault="005471A0" w:rsidP="005471A0">
            <w:pPr>
              <w:rPr>
                <w:lang w:eastAsia="ko-KR"/>
              </w:rPr>
            </w:pPr>
            <w:r w:rsidRPr="000030F0">
              <w:rPr>
                <w:lang w:eastAsia="ko-KR"/>
              </w:rPr>
              <w:t>2</w:t>
            </w:r>
            <w:r w:rsidRPr="000030F0">
              <w:rPr>
                <w:lang w:eastAsia="ko-KR"/>
              </w:rPr>
              <w:tab/>
              <w:t>to participate in regional activities for the preparation of future WRC agendas.</w:t>
            </w:r>
          </w:p>
        </w:tc>
      </w:tr>
    </w:tbl>
    <w:p w14:paraId="5850A44A" w14:textId="7DE88827" w:rsidR="0037421D" w:rsidRPr="000030F0" w:rsidRDefault="0037421D" w:rsidP="00E5341E">
      <w:pPr>
        <w:spacing w:after="120"/>
        <w:jc w:val="both"/>
        <w:rPr>
          <w:b/>
        </w:rPr>
      </w:pPr>
    </w:p>
    <w:tbl>
      <w:tblPr>
        <w:tblStyle w:val="TableGrid"/>
        <w:tblW w:w="0" w:type="auto"/>
        <w:tblInd w:w="-5" w:type="dxa"/>
        <w:tblLook w:val="04A0" w:firstRow="1" w:lastRow="0" w:firstColumn="1" w:lastColumn="0" w:noHBand="0" w:noVBand="1"/>
      </w:tblPr>
      <w:tblGrid>
        <w:gridCol w:w="5113"/>
        <w:gridCol w:w="3908"/>
      </w:tblGrid>
      <w:tr w:rsidR="000030F0" w:rsidRPr="000030F0" w14:paraId="201407FC" w14:textId="77777777" w:rsidTr="00395A72">
        <w:tc>
          <w:tcPr>
            <w:tcW w:w="5113" w:type="dxa"/>
          </w:tcPr>
          <w:p w14:paraId="49F372C5" w14:textId="77777777" w:rsidR="00615999" w:rsidRPr="000030F0" w:rsidRDefault="00615999" w:rsidP="00395A72">
            <w:r w:rsidRPr="000030F0">
              <w:rPr>
                <w:rFonts w:eastAsia="Batang"/>
                <w:b/>
              </w:rPr>
              <w:t>Responsible group</w:t>
            </w:r>
          </w:p>
        </w:tc>
        <w:tc>
          <w:tcPr>
            <w:tcW w:w="3908" w:type="dxa"/>
          </w:tcPr>
          <w:p w14:paraId="1B86DE8A" w14:textId="77777777" w:rsidR="00615999" w:rsidRPr="000030F0" w:rsidRDefault="00615999" w:rsidP="00395A72">
            <w:r w:rsidRPr="000030F0">
              <w:rPr>
                <w:rFonts w:eastAsia="Batang"/>
                <w:b/>
              </w:rPr>
              <w:t>Contributing group</w:t>
            </w:r>
          </w:p>
        </w:tc>
      </w:tr>
      <w:tr w:rsidR="000030F0" w:rsidRPr="000030F0" w14:paraId="6FC88BBB" w14:textId="77777777" w:rsidTr="00395A72">
        <w:tc>
          <w:tcPr>
            <w:tcW w:w="5113" w:type="dxa"/>
          </w:tcPr>
          <w:p w14:paraId="69AC308E" w14:textId="1A14B2A5" w:rsidR="00825ED6" w:rsidRPr="000030F0" w:rsidRDefault="00AF2BC9" w:rsidP="00395A7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lang w:eastAsia="ko-KR"/>
              </w:rPr>
            </w:pPr>
            <w:r w:rsidRPr="000030F0">
              <w:rPr>
                <w:rFonts w:eastAsia="Batang" w:hint="eastAsia"/>
                <w:lang w:eastAsia="ko-KR"/>
              </w:rPr>
              <w:t>N/A</w:t>
            </w:r>
          </w:p>
        </w:tc>
        <w:tc>
          <w:tcPr>
            <w:tcW w:w="3908" w:type="dxa"/>
          </w:tcPr>
          <w:p w14:paraId="0DCF9660" w14:textId="5807E9FF" w:rsidR="00825ED6" w:rsidRPr="000030F0" w:rsidRDefault="00AF2BC9" w:rsidP="00395A7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Batang"/>
                <w:lang w:eastAsia="ko-KR"/>
              </w:rPr>
            </w:pPr>
            <w:r w:rsidRPr="000030F0">
              <w:rPr>
                <w:rFonts w:eastAsia="Batang" w:hint="eastAsia"/>
                <w:lang w:eastAsia="ko-KR"/>
              </w:rPr>
              <w:t>N/A</w:t>
            </w:r>
          </w:p>
        </w:tc>
      </w:tr>
    </w:tbl>
    <w:p w14:paraId="5CBC4012" w14:textId="77777777" w:rsidR="00615999" w:rsidRPr="000030F0" w:rsidRDefault="00615999" w:rsidP="00E5341E">
      <w:pPr>
        <w:spacing w:after="120"/>
        <w:jc w:val="both"/>
        <w:rPr>
          <w:b/>
        </w:rPr>
      </w:pPr>
    </w:p>
    <w:p w14:paraId="556060EE" w14:textId="5AC2718D" w:rsidR="00D06742" w:rsidRPr="000030F0" w:rsidRDefault="00D06742" w:rsidP="00D06742">
      <w:pPr>
        <w:spacing w:after="120"/>
        <w:jc w:val="both"/>
        <w:rPr>
          <w:b/>
          <w:lang w:val="en-NZ" w:eastAsia="ko-KR"/>
        </w:rPr>
      </w:pPr>
      <w:r w:rsidRPr="000030F0">
        <w:rPr>
          <w:b/>
          <w:lang w:val="en-NZ" w:eastAsia="ko-KR"/>
        </w:rPr>
        <w:t xml:space="preserve">1. </w:t>
      </w:r>
      <w:r w:rsidRPr="000030F0">
        <w:rPr>
          <w:b/>
          <w:lang w:val="en-NZ" w:eastAsia="ko-KR"/>
        </w:rPr>
        <w:tab/>
        <w:t>Background Information</w:t>
      </w:r>
    </w:p>
    <w:p w14:paraId="1E696CE6" w14:textId="55C8501E" w:rsidR="005263C8" w:rsidRPr="000030F0" w:rsidRDefault="00D06742" w:rsidP="005263C8">
      <w:pPr>
        <w:pStyle w:val="ListParagraph"/>
        <w:widowControl w:val="0"/>
        <w:numPr>
          <w:ilvl w:val="0"/>
          <w:numId w:val="22"/>
        </w:numPr>
        <w:wordWrap w:val="0"/>
        <w:autoSpaceDE w:val="0"/>
        <w:autoSpaceDN w:val="0"/>
        <w:jc w:val="both"/>
      </w:pPr>
      <w:r w:rsidRPr="000030F0">
        <w:t>Which regional organization initiated this Agenda Item</w:t>
      </w:r>
    </w:p>
    <w:p w14:paraId="578BA17B" w14:textId="77777777" w:rsidR="00CE17E4" w:rsidRPr="000030F0" w:rsidRDefault="00CE17E4" w:rsidP="00CE17E4">
      <w:pPr>
        <w:pStyle w:val="ListParagraph"/>
        <w:widowControl w:val="0"/>
        <w:numPr>
          <w:ilvl w:val="0"/>
          <w:numId w:val="22"/>
        </w:numPr>
        <w:wordWrap w:val="0"/>
        <w:autoSpaceDE w:val="0"/>
        <w:autoSpaceDN w:val="0"/>
        <w:jc w:val="both"/>
        <w:rPr>
          <w:lang w:eastAsia="ko-KR"/>
        </w:rPr>
      </w:pPr>
      <w:r w:rsidRPr="000030F0">
        <w:rPr>
          <w:rFonts w:hint="eastAsia"/>
          <w:lang w:val="en-NZ" w:eastAsia="ko-KR"/>
        </w:rPr>
        <w:t>As described in section 3 below, all</w:t>
      </w:r>
      <w:r w:rsidRPr="000030F0">
        <w:rPr>
          <w:lang w:val="en-NZ" w:eastAsia="ko-KR"/>
        </w:rPr>
        <w:t xml:space="preserve"> regional preparatory groups for WRC-23 are now in </w:t>
      </w:r>
      <w:r w:rsidRPr="000030F0">
        <w:rPr>
          <w:lang w:val="en-NZ" w:eastAsia="ko-KR"/>
        </w:rPr>
        <w:lastRenderedPageBreak/>
        <w:t>the initial stage for discussion.</w:t>
      </w:r>
    </w:p>
    <w:p w14:paraId="00B67195" w14:textId="5A750D49" w:rsidR="0036416A" w:rsidRPr="000030F0" w:rsidRDefault="0036416A" w:rsidP="0036416A">
      <w:pPr>
        <w:pStyle w:val="ListParagraph"/>
        <w:widowControl w:val="0"/>
        <w:wordWrap w:val="0"/>
        <w:autoSpaceDE w:val="0"/>
        <w:autoSpaceDN w:val="0"/>
        <w:jc w:val="both"/>
        <w:rPr>
          <w:lang w:eastAsia="ko-KR"/>
        </w:rPr>
      </w:pPr>
    </w:p>
    <w:p w14:paraId="06AC1559" w14:textId="07FEA98E" w:rsidR="005263C8" w:rsidRPr="000030F0" w:rsidRDefault="00D06742" w:rsidP="005263C8">
      <w:pPr>
        <w:pStyle w:val="ListParagraph"/>
        <w:widowControl w:val="0"/>
        <w:numPr>
          <w:ilvl w:val="0"/>
          <w:numId w:val="22"/>
        </w:numPr>
        <w:wordWrap w:val="0"/>
        <w:autoSpaceDE w:val="0"/>
        <w:autoSpaceDN w:val="0"/>
        <w:jc w:val="both"/>
      </w:pPr>
      <w:r w:rsidRPr="000030F0">
        <w:t>Other relevant information for understanding of the Agenda Item</w:t>
      </w:r>
    </w:p>
    <w:p w14:paraId="4FBB5978" w14:textId="642412F2" w:rsidR="0036416A" w:rsidRPr="000030F0" w:rsidRDefault="00CE17E4" w:rsidP="0036416A">
      <w:pPr>
        <w:pStyle w:val="ListParagraph"/>
        <w:widowControl w:val="0"/>
        <w:wordWrap w:val="0"/>
        <w:autoSpaceDE w:val="0"/>
        <w:autoSpaceDN w:val="0"/>
        <w:jc w:val="both"/>
        <w:rPr>
          <w:lang w:eastAsia="ko-KR"/>
        </w:rPr>
      </w:pPr>
      <w:r w:rsidRPr="000030F0">
        <w:rPr>
          <w:rFonts w:hint="eastAsia"/>
          <w:lang w:eastAsia="ko-KR"/>
        </w:rPr>
        <w:t xml:space="preserve">No specific information </w:t>
      </w:r>
    </w:p>
    <w:p w14:paraId="3CFE2CF0" w14:textId="62849A4D" w:rsidR="0036416A" w:rsidRPr="000030F0" w:rsidRDefault="00CE17E4" w:rsidP="0036416A">
      <w:pPr>
        <w:pStyle w:val="ListParagraph"/>
        <w:widowControl w:val="0"/>
        <w:wordWrap w:val="0"/>
        <w:autoSpaceDE w:val="0"/>
        <w:autoSpaceDN w:val="0"/>
        <w:jc w:val="both"/>
        <w:rPr>
          <w:lang w:eastAsia="ko-KR"/>
        </w:rPr>
      </w:pPr>
      <w:r w:rsidRPr="000030F0">
        <w:rPr>
          <w:rFonts w:hint="eastAsia"/>
          <w:lang w:eastAsia="ko-KR"/>
        </w:rPr>
        <w:t xml:space="preserve">For information, preliminary agenda items for WRC-27 are </w:t>
      </w:r>
      <w:r w:rsidRPr="000030F0">
        <w:rPr>
          <w:lang w:eastAsia="ko-KR"/>
        </w:rPr>
        <w:t>listed in Resolution 812 (WRC-19) as shown in table below:</w:t>
      </w:r>
    </w:p>
    <w:p w14:paraId="1420561D" w14:textId="77777777" w:rsidR="00CE17E4" w:rsidRPr="000030F0" w:rsidRDefault="00CE17E4" w:rsidP="0036416A">
      <w:pPr>
        <w:pStyle w:val="ListParagraph"/>
        <w:widowControl w:val="0"/>
        <w:wordWrap w:val="0"/>
        <w:autoSpaceDE w:val="0"/>
        <w:autoSpaceDN w:val="0"/>
        <w:jc w:val="both"/>
        <w:rPr>
          <w:lang w:eastAsia="ko-KR"/>
        </w:rPr>
      </w:pPr>
    </w:p>
    <w:tbl>
      <w:tblPr>
        <w:tblStyle w:val="TableGrid"/>
        <w:tblW w:w="8647" w:type="dxa"/>
        <w:tblInd w:w="562" w:type="dxa"/>
        <w:tblLook w:val="04A0" w:firstRow="1" w:lastRow="0" w:firstColumn="1" w:lastColumn="0" w:noHBand="0" w:noVBand="1"/>
      </w:tblPr>
      <w:tblGrid>
        <w:gridCol w:w="8647"/>
      </w:tblGrid>
      <w:tr w:rsidR="000030F0" w:rsidRPr="000030F0" w14:paraId="1C09114D" w14:textId="77777777" w:rsidTr="007E3824">
        <w:tc>
          <w:tcPr>
            <w:tcW w:w="8647" w:type="dxa"/>
          </w:tcPr>
          <w:p w14:paraId="0995AF1F" w14:textId="31755420" w:rsidR="007E3824" w:rsidRPr="000030F0" w:rsidRDefault="007E3824" w:rsidP="0036416A">
            <w:pPr>
              <w:rPr>
                <w:b/>
              </w:rPr>
            </w:pPr>
            <w:r w:rsidRPr="000030F0">
              <w:rPr>
                <w:rFonts w:eastAsia="Batang"/>
                <w:b/>
              </w:rPr>
              <w:t>Preliminary agenda for WRC-27 listed in Resolution 812(WRC-19)</w:t>
            </w:r>
          </w:p>
        </w:tc>
      </w:tr>
      <w:tr w:rsidR="000030F0" w:rsidRPr="000030F0" w14:paraId="0EDCC67A" w14:textId="1C49B1D2" w:rsidTr="007E3824">
        <w:tc>
          <w:tcPr>
            <w:tcW w:w="8647" w:type="dxa"/>
          </w:tcPr>
          <w:p w14:paraId="16607E5F" w14:textId="2C688EFB" w:rsidR="007E3824" w:rsidRPr="000030F0" w:rsidRDefault="007E3824" w:rsidP="007831A5">
            <w:pPr>
              <w:rPr>
                <w:sz w:val="20"/>
                <w:szCs w:val="20"/>
                <w:lang w:eastAsia="ko-KR"/>
              </w:rPr>
            </w:pPr>
            <w:r w:rsidRPr="000030F0">
              <w:rPr>
                <w:rFonts w:eastAsia="Batang" w:hint="eastAsia"/>
                <w:sz w:val="20"/>
                <w:szCs w:val="20"/>
                <w:lang w:eastAsia="ko-KR"/>
              </w:rPr>
              <w:t>2</w:t>
            </w:r>
            <w:r w:rsidRPr="000030F0">
              <w:rPr>
                <w:rFonts w:eastAsia="Batang"/>
                <w:sz w:val="20"/>
                <w:szCs w:val="20"/>
                <w:lang w:eastAsia="ko-KR"/>
              </w:rPr>
              <w:tab/>
              <w:t>on the basis of proposals from administrations and the Report of the Conference Preparatory Meeting, and taking account of the results of WRC 23, to consider and take appropriate action in respect of the following items:</w:t>
            </w:r>
          </w:p>
        </w:tc>
      </w:tr>
      <w:tr w:rsidR="000030F0" w:rsidRPr="000030F0" w14:paraId="548DF325" w14:textId="77777777" w:rsidTr="007E3824">
        <w:tc>
          <w:tcPr>
            <w:tcW w:w="8647" w:type="dxa"/>
          </w:tcPr>
          <w:p w14:paraId="22E98114" w14:textId="1E1248DA" w:rsidR="007E3824" w:rsidRPr="000030F0" w:rsidRDefault="007E3824" w:rsidP="003641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Batang"/>
                <w:sz w:val="20"/>
                <w:szCs w:val="20"/>
                <w:lang w:eastAsia="ko-KR"/>
              </w:rPr>
            </w:pPr>
            <w:r w:rsidRPr="000030F0">
              <w:rPr>
                <w:rFonts w:eastAsia="Batang" w:hint="eastAsia"/>
                <w:sz w:val="20"/>
                <w:szCs w:val="20"/>
                <w:lang w:eastAsia="ko-KR"/>
              </w:rPr>
              <w:t>2.1</w:t>
            </w:r>
            <w:r w:rsidRPr="000030F0">
              <w:rPr>
                <w:rFonts w:eastAsia="Batang"/>
                <w:sz w:val="20"/>
                <w:szCs w:val="20"/>
                <w:lang w:eastAsia="ko-KR"/>
              </w:rPr>
              <w:tab/>
            </w:r>
            <w:r w:rsidRPr="000030F0">
              <w:rPr>
                <w:sz w:val="20"/>
                <w:szCs w:val="20"/>
              </w:rPr>
              <w:t xml:space="preserve">to consider, in accordance with Resolution </w:t>
            </w:r>
            <w:r w:rsidRPr="000030F0">
              <w:rPr>
                <w:b/>
                <w:sz w:val="20"/>
                <w:szCs w:val="20"/>
              </w:rPr>
              <w:t>663 (WRC</w:t>
            </w:r>
            <w:r w:rsidRPr="000030F0">
              <w:rPr>
                <w:b/>
                <w:sz w:val="20"/>
                <w:szCs w:val="20"/>
              </w:rPr>
              <w:noBreakHyphen/>
              <w:t>19)</w:t>
            </w:r>
            <w:r w:rsidRPr="000030F0">
              <w:rPr>
                <w:bCs/>
                <w:sz w:val="20"/>
                <w:szCs w:val="20"/>
              </w:rPr>
              <w:t>,</w:t>
            </w:r>
            <w:r w:rsidRPr="000030F0">
              <w:rPr>
                <w:b/>
                <w:sz w:val="20"/>
                <w:szCs w:val="20"/>
              </w:rPr>
              <w:t xml:space="preserve"> </w:t>
            </w:r>
            <w:r w:rsidRPr="000030F0">
              <w:rPr>
                <w:sz w:val="20"/>
                <w:szCs w:val="20"/>
              </w:rPr>
              <w:t>additional spectrum allocations to the radiolocation service on a co-primary basis in the frequency band 231.5-275 GHz and an identification for radiolocation applications in frequency bands in the frequency range 275</w:t>
            </w:r>
            <w:r w:rsidRPr="000030F0">
              <w:rPr>
                <w:sz w:val="20"/>
                <w:szCs w:val="20"/>
              </w:rPr>
              <w:noBreakHyphen/>
              <w:t xml:space="preserve">700 GHz for </w:t>
            </w:r>
            <w:proofErr w:type="spellStart"/>
            <w:r w:rsidRPr="000030F0">
              <w:rPr>
                <w:sz w:val="20"/>
                <w:szCs w:val="20"/>
              </w:rPr>
              <w:t>millimetre</w:t>
            </w:r>
            <w:proofErr w:type="spellEnd"/>
            <w:r w:rsidRPr="000030F0">
              <w:rPr>
                <w:sz w:val="20"/>
                <w:szCs w:val="20"/>
              </w:rPr>
              <w:t xml:space="preserve"> and sub-</w:t>
            </w:r>
            <w:proofErr w:type="spellStart"/>
            <w:r w:rsidRPr="000030F0">
              <w:rPr>
                <w:sz w:val="20"/>
                <w:szCs w:val="20"/>
              </w:rPr>
              <w:t>millimetre</w:t>
            </w:r>
            <w:proofErr w:type="spellEnd"/>
            <w:r w:rsidRPr="000030F0">
              <w:rPr>
                <w:sz w:val="20"/>
                <w:szCs w:val="20"/>
              </w:rPr>
              <w:t xml:space="preserve"> wave imaging systems;</w:t>
            </w:r>
          </w:p>
        </w:tc>
      </w:tr>
      <w:tr w:rsidR="000030F0" w:rsidRPr="000030F0" w14:paraId="62A1DC53" w14:textId="77777777" w:rsidTr="007E3824">
        <w:tc>
          <w:tcPr>
            <w:tcW w:w="8647" w:type="dxa"/>
          </w:tcPr>
          <w:p w14:paraId="2C596CE5" w14:textId="36982FBA" w:rsidR="007E3824" w:rsidRPr="000030F0" w:rsidRDefault="007E3824" w:rsidP="007831A5">
            <w:pPr>
              <w:rPr>
                <w:sz w:val="20"/>
                <w:szCs w:val="20"/>
                <w:lang w:eastAsia="ko-KR"/>
              </w:rPr>
            </w:pPr>
            <w:r w:rsidRPr="000030F0">
              <w:rPr>
                <w:rFonts w:hint="eastAsia"/>
                <w:sz w:val="20"/>
                <w:szCs w:val="20"/>
                <w:lang w:eastAsia="ko-KR"/>
              </w:rPr>
              <w:t>2.2</w:t>
            </w:r>
            <w:r w:rsidRPr="000030F0">
              <w:rPr>
                <w:sz w:val="20"/>
                <w:szCs w:val="20"/>
                <w:lang w:eastAsia="ko-KR"/>
              </w:rPr>
              <w:tab/>
            </w:r>
            <w:r w:rsidRPr="000030F0">
              <w:rPr>
                <w:sz w:val="20"/>
                <w:szCs w:val="20"/>
              </w:rPr>
              <w:t xml:space="preserve">to study and develop technical, operational and regulatory measures, as appropriate, to facilitate the use of the frequency bands 37.5-39.5 GHz (space-to-Earth), 40.5-42.5 GHz (space-to-Earth), 47.2-50.2 GHz (Earth-to-space) and 50.4-51.4 GHz (Earth-to-space) by aeronautical and maritime earth stations in motion communicating with geostationary space stations in the fixed-satellite service, in accordance with Resolution </w:t>
            </w:r>
            <w:r w:rsidRPr="000030F0">
              <w:rPr>
                <w:b/>
                <w:sz w:val="20"/>
                <w:szCs w:val="20"/>
              </w:rPr>
              <w:t>176 (WRC</w:t>
            </w:r>
            <w:r w:rsidRPr="000030F0">
              <w:rPr>
                <w:b/>
                <w:sz w:val="20"/>
                <w:szCs w:val="20"/>
              </w:rPr>
              <w:noBreakHyphen/>
              <w:t>19)</w:t>
            </w:r>
            <w:r w:rsidRPr="000030F0">
              <w:rPr>
                <w:sz w:val="20"/>
                <w:szCs w:val="20"/>
              </w:rPr>
              <w:t>;</w:t>
            </w:r>
          </w:p>
        </w:tc>
      </w:tr>
      <w:tr w:rsidR="000030F0" w:rsidRPr="000030F0" w14:paraId="50A3531C" w14:textId="77777777" w:rsidTr="007E3824">
        <w:tc>
          <w:tcPr>
            <w:tcW w:w="8647" w:type="dxa"/>
          </w:tcPr>
          <w:p w14:paraId="2B3C400E" w14:textId="6700DB56" w:rsidR="007E3824" w:rsidRPr="000030F0" w:rsidRDefault="007E3824" w:rsidP="0036416A">
            <w:pPr>
              <w:shd w:val="clear" w:color="auto" w:fill="FFFFFF" w:themeFill="background1"/>
              <w:rPr>
                <w:sz w:val="20"/>
                <w:szCs w:val="20"/>
              </w:rPr>
            </w:pPr>
            <w:r w:rsidRPr="000030F0">
              <w:rPr>
                <w:rFonts w:hint="eastAsia"/>
                <w:sz w:val="20"/>
                <w:szCs w:val="20"/>
                <w:lang w:eastAsia="ko-KR"/>
              </w:rPr>
              <w:t>2.3</w:t>
            </w:r>
            <w:r w:rsidRPr="000030F0">
              <w:rPr>
                <w:sz w:val="20"/>
                <w:szCs w:val="20"/>
                <w:lang w:eastAsia="ko-KR"/>
              </w:rPr>
              <w:tab/>
            </w:r>
            <w:r w:rsidRPr="000030F0">
              <w:rPr>
                <w:sz w:val="20"/>
                <w:szCs w:val="20"/>
              </w:rPr>
              <w:t xml:space="preserve">to consider the allocation of all or part of the frequency band [43.5-45.5 GHz] to the fixed-satellite service, in accordance with Resolution </w:t>
            </w:r>
            <w:r w:rsidRPr="000030F0">
              <w:rPr>
                <w:b/>
                <w:sz w:val="20"/>
                <w:szCs w:val="20"/>
              </w:rPr>
              <w:t>177 (WRC</w:t>
            </w:r>
            <w:r w:rsidRPr="000030F0">
              <w:rPr>
                <w:b/>
                <w:sz w:val="20"/>
                <w:szCs w:val="20"/>
              </w:rPr>
              <w:noBreakHyphen/>
              <w:t>19)</w:t>
            </w:r>
            <w:r w:rsidRPr="000030F0">
              <w:rPr>
                <w:sz w:val="20"/>
                <w:szCs w:val="20"/>
              </w:rPr>
              <w:t>;</w:t>
            </w:r>
          </w:p>
        </w:tc>
      </w:tr>
      <w:tr w:rsidR="000030F0" w:rsidRPr="000030F0" w14:paraId="06E11C0F" w14:textId="77777777" w:rsidTr="007E3824">
        <w:tc>
          <w:tcPr>
            <w:tcW w:w="8647" w:type="dxa"/>
          </w:tcPr>
          <w:p w14:paraId="7D44C3F7" w14:textId="75CCCFBA" w:rsidR="007E3824" w:rsidRPr="000030F0" w:rsidRDefault="007E3824" w:rsidP="007831A5">
            <w:pPr>
              <w:rPr>
                <w:sz w:val="20"/>
                <w:szCs w:val="20"/>
              </w:rPr>
            </w:pPr>
            <w:r w:rsidRPr="000030F0">
              <w:rPr>
                <w:rFonts w:hint="eastAsia"/>
                <w:sz w:val="20"/>
                <w:szCs w:val="20"/>
                <w:lang w:eastAsia="ko-KR"/>
              </w:rPr>
              <w:t>2.4</w:t>
            </w:r>
            <w:r w:rsidRPr="000030F0">
              <w:rPr>
                <w:sz w:val="20"/>
                <w:szCs w:val="20"/>
                <w:lang w:eastAsia="ko-KR"/>
              </w:rPr>
              <w:tab/>
            </w:r>
            <w:r w:rsidRPr="000030F0">
              <w:rPr>
                <w:sz w:val="20"/>
                <w:szCs w:val="20"/>
              </w:rPr>
              <w:t>the introduction of power flux-density (</w:t>
            </w:r>
            <w:proofErr w:type="spellStart"/>
            <w:r w:rsidRPr="000030F0">
              <w:rPr>
                <w:sz w:val="20"/>
                <w:szCs w:val="20"/>
              </w:rPr>
              <w:t>pfd</w:t>
            </w:r>
            <w:proofErr w:type="spellEnd"/>
            <w:r w:rsidRPr="000030F0">
              <w:rPr>
                <w:sz w:val="20"/>
                <w:szCs w:val="20"/>
              </w:rPr>
              <w:t xml:space="preserve">) and equivalent </w:t>
            </w:r>
            <w:proofErr w:type="spellStart"/>
            <w:r w:rsidRPr="000030F0">
              <w:rPr>
                <w:sz w:val="20"/>
                <w:szCs w:val="20"/>
              </w:rPr>
              <w:t>isotropically</w:t>
            </w:r>
            <w:proofErr w:type="spellEnd"/>
            <w:r w:rsidRPr="000030F0">
              <w:rPr>
                <w:sz w:val="20"/>
                <w:szCs w:val="20"/>
              </w:rPr>
              <w:t xml:space="preserve"> radiated power (</w:t>
            </w:r>
            <w:proofErr w:type="spellStart"/>
            <w:r w:rsidRPr="000030F0">
              <w:rPr>
                <w:sz w:val="20"/>
                <w:szCs w:val="20"/>
              </w:rPr>
              <w:t>e.i.r.p</w:t>
            </w:r>
            <w:proofErr w:type="spellEnd"/>
            <w:r w:rsidRPr="000030F0">
              <w:rPr>
                <w:sz w:val="20"/>
                <w:szCs w:val="20"/>
              </w:rPr>
              <w:t>.) limits in Article </w:t>
            </w:r>
            <w:r w:rsidRPr="000030F0">
              <w:rPr>
                <w:b/>
                <w:bCs/>
                <w:sz w:val="20"/>
                <w:szCs w:val="20"/>
              </w:rPr>
              <w:t>21</w:t>
            </w:r>
            <w:r w:rsidRPr="000030F0">
              <w:rPr>
                <w:sz w:val="20"/>
                <w:szCs w:val="20"/>
              </w:rPr>
              <w:t xml:space="preserve"> for the frequency bands 71-76 GHz and 81-86 GHz in accordance with Resolution </w:t>
            </w:r>
            <w:r w:rsidRPr="000030F0">
              <w:rPr>
                <w:b/>
                <w:sz w:val="20"/>
                <w:szCs w:val="20"/>
              </w:rPr>
              <w:t>775 (WRC</w:t>
            </w:r>
            <w:r w:rsidRPr="000030F0">
              <w:rPr>
                <w:b/>
                <w:sz w:val="20"/>
                <w:szCs w:val="20"/>
              </w:rPr>
              <w:noBreakHyphen/>
              <w:t>19)</w:t>
            </w:r>
            <w:r w:rsidRPr="000030F0">
              <w:rPr>
                <w:sz w:val="20"/>
                <w:szCs w:val="20"/>
              </w:rPr>
              <w:t>;</w:t>
            </w:r>
          </w:p>
        </w:tc>
      </w:tr>
      <w:tr w:rsidR="000030F0" w:rsidRPr="000030F0" w14:paraId="0CD08FDF" w14:textId="77777777" w:rsidTr="007E3824">
        <w:tc>
          <w:tcPr>
            <w:tcW w:w="8647" w:type="dxa"/>
          </w:tcPr>
          <w:p w14:paraId="6AC85AEC" w14:textId="145A1EC2" w:rsidR="007E3824" w:rsidRPr="000030F0" w:rsidRDefault="007E3824" w:rsidP="007831A5">
            <w:pPr>
              <w:rPr>
                <w:sz w:val="20"/>
                <w:szCs w:val="20"/>
                <w:lang w:eastAsia="ko-KR"/>
              </w:rPr>
            </w:pPr>
            <w:r w:rsidRPr="000030F0">
              <w:rPr>
                <w:rFonts w:hint="eastAsia"/>
                <w:sz w:val="20"/>
                <w:szCs w:val="20"/>
                <w:lang w:eastAsia="ko-KR"/>
              </w:rPr>
              <w:t>2.5</w:t>
            </w:r>
            <w:r w:rsidRPr="000030F0">
              <w:rPr>
                <w:sz w:val="20"/>
                <w:szCs w:val="20"/>
                <w:lang w:eastAsia="ko-KR"/>
              </w:rPr>
              <w:tab/>
            </w:r>
            <w:r w:rsidRPr="000030F0">
              <w:rPr>
                <w:sz w:val="20"/>
                <w:szCs w:val="20"/>
              </w:rPr>
              <w:t>the conditions for the use of the frequency bands 71-76 GHz and 81-86 GHz by stations in the satellite services to ensure compatibility with passive services in accordance with Resolution </w:t>
            </w:r>
            <w:r w:rsidRPr="000030F0">
              <w:rPr>
                <w:b/>
                <w:sz w:val="20"/>
                <w:szCs w:val="20"/>
              </w:rPr>
              <w:t>776 (WRC</w:t>
            </w:r>
            <w:r w:rsidRPr="000030F0">
              <w:rPr>
                <w:b/>
                <w:sz w:val="20"/>
                <w:szCs w:val="20"/>
              </w:rPr>
              <w:noBreakHyphen/>
              <w:t>19)</w:t>
            </w:r>
            <w:r w:rsidRPr="000030F0">
              <w:rPr>
                <w:sz w:val="20"/>
                <w:szCs w:val="20"/>
              </w:rPr>
              <w:t>;</w:t>
            </w:r>
          </w:p>
        </w:tc>
      </w:tr>
      <w:tr w:rsidR="000030F0" w:rsidRPr="000030F0" w14:paraId="5D7EDE40" w14:textId="77777777" w:rsidTr="007E3824">
        <w:tc>
          <w:tcPr>
            <w:tcW w:w="8647" w:type="dxa"/>
          </w:tcPr>
          <w:p w14:paraId="01E0C4AE" w14:textId="71D694BE" w:rsidR="007E3824" w:rsidRPr="000030F0" w:rsidRDefault="007E3824" w:rsidP="007831A5">
            <w:pPr>
              <w:rPr>
                <w:sz w:val="20"/>
                <w:szCs w:val="20"/>
              </w:rPr>
            </w:pPr>
            <w:r w:rsidRPr="000030F0">
              <w:rPr>
                <w:rFonts w:hint="eastAsia"/>
                <w:sz w:val="20"/>
                <w:szCs w:val="20"/>
                <w:lang w:eastAsia="ko-KR"/>
              </w:rPr>
              <w:t>2.6</w:t>
            </w:r>
            <w:r w:rsidRPr="000030F0">
              <w:rPr>
                <w:sz w:val="20"/>
                <w:szCs w:val="20"/>
                <w:lang w:eastAsia="ko-KR"/>
              </w:rPr>
              <w:tab/>
            </w:r>
            <w:r w:rsidRPr="000030F0">
              <w:rPr>
                <w:sz w:val="20"/>
                <w:szCs w:val="20"/>
              </w:rPr>
              <w:t>to consider regulatory provisions for appropriate recognition of space weather sensors and their protection in the Radio Regulations, taking into account the results of ITU Radiocommunication Sector studies reported to WRC</w:t>
            </w:r>
            <w:r w:rsidRPr="000030F0">
              <w:rPr>
                <w:sz w:val="20"/>
                <w:szCs w:val="20"/>
              </w:rPr>
              <w:noBreakHyphen/>
              <w:t xml:space="preserve">23 under agenda item 9.1 and its corresponding Resolution </w:t>
            </w:r>
            <w:r w:rsidRPr="000030F0">
              <w:rPr>
                <w:b/>
                <w:sz w:val="20"/>
                <w:szCs w:val="20"/>
              </w:rPr>
              <w:t>657 (Rev.WRC</w:t>
            </w:r>
            <w:r w:rsidRPr="000030F0">
              <w:rPr>
                <w:b/>
                <w:sz w:val="20"/>
                <w:szCs w:val="20"/>
              </w:rPr>
              <w:noBreakHyphen/>
              <w:t>19)</w:t>
            </w:r>
            <w:r w:rsidRPr="000030F0">
              <w:rPr>
                <w:sz w:val="20"/>
                <w:szCs w:val="20"/>
              </w:rPr>
              <w:t>;</w:t>
            </w:r>
          </w:p>
        </w:tc>
      </w:tr>
      <w:tr w:rsidR="000030F0" w:rsidRPr="000030F0" w14:paraId="5F605F22" w14:textId="77777777" w:rsidTr="007E3824">
        <w:tc>
          <w:tcPr>
            <w:tcW w:w="8647" w:type="dxa"/>
          </w:tcPr>
          <w:p w14:paraId="27733AA6" w14:textId="785D56E2" w:rsidR="007E3824" w:rsidRPr="000030F0" w:rsidRDefault="007E3824" w:rsidP="007831A5">
            <w:pPr>
              <w:rPr>
                <w:sz w:val="20"/>
                <w:szCs w:val="20"/>
                <w:lang w:eastAsia="ko-KR"/>
              </w:rPr>
            </w:pPr>
            <w:r w:rsidRPr="000030F0">
              <w:rPr>
                <w:rFonts w:hint="eastAsia"/>
                <w:sz w:val="20"/>
                <w:szCs w:val="20"/>
                <w:lang w:eastAsia="ko-KR"/>
              </w:rPr>
              <w:t>2.7</w:t>
            </w:r>
            <w:r w:rsidRPr="000030F0">
              <w:rPr>
                <w:sz w:val="20"/>
                <w:szCs w:val="20"/>
                <w:lang w:eastAsia="ko-KR"/>
              </w:rPr>
              <w:tab/>
            </w:r>
            <w:r w:rsidRPr="000030F0">
              <w:rPr>
                <w:sz w:val="20"/>
                <w:szCs w:val="20"/>
              </w:rPr>
              <w:t xml:space="preserve">to consider the development of regulatory provisions for non-geostationary fixed-satellite system feeder links in the frequency bands 71-76 GHz (space-to-Earth and proposed new Earth-to-space) and 81-86 GHz (Earth-to-space), in accordance with Resolution </w:t>
            </w:r>
            <w:r w:rsidRPr="000030F0">
              <w:rPr>
                <w:b/>
                <w:sz w:val="20"/>
                <w:szCs w:val="20"/>
              </w:rPr>
              <w:t>178 (WRC</w:t>
            </w:r>
            <w:r w:rsidRPr="000030F0">
              <w:rPr>
                <w:b/>
                <w:sz w:val="20"/>
                <w:szCs w:val="20"/>
              </w:rPr>
              <w:noBreakHyphen/>
              <w:t>19)</w:t>
            </w:r>
            <w:r w:rsidRPr="000030F0">
              <w:rPr>
                <w:sz w:val="20"/>
                <w:szCs w:val="20"/>
              </w:rPr>
              <w:t>;</w:t>
            </w:r>
          </w:p>
        </w:tc>
      </w:tr>
      <w:tr w:rsidR="000030F0" w:rsidRPr="000030F0" w14:paraId="2F06011D" w14:textId="77777777" w:rsidTr="007E3824">
        <w:tc>
          <w:tcPr>
            <w:tcW w:w="8647" w:type="dxa"/>
          </w:tcPr>
          <w:p w14:paraId="1E39D3DF" w14:textId="666BB746" w:rsidR="007E3824" w:rsidRPr="000030F0" w:rsidRDefault="007E3824" w:rsidP="007831A5">
            <w:pPr>
              <w:rPr>
                <w:sz w:val="20"/>
                <w:szCs w:val="20"/>
                <w:lang w:eastAsia="ko-KR"/>
              </w:rPr>
            </w:pPr>
            <w:r w:rsidRPr="000030F0">
              <w:rPr>
                <w:rFonts w:hint="eastAsia"/>
                <w:sz w:val="20"/>
                <w:szCs w:val="20"/>
                <w:lang w:eastAsia="ko-KR"/>
              </w:rPr>
              <w:t>2.8</w:t>
            </w:r>
            <w:r w:rsidRPr="000030F0">
              <w:rPr>
                <w:sz w:val="20"/>
                <w:szCs w:val="20"/>
                <w:lang w:eastAsia="ko-KR"/>
              </w:rPr>
              <w:tab/>
            </w:r>
            <w:r w:rsidRPr="000030F0">
              <w:rPr>
                <w:sz w:val="20"/>
                <w:szCs w:val="20"/>
              </w:rPr>
              <w:t>to study the technical and operational matters, and regulatory provisions, for space-to-space links in the frequency bands [1 525-1 544 MHz], [1 545-1 559 MHz], [1 610-1 645.5 MHz], [1 646.5</w:t>
            </w:r>
            <w:r w:rsidRPr="000030F0">
              <w:rPr>
                <w:sz w:val="20"/>
                <w:szCs w:val="20"/>
              </w:rPr>
              <w:noBreakHyphen/>
              <w:t xml:space="preserve">1 660.5 MHz] and [2 483.5-2 500 MHz] among non-geostationary and geostationary satellites operating in the mobile-satellite service, in accordance with Resolution </w:t>
            </w:r>
            <w:r w:rsidRPr="000030F0">
              <w:rPr>
                <w:b/>
                <w:sz w:val="20"/>
                <w:szCs w:val="20"/>
              </w:rPr>
              <w:t>249 (WRC</w:t>
            </w:r>
            <w:r w:rsidRPr="000030F0">
              <w:rPr>
                <w:b/>
                <w:sz w:val="20"/>
                <w:szCs w:val="20"/>
              </w:rPr>
              <w:noBreakHyphen/>
              <w:t>19)</w:t>
            </w:r>
            <w:r w:rsidRPr="000030F0">
              <w:rPr>
                <w:bCs/>
                <w:sz w:val="20"/>
                <w:szCs w:val="20"/>
              </w:rPr>
              <w:t>;</w:t>
            </w:r>
          </w:p>
        </w:tc>
      </w:tr>
      <w:tr w:rsidR="000030F0" w:rsidRPr="000030F0" w14:paraId="6B9C1941" w14:textId="77777777" w:rsidTr="007E3824">
        <w:tc>
          <w:tcPr>
            <w:tcW w:w="8647" w:type="dxa"/>
          </w:tcPr>
          <w:p w14:paraId="04A1FE7F" w14:textId="6FA70E1B" w:rsidR="007E3824" w:rsidRPr="000030F0" w:rsidRDefault="007E3824" w:rsidP="007831A5">
            <w:pPr>
              <w:rPr>
                <w:sz w:val="20"/>
                <w:szCs w:val="20"/>
                <w:lang w:eastAsia="ko-KR"/>
              </w:rPr>
            </w:pPr>
            <w:r w:rsidRPr="000030F0">
              <w:rPr>
                <w:rFonts w:hint="eastAsia"/>
                <w:sz w:val="20"/>
                <w:szCs w:val="20"/>
                <w:lang w:eastAsia="ko-KR"/>
              </w:rPr>
              <w:t>2.9</w:t>
            </w:r>
            <w:r w:rsidRPr="000030F0">
              <w:rPr>
                <w:sz w:val="20"/>
                <w:szCs w:val="20"/>
                <w:lang w:eastAsia="ko-KR"/>
              </w:rPr>
              <w:tab/>
            </w:r>
            <w:r w:rsidRPr="000030F0">
              <w:rPr>
                <w:sz w:val="20"/>
                <w:szCs w:val="20"/>
              </w:rPr>
              <w:t xml:space="preserve">to consider possible additional spectrum allocations to the mobile service in the frequency band 1 300-1 350 MHz to facilitate the future development of mobile-service applications, in accordance with Resolution </w:t>
            </w:r>
            <w:r w:rsidRPr="000030F0">
              <w:rPr>
                <w:b/>
                <w:sz w:val="20"/>
                <w:szCs w:val="20"/>
              </w:rPr>
              <w:t>250 (WRC</w:t>
            </w:r>
            <w:r w:rsidRPr="000030F0">
              <w:rPr>
                <w:b/>
                <w:sz w:val="20"/>
                <w:szCs w:val="20"/>
              </w:rPr>
              <w:noBreakHyphen/>
              <w:t>19)</w:t>
            </w:r>
            <w:r w:rsidRPr="000030F0">
              <w:rPr>
                <w:sz w:val="20"/>
                <w:szCs w:val="20"/>
              </w:rPr>
              <w:t>;</w:t>
            </w:r>
          </w:p>
        </w:tc>
      </w:tr>
      <w:tr w:rsidR="000030F0" w:rsidRPr="000030F0" w14:paraId="574E3AAD" w14:textId="77777777" w:rsidTr="007E3824">
        <w:tc>
          <w:tcPr>
            <w:tcW w:w="8647" w:type="dxa"/>
          </w:tcPr>
          <w:p w14:paraId="63E237E0" w14:textId="5D0818FF" w:rsidR="007E3824" w:rsidRPr="000030F0" w:rsidRDefault="007E3824" w:rsidP="007831A5">
            <w:pPr>
              <w:rPr>
                <w:sz w:val="20"/>
                <w:szCs w:val="20"/>
                <w:lang w:eastAsia="ko-KR"/>
              </w:rPr>
            </w:pPr>
            <w:r w:rsidRPr="000030F0">
              <w:rPr>
                <w:rFonts w:hint="eastAsia"/>
                <w:sz w:val="20"/>
                <w:szCs w:val="20"/>
                <w:lang w:eastAsia="ko-KR"/>
              </w:rPr>
              <w:t>2</w:t>
            </w:r>
            <w:r w:rsidRPr="000030F0">
              <w:rPr>
                <w:sz w:val="20"/>
                <w:szCs w:val="20"/>
                <w:lang w:eastAsia="ko-KR"/>
              </w:rPr>
              <w:t>.10</w:t>
            </w:r>
            <w:r w:rsidRPr="000030F0">
              <w:rPr>
                <w:sz w:val="20"/>
                <w:szCs w:val="20"/>
                <w:lang w:eastAsia="ko-KR"/>
              </w:rPr>
              <w:tab/>
            </w:r>
            <w:r w:rsidRPr="000030F0">
              <w:rPr>
                <w:sz w:val="20"/>
                <w:szCs w:val="20"/>
                <w:lang w:eastAsia="zh-CN"/>
              </w:rPr>
              <w:t>to consider improving the utilization of the VHF maritime frequencies in Appendix </w:t>
            </w:r>
            <w:r w:rsidRPr="000030F0">
              <w:rPr>
                <w:b/>
                <w:bCs/>
                <w:sz w:val="20"/>
                <w:szCs w:val="20"/>
                <w:lang w:eastAsia="zh-CN"/>
              </w:rPr>
              <w:t>18</w:t>
            </w:r>
            <w:r w:rsidRPr="000030F0">
              <w:rPr>
                <w:sz w:val="20"/>
                <w:szCs w:val="20"/>
                <w:lang w:eastAsia="zh-CN"/>
              </w:rPr>
              <w:t xml:space="preserve">, in accordance with Resolution </w:t>
            </w:r>
            <w:r w:rsidRPr="000030F0">
              <w:rPr>
                <w:b/>
                <w:bCs/>
                <w:sz w:val="20"/>
                <w:szCs w:val="20"/>
                <w:lang w:eastAsia="zh-CN"/>
              </w:rPr>
              <w:t>363</w:t>
            </w:r>
            <w:r w:rsidRPr="000030F0">
              <w:rPr>
                <w:sz w:val="20"/>
                <w:szCs w:val="20"/>
                <w:lang w:eastAsia="zh-CN"/>
              </w:rPr>
              <w:t xml:space="preserve"> </w:t>
            </w:r>
            <w:r w:rsidRPr="000030F0">
              <w:rPr>
                <w:b/>
                <w:bCs/>
                <w:sz w:val="20"/>
                <w:szCs w:val="20"/>
                <w:lang w:eastAsia="zh-CN"/>
              </w:rPr>
              <w:t>(WRC</w:t>
            </w:r>
            <w:r w:rsidRPr="000030F0">
              <w:rPr>
                <w:b/>
                <w:bCs/>
                <w:sz w:val="20"/>
                <w:szCs w:val="20"/>
                <w:lang w:eastAsia="zh-CN"/>
              </w:rPr>
              <w:noBreakHyphen/>
              <w:t>19)</w:t>
            </w:r>
            <w:r w:rsidRPr="000030F0">
              <w:rPr>
                <w:sz w:val="20"/>
                <w:szCs w:val="20"/>
                <w:lang w:eastAsia="zh-CN"/>
              </w:rPr>
              <w:t>;</w:t>
            </w:r>
          </w:p>
        </w:tc>
      </w:tr>
      <w:tr w:rsidR="000030F0" w:rsidRPr="000030F0" w14:paraId="025E35D0" w14:textId="77777777" w:rsidTr="007E3824">
        <w:tc>
          <w:tcPr>
            <w:tcW w:w="8647" w:type="dxa"/>
          </w:tcPr>
          <w:p w14:paraId="49F5D899" w14:textId="4BD1047B" w:rsidR="007E3824" w:rsidRPr="000030F0" w:rsidRDefault="007E3824" w:rsidP="007831A5">
            <w:pPr>
              <w:rPr>
                <w:sz w:val="20"/>
                <w:szCs w:val="20"/>
                <w:lang w:eastAsia="ko-KR"/>
              </w:rPr>
            </w:pPr>
            <w:r w:rsidRPr="000030F0">
              <w:rPr>
                <w:rFonts w:hint="eastAsia"/>
                <w:sz w:val="20"/>
                <w:szCs w:val="20"/>
                <w:lang w:eastAsia="ko-KR"/>
              </w:rPr>
              <w:t>2.11</w:t>
            </w:r>
            <w:r w:rsidRPr="000030F0">
              <w:rPr>
                <w:sz w:val="20"/>
                <w:szCs w:val="20"/>
                <w:lang w:eastAsia="ko-KR"/>
              </w:rPr>
              <w:tab/>
            </w:r>
            <w:r w:rsidRPr="000030F0">
              <w:rPr>
                <w:sz w:val="20"/>
                <w:szCs w:val="20"/>
              </w:rPr>
              <w:t xml:space="preserve">to consider a new Earth exploration-satellite service (Earth-to-space) allocation in the frequency band 22.55-23.15 GHz, in accordance with Resolution </w:t>
            </w:r>
            <w:r w:rsidRPr="000030F0">
              <w:rPr>
                <w:b/>
                <w:sz w:val="20"/>
                <w:szCs w:val="20"/>
              </w:rPr>
              <w:t>664 (WRC</w:t>
            </w:r>
            <w:r w:rsidRPr="000030F0">
              <w:rPr>
                <w:b/>
                <w:sz w:val="20"/>
                <w:szCs w:val="20"/>
              </w:rPr>
              <w:noBreakHyphen/>
              <w:t>19)</w:t>
            </w:r>
            <w:r w:rsidRPr="000030F0">
              <w:rPr>
                <w:sz w:val="20"/>
                <w:szCs w:val="20"/>
              </w:rPr>
              <w:t>;</w:t>
            </w:r>
          </w:p>
        </w:tc>
      </w:tr>
      <w:tr w:rsidR="000030F0" w:rsidRPr="000030F0" w14:paraId="2019BEB9" w14:textId="77777777" w:rsidTr="007E3824">
        <w:tc>
          <w:tcPr>
            <w:tcW w:w="8647" w:type="dxa"/>
          </w:tcPr>
          <w:p w14:paraId="0E5E6A37" w14:textId="2F104A66" w:rsidR="007E3824" w:rsidRPr="000030F0" w:rsidRDefault="007E3824" w:rsidP="007831A5">
            <w:pPr>
              <w:rPr>
                <w:sz w:val="20"/>
                <w:szCs w:val="20"/>
                <w:lang w:eastAsia="ko-KR"/>
              </w:rPr>
            </w:pPr>
            <w:r w:rsidRPr="000030F0">
              <w:rPr>
                <w:rFonts w:hint="eastAsia"/>
                <w:sz w:val="20"/>
                <w:szCs w:val="20"/>
                <w:lang w:eastAsia="ko-KR"/>
              </w:rPr>
              <w:t>2.12</w:t>
            </w:r>
            <w:r w:rsidRPr="000030F0">
              <w:rPr>
                <w:sz w:val="20"/>
                <w:szCs w:val="20"/>
                <w:lang w:eastAsia="ko-KR"/>
              </w:rPr>
              <w:tab/>
            </w:r>
            <w:r w:rsidRPr="000030F0">
              <w:rPr>
                <w:sz w:val="20"/>
                <w:szCs w:val="20"/>
              </w:rPr>
              <w:t xml:space="preserve">to consider the use of existing International Mobile Telecommunications (IMT) identifications in the frequency range 694-960 MHz, by consideration of the possible removal of the limitation regarding aeronautical mobile in IMT for the use of IMT user equipment by non-safety applications, where appropriate, in accordance with Resolution </w:t>
            </w:r>
            <w:r w:rsidRPr="000030F0">
              <w:rPr>
                <w:b/>
                <w:bCs/>
                <w:sz w:val="20"/>
                <w:szCs w:val="20"/>
              </w:rPr>
              <w:t>251 (WRC-19)</w:t>
            </w:r>
            <w:r w:rsidRPr="000030F0">
              <w:rPr>
                <w:sz w:val="20"/>
                <w:szCs w:val="20"/>
              </w:rPr>
              <w:t>;</w:t>
            </w:r>
          </w:p>
        </w:tc>
      </w:tr>
      <w:tr w:rsidR="007E3824" w:rsidRPr="000030F0" w14:paraId="181AF824" w14:textId="77777777" w:rsidTr="007E3824">
        <w:tc>
          <w:tcPr>
            <w:tcW w:w="8647" w:type="dxa"/>
          </w:tcPr>
          <w:p w14:paraId="233E3496" w14:textId="5F14ED5A" w:rsidR="007E3824" w:rsidRPr="000030F0" w:rsidRDefault="007E3824" w:rsidP="007831A5">
            <w:pPr>
              <w:rPr>
                <w:sz w:val="20"/>
                <w:szCs w:val="20"/>
                <w:lang w:eastAsia="ko-KR"/>
              </w:rPr>
            </w:pPr>
            <w:r w:rsidRPr="000030F0">
              <w:rPr>
                <w:rFonts w:hint="eastAsia"/>
                <w:sz w:val="20"/>
                <w:szCs w:val="20"/>
                <w:lang w:eastAsia="ko-KR"/>
              </w:rPr>
              <w:t>2.13</w:t>
            </w:r>
            <w:r w:rsidRPr="000030F0">
              <w:rPr>
                <w:sz w:val="20"/>
                <w:szCs w:val="20"/>
                <w:lang w:eastAsia="ko-KR"/>
              </w:rPr>
              <w:tab/>
            </w:r>
            <w:r w:rsidRPr="000030F0">
              <w:rPr>
                <w:sz w:val="20"/>
                <w:szCs w:val="20"/>
              </w:rPr>
              <w:t xml:space="preserve">to consider a possible worldwide allocation to the mobile-satellite service for the future development of narrowband mobile-satellite systems in frequency bands within the frequency range [1.5-5 GHz], in accordance with Resolution </w:t>
            </w:r>
            <w:r w:rsidRPr="000030F0">
              <w:rPr>
                <w:b/>
                <w:bCs/>
                <w:sz w:val="20"/>
                <w:szCs w:val="20"/>
              </w:rPr>
              <w:t>248 (WRC-19)</w:t>
            </w:r>
            <w:r w:rsidRPr="000030F0">
              <w:rPr>
                <w:sz w:val="20"/>
                <w:szCs w:val="20"/>
              </w:rPr>
              <w:t>;</w:t>
            </w:r>
          </w:p>
        </w:tc>
      </w:tr>
    </w:tbl>
    <w:p w14:paraId="00D4D1BA" w14:textId="77777777" w:rsidR="0036416A" w:rsidRPr="000030F0" w:rsidRDefault="0036416A" w:rsidP="0036416A">
      <w:pPr>
        <w:pStyle w:val="ListParagraph"/>
        <w:widowControl w:val="0"/>
        <w:wordWrap w:val="0"/>
        <w:autoSpaceDE w:val="0"/>
        <w:autoSpaceDN w:val="0"/>
        <w:jc w:val="both"/>
        <w:rPr>
          <w:lang w:eastAsia="ko-KR"/>
        </w:rPr>
      </w:pPr>
    </w:p>
    <w:p w14:paraId="51E10C8E" w14:textId="1B065C8E" w:rsidR="00E41BE2" w:rsidRPr="000030F0" w:rsidRDefault="00E41BE2" w:rsidP="005263C8">
      <w:pPr>
        <w:pStyle w:val="ListParagraph"/>
        <w:widowControl w:val="0"/>
        <w:numPr>
          <w:ilvl w:val="0"/>
          <w:numId w:val="22"/>
        </w:numPr>
        <w:wordWrap w:val="0"/>
        <w:autoSpaceDE w:val="0"/>
        <w:autoSpaceDN w:val="0"/>
        <w:jc w:val="both"/>
      </w:pPr>
      <w:r w:rsidRPr="000030F0">
        <w:rPr>
          <w:lang w:val="en-NZ"/>
        </w:rPr>
        <w:t>List of relevant ITU-R Reports/Recommendations, APT Reports/Recommendations and ongoing studies, e.g. working documents from ITU-R and/or AWG</w:t>
      </w:r>
    </w:p>
    <w:p w14:paraId="5E1963B0" w14:textId="2E94A466" w:rsidR="00570E13" w:rsidRPr="000030F0" w:rsidRDefault="007E3824" w:rsidP="00570E13">
      <w:pPr>
        <w:pStyle w:val="ListParagraph"/>
        <w:widowControl w:val="0"/>
        <w:wordWrap w:val="0"/>
        <w:autoSpaceDE w:val="0"/>
        <w:autoSpaceDN w:val="0"/>
        <w:jc w:val="both"/>
        <w:rPr>
          <w:lang w:eastAsia="ko-KR"/>
        </w:rPr>
      </w:pPr>
      <w:r w:rsidRPr="000030F0">
        <w:rPr>
          <w:lang w:val="en-NZ" w:eastAsia="ko-KR"/>
        </w:rPr>
        <w:t>None</w:t>
      </w:r>
    </w:p>
    <w:p w14:paraId="28BBA039" w14:textId="6FADFF58" w:rsidR="0037421D" w:rsidRPr="000030F0" w:rsidRDefault="0037421D" w:rsidP="00E5341E">
      <w:pPr>
        <w:spacing w:after="120"/>
        <w:jc w:val="both"/>
        <w:rPr>
          <w:b/>
        </w:rPr>
      </w:pPr>
    </w:p>
    <w:p w14:paraId="38194476" w14:textId="6B09EB44" w:rsidR="00E41BE2" w:rsidRPr="000030F0" w:rsidRDefault="00E41BE2" w:rsidP="00E41BE2">
      <w:pPr>
        <w:spacing w:after="120"/>
        <w:jc w:val="both"/>
        <w:rPr>
          <w:b/>
          <w:lang w:val="en-NZ" w:eastAsia="ko-KR"/>
        </w:rPr>
      </w:pPr>
      <w:r w:rsidRPr="000030F0">
        <w:rPr>
          <w:b/>
          <w:lang w:val="en-NZ" w:eastAsia="ko-KR"/>
        </w:rPr>
        <w:lastRenderedPageBreak/>
        <w:t xml:space="preserve">2. </w:t>
      </w:r>
      <w:r w:rsidRPr="000030F0">
        <w:rPr>
          <w:b/>
          <w:lang w:val="en-NZ" w:eastAsia="ko-KR"/>
        </w:rPr>
        <w:tab/>
        <w:t>Information on on-going ITU-R Study</w:t>
      </w:r>
    </w:p>
    <w:p w14:paraId="0ACE9BD1" w14:textId="77777777" w:rsidR="005263C8" w:rsidRPr="000030F0" w:rsidRDefault="00E41BE2" w:rsidP="005263C8">
      <w:pPr>
        <w:pStyle w:val="ListParagraph"/>
        <w:numPr>
          <w:ilvl w:val="0"/>
          <w:numId w:val="23"/>
        </w:numPr>
        <w:wordWrap w:val="0"/>
        <w:autoSpaceDE w:val="0"/>
        <w:autoSpaceDN w:val="0"/>
        <w:jc w:val="both"/>
      </w:pPr>
      <w:r w:rsidRPr="000030F0">
        <w:t>What document</w:t>
      </w:r>
      <w:r w:rsidR="005E6C90" w:rsidRPr="000030F0">
        <w:t>s</w:t>
      </w:r>
      <w:r w:rsidRPr="000030F0">
        <w:t xml:space="preserve"> </w:t>
      </w:r>
      <w:r w:rsidR="005E6C90" w:rsidRPr="000030F0">
        <w:t>are</w:t>
      </w:r>
      <w:r w:rsidRPr="000030F0">
        <w:t xml:space="preserve"> being developed by the responsible group: Revising the existing ITU-R Report(s), ITU-R Recommendation(s) or developing a PDNR or a working document</w:t>
      </w:r>
    </w:p>
    <w:p w14:paraId="493CDFCB" w14:textId="77777777" w:rsidR="005263C8" w:rsidRPr="000030F0" w:rsidRDefault="00E41BE2" w:rsidP="005263C8">
      <w:pPr>
        <w:pStyle w:val="ListParagraph"/>
        <w:numPr>
          <w:ilvl w:val="0"/>
          <w:numId w:val="23"/>
        </w:numPr>
        <w:wordWrap w:val="0"/>
        <w:autoSpaceDE w:val="0"/>
        <w:autoSpaceDN w:val="0"/>
        <w:jc w:val="both"/>
      </w:pPr>
      <w:r w:rsidRPr="000030F0">
        <w:t>Contentious issues in ITU-R meeting (list all issues up in the beginning and then update</w:t>
      </w:r>
      <w:r w:rsidR="005E6C90" w:rsidRPr="000030F0">
        <w:t xml:space="preserve"> </w:t>
      </w:r>
      <w:r w:rsidRPr="000030F0">
        <w:t>(removal or addition) later stage)</w:t>
      </w:r>
    </w:p>
    <w:p w14:paraId="336A8A87" w14:textId="53A0BF6B" w:rsidR="00E41BE2" w:rsidRPr="000030F0" w:rsidRDefault="00E41BE2" w:rsidP="005263C8">
      <w:pPr>
        <w:pStyle w:val="ListParagraph"/>
        <w:numPr>
          <w:ilvl w:val="0"/>
          <w:numId w:val="23"/>
        </w:numPr>
        <w:wordWrap w:val="0"/>
        <w:autoSpaceDE w:val="0"/>
        <w:autoSpaceDN w:val="0"/>
        <w:jc w:val="both"/>
      </w:pPr>
      <w:r w:rsidRPr="000030F0">
        <w:t xml:space="preserve">Hyperlink </w:t>
      </w:r>
      <w:r w:rsidR="005E6C90" w:rsidRPr="000030F0">
        <w:t xml:space="preserve">to </w:t>
      </w:r>
      <w:r w:rsidR="009306C7" w:rsidRPr="000030F0">
        <w:t xml:space="preserve">the relevant part of the webpage of </w:t>
      </w:r>
      <w:hyperlink r:id="rId9" w:history="1">
        <w:r w:rsidR="009306C7" w:rsidRPr="000030F0">
          <w:rPr>
            <w:rStyle w:val="Hyperlink"/>
            <w:color w:val="auto"/>
          </w:rPr>
          <w:t>ITU-R Preparatory Studies for WRC-23</w:t>
        </w:r>
      </w:hyperlink>
      <w:r w:rsidR="009306C7" w:rsidRPr="000030F0">
        <w:t xml:space="preserve"> </w:t>
      </w:r>
      <w:r w:rsidRPr="000030F0">
        <w:t xml:space="preserve"> </w:t>
      </w:r>
    </w:p>
    <w:p w14:paraId="4EC10112" w14:textId="77777777" w:rsidR="007E3824" w:rsidRPr="000030F0" w:rsidRDefault="007E3824" w:rsidP="00570E13">
      <w:pPr>
        <w:pStyle w:val="ListParagraph"/>
        <w:wordWrap w:val="0"/>
        <w:autoSpaceDE w:val="0"/>
        <w:autoSpaceDN w:val="0"/>
        <w:jc w:val="both"/>
        <w:rPr>
          <w:bCs/>
          <w:lang w:val="en-NZ" w:eastAsia="ko-KR"/>
        </w:rPr>
      </w:pPr>
    </w:p>
    <w:p w14:paraId="58DC402A" w14:textId="2734BF35" w:rsidR="00570E13" w:rsidRPr="000030F0" w:rsidRDefault="007E3824" w:rsidP="00570E13">
      <w:pPr>
        <w:pStyle w:val="ListParagraph"/>
        <w:wordWrap w:val="0"/>
        <w:autoSpaceDE w:val="0"/>
        <w:autoSpaceDN w:val="0"/>
        <w:jc w:val="both"/>
      </w:pPr>
      <w:r w:rsidRPr="000030F0">
        <w:rPr>
          <w:bCs/>
          <w:lang w:val="en-NZ" w:eastAsia="ko-KR"/>
        </w:rPr>
        <w:t xml:space="preserve">In terms of this section 2, WRC-23 AI 10 is </w:t>
      </w:r>
      <w:r w:rsidR="00570E13" w:rsidRPr="000030F0">
        <w:rPr>
          <w:bCs/>
          <w:lang w:val="en-NZ" w:eastAsia="ko-KR"/>
        </w:rPr>
        <w:t xml:space="preserve">not linked directly to the activities of ITU-R </w:t>
      </w:r>
      <w:r w:rsidRPr="000030F0">
        <w:rPr>
          <w:bCs/>
          <w:lang w:val="en-NZ" w:eastAsia="ko-KR"/>
        </w:rPr>
        <w:t xml:space="preserve">Study Groups and/or </w:t>
      </w:r>
      <w:r w:rsidR="00570E13" w:rsidRPr="000030F0">
        <w:rPr>
          <w:bCs/>
          <w:lang w:val="en-NZ" w:eastAsia="ko-KR"/>
        </w:rPr>
        <w:t>Working Parties</w:t>
      </w:r>
      <w:r w:rsidRPr="000030F0">
        <w:rPr>
          <w:bCs/>
          <w:lang w:val="en-NZ" w:eastAsia="ko-KR"/>
        </w:rPr>
        <w:t>.</w:t>
      </w:r>
    </w:p>
    <w:p w14:paraId="0129B534" w14:textId="77777777" w:rsidR="00E41BE2" w:rsidRPr="000030F0" w:rsidRDefault="00E41BE2" w:rsidP="00E5341E">
      <w:pPr>
        <w:spacing w:after="120"/>
        <w:jc w:val="both"/>
        <w:rPr>
          <w:b/>
        </w:rPr>
      </w:pPr>
    </w:p>
    <w:p w14:paraId="1A59F811" w14:textId="631F4F7D" w:rsidR="00957294" w:rsidRPr="000030F0" w:rsidRDefault="00957294" w:rsidP="00957294">
      <w:pPr>
        <w:spacing w:after="120"/>
        <w:jc w:val="both"/>
        <w:rPr>
          <w:b/>
          <w:lang w:val="en-NZ" w:eastAsia="ko-KR"/>
        </w:rPr>
      </w:pPr>
      <w:r w:rsidRPr="000030F0">
        <w:rPr>
          <w:b/>
          <w:lang w:val="en-NZ" w:eastAsia="ko-KR"/>
        </w:rPr>
        <w:t xml:space="preserve">3. </w:t>
      </w:r>
      <w:r w:rsidRPr="000030F0">
        <w:rPr>
          <w:b/>
          <w:lang w:val="en-NZ" w:eastAsia="ko-KR"/>
        </w:rPr>
        <w:tab/>
        <w:t>Position of the Regional Group (if available)</w:t>
      </w:r>
    </w:p>
    <w:p w14:paraId="433969AB" w14:textId="4ABD4C8C" w:rsidR="00957294" w:rsidRPr="000030F0" w:rsidRDefault="005263C8" w:rsidP="005263C8">
      <w:pPr>
        <w:pStyle w:val="ListParagraph"/>
        <w:numPr>
          <w:ilvl w:val="0"/>
          <w:numId w:val="21"/>
        </w:numPr>
        <w:spacing w:after="120"/>
        <w:jc w:val="both"/>
        <w:rPr>
          <w:bCs/>
          <w:lang w:val="en-NZ" w:eastAsia="ko-KR"/>
        </w:rPr>
      </w:pPr>
      <w:r w:rsidRPr="000030F0">
        <w:rPr>
          <w:bCs/>
          <w:lang w:val="en-NZ" w:eastAsia="ko-KR"/>
        </w:rPr>
        <w:t>ATU</w:t>
      </w:r>
    </w:p>
    <w:p w14:paraId="5B2E86A7" w14:textId="15C71140" w:rsidR="005263C8" w:rsidRPr="000030F0" w:rsidRDefault="00F7129A" w:rsidP="005263C8">
      <w:pPr>
        <w:pStyle w:val="ListParagraph"/>
        <w:spacing w:after="120"/>
        <w:ind w:left="1080"/>
        <w:jc w:val="both"/>
        <w:rPr>
          <w:bCs/>
          <w:lang w:val="en-NZ" w:eastAsia="ko-KR"/>
        </w:rPr>
      </w:pPr>
      <w:r w:rsidRPr="000030F0">
        <w:rPr>
          <w:rFonts w:hint="eastAsia"/>
          <w:bCs/>
          <w:lang w:val="en-NZ" w:eastAsia="ko-KR"/>
        </w:rPr>
        <w:t xml:space="preserve">(APM2301, August 2020) </w:t>
      </w:r>
      <w:r w:rsidR="009E0FB5" w:rsidRPr="000030F0">
        <w:rPr>
          <w:bCs/>
          <w:lang w:val="en-NZ" w:eastAsia="ko-KR"/>
        </w:rPr>
        <w:t>No specific activity related to WRC-23 AI 10</w:t>
      </w:r>
    </w:p>
    <w:p w14:paraId="73509121" w14:textId="608DC2A0" w:rsidR="005263C8" w:rsidRPr="000030F0" w:rsidRDefault="005263C8" w:rsidP="005263C8">
      <w:pPr>
        <w:pStyle w:val="ListParagraph"/>
        <w:numPr>
          <w:ilvl w:val="0"/>
          <w:numId w:val="21"/>
        </w:numPr>
        <w:spacing w:after="120"/>
        <w:jc w:val="both"/>
        <w:rPr>
          <w:bCs/>
          <w:lang w:val="en-NZ" w:eastAsia="ko-KR"/>
        </w:rPr>
      </w:pPr>
      <w:r w:rsidRPr="000030F0">
        <w:rPr>
          <w:bCs/>
          <w:lang w:val="en-NZ" w:eastAsia="ko-KR"/>
        </w:rPr>
        <w:t>ASMG</w:t>
      </w:r>
    </w:p>
    <w:p w14:paraId="39705250" w14:textId="4F8FEE3E" w:rsidR="009E0FB5" w:rsidRPr="000030F0" w:rsidRDefault="00917DD2" w:rsidP="009E0FB5">
      <w:pPr>
        <w:pStyle w:val="ListParagraph"/>
        <w:spacing w:after="120"/>
        <w:ind w:left="1080"/>
        <w:jc w:val="both"/>
        <w:rPr>
          <w:bCs/>
          <w:lang w:val="en-NZ" w:eastAsia="ko-KR"/>
        </w:rPr>
      </w:pPr>
      <w:r w:rsidRPr="000030F0">
        <w:rPr>
          <w:rFonts w:hint="eastAsia"/>
          <w:bCs/>
          <w:lang w:val="en-NZ" w:eastAsia="ko-KR"/>
        </w:rPr>
        <w:t xml:space="preserve">(ASMG #26, </w:t>
      </w:r>
      <w:r w:rsidRPr="000030F0">
        <w:rPr>
          <w:bCs/>
          <w:lang w:val="en-NZ" w:eastAsia="ko-KR"/>
        </w:rPr>
        <w:t xml:space="preserve">February 2020) Structuring to prepare for WRC-23 AI 10. WG5 to prepare General issues and WRC-27 agenda items </w:t>
      </w:r>
      <w:r w:rsidR="001F2479" w:rsidRPr="000030F0">
        <w:rPr>
          <w:bCs/>
          <w:lang w:val="en-NZ" w:eastAsia="ko-KR"/>
        </w:rPr>
        <w:t xml:space="preserve">such as AIs 2, 5, 9.2, 9.3 and 10 </w:t>
      </w:r>
      <w:r w:rsidRPr="000030F0">
        <w:rPr>
          <w:bCs/>
          <w:lang w:val="en-NZ" w:eastAsia="ko-KR"/>
        </w:rPr>
        <w:t>Chaired by Mr. Majdaldeen Musa (Sudan)</w:t>
      </w:r>
    </w:p>
    <w:p w14:paraId="7511667D" w14:textId="4105142E" w:rsidR="00607A4F" w:rsidRPr="000030F0" w:rsidRDefault="005263C8" w:rsidP="005511FE">
      <w:pPr>
        <w:pStyle w:val="ListParagraph"/>
        <w:numPr>
          <w:ilvl w:val="0"/>
          <w:numId w:val="21"/>
        </w:numPr>
        <w:spacing w:after="120"/>
        <w:jc w:val="both"/>
        <w:rPr>
          <w:bCs/>
          <w:lang w:val="en-NZ" w:eastAsia="ko-KR"/>
        </w:rPr>
      </w:pPr>
      <w:r w:rsidRPr="000030F0">
        <w:rPr>
          <w:bCs/>
          <w:lang w:val="en-NZ" w:eastAsia="ko-KR"/>
        </w:rPr>
        <w:t>CEPT</w:t>
      </w:r>
    </w:p>
    <w:p w14:paraId="6BF32FBA" w14:textId="1D38BA71" w:rsidR="00607A4F" w:rsidRPr="000030F0" w:rsidRDefault="001D1AAA" w:rsidP="00965592">
      <w:pPr>
        <w:pStyle w:val="ListParagraph"/>
        <w:spacing w:after="120"/>
        <w:ind w:left="1080"/>
        <w:jc w:val="both"/>
        <w:rPr>
          <w:bCs/>
          <w:lang w:val="en-NZ" w:eastAsia="ko-KR"/>
        </w:rPr>
      </w:pPr>
      <w:r w:rsidRPr="000030F0">
        <w:rPr>
          <w:bCs/>
          <w:lang w:val="en-NZ" w:eastAsia="ko-KR"/>
        </w:rPr>
        <w:t xml:space="preserve">(CPG23-1, June 2020) </w:t>
      </w:r>
      <w:r w:rsidR="00607A4F" w:rsidRPr="000030F0">
        <w:rPr>
          <w:bCs/>
          <w:lang w:val="en-NZ" w:eastAsia="ko-KR"/>
        </w:rPr>
        <w:t>The meeting agreed with the suggestion agreed by correspondence to postpone the decision on the attribution of WRC-23 agenda items 2, 4, 8, 10 until CPG23-2 meeting.</w:t>
      </w:r>
      <w:r w:rsidR="00607A4F" w:rsidRPr="000030F0">
        <w:t xml:space="preserve"> </w:t>
      </w:r>
      <w:r w:rsidR="00607A4F" w:rsidRPr="000030F0">
        <w:rPr>
          <w:bCs/>
          <w:lang w:val="en-NZ" w:eastAsia="ko-KR"/>
        </w:rPr>
        <w:t xml:space="preserve">In this respect, it was noted that these agenda items are not linked directly to the activities of ITU-R Working Parties and the related CEPT studies can be started later. The postponement would also allow assessing required workload and participation in different project teams that might be useful elements when deciding on the attribution of these general agenda items. For WRC-23 agenda item 10 (Future agenda) the meeting decided to appoint Mr. </w:t>
      </w:r>
      <w:proofErr w:type="spellStart"/>
      <w:r w:rsidR="00607A4F" w:rsidRPr="000030F0">
        <w:rPr>
          <w:bCs/>
          <w:lang w:val="en-NZ" w:eastAsia="ko-KR"/>
        </w:rPr>
        <w:t>Pasi</w:t>
      </w:r>
      <w:proofErr w:type="spellEnd"/>
      <w:r w:rsidR="00607A4F" w:rsidRPr="000030F0">
        <w:rPr>
          <w:bCs/>
          <w:lang w:val="en-NZ" w:eastAsia="ko-KR"/>
        </w:rPr>
        <w:t xml:space="preserve"> </w:t>
      </w:r>
      <w:proofErr w:type="spellStart"/>
      <w:r w:rsidR="00607A4F" w:rsidRPr="000030F0">
        <w:rPr>
          <w:bCs/>
          <w:lang w:val="en-NZ" w:eastAsia="ko-KR"/>
        </w:rPr>
        <w:t>Toivonen</w:t>
      </w:r>
      <w:proofErr w:type="spellEnd"/>
      <w:r w:rsidR="00607A4F" w:rsidRPr="000030F0">
        <w:rPr>
          <w:bCs/>
          <w:lang w:val="en-NZ" w:eastAsia="ko-KR"/>
        </w:rPr>
        <w:t xml:space="preserve"> (Finland) as lead coordinator supported by the team composed by Mr. </w:t>
      </w:r>
      <w:proofErr w:type="spellStart"/>
      <w:r w:rsidR="00607A4F" w:rsidRPr="000030F0">
        <w:rPr>
          <w:bCs/>
          <w:lang w:val="en-NZ" w:eastAsia="ko-KR"/>
        </w:rPr>
        <w:t>Karsten</w:t>
      </w:r>
      <w:proofErr w:type="spellEnd"/>
      <w:r w:rsidR="00607A4F" w:rsidRPr="000030F0">
        <w:rPr>
          <w:bCs/>
          <w:lang w:val="en-NZ" w:eastAsia="ko-KR"/>
        </w:rPr>
        <w:t xml:space="preserve"> </w:t>
      </w:r>
      <w:proofErr w:type="spellStart"/>
      <w:r w:rsidR="00607A4F" w:rsidRPr="000030F0">
        <w:rPr>
          <w:bCs/>
          <w:lang w:val="en-NZ" w:eastAsia="ko-KR"/>
        </w:rPr>
        <w:t>Buckwitz</w:t>
      </w:r>
      <w:proofErr w:type="spellEnd"/>
      <w:r w:rsidR="00607A4F" w:rsidRPr="000030F0">
        <w:rPr>
          <w:bCs/>
          <w:lang w:val="en-NZ" w:eastAsia="ko-KR"/>
        </w:rPr>
        <w:t xml:space="preserve"> (Germany) and Mr. Emmanuel </w:t>
      </w:r>
      <w:proofErr w:type="spellStart"/>
      <w:r w:rsidR="00607A4F" w:rsidRPr="000030F0">
        <w:rPr>
          <w:bCs/>
          <w:lang w:val="en-NZ" w:eastAsia="ko-KR"/>
        </w:rPr>
        <w:t>Faussurier</w:t>
      </w:r>
      <w:proofErr w:type="spellEnd"/>
      <w:r w:rsidR="00607A4F" w:rsidRPr="000030F0">
        <w:rPr>
          <w:bCs/>
          <w:lang w:val="en-NZ" w:eastAsia="ko-KR"/>
        </w:rPr>
        <w:t xml:space="preserve"> (France).</w:t>
      </w:r>
    </w:p>
    <w:p w14:paraId="623714AF" w14:textId="77777777" w:rsidR="00A377BA" w:rsidRPr="000030F0" w:rsidRDefault="00A377BA" w:rsidP="00A377BA">
      <w:pPr>
        <w:pStyle w:val="ListParagraph"/>
        <w:rPr>
          <w:bCs/>
          <w:lang w:val="en-NZ" w:eastAsia="ko-KR"/>
        </w:rPr>
      </w:pPr>
    </w:p>
    <w:p w14:paraId="24554D68" w14:textId="49290ABD" w:rsidR="00A377BA" w:rsidRPr="000030F0" w:rsidRDefault="00A377BA" w:rsidP="00A377BA">
      <w:pPr>
        <w:pStyle w:val="ListParagraph"/>
        <w:numPr>
          <w:ilvl w:val="0"/>
          <w:numId w:val="21"/>
        </w:numPr>
        <w:spacing w:after="120"/>
        <w:jc w:val="both"/>
        <w:rPr>
          <w:bCs/>
          <w:lang w:val="en-NZ" w:eastAsia="ko-KR"/>
        </w:rPr>
      </w:pPr>
      <w:r w:rsidRPr="000030F0">
        <w:rPr>
          <w:rFonts w:hint="eastAsia"/>
          <w:bCs/>
          <w:lang w:val="en-NZ" w:eastAsia="ko-KR"/>
        </w:rPr>
        <w:t xml:space="preserve">(CPG23-2, </w:t>
      </w:r>
      <w:proofErr w:type="spellStart"/>
      <w:r w:rsidRPr="000030F0">
        <w:rPr>
          <w:rFonts w:hint="eastAsia"/>
          <w:bCs/>
          <w:lang w:val="en-NZ" w:eastAsia="ko-KR"/>
        </w:rPr>
        <w:t>Dember</w:t>
      </w:r>
      <w:proofErr w:type="spellEnd"/>
      <w:r w:rsidRPr="000030F0">
        <w:rPr>
          <w:rFonts w:hint="eastAsia"/>
          <w:bCs/>
          <w:lang w:val="en-NZ" w:eastAsia="ko-KR"/>
        </w:rPr>
        <w:t xml:space="preserve"> 2020) </w:t>
      </w:r>
      <w:r w:rsidRPr="000030F0">
        <w:rPr>
          <w:bCs/>
          <w:lang w:val="en-NZ" w:eastAsia="ko-KR"/>
        </w:rPr>
        <w:t>The meeting decided to assign WRC-23 Agenda items 2, 4, 8 and 10 to PTA.</w:t>
      </w:r>
    </w:p>
    <w:p w14:paraId="3E39A585" w14:textId="5E183A02" w:rsidR="005263C8" w:rsidRPr="000030F0" w:rsidRDefault="005263C8" w:rsidP="005263C8">
      <w:pPr>
        <w:pStyle w:val="ListParagraph"/>
        <w:numPr>
          <w:ilvl w:val="0"/>
          <w:numId w:val="21"/>
        </w:numPr>
        <w:spacing w:after="120"/>
        <w:jc w:val="both"/>
        <w:rPr>
          <w:bCs/>
          <w:lang w:val="en-NZ" w:eastAsia="ko-KR"/>
        </w:rPr>
      </w:pPr>
      <w:r w:rsidRPr="000030F0">
        <w:rPr>
          <w:bCs/>
          <w:lang w:val="en-NZ" w:eastAsia="ko-KR"/>
        </w:rPr>
        <w:t>CITEL</w:t>
      </w:r>
    </w:p>
    <w:p w14:paraId="62764E5E" w14:textId="473BF52B" w:rsidR="00C048CD" w:rsidRPr="000030F0" w:rsidRDefault="00B75831" w:rsidP="00C048CD">
      <w:pPr>
        <w:pStyle w:val="ListParagraph"/>
        <w:spacing w:after="120"/>
        <w:ind w:left="1080"/>
        <w:jc w:val="both"/>
        <w:rPr>
          <w:bCs/>
          <w:lang w:val="en-NZ" w:eastAsia="ko-KR"/>
        </w:rPr>
      </w:pPr>
      <w:r w:rsidRPr="000030F0">
        <w:rPr>
          <w:rFonts w:hint="eastAsia"/>
          <w:bCs/>
          <w:lang w:val="en-NZ" w:eastAsia="ko-KR"/>
        </w:rPr>
        <w:t>(CITEL PCC.II</w:t>
      </w:r>
      <w:r w:rsidRPr="000030F0">
        <w:rPr>
          <w:bCs/>
          <w:lang w:val="en-NZ" w:eastAsia="ko-KR"/>
        </w:rPr>
        <w:t xml:space="preserve"> #36, November 2020) Designation of leadership related to WRC-23 AI 10</w:t>
      </w:r>
    </w:p>
    <w:p w14:paraId="623949B0" w14:textId="21B80DE4" w:rsidR="00B75831" w:rsidRPr="000030F0" w:rsidRDefault="00B75831" w:rsidP="00021F61">
      <w:pPr>
        <w:pStyle w:val="ListParagraph"/>
        <w:numPr>
          <w:ilvl w:val="0"/>
          <w:numId w:val="26"/>
        </w:numPr>
        <w:spacing w:after="120"/>
        <w:jc w:val="both"/>
        <w:rPr>
          <w:bCs/>
          <w:lang w:val="en-NZ" w:eastAsia="ko-KR"/>
        </w:rPr>
      </w:pPr>
      <w:r w:rsidRPr="000030F0">
        <w:rPr>
          <w:bCs/>
          <w:lang w:val="en-NZ" w:eastAsia="ko-KR"/>
        </w:rPr>
        <w:t>Chapter coordinator and Alternative coordinator</w:t>
      </w:r>
    </w:p>
    <w:tbl>
      <w:tblPr>
        <w:tblStyle w:val="TableGrid"/>
        <w:tblW w:w="0" w:type="auto"/>
        <w:tblInd w:w="1080" w:type="dxa"/>
        <w:tblLook w:val="04A0" w:firstRow="1" w:lastRow="0" w:firstColumn="1" w:lastColumn="0" w:noHBand="0" w:noVBand="1"/>
      </w:tblPr>
      <w:tblGrid>
        <w:gridCol w:w="900"/>
        <w:gridCol w:w="1984"/>
        <w:gridCol w:w="3109"/>
        <w:gridCol w:w="2090"/>
      </w:tblGrid>
      <w:tr w:rsidR="000030F0" w:rsidRPr="000030F0" w14:paraId="21E7BE74" w14:textId="77777777" w:rsidTr="00B75831">
        <w:tc>
          <w:tcPr>
            <w:tcW w:w="900" w:type="dxa"/>
          </w:tcPr>
          <w:p w14:paraId="222677AE" w14:textId="6D60CC92"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SWG</w:t>
            </w:r>
          </w:p>
        </w:tc>
        <w:tc>
          <w:tcPr>
            <w:tcW w:w="1984" w:type="dxa"/>
          </w:tcPr>
          <w:p w14:paraId="38CA1D30" w14:textId="41927FEE"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AI</w:t>
            </w:r>
            <w:r w:rsidRPr="000030F0">
              <w:rPr>
                <w:bCs/>
                <w:sz w:val="22"/>
                <w:lang w:val="en-NZ" w:eastAsia="ko-KR"/>
              </w:rPr>
              <w:t>s</w:t>
            </w:r>
          </w:p>
        </w:tc>
        <w:tc>
          <w:tcPr>
            <w:tcW w:w="3109" w:type="dxa"/>
          </w:tcPr>
          <w:p w14:paraId="3CCE7F26" w14:textId="41E900B9"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Coordinator</w:t>
            </w:r>
          </w:p>
        </w:tc>
        <w:tc>
          <w:tcPr>
            <w:tcW w:w="2090" w:type="dxa"/>
          </w:tcPr>
          <w:p w14:paraId="58F09DEF" w14:textId="10140D53"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Vice-Coordinator</w:t>
            </w:r>
          </w:p>
        </w:tc>
      </w:tr>
      <w:tr w:rsidR="00B75831" w:rsidRPr="000030F0" w14:paraId="69DFC3FD" w14:textId="77777777" w:rsidTr="00B75831">
        <w:tc>
          <w:tcPr>
            <w:tcW w:w="900" w:type="dxa"/>
          </w:tcPr>
          <w:p w14:paraId="52823FCE" w14:textId="7F0D711B"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SGT-5</w:t>
            </w:r>
          </w:p>
        </w:tc>
        <w:tc>
          <w:tcPr>
            <w:tcW w:w="1984" w:type="dxa"/>
          </w:tcPr>
          <w:p w14:paraId="69D6AF9B" w14:textId="71DB9213"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2, 4, 9.1.b, 9.1.d and 10</w:t>
            </w:r>
          </w:p>
        </w:tc>
        <w:tc>
          <w:tcPr>
            <w:tcW w:w="3109" w:type="dxa"/>
          </w:tcPr>
          <w:p w14:paraId="6C1BAB1E" w14:textId="6D62CF8B" w:rsidR="00B75831" w:rsidRPr="000030F0" w:rsidRDefault="00B75831" w:rsidP="00B75831">
            <w:pPr>
              <w:pStyle w:val="ListParagraph"/>
              <w:spacing w:after="120"/>
              <w:ind w:left="0"/>
              <w:jc w:val="both"/>
              <w:rPr>
                <w:bCs/>
                <w:sz w:val="22"/>
                <w:lang w:val="en-NZ" w:eastAsia="ko-KR"/>
              </w:rPr>
            </w:pPr>
            <w:r w:rsidRPr="000030F0">
              <w:rPr>
                <w:rFonts w:hint="eastAsia"/>
                <w:bCs/>
                <w:sz w:val="22"/>
                <w:lang w:val="en-NZ" w:eastAsia="ko-KR"/>
              </w:rPr>
              <w:t xml:space="preserve">Carol SOSA </w:t>
            </w:r>
            <w:r w:rsidRPr="000030F0">
              <w:rPr>
                <w:bCs/>
                <w:sz w:val="22"/>
                <w:lang w:val="en-NZ" w:eastAsia="ko-KR"/>
              </w:rPr>
              <w:t>LEGUIZAMÓN</w:t>
            </w:r>
            <w:r w:rsidRPr="000030F0">
              <w:rPr>
                <w:rFonts w:hint="eastAsia"/>
                <w:bCs/>
                <w:sz w:val="22"/>
                <w:lang w:val="en-NZ" w:eastAsia="ko-KR"/>
              </w:rPr>
              <w:t xml:space="preserve"> (C</w:t>
            </w:r>
            <w:r w:rsidRPr="000030F0">
              <w:rPr>
                <w:bCs/>
                <w:sz w:val="22"/>
                <w:lang w:val="en-NZ" w:eastAsia="ko-KR"/>
              </w:rPr>
              <w:t>olombia</w:t>
            </w:r>
            <w:r w:rsidRPr="000030F0">
              <w:rPr>
                <w:rFonts w:hint="eastAsia"/>
                <w:bCs/>
                <w:sz w:val="22"/>
                <w:lang w:val="en-NZ" w:eastAsia="ko-KR"/>
              </w:rPr>
              <w:t>)</w:t>
            </w:r>
          </w:p>
        </w:tc>
        <w:tc>
          <w:tcPr>
            <w:tcW w:w="2090" w:type="dxa"/>
          </w:tcPr>
          <w:p w14:paraId="7C80879E" w14:textId="2412ABC1"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TBD</w:t>
            </w:r>
          </w:p>
        </w:tc>
      </w:tr>
    </w:tbl>
    <w:p w14:paraId="26400E9A" w14:textId="1F016A67" w:rsidR="00B75831" w:rsidRPr="000030F0" w:rsidRDefault="00B75831" w:rsidP="00C048CD">
      <w:pPr>
        <w:pStyle w:val="ListParagraph"/>
        <w:spacing w:after="120"/>
        <w:ind w:left="1080"/>
        <w:jc w:val="both"/>
        <w:rPr>
          <w:bCs/>
          <w:lang w:val="en-NZ" w:eastAsia="ko-KR"/>
        </w:rPr>
      </w:pPr>
    </w:p>
    <w:p w14:paraId="145BA2B9" w14:textId="139346DD" w:rsidR="00B75831" w:rsidRPr="000030F0" w:rsidRDefault="00B75831" w:rsidP="00021F61">
      <w:pPr>
        <w:pStyle w:val="ListParagraph"/>
        <w:numPr>
          <w:ilvl w:val="0"/>
          <w:numId w:val="26"/>
        </w:numPr>
        <w:spacing w:after="120"/>
        <w:jc w:val="both"/>
        <w:rPr>
          <w:bCs/>
          <w:lang w:val="en-NZ" w:eastAsia="ko-KR"/>
        </w:rPr>
      </w:pPr>
      <w:r w:rsidRPr="000030F0">
        <w:rPr>
          <w:rFonts w:hint="eastAsia"/>
          <w:bCs/>
          <w:lang w:val="en-NZ" w:eastAsia="ko-KR"/>
        </w:rPr>
        <w:t>AI 10 Rapporteur and alternative rapporteur</w:t>
      </w:r>
    </w:p>
    <w:tbl>
      <w:tblPr>
        <w:tblStyle w:val="TableGrid"/>
        <w:tblW w:w="0" w:type="auto"/>
        <w:tblInd w:w="1080" w:type="dxa"/>
        <w:tblLook w:val="04A0" w:firstRow="1" w:lastRow="0" w:firstColumn="1" w:lastColumn="0" w:noHBand="0" w:noVBand="1"/>
      </w:tblPr>
      <w:tblGrid>
        <w:gridCol w:w="758"/>
        <w:gridCol w:w="3544"/>
        <w:gridCol w:w="3781"/>
      </w:tblGrid>
      <w:tr w:rsidR="000030F0" w:rsidRPr="000030F0" w14:paraId="6354C3A4" w14:textId="77777777" w:rsidTr="00FB023A">
        <w:tc>
          <w:tcPr>
            <w:tcW w:w="758" w:type="dxa"/>
          </w:tcPr>
          <w:p w14:paraId="39A2971B" w14:textId="2BE6BB59"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AI</w:t>
            </w:r>
          </w:p>
        </w:tc>
        <w:tc>
          <w:tcPr>
            <w:tcW w:w="3544" w:type="dxa"/>
          </w:tcPr>
          <w:p w14:paraId="2D8BB6C2" w14:textId="39EECC1A"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Rapporteur</w:t>
            </w:r>
          </w:p>
        </w:tc>
        <w:tc>
          <w:tcPr>
            <w:tcW w:w="3781" w:type="dxa"/>
          </w:tcPr>
          <w:p w14:paraId="63EF030C" w14:textId="3B4DD558"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t>Alternative rapporteur</w:t>
            </w:r>
          </w:p>
        </w:tc>
      </w:tr>
      <w:tr w:rsidR="00B75831" w:rsidRPr="000030F0" w14:paraId="128AA412" w14:textId="77777777" w:rsidTr="00FB023A">
        <w:tc>
          <w:tcPr>
            <w:tcW w:w="758" w:type="dxa"/>
          </w:tcPr>
          <w:p w14:paraId="45E25414" w14:textId="7D35620F" w:rsidR="00B75831" w:rsidRPr="000030F0" w:rsidRDefault="00B75831" w:rsidP="00C048CD">
            <w:pPr>
              <w:pStyle w:val="ListParagraph"/>
              <w:spacing w:after="120"/>
              <w:ind w:left="0"/>
              <w:jc w:val="both"/>
              <w:rPr>
                <w:bCs/>
                <w:sz w:val="22"/>
                <w:lang w:val="en-NZ" w:eastAsia="ko-KR"/>
              </w:rPr>
            </w:pPr>
            <w:r w:rsidRPr="000030F0">
              <w:rPr>
                <w:rFonts w:hint="eastAsia"/>
                <w:bCs/>
                <w:sz w:val="22"/>
                <w:lang w:val="en-NZ" w:eastAsia="ko-KR"/>
              </w:rPr>
              <w:lastRenderedPageBreak/>
              <w:t>10</w:t>
            </w:r>
          </w:p>
        </w:tc>
        <w:tc>
          <w:tcPr>
            <w:tcW w:w="3544" w:type="dxa"/>
          </w:tcPr>
          <w:p w14:paraId="16C05384" w14:textId="1307C0AF" w:rsidR="00B75831" w:rsidRPr="000030F0" w:rsidRDefault="00B75831" w:rsidP="00B75831">
            <w:pPr>
              <w:pStyle w:val="ListParagraph"/>
              <w:spacing w:after="120"/>
              <w:ind w:left="0"/>
              <w:jc w:val="both"/>
              <w:rPr>
                <w:bCs/>
                <w:sz w:val="22"/>
                <w:lang w:val="en-NZ" w:eastAsia="ko-KR"/>
              </w:rPr>
            </w:pPr>
            <w:r w:rsidRPr="000030F0">
              <w:rPr>
                <w:rFonts w:hint="eastAsia"/>
                <w:bCs/>
                <w:sz w:val="22"/>
                <w:lang w:val="en-NZ" w:eastAsia="ko-KR"/>
              </w:rPr>
              <w:t>Carol SOSA</w:t>
            </w:r>
            <w:r w:rsidRPr="000030F0">
              <w:rPr>
                <w:bCs/>
                <w:sz w:val="22"/>
                <w:lang w:val="en-NZ" w:eastAsia="ko-KR"/>
              </w:rPr>
              <w:t xml:space="preserve"> (Colombia)</w:t>
            </w:r>
          </w:p>
        </w:tc>
        <w:tc>
          <w:tcPr>
            <w:tcW w:w="3781" w:type="dxa"/>
          </w:tcPr>
          <w:p w14:paraId="6B50B708" w14:textId="27753AC5" w:rsidR="00B75831" w:rsidRPr="000030F0" w:rsidRDefault="00FB023A" w:rsidP="00C048CD">
            <w:pPr>
              <w:pStyle w:val="ListParagraph"/>
              <w:spacing w:after="120"/>
              <w:ind w:left="0"/>
              <w:jc w:val="both"/>
              <w:rPr>
                <w:bCs/>
                <w:sz w:val="22"/>
                <w:lang w:val="en-NZ" w:eastAsia="ko-KR"/>
              </w:rPr>
            </w:pPr>
            <w:r w:rsidRPr="000030F0">
              <w:rPr>
                <w:rFonts w:hint="eastAsia"/>
                <w:bCs/>
                <w:sz w:val="22"/>
                <w:lang w:val="en-NZ" w:eastAsia="ko-KR"/>
              </w:rPr>
              <w:t>Michael CHRISTENSEN (Canada)</w:t>
            </w:r>
          </w:p>
        </w:tc>
      </w:tr>
    </w:tbl>
    <w:p w14:paraId="78A719C0" w14:textId="77777777" w:rsidR="00B75831" w:rsidRPr="000030F0" w:rsidRDefault="00B75831" w:rsidP="005263C8">
      <w:pPr>
        <w:pStyle w:val="ListParagraph"/>
        <w:spacing w:after="120"/>
        <w:ind w:left="1080"/>
        <w:jc w:val="both"/>
        <w:rPr>
          <w:bCs/>
          <w:lang w:val="en-NZ" w:eastAsia="ko-KR"/>
        </w:rPr>
      </w:pPr>
    </w:p>
    <w:p w14:paraId="59ED3143" w14:textId="2AB3FBFF" w:rsidR="005263C8" w:rsidRPr="000030F0" w:rsidRDefault="005263C8" w:rsidP="005263C8">
      <w:pPr>
        <w:pStyle w:val="ListParagraph"/>
        <w:numPr>
          <w:ilvl w:val="0"/>
          <w:numId w:val="21"/>
        </w:numPr>
        <w:spacing w:after="120"/>
        <w:jc w:val="both"/>
        <w:rPr>
          <w:bCs/>
          <w:lang w:val="en-NZ" w:eastAsia="ko-KR"/>
        </w:rPr>
      </w:pPr>
      <w:r w:rsidRPr="000030F0">
        <w:rPr>
          <w:bCs/>
          <w:lang w:val="en-NZ" w:eastAsia="ko-KR"/>
        </w:rPr>
        <w:t>RCC</w:t>
      </w:r>
    </w:p>
    <w:p w14:paraId="55D722DA" w14:textId="0119CBF4" w:rsidR="008245C2" w:rsidRPr="000030F0" w:rsidRDefault="008245C2" w:rsidP="008245C2">
      <w:pPr>
        <w:pStyle w:val="ListParagraph"/>
        <w:spacing w:after="120"/>
        <w:ind w:left="1080"/>
        <w:jc w:val="both"/>
        <w:rPr>
          <w:bCs/>
          <w:lang w:val="en-NZ" w:eastAsia="ko-KR"/>
        </w:rPr>
      </w:pPr>
      <w:r w:rsidRPr="000030F0">
        <w:rPr>
          <w:bCs/>
          <w:lang w:val="en-NZ" w:eastAsia="ko-KR"/>
        </w:rPr>
        <w:t>(2</w:t>
      </w:r>
      <w:r w:rsidRPr="000030F0">
        <w:rPr>
          <w:bCs/>
          <w:vertAlign w:val="superscript"/>
          <w:lang w:val="en-NZ" w:eastAsia="ko-KR"/>
        </w:rPr>
        <w:t>nd</w:t>
      </w:r>
      <w:r w:rsidRPr="000030F0">
        <w:rPr>
          <w:bCs/>
          <w:lang w:val="en-NZ" w:eastAsia="ko-KR"/>
        </w:rPr>
        <w:t xml:space="preserve"> RCC WG WRC-23/RA-23, August 2020) </w:t>
      </w:r>
      <w:r w:rsidR="00F27747" w:rsidRPr="000030F0">
        <w:rPr>
          <w:bCs/>
          <w:lang w:val="en-NZ" w:eastAsia="ko-KR"/>
        </w:rPr>
        <w:t>With regard to WRC-23 AI 10, t</w:t>
      </w:r>
      <w:r w:rsidRPr="000030F0">
        <w:rPr>
          <w:bCs/>
          <w:lang w:val="en-NZ" w:eastAsia="ko-KR"/>
        </w:rPr>
        <w:t>he position is under development.</w:t>
      </w:r>
    </w:p>
    <w:p w14:paraId="455B0EE5" w14:textId="77777777" w:rsidR="005263C8" w:rsidRPr="000030F0" w:rsidRDefault="005263C8" w:rsidP="005263C8">
      <w:pPr>
        <w:pStyle w:val="ListParagraph"/>
        <w:rPr>
          <w:bCs/>
          <w:lang w:val="en-NZ" w:eastAsia="ko-KR"/>
        </w:rPr>
      </w:pPr>
    </w:p>
    <w:p w14:paraId="4A980740" w14:textId="77777777" w:rsidR="005263C8" w:rsidRPr="000030F0" w:rsidRDefault="005263C8" w:rsidP="005263C8">
      <w:pPr>
        <w:pStyle w:val="ListParagraph"/>
        <w:spacing w:after="120"/>
        <w:ind w:left="1080"/>
        <w:jc w:val="both"/>
        <w:rPr>
          <w:bCs/>
          <w:lang w:val="en-NZ" w:eastAsia="ko-KR"/>
        </w:rPr>
      </w:pPr>
    </w:p>
    <w:p w14:paraId="32715F49" w14:textId="744F53A8" w:rsidR="00957294" w:rsidRPr="000030F0" w:rsidRDefault="00957294" w:rsidP="00957294">
      <w:pPr>
        <w:spacing w:after="120"/>
        <w:jc w:val="both"/>
        <w:rPr>
          <w:b/>
          <w:lang w:val="en-NZ" w:eastAsia="ko-KR"/>
        </w:rPr>
      </w:pPr>
      <w:r w:rsidRPr="000030F0">
        <w:rPr>
          <w:b/>
          <w:lang w:val="en-NZ" w:eastAsia="ko-KR"/>
        </w:rPr>
        <w:t xml:space="preserve">4. </w:t>
      </w:r>
      <w:r w:rsidRPr="000030F0">
        <w:rPr>
          <w:b/>
          <w:lang w:val="en-NZ" w:eastAsia="ko-KR"/>
        </w:rPr>
        <w:tab/>
      </w:r>
      <w:r w:rsidR="005263C8" w:rsidRPr="000030F0">
        <w:rPr>
          <w:b/>
          <w:lang w:val="en-NZ" w:eastAsia="ko-KR"/>
        </w:rPr>
        <w:t xml:space="preserve">Position of International Organizations </w:t>
      </w:r>
      <w:r w:rsidRPr="000030F0">
        <w:rPr>
          <w:b/>
          <w:lang w:val="en-NZ" w:eastAsia="ko-KR"/>
        </w:rPr>
        <w:t>(if available)</w:t>
      </w:r>
    </w:p>
    <w:p w14:paraId="18974646" w14:textId="09BE45A9" w:rsidR="005263C8" w:rsidRPr="000030F0" w:rsidRDefault="005263C8" w:rsidP="005263C8">
      <w:pPr>
        <w:pStyle w:val="ListParagraph"/>
        <w:numPr>
          <w:ilvl w:val="0"/>
          <w:numId w:val="21"/>
        </w:numPr>
        <w:spacing w:after="120"/>
        <w:jc w:val="both"/>
        <w:rPr>
          <w:bCs/>
          <w:lang w:val="en-NZ" w:eastAsia="ko-KR"/>
        </w:rPr>
      </w:pPr>
      <w:r w:rsidRPr="000030F0">
        <w:rPr>
          <w:bCs/>
          <w:lang w:val="en-NZ" w:eastAsia="ko-KR"/>
        </w:rPr>
        <w:t>ICAO</w:t>
      </w:r>
    </w:p>
    <w:p w14:paraId="638325BC" w14:textId="77777777" w:rsidR="005263C8" w:rsidRPr="000030F0" w:rsidRDefault="005263C8" w:rsidP="005263C8">
      <w:pPr>
        <w:pStyle w:val="ListParagraph"/>
        <w:spacing w:after="120"/>
        <w:ind w:left="1080"/>
        <w:jc w:val="both"/>
        <w:rPr>
          <w:bCs/>
          <w:lang w:val="en-NZ" w:eastAsia="ko-KR"/>
        </w:rPr>
      </w:pPr>
    </w:p>
    <w:p w14:paraId="1A3BA6F3" w14:textId="394B76C1" w:rsidR="005263C8" w:rsidRPr="000030F0" w:rsidRDefault="005263C8" w:rsidP="005263C8">
      <w:pPr>
        <w:pStyle w:val="ListParagraph"/>
        <w:numPr>
          <w:ilvl w:val="0"/>
          <w:numId w:val="21"/>
        </w:numPr>
        <w:spacing w:after="120"/>
        <w:jc w:val="both"/>
        <w:rPr>
          <w:bCs/>
          <w:lang w:val="en-NZ" w:eastAsia="ko-KR"/>
        </w:rPr>
      </w:pPr>
      <w:r w:rsidRPr="000030F0">
        <w:rPr>
          <w:bCs/>
          <w:lang w:val="en-NZ" w:eastAsia="ko-KR"/>
        </w:rPr>
        <w:t>IMO</w:t>
      </w:r>
    </w:p>
    <w:p w14:paraId="1F179006" w14:textId="77777777" w:rsidR="005263C8" w:rsidRPr="000030F0" w:rsidRDefault="005263C8" w:rsidP="005263C8">
      <w:pPr>
        <w:spacing w:after="120"/>
        <w:jc w:val="both"/>
        <w:rPr>
          <w:bCs/>
          <w:lang w:val="en-NZ" w:eastAsia="ko-KR"/>
        </w:rPr>
      </w:pPr>
    </w:p>
    <w:p w14:paraId="7D807065" w14:textId="328FAEA4" w:rsidR="005263C8" w:rsidRPr="000030F0" w:rsidRDefault="005263C8" w:rsidP="005263C8">
      <w:pPr>
        <w:pStyle w:val="ListParagraph"/>
        <w:numPr>
          <w:ilvl w:val="0"/>
          <w:numId w:val="21"/>
        </w:numPr>
        <w:spacing w:after="120"/>
        <w:jc w:val="both"/>
        <w:rPr>
          <w:bCs/>
          <w:lang w:val="en-NZ" w:eastAsia="ko-KR"/>
        </w:rPr>
      </w:pPr>
      <w:r w:rsidRPr="000030F0">
        <w:rPr>
          <w:bCs/>
          <w:lang w:val="en-NZ" w:eastAsia="ko-KR"/>
        </w:rPr>
        <w:t>WMO</w:t>
      </w:r>
    </w:p>
    <w:p w14:paraId="4D2B993A" w14:textId="67344B21" w:rsidR="00164C52" w:rsidRPr="000030F0" w:rsidRDefault="00164C52" w:rsidP="00164C52">
      <w:pPr>
        <w:pStyle w:val="ListParagraph"/>
        <w:spacing w:after="120"/>
        <w:ind w:left="1080"/>
        <w:jc w:val="both"/>
        <w:rPr>
          <w:bCs/>
          <w:lang w:val="en-NZ" w:eastAsia="ko-KR"/>
        </w:rPr>
      </w:pPr>
      <w:r w:rsidRPr="000030F0">
        <w:rPr>
          <w:rFonts w:hint="eastAsia"/>
          <w:bCs/>
          <w:lang w:val="en-NZ" w:eastAsia="ko-KR"/>
        </w:rPr>
        <w:t xml:space="preserve">(WMO Preliminary position on WRC-23 AI 10, as of May 2020) </w:t>
      </w:r>
      <w:r w:rsidR="0055789E" w:rsidRPr="000030F0">
        <w:rPr>
          <w:bCs/>
          <w:lang w:val="en-NZ" w:eastAsia="ko-KR"/>
        </w:rPr>
        <w:t>WMO supports studies on the WRC-27 preliminary agenda items to ensure meteorological interests are protected. If work in the ITU-R is conducted on any of the WRC-27 preliminary agenda items during the preparatory period for WRC-23 WMO will contribute to ensure WMO interests are protected.</w:t>
      </w:r>
    </w:p>
    <w:p w14:paraId="10D7621E" w14:textId="51A78AB3" w:rsidR="00164C52" w:rsidRPr="000030F0" w:rsidRDefault="0002086C" w:rsidP="003D57C6">
      <w:pPr>
        <w:pStyle w:val="ListParagraph"/>
        <w:spacing w:after="120"/>
        <w:ind w:left="1080"/>
        <w:jc w:val="both"/>
        <w:rPr>
          <w:bCs/>
          <w:lang w:val="en-NZ" w:eastAsia="ko-KR"/>
        </w:rPr>
      </w:pPr>
      <w:r w:rsidRPr="000030F0">
        <w:rPr>
          <w:bCs/>
          <w:lang w:val="en-NZ" w:eastAsia="ko-KR"/>
        </w:rPr>
        <w:t>The current WRC-27 preliminary agenda has a number of items of interest and/or concern to WMO: Preliminary agenda items 2.1, 2.2, 2.5, 2.6, 2.7, 2.11 and 2.13.</w:t>
      </w:r>
    </w:p>
    <w:p w14:paraId="140C012D" w14:textId="77777777" w:rsidR="005263C8" w:rsidRPr="000030F0" w:rsidRDefault="005263C8" w:rsidP="005263C8">
      <w:pPr>
        <w:spacing w:after="120"/>
        <w:jc w:val="both"/>
        <w:rPr>
          <w:bCs/>
          <w:lang w:val="en-NZ" w:eastAsia="ko-KR"/>
        </w:rPr>
      </w:pPr>
    </w:p>
    <w:p w14:paraId="588FA515" w14:textId="784D71C0" w:rsidR="005263C8" w:rsidRPr="000030F0" w:rsidRDefault="005263C8" w:rsidP="005263C8">
      <w:pPr>
        <w:pStyle w:val="ListParagraph"/>
        <w:numPr>
          <w:ilvl w:val="0"/>
          <w:numId w:val="21"/>
        </w:numPr>
        <w:spacing w:after="120"/>
        <w:jc w:val="both"/>
        <w:rPr>
          <w:bCs/>
          <w:lang w:val="en-NZ" w:eastAsia="ko-KR"/>
        </w:rPr>
      </w:pPr>
      <w:r w:rsidRPr="000030F0">
        <w:rPr>
          <w:bCs/>
          <w:lang w:val="en-NZ" w:eastAsia="ko-KR"/>
        </w:rPr>
        <w:t>IARU R3</w:t>
      </w:r>
    </w:p>
    <w:p w14:paraId="18D19AB0" w14:textId="77777777" w:rsidR="005263C8" w:rsidRPr="000030F0" w:rsidRDefault="005263C8" w:rsidP="005263C8">
      <w:pPr>
        <w:pStyle w:val="ListParagraph"/>
        <w:rPr>
          <w:bCs/>
          <w:lang w:val="en-NZ" w:eastAsia="ko-KR"/>
        </w:rPr>
      </w:pPr>
    </w:p>
    <w:p w14:paraId="4E11B821" w14:textId="7CBE992E" w:rsidR="005263C8" w:rsidRPr="000030F0" w:rsidRDefault="005263C8" w:rsidP="005263C8">
      <w:pPr>
        <w:pStyle w:val="ListParagraph"/>
        <w:numPr>
          <w:ilvl w:val="0"/>
          <w:numId w:val="21"/>
        </w:numPr>
        <w:spacing w:after="120"/>
        <w:jc w:val="both"/>
        <w:rPr>
          <w:bCs/>
          <w:lang w:val="en-NZ" w:eastAsia="ko-KR"/>
        </w:rPr>
      </w:pPr>
      <w:r w:rsidRPr="000030F0">
        <w:rPr>
          <w:bCs/>
          <w:lang w:val="en-NZ" w:eastAsia="ko-KR"/>
        </w:rPr>
        <w:t>Etc…</w:t>
      </w:r>
    </w:p>
    <w:p w14:paraId="2E92025C" w14:textId="77777777" w:rsidR="00957294" w:rsidRPr="000030F0" w:rsidRDefault="00957294" w:rsidP="00957294">
      <w:pPr>
        <w:spacing w:after="120"/>
        <w:jc w:val="both"/>
        <w:rPr>
          <w:b/>
          <w:lang w:val="en-NZ" w:eastAsia="ko-KR"/>
        </w:rPr>
      </w:pPr>
    </w:p>
    <w:p w14:paraId="40FE6F6B" w14:textId="77777777" w:rsidR="0037421D" w:rsidRPr="000030F0" w:rsidRDefault="0037421D" w:rsidP="00E5341E">
      <w:pPr>
        <w:spacing w:after="120"/>
        <w:jc w:val="both"/>
        <w:rPr>
          <w:b/>
          <w:lang w:val="en-NZ"/>
        </w:rPr>
      </w:pPr>
    </w:p>
    <w:p w14:paraId="7C0524FF" w14:textId="77777777" w:rsidR="0037421D" w:rsidRPr="000030F0" w:rsidRDefault="0037421D" w:rsidP="00E5341E">
      <w:pPr>
        <w:spacing w:after="120"/>
        <w:jc w:val="both"/>
        <w:rPr>
          <w:b/>
        </w:rPr>
      </w:pPr>
    </w:p>
    <w:p w14:paraId="6C6955A0" w14:textId="77777777" w:rsidR="0037421D" w:rsidRPr="000030F0" w:rsidRDefault="0037421D" w:rsidP="00E5341E">
      <w:pPr>
        <w:spacing w:after="120"/>
        <w:jc w:val="both"/>
        <w:rPr>
          <w:b/>
        </w:rPr>
      </w:pPr>
    </w:p>
    <w:p w14:paraId="2006D93B" w14:textId="77777777" w:rsidR="0037421D" w:rsidRPr="000030F0" w:rsidRDefault="0037421D" w:rsidP="00E5341E">
      <w:pPr>
        <w:spacing w:after="120"/>
        <w:jc w:val="both"/>
        <w:rPr>
          <w:b/>
        </w:rPr>
      </w:pPr>
    </w:p>
    <w:p w14:paraId="41C87AE2" w14:textId="77777777" w:rsidR="0037421D" w:rsidRPr="000030F0" w:rsidRDefault="0037421D" w:rsidP="00E5341E">
      <w:pPr>
        <w:spacing w:after="120"/>
        <w:jc w:val="both"/>
        <w:rPr>
          <w:b/>
        </w:rPr>
      </w:pPr>
    </w:p>
    <w:p w14:paraId="431F10C2" w14:textId="77777777" w:rsidR="0037421D" w:rsidRPr="000030F0" w:rsidRDefault="0037421D" w:rsidP="00E5341E">
      <w:pPr>
        <w:spacing w:after="120"/>
        <w:jc w:val="both"/>
        <w:rPr>
          <w:b/>
        </w:rPr>
      </w:pPr>
    </w:p>
    <w:p w14:paraId="19D2C875" w14:textId="77777777" w:rsidR="0037421D" w:rsidRPr="000030F0" w:rsidRDefault="0037421D" w:rsidP="00E5341E">
      <w:pPr>
        <w:spacing w:after="120"/>
        <w:jc w:val="both"/>
        <w:rPr>
          <w:b/>
        </w:rPr>
      </w:pPr>
    </w:p>
    <w:p w14:paraId="4660EC26" w14:textId="77777777" w:rsidR="0037421D" w:rsidRPr="000030F0" w:rsidRDefault="0037421D" w:rsidP="00E5341E">
      <w:pPr>
        <w:spacing w:after="120"/>
        <w:jc w:val="both"/>
        <w:rPr>
          <w:b/>
        </w:rPr>
      </w:pPr>
    </w:p>
    <w:p w14:paraId="0F5037C3" w14:textId="77777777" w:rsidR="0037421D" w:rsidRPr="000030F0" w:rsidRDefault="0037421D" w:rsidP="00E5341E">
      <w:pPr>
        <w:spacing w:after="120"/>
        <w:jc w:val="both"/>
        <w:rPr>
          <w:b/>
        </w:rPr>
      </w:pPr>
    </w:p>
    <w:p w14:paraId="1377F209" w14:textId="77777777" w:rsidR="0037421D" w:rsidRPr="000030F0" w:rsidRDefault="0037421D" w:rsidP="00E5341E">
      <w:pPr>
        <w:spacing w:after="120"/>
        <w:jc w:val="both"/>
        <w:rPr>
          <w:b/>
        </w:rPr>
      </w:pPr>
    </w:p>
    <w:p w14:paraId="7B8CED9A" w14:textId="77777777" w:rsidR="0037421D" w:rsidRPr="000030F0" w:rsidRDefault="0037421D" w:rsidP="00E5341E">
      <w:pPr>
        <w:spacing w:after="120"/>
        <w:jc w:val="both"/>
        <w:rPr>
          <w:b/>
        </w:rPr>
      </w:pPr>
    </w:p>
    <w:p w14:paraId="68841ED6" w14:textId="77777777" w:rsidR="0037421D" w:rsidRPr="000030F0" w:rsidRDefault="0037421D" w:rsidP="00E5341E">
      <w:pPr>
        <w:spacing w:after="120"/>
        <w:jc w:val="both"/>
        <w:rPr>
          <w:b/>
        </w:rPr>
      </w:pPr>
    </w:p>
    <w:p w14:paraId="2F9FD52E" w14:textId="77777777" w:rsidR="0037421D" w:rsidRPr="000030F0" w:rsidRDefault="0037421D" w:rsidP="00E5341E">
      <w:pPr>
        <w:spacing w:after="120"/>
        <w:jc w:val="both"/>
        <w:rPr>
          <w:b/>
        </w:rPr>
      </w:pPr>
    </w:p>
    <w:p w14:paraId="21C20C98" w14:textId="77777777" w:rsidR="0037421D" w:rsidRPr="000030F0" w:rsidRDefault="0037421D" w:rsidP="00E5341E">
      <w:pPr>
        <w:spacing w:after="120"/>
        <w:jc w:val="both"/>
        <w:rPr>
          <w:b/>
        </w:rPr>
      </w:pPr>
    </w:p>
    <w:p w14:paraId="2C69F69E" w14:textId="77777777" w:rsidR="0037421D" w:rsidRPr="000030F0" w:rsidRDefault="0037421D" w:rsidP="00E5341E">
      <w:pPr>
        <w:spacing w:after="120"/>
        <w:jc w:val="both"/>
        <w:rPr>
          <w:b/>
        </w:rPr>
      </w:pPr>
    </w:p>
    <w:p w14:paraId="7826C53D" w14:textId="77777777" w:rsidR="001E1432" w:rsidRPr="000030F0" w:rsidRDefault="001E1432" w:rsidP="00E5341E">
      <w:pPr>
        <w:spacing w:after="120"/>
        <w:jc w:val="both"/>
        <w:rPr>
          <w:b/>
        </w:rPr>
      </w:pPr>
    </w:p>
    <w:p w14:paraId="0269BE0F" w14:textId="77777777" w:rsidR="001E1432" w:rsidRPr="000030F0" w:rsidRDefault="001E1432" w:rsidP="00E5341E">
      <w:pPr>
        <w:spacing w:after="120"/>
        <w:jc w:val="both"/>
        <w:rPr>
          <w:b/>
        </w:rPr>
      </w:pPr>
    </w:p>
    <w:p w14:paraId="2DACF388" w14:textId="77777777" w:rsidR="001E1432" w:rsidRPr="000030F0" w:rsidRDefault="001E1432" w:rsidP="00E5341E">
      <w:pPr>
        <w:spacing w:after="120"/>
        <w:jc w:val="both"/>
        <w:rPr>
          <w:b/>
        </w:rPr>
      </w:pPr>
    </w:p>
    <w:p w14:paraId="5F077715" w14:textId="77777777" w:rsidR="001E1432" w:rsidRPr="000030F0" w:rsidRDefault="001E1432" w:rsidP="00E5341E">
      <w:pPr>
        <w:spacing w:after="120"/>
        <w:jc w:val="both"/>
        <w:rPr>
          <w:b/>
        </w:rPr>
      </w:pPr>
    </w:p>
    <w:p w14:paraId="3C7046D5" w14:textId="77777777" w:rsidR="001E1432" w:rsidRPr="000030F0" w:rsidRDefault="001E1432" w:rsidP="00E5341E">
      <w:pPr>
        <w:spacing w:after="120"/>
        <w:jc w:val="both"/>
        <w:rPr>
          <w:b/>
        </w:rPr>
      </w:pPr>
    </w:p>
    <w:p w14:paraId="3A5A29ED" w14:textId="77777777" w:rsidR="001E1432" w:rsidRPr="000030F0" w:rsidRDefault="001E1432" w:rsidP="00E5341E">
      <w:pPr>
        <w:spacing w:after="120"/>
        <w:jc w:val="both"/>
        <w:rPr>
          <w:b/>
        </w:rPr>
      </w:pPr>
    </w:p>
    <w:p w14:paraId="30074D0E" w14:textId="77777777" w:rsidR="0037421D" w:rsidRPr="000030F0" w:rsidRDefault="0037421D" w:rsidP="00E5341E">
      <w:pPr>
        <w:spacing w:after="120"/>
        <w:jc w:val="both"/>
        <w:rPr>
          <w:b/>
        </w:rPr>
      </w:pPr>
    </w:p>
    <w:p w14:paraId="2323D167" w14:textId="77777777" w:rsidR="0037421D" w:rsidRPr="000030F0" w:rsidRDefault="0037421D" w:rsidP="00E5341E">
      <w:pPr>
        <w:spacing w:after="120"/>
        <w:jc w:val="both"/>
        <w:rPr>
          <w:b/>
        </w:rPr>
      </w:pPr>
    </w:p>
    <w:p w14:paraId="3025228D" w14:textId="77777777" w:rsidR="0037421D" w:rsidRPr="000030F0" w:rsidRDefault="0037421D" w:rsidP="00E5341E">
      <w:pPr>
        <w:spacing w:after="120"/>
        <w:jc w:val="both"/>
        <w:rPr>
          <w:b/>
        </w:rPr>
      </w:pPr>
    </w:p>
    <w:p w14:paraId="1BAB55AA" w14:textId="77777777" w:rsidR="0037421D" w:rsidRPr="000030F0" w:rsidRDefault="0037421D" w:rsidP="00E5341E">
      <w:pPr>
        <w:spacing w:after="120"/>
        <w:jc w:val="both"/>
        <w:rPr>
          <w:b/>
        </w:rPr>
      </w:pPr>
    </w:p>
    <w:p w14:paraId="17021774" w14:textId="77777777" w:rsidR="0037421D" w:rsidRPr="000030F0" w:rsidRDefault="0037421D" w:rsidP="00E5341E">
      <w:pPr>
        <w:spacing w:after="120"/>
        <w:jc w:val="both"/>
        <w:rPr>
          <w:b/>
        </w:rPr>
      </w:pPr>
    </w:p>
    <w:sectPr w:rsidR="0037421D" w:rsidRPr="000030F0" w:rsidSect="00FF72BB">
      <w:headerReference w:type="default" r:id="rId10"/>
      <w:footerReference w:type="even" r:id="rId11"/>
      <w:footerReference w:type="defaul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2F661" w14:textId="77777777" w:rsidR="00DC06FB" w:rsidRDefault="00DC06FB">
      <w:r>
        <w:separator/>
      </w:r>
    </w:p>
  </w:endnote>
  <w:endnote w:type="continuationSeparator" w:id="0">
    <w:p w14:paraId="6962E8B5" w14:textId="77777777" w:rsidR="00DC06FB" w:rsidRDefault="00DC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바탕체"/>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22CB8"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0A54FB"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2807" w14:textId="6DB33713" w:rsidR="00051E1E" w:rsidRDefault="00051E1E">
    <w:pPr>
      <w:pStyle w:val="Footer"/>
    </w:pPr>
    <w:r>
      <w:t>A</w:t>
    </w:r>
    <w:r w:rsidR="001E1432">
      <w:t>PG23-</w:t>
    </w:r>
    <w:r w:rsidR="008624ED">
      <w:t>2</w:t>
    </w:r>
    <w:r>
      <w:t>/IN</w:t>
    </w:r>
    <w:r w:rsidR="00267E46">
      <w:t>F</w:t>
    </w:r>
    <w:r>
      <w:t>-</w:t>
    </w:r>
    <w:r w:rsidR="00267E46">
      <w:t>18</w:t>
    </w:r>
    <w:r w:rsidR="006A501B">
      <w:t>(Rev.1)</w:t>
    </w:r>
    <w:r>
      <w:tab/>
    </w:r>
    <w:r>
      <w:tab/>
      <w:t xml:space="preserve">Page </w:t>
    </w:r>
    <w:r>
      <w:rPr>
        <w:b/>
        <w:bCs/>
      </w:rPr>
      <w:fldChar w:fldCharType="begin"/>
    </w:r>
    <w:r>
      <w:rPr>
        <w:b/>
        <w:bCs/>
      </w:rPr>
      <w:instrText xml:space="preserve"> PAGE  \* Arabic  \* MERGEFORMAT </w:instrText>
    </w:r>
    <w:r>
      <w:rPr>
        <w:b/>
        <w:bCs/>
      </w:rPr>
      <w:fldChar w:fldCharType="separate"/>
    </w:r>
    <w:r w:rsidR="00BF2347">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F2347">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608"/>
      <w:gridCol w:w="3456"/>
    </w:tblGrid>
    <w:tr w:rsidR="00B54758" w14:paraId="7EF20505" w14:textId="77777777" w:rsidTr="00933FEA">
      <w:trPr>
        <w:cantSplit/>
        <w:trHeight w:val="204"/>
        <w:jc w:val="center"/>
      </w:trPr>
      <w:tc>
        <w:tcPr>
          <w:tcW w:w="1152" w:type="dxa"/>
        </w:tcPr>
        <w:p w14:paraId="7C14EC98" w14:textId="77777777" w:rsidR="00B54758" w:rsidRDefault="00B54758" w:rsidP="007E7497">
          <w:pPr>
            <w:rPr>
              <w:b/>
              <w:bCs/>
            </w:rPr>
          </w:pPr>
          <w:r>
            <w:rPr>
              <w:b/>
              <w:bCs/>
            </w:rPr>
            <w:t>Contact:</w:t>
          </w:r>
        </w:p>
      </w:tc>
      <w:tc>
        <w:tcPr>
          <w:tcW w:w="4608" w:type="dxa"/>
        </w:tcPr>
        <w:p w14:paraId="75E6FB9D" w14:textId="5ACFE47A" w:rsidR="00EC249E" w:rsidRDefault="00933FEA" w:rsidP="007E7497">
          <w:pPr>
            <w:pStyle w:val="Equation"/>
            <w:tabs>
              <w:tab w:val="clear" w:pos="794"/>
              <w:tab w:val="clear" w:pos="4820"/>
              <w:tab w:val="clear" w:pos="9639"/>
            </w:tabs>
            <w:spacing w:beforeLines="0"/>
            <w:rPr>
              <w:rFonts w:eastAsia="Batang"/>
            </w:rPr>
          </w:pPr>
          <w:r>
            <w:rPr>
              <w:rFonts w:eastAsia="Batang"/>
            </w:rPr>
            <w:t>Mr. Hy</w:t>
          </w:r>
          <w:r w:rsidR="001E1867">
            <w:rPr>
              <w:rFonts w:eastAsia="Batang"/>
            </w:rPr>
            <w:t>o</w:t>
          </w:r>
          <w:r>
            <w:rPr>
              <w:rFonts w:eastAsia="Batang"/>
            </w:rPr>
            <w:t>ung</w:t>
          </w:r>
          <w:r w:rsidR="00BF2347">
            <w:rPr>
              <w:rFonts w:eastAsia="Batang"/>
            </w:rPr>
            <w:t>J</w:t>
          </w:r>
          <w:r>
            <w:rPr>
              <w:rFonts w:eastAsia="Batang"/>
            </w:rPr>
            <w:t>in C</w:t>
          </w:r>
          <w:r w:rsidR="001E1867">
            <w:rPr>
              <w:rFonts w:eastAsia="Batang"/>
            </w:rPr>
            <w:t>HOI</w:t>
          </w:r>
        </w:p>
        <w:p w14:paraId="39C5729B" w14:textId="0AE52EFA" w:rsidR="00933FEA" w:rsidRDefault="00933FEA" w:rsidP="007E7497">
          <w:pPr>
            <w:pStyle w:val="Equation"/>
            <w:tabs>
              <w:tab w:val="clear" w:pos="794"/>
              <w:tab w:val="clear" w:pos="4820"/>
              <w:tab w:val="clear" w:pos="9639"/>
            </w:tabs>
            <w:spacing w:beforeLines="0"/>
            <w:rPr>
              <w:rFonts w:eastAsia="Batang"/>
            </w:rPr>
          </w:pPr>
          <w:r>
            <w:rPr>
              <w:rFonts w:eastAsia="Batang"/>
            </w:rPr>
            <w:t>Co-Chairman, AI10</w:t>
          </w:r>
        </w:p>
      </w:tc>
      <w:tc>
        <w:tcPr>
          <w:tcW w:w="3456" w:type="dxa"/>
        </w:tcPr>
        <w:p w14:paraId="66CA6E30" w14:textId="42045049" w:rsidR="00B54758" w:rsidRDefault="00B54758" w:rsidP="00E23D98">
          <w:pPr>
            <w:rPr>
              <w:lang w:eastAsia="ja-JP"/>
            </w:rPr>
          </w:pPr>
          <w:r>
            <w:t>Email</w:t>
          </w:r>
          <w:r>
            <w:rPr>
              <w:rFonts w:hint="eastAsia"/>
            </w:rPr>
            <w:t>:</w:t>
          </w:r>
          <w:r>
            <w:t xml:space="preserve"> </w:t>
          </w:r>
          <w:hyperlink r:id="rId1" w:history="1">
            <w:r w:rsidR="00933FEA" w:rsidRPr="00294E3C">
              <w:rPr>
                <w:rStyle w:val="Hyperlink"/>
              </w:rPr>
              <w:t>hj686.choi@samsung.com</w:t>
            </w:r>
          </w:hyperlink>
          <w:r w:rsidR="00933FEA">
            <w:t xml:space="preserve"> </w:t>
          </w:r>
        </w:p>
      </w:tc>
    </w:tr>
  </w:tbl>
  <w:p w14:paraId="25B78C00"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A3D00" w14:textId="77777777" w:rsidR="00DC06FB" w:rsidRDefault="00DC06FB">
      <w:r>
        <w:separator/>
      </w:r>
    </w:p>
  </w:footnote>
  <w:footnote w:type="continuationSeparator" w:id="0">
    <w:p w14:paraId="6DFA1D05" w14:textId="77777777" w:rsidR="00DC06FB" w:rsidRDefault="00DC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6AB3" w14:textId="77777777" w:rsidR="00B54758" w:rsidRDefault="00B54758" w:rsidP="008E3821">
    <w:pPr>
      <w:pStyle w:val="Header"/>
      <w:tabs>
        <w:tab w:val="clear" w:pos="4320"/>
        <w:tab w:val="clear" w:pos="8640"/>
      </w:tabs>
      <w:rPr>
        <w:lang w:eastAsia="ko-KR"/>
      </w:rPr>
    </w:pPr>
  </w:p>
  <w:p w14:paraId="122BFF37"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2497039"/>
    <w:multiLevelType w:val="hybridMultilevel"/>
    <w:tmpl w:val="0E728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90202"/>
    <w:multiLevelType w:val="hybridMultilevel"/>
    <w:tmpl w:val="9F7E2792"/>
    <w:lvl w:ilvl="0" w:tplc="F1EEC86E">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1"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9801948"/>
    <w:multiLevelType w:val="hybridMultilevel"/>
    <w:tmpl w:val="AB7681C2"/>
    <w:lvl w:ilvl="0" w:tplc="B0426F7E">
      <w:start w:val="1"/>
      <w:numFmt w:val="bullet"/>
      <w:lvlText w:val="-"/>
      <w:lvlJc w:val="left"/>
      <w:pPr>
        <w:ind w:left="1120" w:hanging="360"/>
      </w:pPr>
      <w:rPr>
        <w:rFonts w:ascii="Calibri" w:eastAsiaTheme="minorEastAsia" w:hAnsi="Calibri" w:cs="Calibr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10DFC"/>
    <w:multiLevelType w:val="hybridMultilevel"/>
    <w:tmpl w:val="EE70F166"/>
    <w:lvl w:ilvl="0" w:tplc="3CB424C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F275DE5"/>
    <w:multiLevelType w:val="hybridMultilevel"/>
    <w:tmpl w:val="C01A37A6"/>
    <w:lvl w:ilvl="0" w:tplc="81F65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5" w15:restartNumberingAfterBreak="0">
    <w:nsid w:val="7CBA4D0C"/>
    <w:multiLevelType w:val="hybridMultilevel"/>
    <w:tmpl w:val="D1F40B08"/>
    <w:lvl w:ilvl="0" w:tplc="A67E9C0A">
      <w:start w:val="1"/>
      <w:numFmt w:val="decimal"/>
      <w:lvlText w:val="%1"/>
      <w:lvlJc w:val="left"/>
      <w:pPr>
        <w:ind w:left="1195" w:hanging="79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5"/>
  </w:num>
  <w:num w:numId="2">
    <w:abstractNumId w:val="8"/>
  </w:num>
  <w:num w:numId="3">
    <w:abstractNumId w:val="6"/>
  </w:num>
  <w:num w:numId="4">
    <w:abstractNumId w:val="22"/>
  </w:num>
  <w:num w:numId="5">
    <w:abstractNumId w:val="12"/>
  </w:num>
  <w:num w:numId="6">
    <w:abstractNumId w:val="16"/>
  </w:num>
  <w:num w:numId="7">
    <w:abstractNumId w:val="5"/>
  </w:num>
  <w:num w:numId="8">
    <w:abstractNumId w:val="1"/>
  </w:num>
  <w:num w:numId="9">
    <w:abstractNumId w:val="24"/>
  </w:num>
  <w:num w:numId="10">
    <w:abstractNumId w:val="0"/>
  </w:num>
  <w:num w:numId="11">
    <w:abstractNumId w:val="23"/>
  </w:num>
  <w:num w:numId="12">
    <w:abstractNumId w:val="13"/>
  </w:num>
  <w:num w:numId="13">
    <w:abstractNumId w:val="18"/>
  </w:num>
  <w:num w:numId="14">
    <w:abstractNumId w:val="9"/>
  </w:num>
  <w:num w:numId="15">
    <w:abstractNumId w:val="3"/>
  </w:num>
  <w:num w:numId="16">
    <w:abstractNumId w:val="2"/>
  </w:num>
  <w:num w:numId="17">
    <w:abstractNumId w:val="4"/>
  </w:num>
  <w:num w:numId="18">
    <w:abstractNumId w:val="14"/>
  </w:num>
  <w:num w:numId="19">
    <w:abstractNumId w:val="19"/>
  </w:num>
  <w:num w:numId="20">
    <w:abstractNumId w:val="17"/>
  </w:num>
  <w:num w:numId="21">
    <w:abstractNumId w:val="7"/>
  </w:num>
  <w:num w:numId="22">
    <w:abstractNumId w:val="11"/>
  </w:num>
  <w:num w:numId="23">
    <w:abstractNumId w:val="21"/>
  </w:num>
  <w:num w:numId="24">
    <w:abstractNumId w:val="25"/>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D"/>
    <w:rsid w:val="00000B9E"/>
    <w:rsid w:val="000030F0"/>
    <w:rsid w:val="0002086C"/>
    <w:rsid w:val="00021F61"/>
    <w:rsid w:val="0003595B"/>
    <w:rsid w:val="00036385"/>
    <w:rsid w:val="00051E1E"/>
    <w:rsid w:val="00054C56"/>
    <w:rsid w:val="00063DF8"/>
    <w:rsid w:val="000713CF"/>
    <w:rsid w:val="00075C14"/>
    <w:rsid w:val="00094B87"/>
    <w:rsid w:val="000964D0"/>
    <w:rsid w:val="000A1F8C"/>
    <w:rsid w:val="000A5418"/>
    <w:rsid w:val="000A754D"/>
    <w:rsid w:val="000B1E8C"/>
    <w:rsid w:val="000B595C"/>
    <w:rsid w:val="000D7C75"/>
    <w:rsid w:val="000E1A9C"/>
    <w:rsid w:val="000F517C"/>
    <w:rsid w:val="000F5540"/>
    <w:rsid w:val="00106B56"/>
    <w:rsid w:val="00122653"/>
    <w:rsid w:val="00125217"/>
    <w:rsid w:val="00130A94"/>
    <w:rsid w:val="00131FCA"/>
    <w:rsid w:val="00133947"/>
    <w:rsid w:val="00134CC7"/>
    <w:rsid w:val="00135C32"/>
    <w:rsid w:val="001433F1"/>
    <w:rsid w:val="001539DD"/>
    <w:rsid w:val="00164353"/>
    <w:rsid w:val="00164C52"/>
    <w:rsid w:val="00175BD2"/>
    <w:rsid w:val="0018114D"/>
    <w:rsid w:val="001832C2"/>
    <w:rsid w:val="001923E8"/>
    <w:rsid w:val="00196568"/>
    <w:rsid w:val="00196F44"/>
    <w:rsid w:val="00197B92"/>
    <w:rsid w:val="001A2F16"/>
    <w:rsid w:val="001A34FF"/>
    <w:rsid w:val="001B18C2"/>
    <w:rsid w:val="001D1AAA"/>
    <w:rsid w:val="001D5D7E"/>
    <w:rsid w:val="001E1432"/>
    <w:rsid w:val="001E1867"/>
    <w:rsid w:val="001E7D86"/>
    <w:rsid w:val="001F2479"/>
    <w:rsid w:val="001F5947"/>
    <w:rsid w:val="0021588B"/>
    <w:rsid w:val="002216AC"/>
    <w:rsid w:val="002219FD"/>
    <w:rsid w:val="0023010A"/>
    <w:rsid w:val="00230738"/>
    <w:rsid w:val="00234735"/>
    <w:rsid w:val="00241BCF"/>
    <w:rsid w:val="00246B05"/>
    <w:rsid w:val="00251D3C"/>
    <w:rsid w:val="00254A1B"/>
    <w:rsid w:val="0026736F"/>
    <w:rsid w:val="00267E46"/>
    <w:rsid w:val="00275ED2"/>
    <w:rsid w:val="0028454D"/>
    <w:rsid w:val="00286912"/>
    <w:rsid w:val="00287A2A"/>
    <w:rsid w:val="00291C9E"/>
    <w:rsid w:val="002926D4"/>
    <w:rsid w:val="002961DF"/>
    <w:rsid w:val="002C07DA"/>
    <w:rsid w:val="002C7EA9"/>
    <w:rsid w:val="002F2F9A"/>
    <w:rsid w:val="003131A3"/>
    <w:rsid w:val="00336A0D"/>
    <w:rsid w:val="00340092"/>
    <w:rsid w:val="00342F20"/>
    <w:rsid w:val="00343067"/>
    <w:rsid w:val="00350EC2"/>
    <w:rsid w:val="003540E0"/>
    <w:rsid w:val="003548C2"/>
    <w:rsid w:val="0036416A"/>
    <w:rsid w:val="0037421D"/>
    <w:rsid w:val="003809C7"/>
    <w:rsid w:val="003829E0"/>
    <w:rsid w:val="003A3AE3"/>
    <w:rsid w:val="003B03B2"/>
    <w:rsid w:val="003B6263"/>
    <w:rsid w:val="003B6428"/>
    <w:rsid w:val="003C64A7"/>
    <w:rsid w:val="003D25E1"/>
    <w:rsid w:val="003D3FDA"/>
    <w:rsid w:val="003D57C6"/>
    <w:rsid w:val="003F6D48"/>
    <w:rsid w:val="00403CE4"/>
    <w:rsid w:val="00420822"/>
    <w:rsid w:val="0042126E"/>
    <w:rsid w:val="004323BB"/>
    <w:rsid w:val="00433925"/>
    <w:rsid w:val="004404C0"/>
    <w:rsid w:val="00440BEE"/>
    <w:rsid w:val="00444170"/>
    <w:rsid w:val="0045458F"/>
    <w:rsid w:val="00455FD4"/>
    <w:rsid w:val="004633B4"/>
    <w:rsid w:val="00483317"/>
    <w:rsid w:val="0048370C"/>
    <w:rsid w:val="004854EE"/>
    <w:rsid w:val="004A4DE4"/>
    <w:rsid w:val="004B34E8"/>
    <w:rsid w:val="004B3553"/>
    <w:rsid w:val="004F733C"/>
    <w:rsid w:val="00515050"/>
    <w:rsid w:val="0051686D"/>
    <w:rsid w:val="005201CA"/>
    <w:rsid w:val="00521BF0"/>
    <w:rsid w:val="005263C8"/>
    <w:rsid w:val="00530E8C"/>
    <w:rsid w:val="005442A4"/>
    <w:rsid w:val="00545933"/>
    <w:rsid w:val="0054610B"/>
    <w:rsid w:val="0054644A"/>
    <w:rsid w:val="005471A0"/>
    <w:rsid w:val="005549C9"/>
    <w:rsid w:val="00557544"/>
    <w:rsid w:val="0055789E"/>
    <w:rsid w:val="005606F6"/>
    <w:rsid w:val="005614DC"/>
    <w:rsid w:val="00570E13"/>
    <w:rsid w:val="00575CDC"/>
    <w:rsid w:val="00577C0A"/>
    <w:rsid w:val="00587875"/>
    <w:rsid w:val="005B1E77"/>
    <w:rsid w:val="005B244E"/>
    <w:rsid w:val="005C5EB6"/>
    <w:rsid w:val="005D3914"/>
    <w:rsid w:val="005D6B2F"/>
    <w:rsid w:val="005E3896"/>
    <w:rsid w:val="005E6C90"/>
    <w:rsid w:val="00607A4F"/>
    <w:rsid w:val="00607E2B"/>
    <w:rsid w:val="006139D6"/>
    <w:rsid w:val="00615999"/>
    <w:rsid w:val="00623CE1"/>
    <w:rsid w:val="0063062B"/>
    <w:rsid w:val="00636BAD"/>
    <w:rsid w:val="00660EB7"/>
    <w:rsid w:val="0066388B"/>
    <w:rsid w:val="00667229"/>
    <w:rsid w:val="00675C31"/>
    <w:rsid w:val="006769C2"/>
    <w:rsid w:val="00676CC1"/>
    <w:rsid w:val="00682BE5"/>
    <w:rsid w:val="006843DA"/>
    <w:rsid w:val="00690FED"/>
    <w:rsid w:val="006939A5"/>
    <w:rsid w:val="006A15A4"/>
    <w:rsid w:val="006A501B"/>
    <w:rsid w:val="006B6778"/>
    <w:rsid w:val="006C2D39"/>
    <w:rsid w:val="006E12FC"/>
    <w:rsid w:val="006F375E"/>
    <w:rsid w:val="00705C2D"/>
    <w:rsid w:val="00705E61"/>
    <w:rsid w:val="00712451"/>
    <w:rsid w:val="00731041"/>
    <w:rsid w:val="00732F08"/>
    <w:rsid w:val="007350E2"/>
    <w:rsid w:val="0074190C"/>
    <w:rsid w:val="00762576"/>
    <w:rsid w:val="00791060"/>
    <w:rsid w:val="007A1BDE"/>
    <w:rsid w:val="007A3E29"/>
    <w:rsid w:val="007B3299"/>
    <w:rsid w:val="007B3D18"/>
    <w:rsid w:val="007B5626"/>
    <w:rsid w:val="007B5E37"/>
    <w:rsid w:val="007D29E5"/>
    <w:rsid w:val="007E1FDD"/>
    <w:rsid w:val="007E3824"/>
    <w:rsid w:val="007E7497"/>
    <w:rsid w:val="007F08FF"/>
    <w:rsid w:val="007F1651"/>
    <w:rsid w:val="00803C99"/>
    <w:rsid w:val="0080570B"/>
    <w:rsid w:val="008148E1"/>
    <w:rsid w:val="00816F4E"/>
    <w:rsid w:val="0081717E"/>
    <w:rsid w:val="008245C2"/>
    <w:rsid w:val="00825ED6"/>
    <w:rsid w:val="00831716"/>
    <w:rsid w:val="008319BF"/>
    <w:rsid w:val="008337EA"/>
    <w:rsid w:val="00850E1C"/>
    <w:rsid w:val="008624ED"/>
    <w:rsid w:val="00870944"/>
    <w:rsid w:val="008950FB"/>
    <w:rsid w:val="00897849"/>
    <w:rsid w:val="008A423E"/>
    <w:rsid w:val="008A73CD"/>
    <w:rsid w:val="008D084B"/>
    <w:rsid w:val="008D0E09"/>
    <w:rsid w:val="008E3821"/>
    <w:rsid w:val="008F2153"/>
    <w:rsid w:val="008F301D"/>
    <w:rsid w:val="00917DD2"/>
    <w:rsid w:val="009306C7"/>
    <w:rsid w:val="00933FEA"/>
    <w:rsid w:val="0095050B"/>
    <w:rsid w:val="00953737"/>
    <w:rsid w:val="00957294"/>
    <w:rsid w:val="00963A5A"/>
    <w:rsid w:val="00965592"/>
    <w:rsid w:val="009659A9"/>
    <w:rsid w:val="00972289"/>
    <w:rsid w:val="0097693B"/>
    <w:rsid w:val="00993355"/>
    <w:rsid w:val="009A46BF"/>
    <w:rsid w:val="009A4A6D"/>
    <w:rsid w:val="009B74AC"/>
    <w:rsid w:val="009C0B35"/>
    <w:rsid w:val="009C361C"/>
    <w:rsid w:val="009E0FB5"/>
    <w:rsid w:val="00A0132E"/>
    <w:rsid w:val="00A0503B"/>
    <w:rsid w:val="00A1236A"/>
    <w:rsid w:val="00A13265"/>
    <w:rsid w:val="00A20980"/>
    <w:rsid w:val="00A31185"/>
    <w:rsid w:val="00A377BA"/>
    <w:rsid w:val="00A61885"/>
    <w:rsid w:val="00A71136"/>
    <w:rsid w:val="00A97D1A"/>
    <w:rsid w:val="00AA2D8E"/>
    <w:rsid w:val="00AA474C"/>
    <w:rsid w:val="00AB0EAD"/>
    <w:rsid w:val="00AB2572"/>
    <w:rsid w:val="00AC19BB"/>
    <w:rsid w:val="00AD7E5F"/>
    <w:rsid w:val="00AF2BC9"/>
    <w:rsid w:val="00AF6E67"/>
    <w:rsid w:val="00B01AA1"/>
    <w:rsid w:val="00B24089"/>
    <w:rsid w:val="00B30C81"/>
    <w:rsid w:val="00B34275"/>
    <w:rsid w:val="00B3474C"/>
    <w:rsid w:val="00B4793B"/>
    <w:rsid w:val="00B54758"/>
    <w:rsid w:val="00B66740"/>
    <w:rsid w:val="00B676EF"/>
    <w:rsid w:val="00B75831"/>
    <w:rsid w:val="00B97AC9"/>
    <w:rsid w:val="00BB7E96"/>
    <w:rsid w:val="00BC7506"/>
    <w:rsid w:val="00BF2347"/>
    <w:rsid w:val="00C048CD"/>
    <w:rsid w:val="00C15633"/>
    <w:rsid w:val="00C15799"/>
    <w:rsid w:val="00C20F4D"/>
    <w:rsid w:val="00C256E8"/>
    <w:rsid w:val="00C26745"/>
    <w:rsid w:val="00C357AD"/>
    <w:rsid w:val="00C3644A"/>
    <w:rsid w:val="00C6069C"/>
    <w:rsid w:val="00C73F61"/>
    <w:rsid w:val="00C75805"/>
    <w:rsid w:val="00C85119"/>
    <w:rsid w:val="00CC56C6"/>
    <w:rsid w:val="00CD5431"/>
    <w:rsid w:val="00CE17E4"/>
    <w:rsid w:val="00CE6DD9"/>
    <w:rsid w:val="00CF2491"/>
    <w:rsid w:val="00CF2CBA"/>
    <w:rsid w:val="00CF3030"/>
    <w:rsid w:val="00CF5DDC"/>
    <w:rsid w:val="00D06742"/>
    <w:rsid w:val="00D1252E"/>
    <w:rsid w:val="00D12CE1"/>
    <w:rsid w:val="00D2444D"/>
    <w:rsid w:val="00D31452"/>
    <w:rsid w:val="00D34248"/>
    <w:rsid w:val="00D500B1"/>
    <w:rsid w:val="00D5307B"/>
    <w:rsid w:val="00D57772"/>
    <w:rsid w:val="00D651AB"/>
    <w:rsid w:val="00D72AE3"/>
    <w:rsid w:val="00D75A4D"/>
    <w:rsid w:val="00D8478B"/>
    <w:rsid w:val="00D84CEE"/>
    <w:rsid w:val="00D86151"/>
    <w:rsid w:val="00D91215"/>
    <w:rsid w:val="00DA3CC4"/>
    <w:rsid w:val="00DA7595"/>
    <w:rsid w:val="00DB0A68"/>
    <w:rsid w:val="00DB13B0"/>
    <w:rsid w:val="00DB28C8"/>
    <w:rsid w:val="00DB4A1C"/>
    <w:rsid w:val="00DC06FB"/>
    <w:rsid w:val="00DC43A3"/>
    <w:rsid w:val="00DD7C09"/>
    <w:rsid w:val="00DE54CF"/>
    <w:rsid w:val="00DF791C"/>
    <w:rsid w:val="00E0124F"/>
    <w:rsid w:val="00E02E0D"/>
    <w:rsid w:val="00E06286"/>
    <w:rsid w:val="00E17376"/>
    <w:rsid w:val="00E23D98"/>
    <w:rsid w:val="00E403B9"/>
    <w:rsid w:val="00E41BE2"/>
    <w:rsid w:val="00E5341E"/>
    <w:rsid w:val="00E545D9"/>
    <w:rsid w:val="00E65FC2"/>
    <w:rsid w:val="00E674D3"/>
    <w:rsid w:val="00E70FD0"/>
    <w:rsid w:val="00E80263"/>
    <w:rsid w:val="00EA0BBD"/>
    <w:rsid w:val="00EA7027"/>
    <w:rsid w:val="00EB2081"/>
    <w:rsid w:val="00EC249E"/>
    <w:rsid w:val="00EE3496"/>
    <w:rsid w:val="00EF2406"/>
    <w:rsid w:val="00F00257"/>
    <w:rsid w:val="00F27747"/>
    <w:rsid w:val="00F27A79"/>
    <w:rsid w:val="00F5332C"/>
    <w:rsid w:val="00F55E0A"/>
    <w:rsid w:val="00F626B7"/>
    <w:rsid w:val="00F650EB"/>
    <w:rsid w:val="00F7129A"/>
    <w:rsid w:val="00F84067"/>
    <w:rsid w:val="00F871F5"/>
    <w:rsid w:val="00FB023A"/>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2590F"/>
  <w15:docId w15:val="{89C1F0ED-BF91-4B70-983E-58AEFC26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9306C7"/>
    <w:rPr>
      <w:color w:val="605E5C"/>
      <w:shd w:val="clear" w:color="auto" w:fill="E1DFDD"/>
    </w:rPr>
  </w:style>
  <w:style w:type="character" w:customStyle="1" w:styleId="UnresolvedMention2">
    <w:name w:val="Unresolved Mention2"/>
    <w:basedOn w:val="DefaultParagraphFont"/>
    <w:uiPriority w:val="99"/>
    <w:semiHidden/>
    <w:unhideWhenUsed/>
    <w:rsid w:val="00933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R/study-groups/rcpm/Pages/wrc-23-studies.aspx"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hj686.choi@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2\APG23-2%20Document%20Template%20Oth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959C1-A2A7-44AD-BDB0-BA7DE9FF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APG23-2 Document Template Others</Template>
  <TotalTime>2</TotalTime>
  <Pages>5</Pages>
  <Words>1340</Words>
  <Characters>7640</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Forhadul Parvez</cp:lastModifiedBy>
  <cp:revision>5</cp:revision>
  <cp:lastPrinted>2004-07-28T02:14:00Z</cp:lastPrinted>
  <dcterms:created xsi:type="dcterms:W3CDTF">2021-03-24T00:36:00Z</dcterms:created>
  <dcterms:modified xsi:type="dcterms:W3CDTF">2021-04-06T08:11:00Z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D:\My works\APT\APG 23\APG23-2\회의장 문서\INF\APG23-2-INF-18_Briefing_on_AI10_Template.docx</vt:lpwstr>
  </property>
</Properties>
</file>